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2117411753"/>
        <w:docPartObj>
          <w:docPartGallery w:val="Cover Pages"/>
          <w:docPartUnique/>
        </w:docPartObj>
      </w:sdtPr>
      <w:sdtEndPr>
        <w:rPr>
          <w:sz w:val="28"/>
          <w:szCs w:val="28"/>
        </w:rPr>
      </w:sdtEndPr>
      <w:sdtContent>
        <w:p w14:paraId="118DE889" w14:textId="77777777" w:rsidR="006D77BA" w:rsidRPr="00F35695" w:rsidRDefault="00D66119" w:rsidP="00F35695">
          <w:pPr>
            <w:spacing w:line="360" w:lineRule="auto"/>
            <w:rPr>
              <w:rFonts w:ascii="Arial" w:hAnsi="Arial" w:cs="Arial"/>
            </w:rPr>
          </w:pPr>
          <w:r w:rsidRPr="00F35695">
            <w:rPr>
              <w:rFonts w:ascii="Arial" w:hAnsi="Arial" w:cs="Arial"/>
              <w:noProof/>
            </w:rPr>
            <mc:AlternateContent>
              <mc:Choice Requires="wps">
                <w:drawing>
                  <wp:anchor distT="0" distB="0" distL="114300" distR="114300" simplePos="0" relativeHeight="251659264" behindDoc="0" locked="0" layoutInCell="1" allowOverlap="1" wp14:anchorId="4216CE27" wp14:editId="7FEF7472">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80"/>
                                  <w:gridCol w:w="3044"/>
                                </w:tblGrid>
                                <w:tr w:rsidR="00D66119" w14:paraId="717B6046" w14:textId="77777777">
                                  <w:trPr>
                                    <w:jc w:val="center"/>
                                  </w:trPr>
                                  <w:tc>
                                    <w:tcPr>
                                      <w:tcW w:w="2568" w:type="pct"/>
                                      <w:vAlign w:val="center"/>
                                    </w:tcPr>
                                    <w:p w14:paraId="18E71826" w14:textId="753A889D" w:rsidR="00D66119" w:rsidRDefault="00D66119">
                                      <w:pPr>
                                        <w:jc w:val="right"/>
                                        <w:rPr>
                                          <w:sz w:val="24"/>
                                          <w:szCs w:val="24"/>
                                        </w:rPr>
                                      </w:pPr>
                                      <w:r>
                                        <w:rPr>
                                          <w:noProof/>
                                        </w:rPr>
                                        <w:drawing>
                                          <wp:inline distT="0" distB="0" distL="0" distR="0" wp14:anchorId="6197E3B2" wp14:editId="4617B7CF">
                                            <wp:extent cx="3459283" cy="2828925"/>
                                            <wp:effectExtent l="0" t="0" r="8255" b="0"/>
                                            <wp:docPr id="962641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641099" name=""/>
                                                    <pic:cNvPicPr/>
                                                  </pic:nvPicPr>
                                                  <pic:blipFill>
                                                    <a:blip r:embed="rId5"/>
                                                    <a:stretch>
                                                      <a:fillRect/>
                                                    </a:stretch>
                                                  </pic:blipFill>
                                                  <pic:spPr>
                                                    <a:xfrm>
                                                      <a:off x="0" y="0"/>
                                                      <a:ext cx="3461328" cy="2830598"/>
                                                    </a:xfrm>
                                                    <a:prstGeom prst="rect">
                                                      <a:avLst/>
                                                    </a:prstGeom>
                                                  </pic:spPr>
                                                </pic:pic>
                                              </a:graphicData>
                                            </a:graphic>
                                          </wp:inline>
                                        </w:drawing>
                                      </w:r>
                                    </w:p>
                                  </w:tc>
                                  <w:tc>
                                    <w:tcPr>
                                      <w:tcW w:w="2432" w:type="pct"/>
                                      <w:vAlign w:val="center"/>
                                    </w:tcPr>
                                    <w:p w14:paraId="386CC53B" w14:textId="6A0746E9" w:rsidR="00D66119" w:rsidRDefault="004321CB" w:rsidP="00D66119">
                                      <w:pPr>
                                        <w:pStyle w:val="NoSpacing"/>
                                        <w:rPr>
                                          <w:caps/>
                                          <w:sz w:val="48"/>
                                          <w:szCs w:val="48"/>
                                          <w:lang w:val="en-GB"/>
                                        </w:rPr>
                                      </w:pPr>
                                      <w:r>
                                        <w:rPr>
                                          <w:caps/>
                                          <w:sz w:val="48"/>
                                          <w:szCs w:val="48"/>
                                          <w:lang w:val="en-GB"/>
                                        </w:rPr>
                                        <w:t>Individual essay</w:t>
                                      </w:r>
                                    </w:p>
                                    <w:p w14:paraId="5D9B84FC" w14:textId="77777777" w:rsidR="00D66119" w:rsidRDefault="00D66119" w:rsidP="00D66119">
                                      <w:pPr>
                                        <w:pStyle w:val="NoSpacing"/>
                                        <w:rPr>
                                          <w:caps/>
                                          <w:sz w:val="40"/>
                                          <w:szCs w:val="40"/>
                                          <w:lang w:val="en-GB"/>
                                        </w:rPr>
                                      </w:pPr>
                                      <w:r>
                                        <w:rPr>
                                          <w:caps/>
                                          <w:sz w:val="40"/>
                                          <w:szCs w:val="40"/>
                                          <w:lang w:val="en-GB"/>
                                        </w:rPr>
                                        <w:t>To:</w:t>
                                      </w:r>
                                      <w:r w:rsidRPr="00D66119">
                                        <w:rPr>
                                          <w:rFonts w:ascii="Agency FB" w:hAnsi="Agency FB"/>
                                          <w:caps/>
                                          <w:sz w:val="40"/>
                                          <w:szCs w:val="40"/>
                                          <w:lang w:val="en-GB"/>
                                        </w:rPr>
                                        <w:t>Muno zuwirai</w:t>
                                      </w:r>
                                    </w:p>
                                    <w:p w14:paraId="270D63E9" w14:textId="77777777" w:rsidR="00D66119" w:rsidRDefault="00D66119" w:rsidP="00D66119">
                                      <w:pPr>
                                        <w:pStyle w:val="NoSpacing"/>
                                        <w:rPr>
                                          <w:caps/>
                                          <w:sz w:val="40"/>
                                          <w:szCs w:val="40"/>
                                          <w:lang w:val="en-GB"/>
                                        </w:rPr>
                                      </w:pPr>
                                      <w:r>
                                        <w:rPr>
                                          <w:caps/>
                                          <w:sz w:val="40"/>
                                          <w:szCs w:val="40"/>
                                          <w:lang w:val="en-GB"/>
                                        </w:rPr>
                                        <w:t>From:</w:t>
                                      </w:r>
                                      <w:r w:rsidRPr="00D66119">
                                        <w:rPr>
                                          <w:rFonts w:ascii="Agency FB" w:hAnsi="Agency FB"/>
                                          <w:caps/>
                                          <w:sz w:val="40"/>
                                          <w:szCs w:val="40"/>
                                          <w:lang w:val="en-GB"/>
                                        </w:rPr>
                                        <w:t>Veneta Georgieva-2225023</w:t>
                                      </w:r>
                                    </w:p>
                                    <w:p w14:paraId="4C8443A4" w14:textId="2AFDFD4C" w:rsidR="00D66119" w:rsidRDefault="00D66119" w:rsidP="00D66119">
                                      <w:pPr>
                                        <w:pStyle w:val="NoSpacing"/>
                                        <w:rPr>
                                          <w:rFonts w:ascii="Agency FB" w:hAnsi="Agency FB"/>
                                          <w:caps/>
                                          <w:sz w:val="40"/>
                                          <w:szCs w:val="40"/>
                                          <w:lang w:val="en-GB"/>
                                        </w:rPr>
                                      </w:pPr>
                                      <w:r>
                                        <w:rPr>
                                          <w:caps/>
                                          <w:sz w:val="40"/>
                                          <w:szCs w:val="40"/>
                                          <w:lang w:val="en-GB"/>
                                        </w:rPr>
                                        <w:t>Date:</w:t>
                                      </w:r>
                                      <w:r w:rsidR="00DF6D98" w:rsidRPr="00DF6D98">
                                        <w:rPr>
                                          <w:rFonts w:ascii="Agency FB" w:hAnsi="Agency FB"/>
                                          <w:caps/>
                                          <w:sz w:val="40"/>
                                          <w:szCs w:val="40"/>
                                          <w:lang w:val="en-GB"/>
                                        </w:rPr>
                                        <w:t>16</w:t>
                                      </w:r>
                                      <w:r w:rsidRPr="00DF6D98">
                                        <w:rPr>
                                          <w:rFonts w:ascii="Agency FB" w:hAnsi="Agency FB"/>
                                          <w:caps/>
                                          <w:sz w:val="40"/>
                                          <w:szCs w:val="40"/>
                                          <w:lang w:val="en-GB"/>
                                        </w:rPr>
                                        <w:t>.10</w:t>
                                      </w:r>
                                      <w:r w:rsidRPr="00D66119">
                                        <w:rPr>
                                          <w:rFonts w:ascii="Agency FB" w:hAnsi="Agency FB"/>
                                          <w:caps/>
                                          <w:sz w:val="40"/>
                                          <w:szCs w:val="40"/>
                                          <w:lang w:val="en-GB"/>
                                        </w:rPr>
                                        <w:t>.2024</w:t>
                                      </w:r>
                                    </w:p>
                                    <w:p w14:paraId="03DA870B" w14:textId="3232EE35" w:rsidR="00D66119" w:rsidRPr="00D66119" w:rsidRDefault="00D66119" w:rsidP="00D66119">
                                      <w:pPr>
                                        <w:pStyle w:val="NoSpacing"/>
                                        <w:rPr>
                                          <w:caps/>
                                          <w:sz w:val="40"/>
                                          <w:szCs w:val="40"/>
                                          <w:lang w:val="en-GB"/>
                                        </w:rPr>
                                      </w:pPr>
                                      <w:r w:rsidRPr="00D66119">
                                        <w:rPr>
                                          <w:rFonts w:cstheme="minorHAnsi"/>
                                          <w:caps/>
                                          <w:sz w:val="40"/>
                                          <w:szCs w:val="40"/>
                                          <w:lang w:val="en-GB"/>
                                        </w:rPr>
                                        <w:t>Subject</w:t>
                                      </w:r>
                                      <w:r>
                                        <w:rPr>
                                          <w:rFonts w:ascii="Agency FB" w:hAnsi="Agency FB"/>
                                          <w:caps/>
                                          <w:sz w:val="40"/>
                                          <w:szCs w:val="40"/>
                                          <w:lang w:val="en-GB"/>
                                        </w:rPr>
                                        <w:t>:</w:t>
                                      </w:r>
                                      <w:r w:rsidR="006D77BA">
                                        <w:rPr>
                                          <w:rFonts w:ascii="Agency FB" w:hAnsi="Agency FB"/>
                                          <w:caps/>
                                          <w:sz w:val="40"/>
                                          <w:szCs w:val="40"/>
                                          <w:lang w:val="en-GB"/>
                                        </w:rPr>
                                        <w:t>The Uk Mobile Network Industry chalenges and opportunities</w:t>
                                      </w:r>
                                    </w:p>
                                  </w:tc>
                                </w:tr>
                              </w:tbl>
                              <w:p w14:paraId="25294EE0" w14:textId="77777777" w:rsidR="00D66119" w:rsidRDefault="00D6611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216CE27"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80"/>
                            <w:gridCol w:w="3044"/>
                          </w:tblGrid>
                          <w:tr w:rsidR="00D66119" w14:paraId="717B6046" w14:textId="77777777">
                            <w:trPr>
                              <w:jc w:val="center"/>
                            </w:trPr>
                            <w:tc>
                              <w:tcPr>
                                <w:tcW w:w="2568" w:type="pct"/>
                                <w:vAlign w:val="center"/>
                              </w:tcPr>
                              <w:p w14:paraId="18E71826" w14:textId="753A889D" w:rsidR="00D66119" w:rsidRDefault="00D66119">
                                <w:pPr>
                                  <w:jc w:val="right"/>
                                  <w:rPr>
                                    <w:sz w:val="24"/>
                                    <w:szCs w:val="24"/>
                                  </w:rPr>
                                </w:pPr>
                                <w:r>
                                  <w:rPr>
                                    <w:noProof/>
                                  </w:rPr>
                                  <w:drawing>
                                    <wp:inline distT="0" distB="0" distL="0" distR="0" wp14:anchorId="6197E3B2" wp14:editId="4617B7CF">
                                      <wp:extent cx="3459283" cy="2828925"/>
                                      <wp:effectExtent l="0" t="0" r="8255" b="0"/>
                                      <wp:docPr id="962641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641099" name=""/>
                                              <pic:cNvPicPr/>
                                            </pic:nvPicPr>
                                            <pic:blipFill>
                                              <a:blip r:embed="rId5"/>
                                              <a:stretch>
                                                <a:fillRect/>
                                              </a:stretch>
                                            </pic:blipFill>
                                            <pic:spPr>
                                              <a:xfrm>
                                                <a:off x="0" y="0"/>
                                                <a:ext cx="3461328" cy="2830598"/>
                                              </a:xfrm>
                                              <a:prstGeom prst="rect">
                                                <a:avLst/>
                                              </a:prstGeom>
                                            </pic:spPr>
                                          </pic:pic>
                                        </a:graphicData>
                                      </a:graphic>
                                    </wp:inline>
                                  </w:drawing>
                                </w:r>
                              </w:p>
                            </w:tc>
                            <w:tc>
                              <w:tcPr>
                                <w:tcW w:w="2432" w:type="pct"/>
                                <w:vAlign w:val="center"/>
                              </w:tcPr>
                              <w:p w14:paraId="386CC53B" w14:textId="6A0746E9" w:rsidR="00D66119" w:rsidRDefault="004321CB" w:rsidP="00D66119">
                                <w:pPr>
                                  <w:pStyle w:val="NoSpacing"/>
                                  <w:rPr>
                                    <w:caps/>
                                    <w:sz w:val="48"/>
                                    <w:szCs w:val="48"/>
                                    <w:lang w:val="en-GB"/>
                                  </w:rPr>
                                </w:pPr>
                                <w:r>
                                  <w:rPr>
                                    <w:caps/>
                                    <w:sz w:val="48"/>
                                    <w:szCs w:val="48"/>
                                    <w:lang w:val="en-GB"/>
                                  </w:rPr>
                                  <w:t>Individual essay</w:t>
                                </w:r>
                              </w:p>
                              <w:p w14:paraId="5D9B84FC" w14:textId="77777777" w:rsidR="00D66119" w:rsidRDefault="00D66119" w:rsidP="00D66119">
                                <w:pPr>
                                  <w:pStyle w:val="NoSpacing"/>
                                  <w:rPr>
                                    <w:caps/>
                                    <w:sz w:val="40"/>
                                    <w:szCs w:val="40"/>
                                    <w:lang w:val="en-GB"/>
                                  </w:rPr>
                                </w:pPr>
                                <w:r>
                                  <w:rPr>
                                    <w:caps/>
                                    <w:sz w:val="40"/>
                                    <w:szCs w:val="40"/>
                                    <w:lang w:val="en-GB"/>
                                  </w:rPr>
                                  <w:t>To:</w:t>
                                </w:r>
                                <w:r w:rsidRPr="00D66119">
                                  <w:rPr>
                                    <w:rFonts w:ascii="Agency FB" w:hAnsi="Agency FB"/>
                                    <w:caps/>
                                    <w:sz w:val="40"/>
                                    <w:szCs w:val="40"/>
                                    <w:lang w:val="en-GB"/>
                                  </w:rPr>
                                  <w:t>Muno zuwirai</w:t>
                                </w:r>
                              </w:p>
                              <w:p w14:paraId="270D63E9" w14:textId="77777777" w:rsidR="00D66119" w:rsidRDefault="00D66119" w:rsidP="00D66119">
                                <w:pPr>
                                  <w:pStyle w:val="NoSpacing"/>
                                  <w:rPr>
                                    <w:caps/>
                                    <w:sz w:val="40"/>
                                    <w:szCs w:val="40"/>
                                    <w:lang w:val="en-GB"/>
                                  </w:rPr>
                                </w:pPr>
                                <w:r>
                                  <w:rPr>
                                    <w:caps/>
                                    <w:sz w:val="40"/>
                                    <w:szCs w:val="40"/>
                                    <w:lang w:val="en-GB"/>
                                  </w:rPr>
                                  <w:t>From:</w:t>
                                </w:r>
                                <w:r w:rsidRPr="00D66119">
                                  <w:rPr>
                                    <w:rFonts w:ascii="Agency FB" w:hAnsi="Agency FB"/>
                                    <w:caps/>
                                    <w:sz w:val="40"/>
                                    <w:szCs w:val="40"/>
                                    <w:lang w:val="en-GB"/>
                                  </w:rPr>
                                  <w:t>Veneta Georgieva-2225023</w:t>
                                </w:r>
                              </w:p>
                              <w:p w14:paraId="4C8443A4" w14:textId="2AFDFD4C" w:rsidR="00D66119" w:rsidRDefault="00D66119" w:rsidP="00D66119">
                                <w:pPr>
                                  <w:pStyle w:val="NoSpacing"/>
                                  <w:rPr>
                                    <w:rFonts w:ascii="Agency FB" w:hAnsi="Agency FB"/>
                                    <w:caps/>
                                    <w:sz w:val="40"/>
                                    <w:szCs w:val="40"/>
                                    <w:lang w:val="en-GB"/>
                                  </w:rPr>
                                </w:pPr>
                                <w:r>
                                  <w:rPr>
                                    <w:caps/>
                                    <w:sz w:val="40"/>
                                    <w:szCs w:val="40"/>
                                    <w:lang w:val="en-GB"/>
                                  </w:rPr>
                                  <w:t>Date:</w:t>
                                </w:r>
                                <w:r w:rsidR="00DF6D98" w:rsidRPr="00DF6D98">
                                  <w:rPr>
                                    <w:rFonts w:ascii="Agency FB" w:hAnsi="Agency FB"/>
                                    <w:caps/>
                                    <w:sz w:val="40"/>
                                    <w:szCs w:val="40"/>
                                    <w:lang w:val="en-GB"/>
                                  </w:rPr>
                                  <w:t>16</w:t>
                                </w:r>
                                <w:r w:rsidRPr="00DF6D98">
                                  <w:rPr>
                                    <w:rFonts w:ascii="Agency FB" w:hAnsi="Agency FB"/>
                                    <w:caps/>
                                    <w:sz w:val="40"/>
                                    <w:szCs w:val="40"/>
                                    <w:lang w:val="en-GB"/>
                                  </w:rPr>
                                  <w:t>.10</w:t>
                                </w:r>
                                <w:r w:rsidRPr="00D66119">
                                  <w:rPr>
                                    <w:rFonts w:ascii="Agency FB" w:hAnsi="Agency FB"/>
                                    <w:caps/>
                                    <w:sz w:val="40"/>
                                    <w:szCs w:val="40"/>
                                    <w:lang w:val="en-GB"/>
                                  </w:rPr>
                                  <w:t>.2024</w:t>
                                </w:r>
                              </w:p>
                              <w:p w14:paraId="03DA870B" w14:textId="3232EE35" w:rsidR="00D66119" w:rsidRPr="00D66119" w:rsidRDefault="00D66119" w:rsidP="00D66119">
                                <w:pPr>
                                  <w:pStyle w:val="NoSpacing"/>
                                  <w:rPr>
                                    <w:caps/>
                                    <w:sz w:val="40"/>
                                    <w:szCs w:val="40"/>
                                    <w:lang w:val="en-GB"/>
                                  </w:rPr>
                                </w:pPr>
                                <w:r w:rsidRPr="00D66119">
                                  <w:rPr>
                                    <w:rFonts w:cstheme="minorHAnsi"/>
                                    <w:caps/>
                                    <w:sz w:val="40"/>
                                    <w:szCs w:val="40"/>
                                    <w:lang w:val="en-GB"/>
                                  </w:rPr>
                                  <w:t>Subject</w:t>
                                </w:r>
                                <w:r>
                                  <w:rPr>
                                    <w:rFonts w:ascii="Agency FB" w:hAnsi="Agency FB"/>
                                    <w:caps/>
                                    <w:sz w:val="40"/>
                                    <w:szCs w:val="40"/>
                                    <w:lang w:val="en-GB"/>
                                  </w:rPr>
                                  <w:t>:</w:t>
                                </w:r>
                                <w:r w:rsidR="006D77BA">
                                  <w:rPr>
                                    <w:rFonts w:ascii="Agency FB" w:hAnsi="Agency FB"/>
                                    <w:caps/>
                                    <w:sz w:val="40"/>
                                    <w:szCs w:val="40"/>
                                    <w:lang w:val="en-GB"/>
                                  </w:rPr>
                                  <w:t>The Uk Mobile Network Industry chalenges and opportunities</w:t>
                                </w:r>
                              </w:p>
                            </w:tc>
                          </w:tr>
                        </w:tbl>
                        <w:p w14:paraId="25294EE0" w14:textId="77777777" w:rsidR="00D66119" w:rsidRDefault="00D66119"/>
                      </w:txbxContent>
                    </v:textbox>
                    <w10:wrap anchorx="page" anchory="page"/>
                  </v:shape>
                </w:pict>
              </mc:Fallback>
            </mc:AlternateContent>
          </w:r>
          <w:r w:rsidRPr="00F35695">
            <w:rPr>
              <w:rFonts w:ascii="Arial" w:hAnsi="Arial" w:cs="Arial"/>
            </w:rPr>
            <w:br w:type="page"/>
          </w:r>
        </w:p>
        <w:sdt>
          <w:sdtPr>
            <w:rPr>
              <w:rFonts w:asciiTheme="minorHAnsi" w:eastAsiaTheme="minorHAnsi" w:hAnsiTheme="minorHAnsi" w:cstheme="minorBidi"/>
              <w:color w:val="auto"/>
              <w:sz w:val="22"/>
              <w:szCs w:val="22"/>
              <w:lang w:val="en-GB" w:eastAsia="en-US"/>
            </w:rPr>
            <w:id w:val="2100980404"/>
            <w:docPartObj>
              <w:docPartGallery w:val="Table of Contents"/>
              <w:docPartUnique/>
            </w:docPartObj>
          </w:sdtPr>
          <w:sdtEndPr>
            <w:rPr>
              <w:b/>
              <w:bCs/>
            </w:rPr>
          </w:sdtEndPr>
          <w:sdtContent>
            <w:p w14:paraId="631259E0" w14:textId="15357384" w:rsidR="00051125" w:rsidRPr="00051125" w:rsidRDefault="00051125">
              <w:pPr>
                <w:pStyle w:val="TOCHeading"/>
                <w:rPr>
                  <w:color w:val="auto"/>
                </w:rPr>
              </w:pPr>
              <w:r w:rsidRPr="00051125">
                <w:rPr>
                  <w:color w:val="auto"/>
                  <w:lang w:val="en-GB"/>
                </w:rPr>
                <w:t>Table of Contents</w:t>
              </w:r>
            </w:p>
            <w:p w14:paraId="7882287B" w14:textId="489180B1" w:rsidR="00051125" w:rsidRDefault="00051125">
              <w:pPr>
                <w:pStyle w:val="TOC1"/>
                <w:tabs>
                  <w:tab w:val="right" w:leader="dot" w:pos="9062"/>
                </w:tabs>
                <w:rPr>
                  <w:rFonts w:eastAsiaTheme="minorEastAsia"/>
                  <w:noProof/>
                  <w:kern w:val="2"/>
                  <w:sz w:val="24"/>
                  <w:szCs w:val="24"/>
                  <w:lang w:val="bg-BG" w:eastAsia="bg-BG"/>
                  <w14:ligatures w14:val="standardContextual"/>
                </w:rPr>
              </w:pPr>
              <w:r>
                <w:fldChar w:fldCharType="begin"/>
              </w:r>
              <w:r>
                <w:instrText xml:space="preserve"> TOC \o "1-3" \h \z \u </w:instrText>
              </w:r>
              <w:r>
                <w:fldChar w:fldCharType="separate"/>
              </w:r>
              <w:hyperlink w:anchor="_Toc179305437" w:history="1">
                <w:r w:rsidRPr="00E4194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_Toc179305437 \h </w:instrText>
                </w:r>
                <w:r>
                  <w:rPr>
                    <w:noProof/>
                    <w:webHidden/>
                  </w:rPr>
                </w:r>
                <w:r>
                  <w:rPr>
                    <w:noProof/>
                    <w:webHidden/>
                  </w:rPr>
                  <w:fldChar w:fldCharType="separate"/>
                </w:r>
                <w:r>
                  <w:rPr>
                    <w:noProof/>
                    <w:webHidden/>
                  </w:rPr>
                  <w:t>2</w:t>
                </w:r>
                <w:r>
                  <w:rPr>
                    <w:noProof/>
                    <w:webHidden/>
                  </w:rPr>
                  <w:fldChar w:fldCharType="end"/>
                </w:r>
              </w:hyperlink>
            </w:p>
            <w:p w14:paraId="3457E188" w14:textId="5CED62F4" w:rsidR="00051125" w:rsidRDefault="00051125">
              <w:pPr>
                <w:pStyle w:val="TOC1"/>
                <w:tabs>
                  <w:tab w:val="right" w:leader="dot" w:pos="9062"/>
                </w:tabs>
                <w:rPr>
                  <w:rFonts w:eastAsiaTheme="minorEastAsia"/>
                  <w:noProof/>
                  <w:kern w:val="2"/>
                  <w:sz w:val="24"/>
                  <w:szCs w:val="24"/>
                  <w:lang w:val="bg-BG" w:eastAsia="bg-BG"/>
                  <w14:ligatures w14:val="standardContextual"/>
                </w:rPr>
              </w:pPr>
              <w:hyperlink w:anchor="_Toc179305438" w:history="1">
                <w:r w:rsidRPr="00E41948">
                  <w:rPr>
                    <w:rStyle w:val="Hyperlink"/>
                    <w:rFonts w:ascii="Arial" w:hAnsi="Arial" w:cs="Arial"/>
                    <w:noProof/>
                  </w:rPr>
                  <w:t>Profit Maximization Theory in the UK Mobile Network Industry</w:t>
                </w:r>
                <w:r>
                  <w:rPr>
                    <w:noProof/>
                    <w:webHidden/>
                  </w:rPr>
                  <w:tab/>
                </w:r>
                <w:r>
                  <w:rPr>
                    <w:noProof/>
                    <w:webHidden/>
                  </w:rPr>
                  <w:fldChar w:fldCharType="begin"/>
                </w:r>
                <w:r>
                  <w:rPr>
                    <w:noProof/>
                    <w:webHidden/>
                  </w:rPr>
                  <w:instrText xml:space="preserve"> PAGEREF _Toc179305438 \h </w:instrText>
                </w:r>
                <w:r>
                  <w:rPr>
                    <w:noProof/>
                    <w:webHidden/>
                  </w:rPr>
                </w:r>
                <w:r>
                  <w:rPr>
                    <w:noProof/>
                    <w:webHidden/>
                  </w:rPr>
                  <w:fldChar w:fldCharType="separate"/>
                </w:r>
                <w:r>
                  <w:rPr>
                    <w:noProof/>
                    <w:webHidden/>
                  </w:rPr>
                  <w:t>2</w:t>
                </w:r>
                <w:r>
                  <w:rPr>
                    <w:noProof/>
                    <w:webHidden/>
                  </w:rPr>
                  <w:fldChar w:fldCharType="end"/>
                </w:r>
              </w:hyperlink>
            </w:p>
            <w:p w14:paraId="2A73F925" w14:textId="5E152076" w:rsidR="00051125" w:rsidRDefault="00051125">
              <w:pPr>
                <w:pStyle w:val="TOC1"/>
                <w:tabs>
                  <w:tab w:val="right" w:leader="dot" w:pos="9062"/>
                </w:tabs>
                <w:rPr>
                  <w:rFonts w:eastAsiaTheme="minorEastAsia"/>
                  <w:noProof/>
                  <w:kern w:val="2"/>
                  <w:sz w:val="24"/>
                  <w:szCs w:val="24"/>
                  <w:lang w:val="bg-BG" w:eastAsia="bg-BG"/>
                  <w14:ligatures w14:val="standardContextual"/>
                </w:rPr>
              </w:pPr>
              <w:hyperlink w:anchor="_Toc179305439" w:history="1">
                <w:r w:rsidRPr="00E41948">
                  <w:rPr>
                    <w:rStyle w:val="Hyperlink"/>
                    <w:rFonts w:ascii="Arial" w:hAnsi="Arial" w:cs="Arial"/>
                    <w:noProof/>
                  </w:rPr>
                  <w:t>Additional Factors for Sustainable Growth</w:t>
                </w:r>
                <w:r>
                  <w:rPr>
                    <w:noProof/>
                    <w:webHidden/>
                  </w:rPr>
                  <w:tab/>
                </w:r>
                <w:r>
                  <w:rPr>
                    <w:noProof/>
                    <w:webHidden/>
                  </w:rPr>
                  <w:fldChar w:fldCharType="begin"/>
                </w:r>
                <w:r>
                  <w:rPr>
                    <w:noProof/>
                    <w:webHidden/>
                  </w:rPr>
                  <w:instrText xml:space="preserve"> PAGEREF _Toc179305439 \h </w:instrText>
                </w:r>
                <w:r>
                  <w:rPr>
                    <w:noProof/>
                    <w:webHidden/>
                  </w:rPr>
                </w:r>
                <w:r>
                  <w:rPr>
                    <w:noProof/>
                    <w:webHidden/>
                  </w:rPr>
                  <w:fldChar w:fldCharType="separate"/>
                </w:r>
                <w:r>
                  <w:rPr>
                    <w:noProof/>
                    <w:webHidden/>
                  </w:rPr>
                  <w:t>5</w:t>
                </w:r>
                <w:r>
                  <w:rPr>
                    <w:noProof/>
                    <w:webHidden/>
                  </w:rPr>
                  <w:fldChar w:fldCharType="end"/>
                </w:r>
              </w:hyperlink>
            </w:p>
            <w:p w14:paraId="3E29D902" w14:textId="3DBE0F06" w:rsidR="00051125" w:rsidRDefault="00051125">
              <w:pPr>
                <w:pStyle w:val="TOC1"/>
                <w:tabs>
                  <w:tab w:val="right" w:leader="dot" w:pos="9062"/>
                </w:tabs>
                <w:rPr>
                  <w:rFonts w:eastAsiaTheme="minorEastAsia"/>
                  <w:noProof/>
                  <w:kern w:val="2"/>
                  <w:sz w:val="24"/>
                  <w:szCs w:val="24"/>
                  <w:lang w:val="bg-BG" w:eastAsia="bg-BG"/>
                  <w14:ligatures w14:val="standardContextual"/>
                </w:rPr>
              </w:pPr>
              <w:hyperlink w:anchor="_Toc179305440" w:history="1">
                <w:r w:rsidRPr="00E41948">
                  <w:rPr>
                    <w:rStyle w:val="Hyperlink"/>
                    <w:rFonts w:ascii="Arial" w:hAnsi="Arial" w:cs="Arial"/>
                    <w:noProof/>
                  </w:rPr>
                  <w:t>Market Structure of the UK Mobile Industry</w:t>
                </w:r>
                <w:r>
                  <w:rPr>
                    <w:noProof/>
                    <w:webHidden/>
                  </w:rPr>
                  <w:tab/>
                </w:r>
                <w:r>
                  <w:rPr>
                    <w:noProof/>
                    <w:webHidden/>
                  </w:rPr>
                  <w:fldChar w:fldCharType="begin"/>
                </w:r>
                <w:r>
                  <w:rPr>
                    <w:noProof/>
                    <w:webHidden/>
                  </w:rPr>
                  <w:instrText xml:space="preserve"> PAGEREF _Toc179305440 \h </w:instrText>
                </w:r>
                <w:r>
                  <w:rPr>
                    <w:noProof/>
                    <w:webHidden/>
                  </w:rPr>
                </w:r>
                <w:r>
                  <w:rPr>
                    <w:noProof/>
                    <w:webHidden/>
                  </w:rPr>
                  <w:fldChar w:fldCharType="separate"/>
                </w:r>
                <w:r>
                  <w:rPr>
                    <w:noProof/>
                    <w:webHidden/>
                  </w:rPr>
                  <w:t>6</w:t>
                </w:r>
                <w:r>
                  <w:rPr>
                    <w:noProof/>
                    <w:webHidden/>
                  </w:rPr>
                  <w:fldChar w:fldCharType="end"/>
                </w:r>
              </w:hyperlink>
            </w:p>
            <w:p w14:paraId="6676F006" w14:textId="6FDCFEE6" w:rsidR="00051125" w:rsidRDefault="00051125">
              <w:pPr>
                <w:pStyle w:val="TOC1"/>
                <w:tabs>
                  <w:tab w:val="right" w:leader="dot" w:pos="9062"/>
                </w:tabs>
                <w:rPr>
                  <w:rFonts w:eastAsiaTheme="minorEastAsia"/>
                  <w:noProof/>
                  <w:kern w:val="2"/>
                  <w:sz w:val="24"/>
                  <w:szCs w:val="24"/>
                  <w:lang w:val="bg-BG" w:eastAsia="bg-BG"/>
                  <w14:ligatures w14:val="standardContextual"/>
                </w:rPr>
              </w:pPr>
              <w:hyperlink w:anchor="_Toc179305441" w:history="1">
                <w:r w:rsidRPr="00E4194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_Toc179305441 \h </w:instrText>
                </w:r>
                <w:r>
                  <w:rPr>
                    <w:noProof/>
                    <w:webHidden/>
                  </w:rPr>
                </w:r>
                <w:r>
                  <w:rPr>
                    <w:noProof/>
                    <w:webHidden/>
                  </w:rPr>
                  <w:fldChar w:fldCharType="separate"/>
                </w:r>
                <w:r>
                  <w:rPr>
                    <w:noProof/>
                    <w:webHidden/>
                  </w:rPr>
                  <w:t>7</w:t>
                </w:r>
                <w:r>
                  <w:rPr>
                    <w:noProof/>
                    <w:webHidden/>
                  </w:rPr>
                  <w:fldChar w:fldCharType="end"/>
                </w:r>
              </w:hyperlink>
            </w:p>
            <w:p w14:paraId="7BE30F43" w14:textId="5A99918C" w:rsidR="00051125" w:rsidRDefault="00051125">
              <w:pPr>
                <w:pStyle w:val="TOC1"/>
                <w:tabs>
                  <w:tab w:val="right" w:leader="dot" w:pos="9062"/>
                </w:tabs>
                <w:rPr>
                  <w:rFonts w:eastAsiaTheme="minorEastAsia"/>
                  <w:noProof/>
                  <w:kern w:val="2"/>
                  <w:sz w:val="24"/>
                  <w:szCs w:val="24"/>
                  <w:lang w:val="bg-BG" w:eastAsia="bg-BG"/>
                  <w14:ligatures w14:val="standardContextual"/>
                </w:rPr>
              </w:pPr>
              <w:hyperlink w:anchor="_Toc179305442" w:history="1">
                <w:r w:rsidRPr="00E41948">
                  <w:rPr>
                    <w:rStyle w:val="Hyperlink"/>
                    <w:rFonts w:ascii="Arial" w:hAnsi="Arial" w:cs="Arial"/>
                    <w:noProof/>
                  </w:rPr>
                  <w:t>Reference</w:t>
                </w:r>
                <w:r>
                  <w:rPr>
                    <w:noProof/>
                    <w:webHidden/>
                  </w:rPr>
                  <w:tab/>
                </w:r>
                <w:r>
                  <w:rPr>
                    <w:noProof/>
                    <w:webHidden/>
                  </w:rPr>
                  <w:fldChar w:fldCharType="begin"/>
                </w:r>
                <w:r>
                  <w:rPr>
                    <w:noProof/>
                    <w:webHidden/>
                  </w:rPr>
                  <w:instrText xml:space="preserve"> PAGEREF _Toc179305442 \h </w:instrText>
                </w:r>
                <w:r>
                  <w:rPr>
                    <w:noProof/>
                    <w:webHidden/>
                  </w:rPr>
                </w:r>
                <w:r>
                  <w:rPr>
                    <w:noProof/>
                    <w:webHidden/>
                  </w:rPr>
                  <w:fldChar w:fldCharType="separate"/>
                </w:r>
                <w:r>
                  <w:rPr>
                    <w:noProof/>
                    <w:webHidden/>
                  </w:rPr>
                  <w:t>8</w:t>
                </w:r>
                <w:r>
                  <w:rPr>
                    <w:noProof/>
                    <w:webHidden/>
                  </w:rPr>
                  <w:fldChar w:fldCharType="end"/>
                </w:r>
              </w:hyperlink>
            </w:p>
            <w:p w14:paraId="520EDCD6" w14:textId="50CD6B8F" w:rsidR="00051125" w:rsidRDefault="00051125">
              <w:r>
                <w:rPr>
                  <w:b/>
                  <w:bCs/>
                </w:rPr>
                <w:fldChar w:fldCharType="end"/>
              </w:r>
            </w:p>
          </w:sdtContent>
        </w:sdt>
        <w:p w14:paraId="0A9DAE0D" w14:textId="77777777" w:rsidR="006D77BA" w:rsidRPr="00F35695" w:rsidRDefault="006D77BA" w:rsidP="00F35695">
          <w:pPr>
            <w:spacing w:line="360" w:lineRule="auto"/>
            <w:rPr>
              <w:rFonts w:ascii="Arial" w:hAnsi="Arial" w:cs="Arial"/>
            </w:rPr>
          </w:pPr>
        </w:p>
        <w:p w14:paraId="2FC3E5E1" w14:textId="77777777" w:rsidR="006D77BA" w:rsidRPr="00F35695" w:rsidRDefault="006D77BA" w:rsidP="00F35695">
          <w:pPr>
            <w:spacing w:line="360" w:lineRule="auto"/>
            <w:rPr>
              <w:rFonts w:ascii="Arial" w:hAnsi="Arial" w:cs="Arial"/>
            </w:rPr>
          </w:pPr>
        </w:p>
        <w:p w14:paraId="5D5CFD00" w14:textId="77777777" w:rsidR="006D77BA" w:rsidRPr="00F35695" w:rsidRDefault="006D77BA" w:rsidP="00F35695">
          <w:pPr>
            <w:spacing w:line="360" w:lineRule="auto"/>
            <w:rPr>
              <w:rFonts w:ascii="Arial" w:hAnsi="Arial" w:cs="Arial"/>
            </w:rPr>
          </w:pPr>
        </w:p>
        <w:p w14:paraId="11E480BC" w14:textId="77777777" w:rsidR="006D77BA" w:rsidRPr="00F35695" w:rsidRDefault="006D77BA" w:rsidP="00F35695">
          <w:pPr>
            <w:spacing w:line="360" w:lineRule="auto"/>
            <w:rPr>
              <w:rFonts w:ascii="Arial" w:hAnsi="Arial" w:cs="Arial"/>
            </w:rPr>
          </w:pPr>
        </w:p>
        <w:p w14:paraId="4850E8C0" w14:textId="77777777" w:rsidR="006D77BA" w:rsidRPr="00F35695" w:rsidRDefault="006D77BA" w:rsidP="00F35695">
          <w:pPr>
            <w:spacing w:line="360" w:lineRule="auto"/>
            <w:rPr>
              <w:rFonts w:ascii="Arial" w:hAnsi="Arial" w:cs="Arial"/>
            </w:rPr>
          </w:pPr>
        </w:p>
        <w:p w14:paraId="40430DB1" w14:textId="77777777" w:rsidR="006D77BA" w:rsidRPr="00F35695" w:rsidRDefault="006D77BA" w:rsidP="00F35695">
          <w:pPr>
            <w:spacing w:line="360" w:lineRule="auto"/>
            <w:rPr>
              <w:rFonts w:ascii="Arial" w:hAnsi="Arial" w:cs="Arial"/>
            </w:rPr>
          </w:pPr>
        </w:p>
        <w:p w14:paraId="7B429033" w14:textId="77777777" w:rsidR="006D77BA" w:rsidRPr="00F35695" w:rsidRDefault="006D77BA" w:rsidP="00F35695">
          <w:pPr>
            <w:spacing w:line="360" w:lineRule="auto"/>
            <w:rPr>
              <w:rFonts w:ascii="Arial" w:hAnsi="Arial" w:cs="Arial"/>
            </w:rPr>
          </w:pPr>
        </w:p>
        <w:p w14:paraId="5E3194A4" w14:textId="77777777" w:rsidR="006D77BA" w:rsidRPr="00F35695" w:rsidRDefault="006D77BA" w:rsidP="00F35695">
          <w:pPr>
            <w:spacing w:line="360" w:lineRule="auto"/>
            <w:rPr>
              <w:rFonts w:ascii="Arial" w:hAnsi="Arial" w:cs="Arial"/>
            </w:rPr>
          </w:pPr>
        </w:p>
        <w:p w14:paraId="03A12A31" w14:textId="77777777" w:rsidR="006D77BA" w:rsidRPr="00F35695" w:rsidRDefault="006D77BA" w:rsidP="00F35695">
          <w:pPr>
            <w:spacing w:line="360" w:lineRule="auto"/>
            <w:rPr>
              <w:rFonts w:ascii="Arial" w:hAnsi="Arial" w:cs="Arial"/>
            </w:rPr>
          </w:pPr>
        </w:p>
        <w:p w14:paraId="1445E8B9" w14:textId="77777777" w:rsidR="006D77BA" w:rsidRPr="00F35695" w:rsidRDefault="006D77BA" w:rsidP="00F35695">
          <w:pPr>
            <w:spacing w:line="360" w:lineRule="auto"/>
            <w:rPr>
              <w:rFonts w:ascii="Arial" w:hAnsi="Arial" w:cs="Arial"/>
            </w:rPr>
          </w:pPr>
        </w:p>
        <w:p w14:paraId="16DB9CD4" w14:textId="77777777" w:rsidR="006D77BA" w:rsidRPr="00F35695" w:rsidRDefault="006D77BA" w:rsidP="00F35695">
          <w:pPr>
            <w:spacing w:line="360" w:lineRule="auto"/>
            <w:rPr>
              <w:rFonts w:ascii="Arial" w:hAnsi="Arial" w:cs="Arial"/>
            </w:rPr>
          </w:pPr>
        </w:p>
        <w:p w14:paraId="0E3A95BB" w14:textId="77777777" w:rsidR="006D77BA" w:rsidRPr="00F35695" w:rsidRDefault="006D77BA" w:rsidP="00F35695">
          <w:pPr>
            <w:spacing w:line="360" w:lineRule="auto"/>
            <w:rPr>
              <w:rFonts w:ascii="Arial" w:hAnsi="Arial" w:cs="Arial"/>
            </w:rPr>
          </w:pPr>
        </w:p>
        <w:p w14:paraId="1CED64D8" w14:textId="77777777" w:rsidR="006D77BA" w:rsidRPr="00F35695" w:rsidRDefault="006D77BA" w:rsidP="00F35695">
          <w:pPr>
            <w:spacing w:line="360" w:lineRule="auto"/>
            <w:rPr>
              <w:rFonts w:ascii="Arial" w:hAnsi="Arial" w:cs="Arial"/>
            </w:rPr>
          </w:pPr>
        </w:p>
        <w:p w14:paraId="45051045" w14:textId="77777777" w:rsidR="006D77BA" w:rsidRPr="00F35695" w:rsidRDefault="006D77BA" w:rsidP="00F35695">
          <w:pPr>
            <w:spacing w:line="360" w:lineRule="auto"/>
            <w:rPr>
              <w:rFonts w:ascii="Arial" w:hAnsi="Arial" w:cs="Arial"/>
            </w:rPr>
          </w:pPr>
        </w:p>
        <w:p w14:paraId="40C7DE7D" w14:textId="77777777" w:rsidR="006D77BA" w:rsidRPr="00F35695" w:rsidRDefault="006D77BA" w:rsidP="00F35695">
          <w:pPr>
            <w:spacing w:line="360" w:lineRule="auto"/>
            <w:rPr>
              <w:rFonts w:ascii="Arial" w:hAnsi="Arial" w:cs="Arial"/>
            </w:rPr>
          </w:pPr>
        </w:p>
        <w:p w14:paraId="33F3D2C0" w14:textId="77777777" w:rsidR="006D77BA" w:rsidRPr="00F35695" w:rsidRDefault="006D77BA" w:rsidP="00F35695">
          <w:pPr>
            <w:spacing w:line="360" w:lineRule="auto"/>
            <w:rPr>
              <w:rFonts w:ascii="Arial" w:hAnsi="Arial" w:cs="Arial"/>
            </w:rPr>
          </w:pPr>
        </w:p>
        <w:p w14:paraId="1F8FEBF7" w14:textId="77777777" w:rsidR="006D77BA" w:rsidRPr="00F35695" w:rsidRDefault="006D77BA" w:rsidP="00F35695">
          <w:pPr>
            <w:spacing w:line="360" w:lineRule="auto"/>
            <w:rPr>
              <w:rFonts w:ascii="Arial" w:hAnsi="Arial" w:cs="Arial"/>
            </w:rPr>
          </w:pPr>
        </w:p>
        <w:p w14:paraId="3A934383" w14:textId="77777777" w:rsidR="006D77BA" w:rsidRPr="00F35695" w:rsidRDefault="006D77BA" w:rsidP="00F35695">
          <w:pPr>
            <w:spacing w:line="360" w:lineRule="auto"/>
            <w:rPr>
              <w:rFonts w:ascii="Arial" w:hAnsi="Arial" w:cs="Arial"/>
            </w:rPr>
          </w:pPr>
        </w:p>
        <w:p w14:paraId="7C118E51" w14:textId="77777777" w:rsidR="006D77BA" w:rsidRPr="00F35695" w:rsidRDefault="006D77BA" w:rsidP="00F35695">
          <w:pPr>
            <w:spacing w:line="360" w:lineRule="auto"/>
            <w:rPr>
              <w:rFonts w:ascii="Arial" w:hAnsi="Arial" w:cs="Arial"/>
            </w:rPr>
          </w:pPr>
        </w:p>
        <w:p w14:paraId="018CD66D" w14:textId="77777777" w:rsidR="006D77BA" w:rsidRPr="00F35695" w:rsidRDefault="006D77BA" w:rsidP="00F35695">
          <w:pPr>
            <w:spacing w:line="360" w:lineRule="auto"/>
            <w:rPr>
              <w:rFonts w:ascii="Arial" w:hAnsi="Arial" w:cs="Arial"/>
            </w:rPr>
          </w:pPr>
        </w:p>
        <w:p w14:paraId="20B1C800" w14:textId="77777777" w:rsidR="006D77BA" w:rsidRPr="00F35695" w:rsidRDefault="006D77BA" w:rsidP="00F35695">
          <w:pPr>
            <w:spacing w:line="360" w:lineRule="auto"/>
            <w:rPr>
              <w:rFonts w:ascii="Arial" w:hAnsi="Arial" w:cs="Arial"/>
            </w:rPr>
          </w:pPr>
        </w:p>
        <w:p w14:paraId="2EC64798" w14:textId="77777777" w:rsidR="00C911D9" w:rsidRPr="00051125" w:rsidRDefault="006D77BA" w:rsidP="00E94B63">
          <w:pPr>
            <w:pStyle w:val="Heading1"/>
            <w:rPr>
              <w:rFonts w:ascii="Arial" w:hAnsi="Arial" w:cs="Arial"/>
              <w:color w:val="000000" w:themeColor="text1"/>
              <w:sz w:val="28"/>
              <w:szCs w:val="28"/>
            </w:rPr>
          </w:pPr>
          <w:bookmarkStart w:id="0" w:name="_Toc179305437"/>
          <w:r w:rsidRPr="00051125">
            <w:rPr>
              <w:rFonts w:ascii="Arial" w:hAnsi="Arial" w:cs="Arial"/>
              <w:color w:val="000000" w:themeColor="text1"/>
              <w:sz w:val="28"/>
              <w:szCs w:val="28"/>
            </w:rPr>
            <w:t>Introduction</w:t>
          </w:r>
          <w:bookmarkEnd w:id="0"/>
        </w:p>
        <w:p w14:paraId="0CC70DCC" w14:textId="77777777" w:rsidR="00D90F27" w:rsidRPr="00F35695" w:rsidRDefault="00D90F27" w:rsidP="00F35695">
          <w:pPr>
            <w:spacing w:line="360" w:lineRule="auto"/>
            <w:rPr>
              <w:rFonts w:ascii="Arial" w:hAnsi="Arial" w:cs="Arial"/>
            </w:rPr>
          </w:pPr>
        </w:p>
        <w:p w14:paraId="6CBC9995" w14:textId="21D53E63" w:rsidR="00A35C70" w:rsidRPr="00F35695" w:rsidRDefault="00C911D9" w:rsidP="00F35695">
          <w:pPr>
            <w:spacing w:line="360" w:lineRule="auto"/>
            <w:rPr>
              <w:rFonts w:ascii="Arial" w:hAnsi="Arial" w:cs="Arial"/>
            </w:rPr>
          </w:pPr>
          <w:r w:rsidRPr="00F35695">
            <w:rPr>
              <w:rFonts w:ascii="Arial" w:hAnsi="Arial" w:cs="Arial"/>
              <w:lang w:val="bg-BG"/>
            </w:rPr>
            <w:t xml:space="preserve">The UK mobile network industry is among the most competitive and swiftly growing areas in the worldwide telecoms market. The industry, dominated by key players such as Vodafone, EE, O2, and Three, encounters several difficulties and possibilities influenced by technology advancements, changing regulatory landscapes, and increasing consumer preferences. This </w:t>
          </w:r>
          <w:r w:rsidRPr="00F35695">
            <w:rPr>
              <w:rFonts w:ascii="Arial" w:hAnsi="Arial" w:cs="Arial"/>
            </w:rPr>
            <w:t>Report</w:t>
          </w:r>
          <w:r w:rsidRPr="00F35695">
            <w:rPr>
              <w:rFonts w:ascii="Arial" w:hAnsi="Arial" w:cs="Arial"/>
              <w:lang w:val="bg-BG"/>
            </w:rPr>
            <w:t xml:space="preserve"> the industry's framework, demand patterns, recent advancements (including the planned merger between Vodafone and Three), and critical elements influencing profitability and sustainability.</w:t>
          </w:r>
          <w:r w:rsidR="0032307F" w:rsidRPr="00F35695">
            <w:rPr>
              <w:rFonts w:ascii="Arial" w:hAnsi="Arial" w:cs="Arial"/>
            </w:rPr>
            <w:t>Profit Maximization Theory in the UK Mobile Network Industry</w:t>
          </w:r>
          <w:r w:rsidR="00A35C70" w:rsidRPr="00A35C70">
            <w:rPr>
              <w:rFonts w:ascii="Arial" w:hAnsi="Arial" w:cs="Arial"/>
              <w:lang w:val="bg-BG"/>
            </w:rPr>
            <w:t xml:space="preserve">There are four main mobile network operators (MNOs) and a lot of small mobile network operators (MVNOs) that offer services all over the UK. The mobile telecoms industry is known for its fast rate of innovation and high level of network-based competition. These changes have led to big wins for consumers, with almost universal mobile services (from less than 2 million subscribers in 1990 to more than 20 million today), and the range and level of service have been steadily improving in a number of areas. However, customers haven't been spending much more on average in recent years. </w:t>
          </w:r>
          <w:r w:rsidR="00A35C70" w:rsidRPr="00A35C70">
            <w:rPr>
              <w:rFonts w:ascii="Arial" w:hAnsi="Arial" w:cs="Arial"/>
              <w:lang w:val="bg-BG"/>
            </w:rPr>
            <w:br/>
            <w:t>There are some things about the UK cell market that are different from the fixed market, such as: Network competition has been a part of the UK mobile market since the first cellular networks came online in the 1980s. More networks joined in the 1990s and 2000, so the government hasn't had to step in too often to fix market problems. There has been a lot of new technology, with new "generations" coming out every ten years. Each generation brings new uses, like data services from the third generation, and better efficiency, which means that unit costs keep going down and are passed on to consumers. and Standardization has been reached on key inputs like handsets, spectrum, and equipment on a worldwide level. This means that countries can't introduce technology before other countries or use different technologies</w:t>
          </w:r>
          <w:r w:rsidR="00A35C70" w:rsidRPr="00F35695">
            <w:rPr>
              <w:rFonts w:ascii="Arial" w:hAnsi="Arial" w:cs="Arial"/>
            </w:rPr>
            <w:t xml:space="preserve"> (Frontier economics,2018).</w:t>
          </w:r>
        </w:p>
        <w:p w14:paraId="0258362F" w14:textId="13ACE15F" w:rsidR="00D90F27" w:rsidRPr="00051125" w:rsidRDefault="00D90F27" w:rsidP="00E94B63">
          <w:pPr>
            <w:pStyle w:val="Heading1"/>
            <w:rPr>
              <w:rFonts w:ascii="Arial" w:hAnsi="Arial" w:cs="Arial"/>
              <w:color w:val="auto"/>
              <w:sz w:val="24"/>
              <w:szCs w:val="24"/>
            </w:rPr>
          </w:pPr>
          <w:bookmarkStart w:id="1" w:name="_Toc179305438"/>
          <w:r w:rsidRPr="00051125">
            <w:rPr>
              <w:rFonts w:ascii="Arial" w:hAnsi="Arial" w:cs="Arial"/>
              <w:color w:val="auto"/>
              <w:sz w:val="24"/>
              <w:szCs w:val="24"/>
            </w:rPr>
            <w:t>Profit Maximization Theory in the UK Mobile Network Industry</w:t>
          </w:r>
          <w:bookmarkEnd w:id="1"/>
        </w:p>
        <w:p w14:paraId="2F6E0533" w14:textId="77777777" w:rsidR="00D90F27" w:rsidRPr="00F35695" w:rsidRDefault="00D90F27" w:rsidP="00F35695">
          <w:pPr>
            <w:spacing w:line="360" w:lineRule="auto"/>
            <w:rPr>
              <w:rFonts w:ascii="Arial" w:hAnsi="Arial" w:cs="Arial"/>
              <w:color w:val="000000" w:themeColor="text1"/>
            </w:rPr>
          </w:pPr>
          <w:r w:rsidRPr="00D90F27">
            <w:rPr>
              <w:rFonts w:ascii="Arial" w:hAnsi="Arial" w:cs="Arial"/>
              <w:color w:val="000000" w:themeColor="text1"/>
              <w:lang w:val="bg-BG"/>
            </w:rPr>
            <w:t>Theory of profit maximization posits that enterprises strive to attain the maximum profit by producing at the point when marginal revenue (MR) equals marginal cost (MC). In the UK mobile network sector, firms such as Vodafone, EE, O2, and Three implement this idea by reconciling revenue generation (from mobile contracts, data services, 5G, etc.) with substantial operating expenditures (e.g., network infrastructure and spectrum licensing).</w:t>
          </w:r>
        </w:p>
        <w:p w14:paraId="1C0C8ADF" w14:textId="22A25FC8" w:rsidR="009D4A3A" w:rsidRPr="007C33A0" w:rsidRDefault="00071E69" w:rsidP="00F35695">
          <w:pPr>
            <w:spacing w:line="360" w:lineRule="auto"/>
            <w:rPr>
              <w:rFonts w:ascii="Arial" w:hAnsi="Arial" w:cs="Arial"/>
              <w:color w:val="000000" w:themeColor="text1"/>
              <w:lang w:val="bg-BG"/>
            </w:rPr>
          </w:pPr>
          <w:r w:rsidRPr="00071E69">
            <w:rPr>
              <w:rFonts w:ascii="Arial" w:hAnsi="Arial" w:cs="Arial"/>
              <w:color w:val="000000" w:themeColor="text1"/>
              <w:lang w:val="bg-BG"/>
            </w:rPr>
            <w:lastRenderedPageBreak/>
            <w:t>Distinguish your products or services from those of your competitors. Emphasize distinctive attributes or advantages that differentiate your offerings. This will provide clients with a rationale to select your goods over alternatives</w:t>
          </w:r>
          <w:r w:rsidRPr="00F35695">
            <w:rPr>
              <w:rFonts w:ascii="Arial" w:hAnsi="Arial" w:cs="Arial"/>
              <w:color w:val="000000" w:themeColor="text1"/>
            </w:rPr>
            <w:t xml:space="preserve"> (</w:t>
          </w:r>
          <w:sdt>
            <w:sdtPr>
              <w:rPr>
                <w:rFonts w:ascii="Arial" w:hAnsi="Arial" w:cs="Arial"/>
                <w:color w:val="000000" w:themeColor="text1"/>
              </w:rPr>
              <w:id w:val="-744720433"/>
              <w:citation/>
            </w:sdtPr>
            <w:sdtContent>
              <w:r w:rsidRPr="00F35695">
                <w:rPr>
                  <w:rFonts w:ascii="Arial" w:hAnsi="Arial" w:cs="Arial"/>
                  <w:color w:val="000000" w:themeColor="text1"/>
                </w:rPr>
                <w:fldChar w:fldCharType="begin"/>
              </w:r>
              <w:r w:rsidRPr="00F35695">
                <w:rPr>
                  <w:rFonts w:ascii="Arial" w:hAnsi="Arial" w:cs="Arial"/>
                  <w:color w:val="000000" w:themeColor="text1"/>
                </w:rPr>
                <w:instrText xml:space="preserve"> CITATION Moi23 \l 2057 </w:instrText>
              </w:r>
              <w:r w:rsidRPr="00F35695">
                <w:rPr>
                  <w:rFonts w:ascii="Arial" w:hAnsi="Arial" w:cs="Arial"/>
                  <w:color w:val="000000" w:themeColor="text1"/>
                </w:rPr>
                <w:fldChar w:fldCharType="separate"/>
              </w:r>
              <w:r w:rsidR="00D129A2" w:rsidRPr="00F35695">
                <w:rPr>
                  <w:rFonts w:ascii="Arial" w:hAnsi="Arial" w:cs="Arial"/>
                  <w:noProof/>
                  <w:color w:val="000000" w:themeColor="text1"/>
                </w:rPr>
                <w:t xml:space="preserve"> (McCormick, 2023)</w:t>
              </w:r>
              <w:r w:rsidRPr="00F35695">
                <w:rPr>
                  <w:rFonts w:ascii="Arial" w:hAnsi="Arial" w:cs="Arial"/>
                  <w:color w:val="000000" w:themeColor="text1"/>
                </w:rPr>
                <w:fldChar w:fldCharType="end"/>
              </w:r>
            </w:sdtContent>
          </w:sdt>
          <w:r w:rsidRPr="00F35695">
            <w:rPr>
              <w:rFonts w:ascii="Arial" w:hAnsi="Arial" w:cs="Arial"/>
              <w:color w:val="000000" w:themeColor="text1"/>
            </w:rPr>
            <w:t>.</w:t>
          </w:r>
          <w:r w:rsidRPr="00F35695">
            <w:rPr>
              <w:rFonts w:ascii="Times New Roman" w:eastAsia="Times New Roman" w:hAnsi="Times New Roman" w:cs="Times New Roman"/>
              <w:lang w:val="bg-BG" w:eastAsia="bg-BG"/>
            </w:rPr>
            <w:t xml:space="preserve"> </w:t>
          </w:r>
          <w:r w:rsidRPr="00F35695">
            <w:rPr>
              <w:rFonts w:ascii="Arial" w:hAnsi="Arial" w:cs="Arial"/>
              <w:color w:val="000000" w:themeColor="text1"/>
              <w:lang w:val="bg-BG"/>
            </w:rPr>
            <w:t xml:space="preserve">Companies concentrate on providing distinctive data plans, integrating services (e.g., mobile with broadband), and enhancing customer experience to elevate average revenue per user. </w:t>
          </w:r>
          <w:r w:rsidR="004949E0" w:rsidRPr="00F35695">
            <w:rPr>
              <w:rFonts w:ascii="Arial" w:hAnsi="Arial" w:cs="Arial"/>
              <w:color w:val="000000" w:themeColor="text1"/>
              <w:lang w:val="bg-BG"/>
            </w:rPr>
            <w:t xml:space="preserve">Network Sharing: </w:t>
          </w:r>
          <w:r w:rsidR="006D157C" w:rsidRPr="006D157C">
            <w:rPr>
              <w:rFonts w:ascii="Arial" w:hAnsi="Arial" w:cs="Arial"/>
              <w:color w:val="000000" w:themeColor="text1"/>
              <w:lang w:val="bg-BG"/>
            </w:rPr>
            <w:t>In light of elevated infrastructure expenses and competitive challenges, firms in the UK mobile sector are progressively investigating mergers and network-sharing arrangements. The proposed merger between Vodafone and Three seeks to amalgamate resources to establish a more efficient, higher-capacity network. These mergers may lower supply costs and enhance coverage, although they encounter regulatory examination to avert monopolistic practices.</w:t>
          </w:r>
          <w:r w:rsidR="004949E0" w:rsidRPr="00F35695">
            <w:rPr>
              <w:rFonts w:ascii="Arial" w:hAnsi="Arial" w:cs="Arial"/>
              <w:color w:val="000000" w:themeColor="text1"/>
              <w:lang w:val="bg-BG"/>
            </w:rPr>
            <w:t>Operators such as Vodafone and O2 collaborate on infrastructure to minimize expenses and enhance efficiency, hence decreasing overall marginal costs.</w:t>
          </w:r>
          <w:r w:rsidR="007F4142" w:rsidRPr="00F35695">
            <w:rPr>
              <w:rFonts w:ascii="Times New Roman" w:eastAsia="Times New Roman" w:hAnsi="Times New Roman" w:cs="Times New Roman"/>
              <w:lang w:val="bg-BG" w:eastAsia="bg-BG"/>
            </w:rPr>
            <w:t xml:space="preserve"> </w:t>
          </w:r>
          <w:r w:rsidR="007F4142" w:rsidRPr="00F35695">
            <w:rPr>
              <w:rFonts w:ascii="Arial" w:hAnsi="Arial" w:cs="Arial"/>
              <w:color w:val="000000" w:themeColor="text1"/>
              <w:lang w:val="bg-BG"/>
            </w:rPr>
            <w:t>Contingent upon the UK Competition and Markets Authority's endorsement of the merger between Vodafone UK and Three UK ('MergeCo'), the Agreement establishes a solid foundation for MergeCo's expanded network to engage in the network sharing arrangement, and Virgin Media O2 will procure spectrum from MergeCo</w:t>
          </w:r>
          <w:r w:rsidR="007F4142" w:rsidRPr="00F35695">
            <w:rPr>
              <w:rFonts w:ascii="Arial" w:hAnsi="Arial" w:cs="Arial"/>
              <w:color w:val="000000" w:themeColor="text1"/>
            </w:rPr>
            <w:t>.</w:t>
          </w:r>
          <w:r w:rsidR="007F4142" w:rsidRPr="00F35695">
            <w:rPr>
              <w:rFonts w:ascii="Arial" w:hAnsi="Arial" w:cs="Arial"/>
              <w:color w:val="000000" w:themeColor="text1"/>
              <w:lang w:val="bg-BG"/>
            </w:rPr>
            <w:t>The establishment of MergeCo will enhance the experience for millions of customers in the UK and, pending CMA approval, will recalibrate the mobile market by establishing a third significant network operator. The Agreement will provide advantages from MergeCo’s pledged £11 billion network investment plan to subscribers of Virgin Media O2 and to the mobile virtual network operators (MVNOs) with whom they have wholesale partnerships</w:t>
          </w:r>
          <w:r w:rsidR="007F4142" w:rsidRPr="00F35695">
            <w:rPr>
              <w:rFonts w:ascii="Arial" w:hAnsi="Arial" w:cs="Arial"/>
              <w:color w:val="000000" w:themeColor="text1"/>
            </w:rPr>
            <w:t>.</w:t>
          </w:r>
          <w:r w:rsidR="007F4142" w:rsidRPr="00F35695">
            <w:rPr>
              <w:rFonts w:ascii="Arial" w:hAnsi="Arial" w:cs="Arial"/>
              <w:color w:val="000000" w:themeColor="text1"/>
              <w:lang w:val="bg-BG"/>
            </w:rPr>
            <w:t>The establishment of MergeCo will substantially improve competition in the retail and wholesale mobile sectors.Vodafone UK and Virgin Media O2 have consented to prolong and augment their current mobile network sharing arrangement for over ten years, enhancing mobile coverage nationwide and providing superior services for consumers. Numerous components of the Agreement elaborate on the current arrangement between Vodafone UK and Virgin Media O2 and are unaffected by the conclusion of the Vodafone UK and Three UK merger. Upon the merger's conclusion, the operators have consented to Virgin Media O2 acquiring spectrum from the newly established MergeCo, thereby creating three scaled mobile network carriers with improved spectrum alignment. The Agreement will enhance quality mobile connectivity, choice, and competition through MergeCo's commitment to invest £11 billion in its network over the next decade (pending CMA approval) and Virgin Media O2's annual investment of £2 billion in its networks and services. This would help not only the companies' customers but also the businesses, including MVNOs that utilize networks through wholesale partnerships to provide their own mobile services to millions nationwide. The Agreement will guarantee that these virtual operators can select from three high-quality, large-scale wholesale competitors, so bolstering the already flourishing MVNO sector in the UK</w:t>
          </w:r>
          <w:r w:rsidR="007F4142" w:rsidRPr="00F35695">
            <w:rPr>
              <w:rFonts w:ascii="Arial" w:hAnsi="Arial" w:cs="Arial"/>
              <w:color w:val="000000" w:themeColor="text1"/>
            </w:rPr>
            <w:t>.</w:t>
          </w:r>
          <w:r w:rsidR="007F4142" w:rsidRPr="00F35695">
            <w:rPr>
              <w:rFonts w:ascii="Times New Roman" w:eastAsia="Times New Roman" w:hAnsi="Times New Roman" w:cs="Times New Roman"/>
              <w:lang w:val="bg-BG" w:eastAsia="bg-BG"/>
            </w:rPr>
            <w:t xml:space="preserve"> </w:t>
          </w:r>
          <w:r w:rsidR="007F4142" w:rsidRPr="00F35695">
            <w:rPr>
              <w:rFonts w:ascii="Arial" w:hAnsi="Arial" w:cs="Arial"/>
              <w:color w:val="000000" w:themeColor="text1"/>
              <w:lang w:val="bg-BG"/>
            </w:rPr>
            <w:t xml:space="preserve">The Agreement incorporates provisions for </w:t>
          </w:r>
          <w:r w:rsidR="007F4142" w:rsidRPr="00F35695">
            <w:rPr>
              <w:rFonts w:ascii="Arial" w:hAnsi="Arial" w:cs="Arial"/>
              <w:color w:val="000000" w:themeColor="text1"/>
              <w:lang w:val="bg-BG"/>
            </w:rPr>
            <w:lastRenderedPageBreak/>
            <w:t>Virgin Media O2 to acquire spectrum at market value from MergeCo, so augmenting their existing holdings. The Agreement mitigates existing disparities in spectrum allocation among the UK’s mobile network operators, thereby fostering competition in the mobile market and enabling MergeCo and Virgin Media O2 to deliver enhanced capacity, improved speeds, and broader coverage for its clientele</w:t>
          </w:r>
          <w:sdt>
            <w:sdtPr>
              <w:rPr>
                <w:rFonts w:ascii="Arial" w:hAnsi="Arial" w:cs="Arial"/>
                <w:color w:val="000000" w:themeColor="text1"/>
                <w:lang w:val="bg-BG"/>
              </w:rPr>
              <w:id w:val="-1806390905"/>
              <w:citation/>
            </w:sdtPr>
            <w:sdtContent>
              <w:r w:rsidR="007F4142" w:rsidRPr="00F35695">
                <w:rPr>
                  <w:rFonts w:ascii="Arial" w:hAnsi="Arial" w:cs="Arial"/>
                  <w:color w:val="000000" w:themeColor="text1"/>
                  <w:lang w:val="bg-BG"/>
                </w:rPr>
                <w:fldChar w:fldCharType="begin"/>
              </w:r>
              <w:r w:rsidR="007F4142" w:rsidRPr="00F35695">
                <w:rPr>
                  <w:rFonts w:ascii="Arial" w:hAnsi="Arial" w:cs="Arial"/>
                  <w:color w:val="000000" w:themeColor="text1"/>
                </w:rPr>
                <w:instrText xml:space="preserve"> CITATION Vod24 \l 2057 </w:instrText>
              </w:r>
              <w:r w:rsidR="007F4142" w:rsidRPr="00F35695">
                <w:rPr>
                  <w:rFonts w:ascii="Arial" w:hAnsi="Arial" w:cs="Arial"/>
                  <w:color w:val="000000" w:themeColor="text1"/>
                  <w:lang w:val="bg-BG"/>
                </w:rPr>
                <w:fldChar w:fldCharType="separate"/>
              </w:r>
              <w:r w:rsidR="00D129A2" w:rsidRPr="00F35695">
                <w:rPr>
                  <w:rFonts w:ascii="Arial" w:hAnsi="Arial" w:cs="Arial"/>
                  <w:noProof/>
                  <w:color w:val="000000" w:themeColor="text1"/>
                </w:rPr>
                <w:t xml:space="preserve"> (Vodafone and Virgin Media O2 announce new, long-term network sharing agreement, 2024)</w:t>
              </w:r>
              <w:r w:rsidR="007F4142" w:rsidRPr="00F35695">
                <w:rPr>
                  <w:rFonts w:ascii="Arial" w:hAnsi="Arial" w:cs="Arial"/>
                  <w:color w:val="000000" w:themeColor="text1"/>
                  <w:lang w:val="bg-BG"/>
                </w:rPr>
                <w:fldChar w:fldCharType="end"/>
              </w:r>
            </w:sdtContent>
          </w:sdt>
          <w:r w:rsidR="00587C9C" w:rsidRPr="00F35695">
            <w:rPr>
              <w:rFonts w:ascii="Arial" w:hAnsi="Arial" w:cs="Arial"/>
              <w:color w:val="000000" w:themeColor="text1"/>
            </w:rPr>
            <w:t>.</w:t>
          </w:r>
          <w:r w:rsidR="009D4A3A" w:rsidRPr="00F35695">
            <w:rPr>
              <w:rFonts w:ascii="Times New Roman" w:eastAsia="Times New Roman" w:hAnsi="Times New Roman" w:cs="Times New Roman"/>
              <w:lang w:val="bg-BG" w:eastAsia="bg-BG"/>
            </w:rPr>
            <w:t xml:space="preserve"> </w:t>
          </w:r>
          <w:r w:rsidR="009D4A3A" w:rsidRPr="00F35695">
            <w:rPr>
              <w:rFonts w:ascii="Arial" w:hAnsi="Arial" w:cs="Arial"/>
              <w:color w:val="000000" w:themeColor="text1"/>
              <w:lang w:val="bg-BG"/>
            </w:rPr>
            <w:t xml:space="preserve">The subsequent generation of cellular mobile communication technology has emerged. 5G, poised to replace the 4G standard in the next years, provides a dramatic enhancement in performance compared to 4G - it is 100 times faster and possesses 1,000 times greater capacity. </w:t>
          </w:r>
          <w:r w:rsidR="007C33A0" w:rsidRPr="007C33A0">
            <w:rPr>
              <w:rFonts w:ascii="Arial" w:hAnsi="Arial" w:cs="Arial"/>
              <w:color w:val="000000" w:themeColor="text1"/>
              <w:lang w:val="bg-BG"/>
            </w:rPr>
            <w:t>In response to the increasing demand for mobile data and to facilitate the deployment of 5G, mobile carriers are investing significantly in infrastructure. The deployment of 5G masts, fiber-optic networks, and enhanced cell tower density is essential for preserving service quality. These investments are essential in urban regions with the highest data traffic, while also encompassing rural areas to guarantee comprehensive coverage and prevent a digital divide.</w:t>
          </w:r>
          <w:r w:rsidR="009D4A3A" w:rsidRPr="00F35695">
            <w:rPr>
              <w:rFonts w:ascii="Arial" w:hAnsi="Arial" w:cs="Arial"/>
              <w:color w:val="000000" w:themeColor="text1"/>
              <w:lang w:val="bg-BG"/>
            </w:rPr>
            <w:t>The outcomes will be mobile networks that provide significantly greater capacity and reliability, substantially lower latency, decreased energy consumption, and extensive connectivity for devices.To secure a just return on their substantial investments in 5G, operators must adopt a comprehensive approach to monetization potential, transcending the mere strategy of increasing consumer charges for enhanced data speeds. Although 5G may offer fixed wireless access (FWA) broadband prospects in specific situations, achieving favorable returns on the total 5G investment will be challenging. Indeed, 5G provides not just enhanced speed but also additional valuable and monetizable features. Upcoming updates will include several 5G features, including enhanced dependability, segmented network performance, and significantly reduced latency. Consequently, 5G engenders the potential for novel service offerings, use cases, business models, and revenue streams. In a 5G environment, operators might significantly increase profits by billing the companies who offer 5G-dependent services to their clients, rather than primarily depending on end-users to pay telecom companies directly for connectivity.Telecommunications firms globally are prepared to invest tens of billions of dollars in 5G technology. A estimate by IDC forecasts that mobile service providers would jointly invest approximately US$57 billion in the deployment of 5G by 2022. Four While expected advantages would motivate this expenditure, problems must be addressed for organizations to achieve an adequate return on investment (ROI). To shape and elucidate our perspective on future 5G business models, we conducted a series of interviews with stakeholders in the global 5G ecosystem</w:t>
          </w:r>
          <w:sdt>
            <w:sdtPr>
              <w:rPr>
                <w:rFonts w:ascii="Arial" w:hAnsi="Arial" w:cs="Arial"/>
                <w:color w:val="000000" w:themeColor="text1"/>
                <w:lang w:val="bg-BG"/>
              </w:rPr>
              <w:id w:val="912136086"/>
              <w:citation/>
            </w:sdtPr>
            <w:sdtContent>
              <w:r w:rsidR="009D4A3A" w:rsidRPr="00F35695">
                <w:rPr>
                  <w:rFonts w:ascii="Arial" w:hAnsi="Arial" w:cs="Arial"/>
                  <w:color w:val="000000" w:themeColor="text1"/>
                  <w:lang w:val="bg-BG"/>
                </w:rPr>
                <w:fldChar w:fldCharType="begin"/>
              </w:r>
              <w:r w:rsidR="009D4A3A" w:rsidRPr="00F35695">
                <w:rPr>
                  <w:rFonts w:ascii="Arial" w:hAnsi="Arial" w:cs="Arial"/>
                  <w:color w:val="000000" w:themeColor="text1"/>
                </w:rPr>
                <w:instrText xml:space="preserve"> CITATION Mak18 \l 2057 </w:instrText>
              </w:r>
              <w:r w:rsidR="009D4A3A" w:rsidRPr="00F35695">
                <w:rPr>
                  <w:rFonts w:ascii="Arial" w:hAnsi="Arial" w:cs="Arial"/>
                  <w:color w:val="000000" w:themeColor="text1"/>
                  <w:lang w:val="bg-BG"/>
                </w:rPr>
                <w:fldChar w:fldCharType="separate"/>
              </w:r>
              <w:r w:rsidR="00D129A2" w:rsidRPr="00F35695">
                <w:rPr>
                  <w:rFonts w:ascii="Arial" w:hAnsi="Arial" w:cs="Arial"/>
                  <w:noProof/>
                  <w:color w:val="000000" w:themeColor="text1"/>
                </w:rPr>
                <w:t xml:space="preserve"> (Making 5G pay, 2018)</w:t>
              </w:r>
              <w:r w:rsidR="009D4A3A" w:rsidRPr="00F35695">
                <w:rPr>
                  <w:rFonts w:ascii="Arial" w:hAnsi="Arial" w:cs="Arial"/>
                  <w:color w:val="000000" w:themeColor="text1"/>
                  <w:lang w:val="bg-BG"/>
                </w:rPr>
                <w:fldChar w:fldCharType="end"/>
              </w:r>
            </w:sdtContent>
          </w:sdt>
          <w:r w:rsidR="009D4A3A" w:rsidRPr="00F35695">
            <w:rPr>
              <w:rFonts w:ascii="Arial" w:hAnsi="Arial" w:cs="Arial"/>
              <w:color w:val="000000" w:themeColor="text1"/>
            </w:rPr>
            <w:t>.</w:t>
          </w:r>
        </w:p>
        <w:p w14:paraId="55EEC5C6" w14:textId="5F2CA8C4" w:rsidR="00D129A2" w:rsidRPr="00F35695" w:rsidRDefault="00D129A2" w:rsidP="00F35695">
          <w:pPr>
            <w:spacing w:line="360" w:lineRule="auto"/>
            <w:rPr>
              <w:rFonts w:ascii="Arial" w:hAnsi="Arial" w:cs="Arial"/>
              <w:color w:val="000000" w:themeColor="text1"/>
            </w:rPr>
          </w:pPr>
          <w:r w:rsidRPr="00D129A2">
            <w:rPr>
              <w:rFonts w:ascii="Arial" w:hAnsi="Arial" w:cs="Arial"/>
              <w:color w:val="000000" w:themeColor="text1"/>
              <w:lang w:val="bg-BG"/>
            </w:rPr>
            <w:t xml:space="preserve">A proposed £15 billion merger between Vodafone and Three UK, intended to establish the largest mobile phone operator in the UK, may result in approximately 1 million Three </w:t>
          </w:r>
          <w:r w:rsidRPr="00D129A2">
            <w:rPr>
              <w:rFonts w:ascii="Arial" w:hAnsi="Arial" w:cs="Arial"/>
              <w:color w:val="000000" w:themeColor="text1"/>
              <w:lang w:val="bg-BG"/>
            </w:rPr>
            <w:lastRenderedPageBreak/>
            <w:t>customers without the option to select a more affordable alternative operator, according to a trade union's assertion.Unite is urging the Competition and Markets Authority (CMA) to prevent a proposed merger between two of the four mobile network operators in the UK, which would consolidate 27 million subscribers under one supplier.The union, concerned that the agreement may result in job reductions and increased prices, asserts that Three customers are especially vulnerable to the anticipated price hikes stemming from the merger.The CMA has initiated a phase 2 inquiry into the transaction and was scheduled to release its final conclusions by 12 October. The statutory deadline for publishing the final report has been delayed to 7 December due to the intricacies of the arrangement.In Unite's remarks, available on the CMA's website, the union indicated that a study by the research agency Survation, involving 1,000 Three UK clients, revealed that pricing was the primary motivator for the network's clientele. The poll revealed that 39% of Three subscribers indicated they would transition to a different operator following the merger, with 9% expressing a preference for Vodafone</w:t>
          </w:r>
          <w:r w:rsidRPr="00F35695">
            <w:rPr>
              <w:rFonts w:ascii="Arial" w:hAnsi="Arial" w:cs="Arial"/>
              <w:color w:val="000000" w:themeColor="text1"/>
            </w:rPr>
            <w:t xml:space="preserve"> </w:t>
          </w:r>
          <w:sdt>
            <w:sdtPr>
              <w:rPr>
                <w:rFonts w:ascii="Arial" w:hAnsi="Arial" w:cs="Arial"/>
                <w:color w:val="000000" w:themeColor="text1"/>
              </w:rPr>
              <w:id w:val="1404407785"/>
              <w:citation/>
            </w:sdtPr>
            <w:sdtContent>
              <w:r w:rsidRPr="00F35695">
                <w:rPr>
                  <w:rFonts w:ascii="Arial" w:hAnsi="Arial" w:cs="Arial"/>
                  <w:color w:val="000000" w:themeColor="text1"/>
                </w:rPr>
                <w:fldChar w:fldCharType="begin"/>
              </w:r>
              <w:r w:rsidRPr="00F35695">
                <w:rPr>
                  <w:rFonts w:ascii="Arial" w:hAnsi="Arial" w:cs="Arial"/>
                  <w:color w:val="000000" w:themeColor="text1"/>
                </w:rPr>
                <w:instrText xml:space="preserve"> CITATION Uni24 \l 2057 </w:instrText>
              </w:r>
              <w:r w:rsidRPr="00F35695">
                <w:rPr>
                  <w:rFonts w:ascii="Arial" w:hAnsi="Arial" w:cs="Arial"/>
                  <w:color w:val="000000" w:themeColor="text1"/>
                </w:rPr>
                <w:fldChar w:fldCharType="separate"/>
              </w:r>
              <w:r w:rsidRPr="00F35695">
                <w:rPr>
                  <w:rFonts w:ascii="Arial" w:hAnsi="Arial" w:cs="Arial"/>
                  <w:noProof/>
                  <w:color w:val="000000" w:themeColor="text1"/>
                </w:rPr>
                <w:t>(Unite union makes claim as it calls on CMA to block tie-up that would bring 27m customers under one provider, 2024)</w:t>
              </w:r>
              <w:r w:rsidRPr="00F35695">
                <w:rPr>
                  <w:rFonts w:ascii="Arial" w:hAnsi="Arial" w:cs="Arial"/>
                  <w:color w:val="000000" w:themeColor="text1"/>
                </w:rPr>
                <w:fldChar w:fldCharType="end"/>
              </w:r>
            </w:sdtContent>
          </w:sdt>
          <w:r w:rsidRPr="00F35695">
            <w:rPr>
              <w:rFonts w:ascii="Arial" w:hAnsi="Arial" w:cs="Arial"/>
              <w:color w:val="000000" w:themeColor="text1"/>
            </w:rPr>
            <w:t>.</w:t>
          </w:r>
        </w:p>
        <w:p w14:paraId="30F4D129" w14:textId="349D4478" w:rsidR="0021591D" w:rsidRPr="00051125" w:rsidRDefault="0021591D" w:rsidP="00F35695">
          <w:pPr>
            <w:spacing w:line="360" w:lineRule="auto"/>
            <w:rPr>
              <w:rFonts w:ascii="Arial" w:hAnsi="Arial" w:cs="Arial"/>
              <w:color w:val="000000" w:themeColor="text1"/>
              <w:sz w:val="24"/>
              <w:szCs w:val="24"/>
            </w:rPr>
          </w:pPr>
          <w:bookmarkStart w:id="2" w:name="_Toc179305439"/>
          <w:r w:rsidRPr="00051125">
            <w:rPr>
              <w:rStyle w:val="Heading1Char"/>
              <w:rFonts w:ascii="Arial" w:hAnsi="Arial" w:cs="Arial"/>
              <w:color w:val="000000" w:themeColor="text1"/>
              <w:sz w:val="24"/>
              <w:szCs w:val="24"/>
            </w:rPr>
            <w:t>Additional Factors for Sustainable Growth</w:t>
          </w:r>
          <w:bookmarkEnd w:id="2"/>
          <w:r w:rsidRPr="00051125">
            <w:rPr>
              <w:rFonts w:ascii="Arial" w:hAnsi="Arial" w:cs="Arial"/>
              <w:color w:val="000000" w:themeColor="text1"/>
              <w:sz w:val="24"/>
              <w:szCs w:val="24"/>
            </w:rPr>
            <w:t>:</w:t>
          </w:r>
        </w:p>
        <w:p w14:paraId="6E814B2D" w14:textId="21A9BADB" w:rsidR="00F35695" w:rsidRPr="007C33A0" w:rsidRDefault="007C33A0" w:rsidP="00F35695">
          <w:pPr>
            <w:spacing w:line="360" w:lineRule="auto"/>
            <w:rPr>
              <w:rFonts w:ascii="Arial" w:hAnsi="Arial" w:cs="Arial"/>
              <w:color w:val="000000" w:themeColor="text1"/>
              <w:lang w:val="bg-BG"/>
            </w:rPr>
          </w:pPr>
          <w:r w:rsidRPr="007C33A0">
            <w:rPr>
              <w:rFonts w:ascii="Arial" w:hAnsi="Arial" w:cs="Arial"/>
              <w:color w:val="000000" w:themeColor="text1"/>
              <w:lang w:val="bg-BG"/>
            </w:rPr>
            <w:t>The provision of mobile services is constrained by the availability of the radio spectrum utilized for signal transmission. The UK regulator Ofcom oversees the auction and distribution of spectrum bands to network providers. The provision of new spectrum, especially for 5G, is crucial for operators to satisfy the increasing demand for expedited and dependable services. Spectrum auctions and licensing costs impose supply-side limits, necessitating substantial investment from operators to acquire bandwidth.</w:t>
          </w:r>
          <w:r w:rsidR="00F35695" w:rsidRPr="00F35695">
            <w:rPr>
              <w:rFonts w:ascii="Arial" w:hAnsi="Arial" w:cs="Arial"/>
              <w:color w:val="000000" w:themeColor="text1"/>
              <w:lang w:val="bg-BG"/>
            </w:rPr>
            <w:t xml:space="preserve">Ofcom oversees telecoms markets under the revised Communications Act 2003. The Act requires Ofcom to promote consumer interests, including competition.Ofcom must also follow the government's telecoms SSP.Ofcom does not set retail telecoms prices. It believes the market is competitive and that customers can shop around for deals. However, the COVID-19 outbreak raised telecom affordability issues. Ofcom's quarterly polls suggest that more households are struggling to afford telecoms since 2021.High inflation has hampered affordability. In recent years, numerous communications companies raised their pricing annually by the Consumer or Retail Price Index plus a percentage. Some customers had 11% and 17% bill increases in 2022 and 2023. Citizens Advice, Hyperoptic, and Uswitch urged Ofcom to tighten these restrictions. In July 2024, Ofcom mandated telecoms contracts include annual price increases “in pounds and pence”. </w:t>
          </w:r>
          <w:r w:rsidR="00F35695" w:rsidRPr="00F35695">
            <w:rPr>
              <w:rFonts w:ascii="Arial" w:hAnsi="Arial" w:cs="Arial"/>
              <w:color w:val="000000" w:themeColor="text1"/>
              <w:lang w:val="bg-BG"/>
            </w:rPr>
            <w:br/>
            <w:t>Customers who don't sign a new contract are transferred to a monthly rolling deal. The higher fees paid by ‘out-of-contract’ customers worry regulators. Telecom providers must inform out-of-contract clients of their best deals</w:t>
          </w:r>
          <w:sdt>
            <w:sdtPr>
              <w:rPr>
                <w:rFonts w:ascii="Arial" w:hAnsi="Arial" w:cs="Arial"/>
                <w:color w:val="000000" w:themeColor="text1"/>
                <w:lang w:val="bg-BG"/>
              </w:rPr>
              <w:id w:val="-423036226"/>
              <w:citation/>
            </w:sdtPr>
            <w:sdtContent>
              <w:r w:rsidR="00F35695" w:rsidRPr="001B2CEE">
                <w:rPr>
                  <w:rFonts w:ascii="Arial" w:hAnsi="Arial" w:cs="Arial"/>
                  <w:color w:val="000000" w:themeColor="text1"/>
                  <w:lang w:val="bg-BG"/>
                </w:rPr>
                <w:fldChar w:fldCharType="begin"/>
              </w:r>
              <w:r w:rsidR="00F35695" w:rsidRPr="001B2CEE">
                <w:rPr>
                  <w:rFonts w:ascii="Arial" w:hAnsi="Arial" w:cs="Arial"/>
                  <w:color w:val="000000" w:themeColor="text1"/>
                </w:rPr>
                <w:instrText xml:space="preserve"> CITATION Ada24 \l 2057 </w:instrText>
              </w:r>
              <w:r w:rsidR="00F35695" w:rsidRPr="001B2CEE">
                <w:rPr>
                  <w:rFonts w:ascii="Arial" w:hAnsi="Arial" w:cs="Arial"/>
                  <w:color w:val="000000" w:themeColor="text1"/>
                  <w:lang w:val="bg-BG"/>
                </w:rPr>
                <w:fldChar w:fldCharType="separate"/>
              </w:r>
              <w:r w:rsidR="00F35695" w:rsidRPr="001B2CEE">
                <w:rPr>
                  <w:rFonts w:ascii="Arial" w:hAnsi="Arial" w:cs="Arial"/>
                  <w:noProof/>
                  <w:color w:val="000000" w:themeColor="text1"/>
                </w:rPr>
                <w:t xml:space="preserve"> (Adam Clark, 2024)</w:t>
              </w:r>
              <w:r w:rsidR="00F35695" w:rsidRPr="001B2CEE">
                <w:rPr>
                  <w:rFonts w:ascii="Arial" w:hAnsi="Arial" w:cs="Arial"/>
                  <w:color w:val="000000" w:themeColor="text1"/>
                  <w:lang w:val="bg-BG"/>
                </w:rPr>
                <w:fldChar w:fldCharType="end"/>
              </w:r>
            </w:sdtContent>
          </w:sdt>
          <w:r w:rsidR="00F35695" w:rsidRPr="001B2CEE">
            <w:rPr>
              <w:rFonts w:ascii="Arial" w:hAnsi="Arial" w:cs="Arial"/>
              <w:color w:val="000000" w:themeColor="text1"/>
            </w:rPr>
            <w:t>.</w:t>
          </w:r>
        </w:p>
        <w:p w14:paraId="0D155123" w14:textId="2B939A8C" w:rsidR="00C70B13" w:rsidRPr="003834C6" w:rsidRDefault="00616D1E" w:rsidP="001B2CEE">
          <w:pPr>
            <w:spacing w:line="360" w:lineRule="auto"/>
            <w:rPr>
              <w:rFonts w:ascii="Arial" w:hAnsi="Arial" w:cs="Arial"/>
              <w:color w:val="000000" w:themeColor="text1"/>
              <w:lang w:val="bg-BG"/>
            </w:rPr>
          </w:pPr>
          <w:r w:rsidRPr="001B2CEE">
            <w:rPr>
              <w:rFonts w:ascii="Arial" w:hAnsi="Arial" w:cs="Arial"/>
              <w:color w:val="000000" w:themeColor="text1"/>
            </w:rPr>
            <w:lastRenderedPageBreak/>
            <w:t>Technological Investments</w:t>
          </w:r>
          <w:r w:rsidR="00043002" w:rsidRPr="001B2CEE">
            <w:rPr>
              <w:rFonts w:ascii="Arial" w:hAnsi="Arial" w:cs="Arial"/>
              <w:color w:val="000000" w:themeColor="text1"/>
            </w:rPr>
            <w:t>:</w:t>
          </w:r>
          <w:r w:rsidR="0019072B" w:rsidRPr="007B1FF6">
            <w:rPr>
              <w:rFonts w:ascii="Arial" w:hAnsi="Arial" w:cs="Arial"/>
              <w:color w:val="000000" w:themeColor="text1"/>
              <w:lang w:val="bg-BG"/>
            </w:rPr>
            <w:t xml:space="preserve"> </w:t>
          </w:r>
          <w:r w:rsidR="003834C6" w:rsidRPr="003834C6">
            <w:rPr>
              <w:rFonts w:ascii="Arial" w:hAnsi="Arial" w:cs="Arial"/>
              <w:color w:val="000000" w:themeColor="text1"/>
              <w:lang w:val="bg-BG"/>
            </w:rPr>
            <w:t xml:space="preserve">Consumer demand for faster and more reliable mobile connections has increased since 5G was introduced. 5G has lower latency, higher bandwidth, and interoperability with smart homes, autonomous vehicles, and virtual reality. Both consumers and businesses want to use these skills to boost productivity and efficiency.Three components make up the mobile ecosystem.mobile operators, infrastructure, content, and services. ‘Infrastructure and equipment’ comprises network gear, device, and IoT vendors. While ‘content and services’ comprises content, </w:t>
          </w:r>
          <w:r w:rsidR="003834C6" w:rsidRPr="003834C6">
            <w:rPr>
              <w:rFonts w:ascii="Arial" w:hAnsi="Arial" w:cs="Arial"/>
              <w:color w:val="000000" w:themeColor="text1"/>
              <w:lang w:val="bg-BG"/>
            </w:rPr>
            <w:br/>
            <w:t>Mobile app and service providers, distributors, merchants, mobile cloud services</w:t>
          </w:r>
          <w:r w:rsidR="003834C6">
            <w:rPr>
              <w:rFonts w:ascii="Arial" w:hAnsi="Arial" w:cs="Arial"/>
              <w:color w:val="000000" w:themeColor="text1"/>
            </w:rPr>
            <w:t>.</w:t>
          </w:r>
          <w:sdt>
            <w:sdtPr>
              <w:rPr>
                <w:rFonts w:ascii="Arial" w:hAnsi="Arial" w:cs="Arial"/>
                <w:color w:val="000000" w:themeColor="text1"/>
                <w:lang w:val="bg-BG"/>
              </w:rPr>
              <w:id w:val="1875805798"/>
              <w:citation/>
            </w:sdtPr>
            <w:sdtContent>
              <w:r w:rsidR="001B2CEE">
                <w:rPr>
                  <w:rFonts w:ascii="Arial" w:hAnsi="Arial" w:cs="Arial"/>
                  <w:color w:val="000000" w:themeColor="text1"/>
                  <w:lang w:val="bg-BG"/>
                </w:rPr>
                <w:fldChar w:fldCharType="begin"/>
              </w:r>
              <w:r w:rsidR="001B2CEE">
                <w:rPr>
                  <w:rFonts w:ascii="Arial" w:hAnsi="Arial" w:cs="Arial"/>
                  <w:color w:val="000000" w:themeColor="text1"/>
                </w:rPr>
                <w:instrText xml:space="preserve"> CITATION The24 \l 2057 </w:instrText>
              </w:r>
              <w:r w:rsidR="001B2CEE">
                <w:rPr>
                  <w:rFonts w:ascii="Arial" w:hAnsi="Arial" w:cs="Arial"/>
                  <w:color w:val="000000" w:themeColor="text1"/>
                  <w:lang w:val="bg-BG"/>
                </w:rPr>
                <w:fldChar w:fldCharType="separate"/>
              </w:r>
              <w:r w:rsidR="001B2CEE">
                <w:rPr>
                  <w:rFonts w:ascii="Arial" w:hAnsi="Arial" w:cs="Arial"/>
                  <w:noProof/>
                  <w:color w:val="000000" w:themeColor="text1"/>
                </w:rPr>
                <w:t xml:space="preserve"> </w:t>
              </w:r>
              <w:r w:rsidR="001B2CEE" w:rsidRPr="001B2CEE">
                <w:rPr>
                  <w:rFonts w:ascii="Arial" w:hAnsi="Arial" w:cs="Arial"/>
                  <w:noProof/>
                  <w:color w:val="000000" w:themeColor="text1"/>
                </w:rPr>
                <w:t>(The Mobile Economy, 2024)</w:t>
              </w:r>
              <w:r w:rsidR="001B2CEE">
                <w:rPr>
                  <w:rFonts w:ascii="Arial" w:hAnsi="Arial" w:cs="Arial"/>
                  <w:color w:val="000000" w:themeColor="text1"/>
                  <w:lang w:val="bg-BG"/>
                </w:rPr>
                <w:fldChar w:fldCharType="end"/>
              </w:r>
            </w:sdtContent>
          </w:sdt>
        </w:p>
        <w:p w14:paraId="0B407EC2" w14:textId="5B3A845C" w:rsidR="00C70B13" w:rsidRDefault="00C70B13" w:rsidP="001B2CEE">
          <w:pPr>
            <w:spacing w:line="360" w:lineRule="auto"/>
            <w:rPr>
              <w:rFonts w:ascii="Arial" w:hAnsi="Arial" w:cs="Arial"/>
              <w:color w:val="000000" w:themeColor="text1"/>
            </w:rPr>
          </w:pPr>
          <w:r>
            <w:rPr>
              <w:rFonts w:ascii="Arial" w:hAnsi="Arial" w:cs="Arial"/>
              <w:color w:val="000000" w:themeColor="text1"/>
            </w:rPr>
            <w:t>H</w:t>
          </w:r>
          <w:r w:rsidRPr="00C70B13">
            <w:rPr>
              <w:rFonts w:ascii="Arial" w:hAnsi="Arial" w:cs="Arial"/>
              <w:color w:val="000000" w:themeColor="text1"/>
            </w:rPr>
            <w:t>ow to thrive and bolster the uk mobile industry sustainability grow</w:t>
          </w:r>
          <w:r>
            <w:rPr>
              <w:rFonts w:ascii="Arial" w:hAnsi="Arial" w:cs="Arial"/>
              <w:color w:val="000000" w:themeColor="text1"/>
            </w:rPr>
            <w:t>?</w:t>
          </w:r>
        </w:p>
        <w:p w14:paraId="08586156" w14:textId="77777777" w:rsidR="002D4728" w:rsidRDefault="00C70B13" w:rsidP="007B1FF6">
          <w:pPr>
            <w:spacing w:line="360" w:lineRule="auto"/>
            <w:rPr>
              <w:rFonts w:ascii="Arial" w:hAnsi="Arial" w:cs="Arial"/>
              <w:color w:val="000000" w:themeColor="text1"/>
            </w:rPr>
          </w:pPr>
          <w:r w:rsidRPr="00C70B13">
            <w:rPr>
              <w:rFonts w:ascii="Arial" w:hAnsi="Arial" w:cs="Arial"/>
              <w:color w:val="000000" w:themeColor="text1"/>
              <w:lang w:val="bg-BG"/>
            </w:rPr>
            <w:t>Growing sustainably requires eco-friendly practices.Honest Mobile pioneered UK mobile sustainability. Several initiatives by CEO Andy Aitken emphasize their environmental responsibilities. First and only carbon-negative mobile network in the UK, Honest Mobile removes twice the carbon generated by their customers' phone usage from production to charging. They do this by planting trees and using modern carbon capture devices. They work with Klimate on direct air capture and TreeApp on worldwide tree planting.The company is a B Corp and donates 1% of revenue to 1% for the Planet, leading in corporate sustainability. Beyond environmental initiatives, they provide SIM-only plans and a smart app with transparency and customer happiness in mind. As part of their objective to disrupt the mobile industry, Honest Mobile's business model demonstrates that commercial success and sustainability can coexist.Honest Mobile shows how telecoms firms may meet environmental goals and thrive commercially with their complete approach to sustainability</w:t>
          </w:r>
          <w:sdt>
            <w:sdtPr>
              <w:rPr>
                <w:rFonts w:ascii="Arial" w:hAnsi="Arial" w:cs="Arial"/>
                <w:color w:val="000000" w:themeColor="text1"/>
                <w:lang w:val="bg-BG"/>
              </w:rPr>
              <w:id w:val="-2090927499"/>
              <w:citation/>
            </w:sdtPr>
            <w:sdtContent>
              <w:r w:rsidR="00816607">
                <w:rPr>
                  <w:rFonts w:ascii="Arial" w:hAnsi="Arial" w:cs="Arial"/>
                  <w:color w:val="000000" w:themeColor="text1"/>
                  <w:lang w:val="bg-BG"/>
                </w:rPr>
                <w:fldChar w:fldCharType="begin"/>
              </w:r>
              <w:r w:rsidR="00816607">
                <w:rPr>
                  <w:rFonts w:ascii="Arial" w:hAnsi="Arial" w:cs="Arial"/>
                  <w:color w:val="000000" w:themeColor="text1"/>
                </w:rPr>
                <w:instrText xml:space="preserve"> CITATION Jov18 \l 2057 </w:instrText>
              </w:r>
              <w:r w:rsidR="00816607">
                <w:rPr>
                  <w:rFonts w:ascii="Arial" w:hAnsi="Arial" w:cs="Arial"/>
                  <w:color w:val="000000" w:themeColor="text1"/>
                  <w:lang w:val="bg-BG"/>
                </w:rPr>
                <w:fldChar w:fldCharType="separate"/>
              </w:r>
              <w:r w:rsidR="00816607">
                <w:rPr>
                  <w:rFonts w:ascii="Arial" w:hAnsi="Arial" w:cs="Arial"/>
                  <w:noProof/>
                  <w:color w:val="000000" w:themeColor="text1"/>
                </w:rPr>
                <w:t xml:space="preserve"> </w:t>
              </w:r>
              <w:r w:rsidR="00816607" w:rsidRPr="00816607">
                <w:rPr>
                  <w:rFonts w:ascii="Arial" w:hAnsi="Arial" w:cs="Arial"/>
                  <w:noProof/>
                  <w:color w:val="000000" w:themeColor="text1"/>
                </w:rPr>
                <w:t>(Mihailovic, 2018)</w:t>
              </w:r>
              <w:r w:rsidR="00816607">
                <w:rPr>
                  <w:rFonts w:ascii="Arial" w:hAnsi="Arial" w:cs="Arial"/>
                  <w:color w:val="000000" w:themeColor="text1"/>
                  <w:lang w:val="bg-BG"/>
                </w:rPr>
                <w:fldChar w:fldCharType="end"/>
              </w:r>
            </w:sdtContent>
          </w:sdt>
          <w:r w:rsidR="007B1FF6">
            <w:rPr>
              <w:rFonts w:ascii="Arial" w:hAnsi="Arial" w:cs="Arial"/>
              <w:color w:val="000000" w:themeColor="text1"/>
            </w:rPr>
            <w:t>.</w:t>
          </w:r>
          <w:r w:rsidR="007B1FF6" w:rsidRPr="007B1FF6">
            <w:rPr>
              <w:rFonts w:ascii="Arial" w:hAnsi="Arial" w:cs="Arial"/>
              <w:color w:val="000000" w:themeColor="text1"/>
              <w:lang w:val="bg-BG"/>
            </w:rPr>
            <w:t>Consumer demand in the mobile sector is shaped by numerous critical elements that dictate usage habits and preferences.</w:t>
          </w:r>
          <w:r w:rsidR="007B1FF6" w:rsidRPr="007B1FF6">
            <w:rPr>
              <w:rFonts w:ascii="Arial" w:hAnsi="Arial" w:cs="Arial"/>
              <w:color w:val="000000" w:themeColor="text1"/>
              <w:lang w:val="bg-BG"/>
            </w:rPr>
            <w:br/>
            <w:t>Escalating Data Consumption: The demand for mobile data services is increasing dramatically. Due to the rise of smartphones, streaming services, and social media, consumers are utilizing increased quantities of data. This tendency is further expedited by the growing need for remote employment and online learning. The transition from voice to data-centric mobile services has transformed how network providers promote and structure their plans, with numerous providers now offering unlimited data packages..</w:t>
          </w:r>
        </w:p>
        <w:p w14:paraId="4971D0A7" w14:textId="77777777" w:rsidR="007136FC" w:rsidRPr="00051125" w:rsidRDefault="007136FC" w:rsidP="00E94B63">
          <w:pPr>
            <w:pStyle w:val="Heading1"/>
            <w:rPr>
              <w:rFonts w:ascii="Arial" w:hAnsi="Arial" w:cs="Arial"/>
              <w:color w:val="000000" w:themeColor="text1"/>
              <w:sz w:val="24"/>
              <w:szCs w:val="24"/>
            </w:rPr>
          </w:pPr>
          <w:bookmarkStart w:id="3" w:name="_Toc179305440"/>
          <w:r w:rsidRPr="00051125">
            <w:rPr>
              <w:rFonts w:ascii="Arial" w:hAnsi="Arial" w:cs="Arial"/>
              <w:color w:val="000000" w:themeColor="text1"/>
              <w:sz w:val="24"/>
              <w:szCs w:val="24"/>
            </w:rPr>
            <w:t>Market Structure of the UK Mobile Industry</w:t>
          </w:r>
          <w:bookmarkEnd w:id="3"/>
        </w:p>
        <w:p w14:paraId="274F16A8" w14:textId="77777777" w:rsidR="007136FC" w:rsidRPr="007136FC" w:rsidRDefault="007136FC" w:rsidP="007136FC">
          <w:pPr>
            <w:spacing w:line="360" w:lineRule="auto"/>
            <w:rPr>
              <w:rFonts w:ascii="Arial" w:hAnsi="Arial" w:cs="Arial"/>
              <w:color w:val="000000" w:themeColor="text1"/>
              <w:lang w:val="bg-BG"/>
            </w:rPr>
          </w:pPr>
          <w:r w:rsidRPr="007136FC">
            <w:rPr>
              <w:rFonts w:ascii="Arial" w:hAnsi="Arial" w:cs="Arial"/>
              <w:color w:val="000000" w:themeColor="text1"/>
              <w:lang w:val="bg-BG"/>
            </w:rPr>
            <w:t xml:space="preserve">UK mobile networks are oligopolistic, with a few big firms owning most of the market. EE, Vodafone, O2, and Three dominate this industry. In an oligopoly, corporations can influence prices but must also consider competitors' behavior when making strategic decisions like pricing and service offerings. In oligopolistic marketplaces, firms avoid price competition </w:t>
          </w:r>
          <w:r w:rsidRPr="007136FC">
            <w:rPr>
              <w:rFonts w:ascii="Arial" w:hAnsi="Arial" w:cs="Arial"/>
              <w:color w:val="000000" w:themeColor="text1"/>
              <w:lang w:val="bg-BG"/>
            </w:rPr>
            <w:lastRenderedPageBreak/>
            <w:t>since aggressive pricing could lead to retaliatory price cuts that damage everyone. Companies prioritize non-price competition such service quality, network coverage, and customer care.Unlimited data, entertainment bundles, and customer-friendly contracts set providers apart. Honest Mobile has also launched sustainable initiatives to attract ecologically conscious customers.</w:t>
          </w:r>
        </w:p>
        <w:p w14:paraId="745B64F5" w14:textId="77777777" w:rsidR="00E94B63" w:rsidRPr="00051125" w:rsidRDefault="00E94B63" w:rsidP="00E94B63">
          <w:pPr>
            <w:pStyle w:val="Heading1"/>
            <w:rPr>
              <w:rFonts w:ascii="Arial" w:hAnsi="Arial" w:cs="Arial"/>
              <w:color w:val="000000" w:themeColor="text1"/>
              <w:sz w:val="24"/>
              <w:szCs w:val="24"/>
            </w:rPr>
          </w:pPr>
          <w:bookmarkStart w:id="4" w:name="_Toc179305441"/>
          <w:r w:rsidRPr="00051125">
            <w:rPr>
              <w:rFonts w:ascii="Arial" w:hAnsi="Arial" w:cs="Arial"/>
              <w:color w:val="000000" w:themeColor="text1"/>
              <w:sz w:val="24"/>
              <w:szCs w:val="24"/>
            </w:rPr>
            <w:t>Conclusion</w:t>
          </w:r>
          <w:bookmarkEnd w:id="4"/>
        </w:p>
        <w:p w14:paraId="39ECAE27" w14:textId="14008E2F" w:rsidR="007B1FF6" w:rsidRPr="00E94B63" w:rsidRDefault="00E94B63" w:rsidP="00E94B63">
          <w:pPr>
            <w:spacing w:line="360" w:lineRule="auto"/>
            <w:rPr>
              <w:rFonts w:ascii="Arial" w:hAnsi="Arial" w:cs="Arial"/>
              <w:color w:val="000000" w:themeColor="text1"/>
              <w:sz w:val="24"/>
              <w:szCs w:val="24"/>
            </w:rPr>
          </w:pPr>
          <w:r w:rsidRPr="00E94B63">
            <w:rPr>
              <w:rFonts w:ascii="Arial" w:hAnsi="Arial" w:cs="Arial"/>
              <w:color w:val="000000" w:themeColor="text1"/>
              <w:lang w:val="bg-BG"/>
            </w:rPr>
            <w:t>In an oligopolistic market where price competition is often constrained, providers should focus on service differentiation through enhanced customer experience, superior network performance, and value-added services like streaming bundles, flexible payment plans, or exclusive content.Data privacy and security are becoming major concerns for consumers; mobile operators that prioritize these aspects will stand out and earn customer loyalty.The demand for flexibility (e.g., SIM-only contracts and short-term plans) is increasing, and providers should offer more customizable and transparent pricing models.Understanding and anticipating consumer trends, such as the shift towards 5G devices and mobile-first lifestyles, will allow operators to design products that meet the evolving needs of the market.Operators should continue to invest in 5G infrastructure while exploring new services like smart cities, IoT solutions, and automation. The next phase of technology (6G) and edge computing will present further growth opportunities.Companies like Honest Mobile have proven that environmental sustainability can be a competitive advantage. Providers should prioritize carbon neutrality, renewable energy use, and recycling initiatives to align with growing consumer demand for ethical and environmentally responsible products​.By addressing these areas, the UK mobile industry can continue to grow sustainably while meeting the expectations of both consumers and regulators.</w:t>
          </w:r>
          <w:r w:rsidR="007B1FF6" w:rsidRPr="00E94B63">
            <w:rPr>
              <w:rFonts w:ascii="Arial" w:hAnsi="Arial" w:cs="Arial"/>
              <w:color w:val="000000" w:themeColor="text1"/>
              <w:lang w:val="bg-BG"/>
            </w:rPr>
            <w:br/>
          </w:r>
        </w:p>
        <w:p w14:paraId="476283AE" w14:textId="77777777" w:rsidR="007B1FF6" w:rsidRPr="00816607" w:rsidRDefault="007B1FF6" w:rsidP="00816607">
          <w:pPr>
            <w:spacing w:line="360" w:lineRule="auto"/>
            <w:rPr>
              <w:rFonts w:ascii="Arial" w:hAnsi="Arial" w:cs="Arial"/>
              <w:color w:val="000000" w:themeColor="text1"/>
            </w:rPr>
          </w:pPr>
        </w:p>
        <w:p w14:paraId="2849881F" w14:textId="77777777" w:rsidR="00816607" w:rsidRPr="00C70B13" w:rsidRDefault="00816607" w:rsidP="00C70B13">
          <w:pPr>
            <w:spacing w:line="360" w:lineRule="auto"/>
            <w:rPr>
              <w:rFonts w:ascii="Arial" w:hAnsi="Arial" w:cs="Arial"/>
              <w:color w:val="000000" w:themeColor="text1"/>
            </w:rPr>
          </w:pPr>
        </w:p>
        <w:p w14:paraId="3AEB1987" w14:textId="77777777" w:rsidR="00C70B13" w:rsidRPr="00C70B13" w:rsidRDefault="00C70B13" w:rsidP="001B2CEE">
          <w:pPr>
            <w:spacing w:line="360" w:lineRule="auto"/>
            <w:rPr>
              <w:rFonts w:ascii="Arial" w:hAnsi="Arial" w:cs="Arial"/>
              <w:color w:val="000000" w:themeColor="text1"/>
            </w:rPr>
          </w:pPr>
        </w:p>
        <w:p w14:paraId="21D2396E" w14:textId="64A5D265" w:rsidR="00616D1E" w:rsidRPr="00F35695" w:rsidRDefault="00616D1E" w:rsidP="00F35695">
          <w:pPr>
            <w:spacing w:line="360" w:lineRule="auto"/>
            <w:rPr>
              <w:rFonts w:ascii="Arial" w:hAnsi="Arial" w:cs="Arial"/>
              <w:color w:val="000000" w:themeColor="text1"/>
            </w:rPr>
          </w:pPr>
        </w:p>
        <w:p w14:paraId="30A5AD19" w14:textId="77777777" w:rsidR="0021591D" w:rsidRPr="00D129A2" w:rsidRDefault="0021591D" w:rsidP="00F35695">
          <w:pPr>
            <w:spacing w:line="360" w:lineRule="auto"/>
            <w:rPr>
              <w:rFonts w:ascii="Arial" w:hAnsi="Arial" w:cs="Arial"/>
              <w:color w:val="000000" w:themeColor="text1"/>
            </w:rPr>
          </w:pPr>
        </w:p>
        <w:p w14:paraId="6455A0EE" w14:textId="77777777" w:rsidR="00D129A2" w:rsidRPr="001B2CEE" w:rsidRDefault="00D129A2" w:rsidP="00F35695">
          <w:pPr>
            <w:spacing w:line="360" w:lineRule="auto"/>
            <w:rPr>
              <w:rFonts w:ascii="Arial" w:hAnsi="Arial" w:cs="Arial"/>
              <w:color w:val="000000" w:themeColor="text1"/>
            </w:rPr>
          </w:pPr>
        </w:p>
        <w:p w14:paraId="4DE4BE25" w14:textId="77777777" w:rsidR="00E94B63" w:rsidRDefault="00E94B63" w:rsidP="00E94B63">
          <w:pPr>
            <w:spacing w:line="360" w:lineRule="auto"/>
            <w:rPr>
              <w:rFonts w:ascii="Arial" w:hAnsi="Arial" w:cs="Arial"/>
              <w:color w:val="000000" w:themeColor="text1"/>
            </w:rPr>
          </w:pPr>
        </w:p>
        <w:p w14:paraId="148686B5" w14:textId="07EA9863" w:rsidR="00E94B63" w:rsidRDefault="00000000" w:rsidP="00E94B63">
          <w:pPr>
            <w:spacing w:line="360" w:lineRule="auto"/>
            <w:rPr>
              <w:rFonts w:ascii="Arial" w:hAnsi="Arial" w:cs="Arial"/>
              <w:sz w:val="28"/>
              <w:szCs w:val="28"/>
            </w:rPr>
          </w:pPr>
        </w:p>
      </w:sdtContent>
    </w:sdt>
    <w:p w14:paraId="45CCA72F" w14:textId="77777777" w:rsidR="00051125" w:rsidRDefault="00051125" w:rsidP="00E94B63">
      <w:pPr>
        <w:spacing w:line="360" w:lineRule="auto"/>
        <w:rPr>
          <w:rFonts w:ascii="Arial" w:hAnsi="Arial" w:cs="Arial"/>
          <w:sz w:val="28"/>
          <w:szCs w:val="28"/>
        </w:rPr>
      </w:pPr>
    </w:p>
    <w:p w14:paraId="5F00B46E" w14:textId="6DBB4ED8" w:rsidR="008332FD" w:rsidRPr="00051125" w:rsidRDefault="008332FD" w:rsidP="00051125">
      <w:pPr>
        <w:pStyle w:val="Heading1"/>
        <w:rPr>
          <w:rFonts w:ascii="Arial" w:hAnsi="Arial" w:cs="Arial"/>
          <w:color w:val="000000" w:themeColor="text1"/>
          <w:sz w:val="24"/>
          <w:szCs w:val="24"/>
        </w:rPr>
      </w:pPr>
      <w:bookmarkStart w:id="5" w:name="_Toc179305442"/>
      <w:r w:rsidRPr="00051125">
        <w:rPr>
          <w:rFonts w:ascii="Arial" w:hAnsi="Arial" w:cs="Arial"/>
          <w:color w:val="000000" w:themeColor="text1"/>
          <w:sz w:val="24"/>
          <w:szCs w:val="24"/>
        </w:rPr>
        <w:t>Reference</w:t>
      </w:r>
      <w:bookmarkEnd w:id="5"/>
    </w:p>
    <w:p w14:paraId="3A504D63" w14:textId="77777777" w:rsidR="00E94B63" w:rsidRDefault="00E94B63" w:rsidP="00E94B63">
      <w:pPr>
        <w:rPr>
          <w:rFonts w:ascii="Arial" w:hAnsi="Arial" w:cs="Arial"/>
        </w:rPr>
      </w:pPr>
      <w:r w:rsidRPr="00AB773B">
        <w:rPr>
          <w:rFonts w:ascii="Arial" w:hAnsi="Arial" w:cs="Arial"/>
        </w:rPr>
        <w:t>Clark,A.,Baker,C. (2024) </w:t>
      </w:r>
      <w:r w:rsidRPr="00AB773B">
        <w:rPr>
          <w:rFonts w:ascii="Arial" w:hAnsi="Arial" w:cs="Arial"/>
          <w:i/>
          <w:iCs/>
        </w:rPr>
        <w:t>UK  Parliament</w:t>
      </w:r>
      <w:r w:rsidRPr="00AB773B">
        <w:rPr>
          <w:rFonts w:ascii="Arial" w:hAnsi="Arial" w:cs="Arial"/>
        </w:rPr>
        <w:t>. Available at:https://commonslibrary.parliament.uk/research-briefings/cbp-9245/ (Accessed: 03.10.2024).</w:t>
      </w:r>
    </w:p>
    <w:p w14:paraId="76F73B31" w14:textId="7C6353C8" w:rsidR="008332FD" w:rsidRDefault="008332FD">
      <w:pPr>
        <w:rPr>
          <w:rFonts w:ascii="Arial" w:hAnsi="Arial" w:cs="Arial"/>
        </w:rPr>
      </w:pPr>
      <w:r w:rsidRPr="008332FD">
        <w:rPr>
          <w:rFonts w:ascii="Arial" w:hAnsi="Arial" w:cs="Arial"/>
        </w:rPr>
        <w:t>Frontier Economics. (2018), 'UK MOBILE MARKET DYNAMICS', </w:t>
      </w:r>
      <w:r w:rsidRPr="008332FD">
        <w:rPr>
          <w:rFonts w:ascii="Arial" w:hAnsi="Arial" w:cs="Arial"/>
          <w:i/>
          <w:iCs/>
        </w:rPr>
        <w:t>A Report for DCMS</w:t>
      </w:r>
      <w:r w:rsidRPr="008332FD">
        <w:rPr>
          <w:rFonts w:ascii="Arial" w:hAnsi="Arial" w:cs="Arial"/>
        </w:rPr>
        <w:t> (Accessed:02.10.2024).</w:t>
      </w:r>
    </w:p>
    <w:p w14:paraId="15BFD910" w14:textId="77777777" w:rsidR="00E94B63" w:rsidRDefault="00E94B63" w:rsidP="00E94B63">
      <w:pPr>
        <w:rPr>
          <w:rFonts w:ascii="Arial" w:hAnsi="Arial" w:cs="Arial"/>
        </w:rPr>
      </w:pPr>
      <w:r w:rsidRPr="00FD2F49">
        <w:rPr>
          <w:rFonts w:ascii="Arial" w:hAnsi="Arial" w:cs="Arial"/>
          <w:i/>
          <w:iCs/>
        </w:rPr>
        <w:t>Making 5G pay</w:t>
      </w:r>
      <w:r w:rsidRPr="00FD2F49">
        <w:rPr>
          <w:rFonts w:ascii="Arial" w:hAnsi="Arial" w:cs="Arial"/>
        </w:rPr>
        <w:t>(2018) Available at: https://www.strategyand.pwc.com/gx/en/insights/2019/making-5g-pay.html (Accessed:03.10.2024).</w:t>
      </w:r>
    </w:p>
    <w:p w14:paraId="5AF24FB0" w14:textId="795E762A" w:rsidR="00E94B63" w:rsidRDefault="00E94B63" w:rsidP="00E94B63">
      <w:pPr>
        <w:rPr>
          <w:rFonts w:ascii="Arial" w:hAnsi="Arial" w:cs="Arial"/>
        </w:rPr>
      </w:pPr>
      <w:r w:rsidRPr="001D6A05">
        <w:rPr>
          <w:rFonts w:ascii="Arial" w:hAnsi="Arial" w:cs="Arial"/>
          <w:i/>
          <w:iCs/>
        </w:rPr>
        <w:t>The Mobile Economy</w:t>
      </w:r>
      <w:r w:rsidRPr="001D6A05">
        <w:rPr>
          <w:rFonts w:ascii="Arial" w:hAnsi="Arial" w:cs="Arial"/>
        </w:rPr>
        <w:t> (2024) ,London GSMA</w:t>
      </w:r>
      <w:r>
        <w:rPr>
          <w:rFonts w:ascii="Arial" w:hAnsi="Arial" w:cs="Arial"/>
        </w:rPr>
        <w:t>.</w:t>
      </w:r>
    </w:p>
    <w:p w14:paraId="60019DC2" w14:textId="37E81322" w:rsidR="00E94B63" w:rsidRPr="00D129A2" w:rsidRDefault="00E94B63" w:rsidP="00E94B63">
      <w:pPr>
        <w:rPr>
          <w:rFonts w:ascii="Arial" w:hAnsi="Arial" w:cs="Arial"/>
        </w:rPr>
      </w:pPr>
      <w:r w:rsidRPr="00AC2DBC">
        <w:rPr>
          <w:rFonts w:ascii="Arial" w:hAnsi="Arial" w:cs="Arial"/>
        </w:rPr>
        <w:t>Mihailovic,J. (2018) '', The futurre of mobile operators-new business models,</w:t>
      </w:r>
      <w:r w:rsidRPr="00AC2DBC">
        <w:rPr>
          <w:rFonts w:ascii="Arial" w:hAnsi="Arial" w:cs="Arial"/>
          <w:i/>
          <w:iCs/>
        </w:rPr>
        <w:t>Journal of sustainable business and menagement solutions in emerging economies</w:t>
      </w:r>
      <w:r w:rsidRPr="00AC2DBC">
        <w:rPr>
          <w:rFonts w:ascii="Arial" w:hAnsi="Arial" w:cs="Arial"/>
        </w:rPr>
        <w:t> . Available at:10.7595/management.fon.2018.0033</w:t>
      </w:r>
      <w:r>
        <w:rPr>
          <w:rFonts w:ascii="Arial" w:hAnsi="Arial" w:cs="Arial"/>
        </w:rPr>
        <w:t>.</w:t>
      </w:r>
    </w:p>
    <w:p w14:paraId="1509D169" w14:textId="2824E8AC" w:rsidR="00E60B9F" w:rsidRDefault="00E60B9F" w:rsidP="00E60B9F">
      <w:pPr>
        <w:rPr>
          <w:rFonts w:ascii="Arial" w:hAnsi="Arial" w:cs="Arial"/>
        </w:rPr>
      </w:pPr>
      <w:hyperlink r:id="rId6" w:history="1">
        <w:r w:rsidRPr="00E60B9F">
          <w:rPr>
            <w:rStyle w:val="Hyperlink"/>
            <w:rFonts w:ascii="Arial" w:hAnsi="Arial" w:cs="Arial"/>
            <w:lang w:val="bg-BG"/>
          </w:rPr>
          <w:t>Moira McCormick</w:t>
        </w:r>
      </w:hyperlink>
      <w:r w:rsidRPr="00E60B9F">
        <w:rPr>
          <w:rFonts w:ascii="Arial" w:hAnsi="Arial" w:cs="Arial"/>
          <w:lang w:val="bg-BG"/>
        </w:rPr>
        <w:t>.(2023) 'What is Profit Maximisation?', </w:t>
      </w:r>
      <w:r w:rsidRPr="00E60B9F">
        <w:rPr>
          <w:rFonts w:ascii="Arial" w:hAnsi="Arial" w:cs="Arial"/>
          <w:i/>
          <w:iCs/>
          <w:lang w:val="bg-BG"/>
        </w:rPr>
        <w:t>Blackcurve</w:t>
      </w:r>
      <w:r w:rsidRPr="00E60B9F">
        <w:rPr>
          <w:rFonts w:ascii="Arial" w:hAnsi="Arial" w:cs="Arial"/>
          <w:lang w:val="bg-BG"/>
        </w:rPr>
        <w:t>. Available at: https://blog.blackcurve.com/what-is-profit-maximisation (Accessed: 02.10.2024).</w:t>
      </w:r>
    </w:p>
    <w:p w14:paraId="4B1D4A8C" w14:textId="77777777" w:rsidR="00E94B63" w:rsidRDefault="00E94B63" w:rsidP="00E94B63">
      <w:pPr>
        <w:rPr>
          <w:rFonts w:ascii="Arial" w:hAnsi="Arial" w:cs="Arial"/>
        </w:rPr>
      </w:pPr>
      <w:r w:rsidRPr="00D129A2">
        <w:rPr>
          <w:rFonts w:ascii="Arial" w:hAnsi="Arial" w:cs="Arial"/>
        </w:rPr>
        <w:t>Unite union makes claim as it calls on CMA to block tie-up that would bring 27m customers under one provider (2024) Available at: https://www.theguardian.com/business/article/2024/aug/22/vodafone-merger-three-customers-unable-find-cheaper-deals(Accessed: 03.10.2024).</w:t>
      </w:r>
    </w:p>
    <w:p w14:paraId="58B0CB86" w14:textId="63EC3FF5" w:rsidR="007F4142" w:rsidRDefault="0076798C" w:rsidP="0076798C">
      <w:pPr>
        <w:rPr>
          <w:rFonts w:ascii="Arial" w:hAnsi="Arial" w:cs="Arial"/>
        </w:rPr>
      </w:pPr>
      <w:r w:rsidRPr="0076798C">
        <w:rPr>
          <w:rFonts w:ascii="Arial" w:hAnsi="Arial" w:cs="Arial"/>
          <w:lang w:val="bg-BG"/>
        </w:rPr>
        <w:t>Vodafone and Virgin Media O2 announce new, long-term network sharing agreement (2024) Available at: https://www.vodafone.com/news/corporate-and-financial/vodafone-and-virgin-media-o2-announce-new-long-term-network-sharing-agreement (Accessed: 03.10.2024).</w:t>
      </w:r>
    </w:p>
    <w:sectPr w:rsidR="007F4142" w:rsidSect="00D66119">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119"/>
    <w:rsid w:val="00043002"/>
    <w:rsid w:val="00051125"/>
    <w:rsid w:val="000516B7"/>
    <w:rsid w:val="00071E69"/>
    <w:rsid w:val="00184FCC"/>
    <w:rsid w:val="0019072B"/>
    <w:rsid w:val="001B2CEE"/>
    <w:rsid w:val="001D6A05"/>
    <w:rsid w:val="0021591D"/>
    <w:rsid w:val="00285D8A"/>
    <w:rsid w:val="002D4728"/>
    <w:rsid w:val="0031377A"/>
    <w:rsid w:val="0032307F"/>
    <w:rsid w:val="003834C6"/>
    <w:rsid w:val="004321CB"/>
    <w:rsid w:val="00484463"/>
    <w:rsid w:val="00493204"/>
    <w:rsid w:val="004949E0"/>
    <w:rsid w:val="00587C9C"/>
    <w:rsid w:val="00616D1E"/>
    <w:rsid w:val="00651829"/>
    <w:rsid w:val="006D157C"/>
    <w:rsid w:val="006D77BA"/>
    <w:rsid w:val="007136FC"/>
    <w:rsid w:val="0076798C"/>
    <w:rsid w:val="007A3A15"/>
    <w:rsid w:val="007B1FF6"/>
    <w:rsid w:val="007C33A0"/>
    <w:rsid w:val="007F4142"/>
    <w:rsid w:val="00816607"/>
    <w:rsid w:val="008332FD"/>
    <w:rsid w:val="00964E96"/>
    <w:rsid w:val="009C7BB4"/>
    <w:rsid w:val="009D4A3A"/>
    <w:rsid w:val="00A35C70"/>
    <w:rsid w:val="00AB773B"/>
    <w:rsid w:val="00AC2DBC"/>
    <w:rsid w:val="00B6120C"/>
    <w:rsid w:val="00B6196A"/>
    <w:rsid w:val="00C70B13"/>
    <w:rsid w:val="00C911D9"/>
    <w:rsid w:val="00D129A2"/>
    <w:rsid w:val="00D35C5D"/>
    <w:rsid w:val="00D66119"/>
    <w:rsid w:val="00D90F27"/>
    <w:rsid w:val="00DF6D98"/>
    <w:rsid w:val="00E2347E"/>
    <w:rsid w:val="00E60B9F"/>
    <w:rsid w:val="00E94B63"/>
    <w:rsid w:val="00F35695"/>
    <w:rsid w:val="00FC6540"/>
    <w:rsid w:val="00FD2F4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E14F3"/>
  <w15:chartTrackingRefBased/>
  <w15:docId w15:val="{9DD37674-7338-46FA-AE9C-19CB032C5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661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661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661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661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661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661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1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1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1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119"/>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D66119"/>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D66119"/>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6611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6611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6611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6611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6611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6611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661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11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661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11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66119"/>
    <w:pPr>
      <w:spacing w:before="160"/>
      <w:jc w:val="center"/>
    </w:pPr>
    <w:rPr>
      <w:i/>
      <w:iCs/>
      <w:color w:val="404040" w:themeColor="text1" w:themeTint="BF"/>
    </w:rPr>
  </w:style>
  <w:style w:type="character" w:customStyle="1" w:styleId="QuoteChar">
    <w:name w:val="Quote Char"/>
    <w:basedOn w:val="DefaultParagraphFont"/>
    <w:link w:val="Quote"/>
    <w:uiPriority w:val="29"/>
    <w:rsid w:val="00D66119"/>
    <w:rPr>
      <w:i/>
      <w:iCs/>
      <w:color w:val="404040" w:themeColor="text1" w:themeTint="BF"/>
      <w:lang w:val="en-GB"/>
    </w:rPr>
  </w:style>
  <w:style w:type="paragraph" w:styleId="ListParagraph">
    <w:name w:val="List Paragraph"/>
    <w:basedOn w:val="Normal"/>
    <w:uiPriority w:val="34"/>
    <w:qFormat/>
    <w:rsid w:val="00D66119"/>
    <w:pPr>
      <w:ind w:left="720"/>
      <w:contextualSpacing/>
    </w:pPr>
  </w:style>
  <w:style w:type="character" w:styleId="IntenseEmphasis">
    <w:name w:val="Intense Emphasis"/>
    <w:basedOn w:val="DefaultParagraphFont"/>
    <w:uiPriority w:val="21"/>
    <w:qFormat/>
    <w:rsid w:val="00D66119"/>
    <w:rPr>
      <w:i/>
      <w:iCs/>
      <w:color w:val="2F5496" w:themeColor="accent1" w:themeShade="BF"/>
    </w:rPr>
  </w:style>
  <w:style w:type="paragraph" w:styleId="IntenseQuote">
    <w:name w:val="Intense Quote"/>
    <w:basedOn w:val="Normal"/>
    <w:next w:val="Normal"/>
    <w:link w:val="IntenseQuoteChar"/>
    <w:uiPriority w:val="30"/>
    <w:qFormat/>
    <w:rsid w:val="00D661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66119"/>
    <w:rPr>
      <w:i/>
      <w:iCs/>
      <w:color w:val="2F5496" w:themeColor="accent1" w:themeShade="BF"/>
      <w:lang w:val="en-GB"/>
    </w:rPr>
  </w:style>
  <w:style w:type="character" w:styleId="IntenseReference">
    <w:name w:val="Intense Reference"/>
    <w:basedOn w:val="DefaultParagraphFont"/>
    <w:uiPriority w:val="32"/>
    <w:qFormat/>
    <w:rsid w:val="00D66119"/>
    <w:rPr>
      <w:b/>
      <w:bCs/>
      <w:smallCaps/>
      <w:color w:val="2F5496" w:themeColor="accent1" w:themeShade="BF"/>
      <w:spacing w:val="5"/>
    </w:rPr>
  </w:style>
  <w:style w:type="paragraph" w:styleId="NoSpacing">
    <w:name w:val="No Spacing"/>
    <w:link w:val="NoSpacingChar"/>
    <w:uiPriority w:val="1"/>
    <w:qFormat/>
    <w:rsid w:val="00D66119"/>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D66119"/>
    <w:rPr>
      <w:rFonts w:eastAsiaTheme="minorEastAsia"/>
      <w:lang w:eastAsia="bg-BG"/>
    </w:rPr>
  </w:style>
  <w:style w:type="paragraph" w:styleId="Bibliography">
    <w:name w:val="Bibliography"/>
    <w:basedOn w:val="Normal"/>
    <w:next w:val="Normal"/>
    <w:uiPriority w:val="37"/>
    <w:unhideWhenUsed/>
    <w:rsid w:val="00E60B9F"/>
  </w:style>
  <w:style w:type="character" w:styleId="Hyperlink">
    <w:name w:val="Hyperlink"/>
    <w:basedOn w:val="DefaultParagraphFont"/>
    <w:uiPriority w:val="99"/>
    <w:unhideWhenUsed/>
    <w:rsid w:val="00E60B9F"/>
    <w:rPr>
      <w:color w:val="0563C1" w:themeColor="hyperlink"/>
      <w:u w:val="single"/>
    </w:rPr>
  </w:style>
  <w:style w:type="character" w:styleId="UnresolvedMention">
    <w:name w:val="Unresolved Mention"/>
    <w:basedOn w:val="DefaultParagraphFont"/>
    <w:uiPriority w:val="99"/>
    <w:semiHidden/>
    <w:unhideWhenUsed/>
    <w:rsid w:val="00E60B9F"/>
    <w:rPr>
      <w:color w:val="605E5C"/>
      <w:shd w:val="clear" w:color="auto" w:fill="E1DFDD"/>
    </w:rPr>
  </w:style>
  <w:style w:type="paragraph" w:styleId="TOCHeading">
    <w:name w:val="TOC Heading"/>
    <w:basedOn w:val="Heading1"/>
    <w:next w:val="Normal"/>
    <w:uiPriority w:val="39"/>
    <w:unhideWhenUsed/>
    <w:qFormat/>
    <w:rsid w:val="00051125"/>
    <w:pPr>
      <w:spacing w:before="240" w:after="0"/>
      <w:outlineLvl w:val="9"/>
    </w:pPr>
    <w:rPr>
      <w:sz w:val="32"/>
      <w:szCs w:val="32"/>
      <w:lang w:val="bg-BG" w:eastAsia="bg-BG"/>
    </w:rPr>
  </w:style>
  <w:style w:type="paragraph" w:styleId="TOC1">
    <w:name w:val="toc 1"/>
    <w:basedOn w:val="Normal"/>
    <w:next w:val="Normal"/>
    <w:autoRedefine/>
    <w:uiPriority w:val="39"/>
    <w:unhideWhenUsed/>
    <w:rsid w:val="0005112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069267">
      <w:bodyDiv w:val="1"/>
      <w:marLeft w:val="0"/>
      <w:marRight w:val="0"/>
      <w:marTop w:val="0"/>
      <w:marBottom w:val="0"/>
      <w:divBdr>
        <w:top w:val="none" w:sz="0" w:space="0" w:color="auto"/>
        <w:left w:val="none" w:sz="0" w:space="0" w:color="auto"/>
        <w:bottom w:val="none" w:sz="0" w:space="0" w:color="auto"/>
        <w:right w:val="none" w:sz="0" w:space="0" w:color="auto"/>
      </w:divBdr>
    </w:div>
    <w:div w:id="48237983">
      <w:bodyDiv w:val="1"/>
      <w:marLeft w:val="0"/>
      <w:marRight w:val="0"/>
      <w:marTop w:val="0"/>
      <w:marBottom w:val="0"/>
      <w:divBdr>
        <w:top w:val="none" w:sz="0" w:space="0" w:color="auto"/>
        <w:left w:val="none" w:sz="0" w:space="0" w:color="auto"/>
        <w:bottom w:val="none" w:sz="0" w:space="0" w:color="auto"/>
        <w:right w:val="none" w:sz="0" w:space="0" w:color="auto"/>
      </w:divBdr>
    </w:div>
    <w:div w:id="151605692">
      <w:bodyDiv w:val="1"/>
      <w:marLeft w:val="0"/>
      <w:marRight w:val="0"/>
      <w:marTop w:val="0"/>
      <w:marBottom w:val="0"/>
      <w:divBdr>
        <w:top w:val="none" w:sz="0" w:space="0" w:color="auto"/>
        <w:left w:val="none" w:sz="0" w:space="0" w:color="auto"/>
        <w:bottom w:val="none" w:sz="0" w:space="0" w:color="auto"/>
        <w:right w:val="none" w:sz="0" w:space="0" w:color="auto"/>
      </w:divBdr>
    </w:div>
    <w:div w:id="171456225">
      <w:bodyDiv w:val="1"/>
      <w:marLeft w:val="0"/>
      <w:marRight w:val="0"/>
      <w:marTop w:val="0"/>
      <w:marBottom w:val="0"/>
      <w:divBdr>
        <w:top w:val="none" w:sz="0" w:space="0" w:color="auto"/>
        <w:left w:val="none" w:sz="0" w:space="0" w:color="auto"/>
        <w:bottom w:val="none" w:sz="0" w:space="0" w:color="auto"/>
        <w:right w:val="none" w:sz="0" w:space="0" w:color="auto"/>
      </w:divBdr>
    </w:div>
    <w:div w:id="177696891">
      <w:bodyDiv w:val="1"/>
      <w:marLeft w:val="0"/>
      <w:marRight w:val="0"/>
      <w:marTop w:val="0"/>
      <w:marBottom w:val="0"/>
      <w:divBdr>
        <w:top w:val="none" w:sz="0" w:space="0" w:color="auto"/>
        <w:left w:val="none" w:sz="0" w:space="0" w:color="auto"/>
        <w:bottom w:val="none" w:sz="0" w:space="0" w:color="auto"/>
        <w:right w:val="none" w:sz="0" w:space="0" w:color="auto"/>
      </w:divBdr>
    </w:div>
    <w:div w:id="223564338">
      <w:bodyDiv w:val="1"/>
      <w:marLeft w:val="0"/>
      <w:marRight w:val="0"/>
      <w:marTop w:val="0"/>
      <w:marBottom w:val="0"/>
      <w:divBdr>
        <w:top w:val="none" w:sz="0" w:space="0" w:color="auto"/>
        <w:left w:val="none" w:sz="0" w:space="0" w:color="auto"/>
        <w:bottom w:val="none" w:sz="0" w:space="0" w:color="auto"/>
        <w:right w:val="none" w:sz="0" w:space="0" w:color="auto"/>
      </w:divBdr>
    </w:div>
    <w:div w:id="268394415">
      <w:bodyDiv w:val="1"/>
      <w:marLeft w:val="0"/>
      <w:marRight w:val="0"/>
      <w:marTop w:val="0"/>
      <w:marBottom w:val="0"/>
      <w:divBdr>
        <w:top w:val="none" w:sz="0" w:space="0" w:color="auto"/>
        <w:left w:val="none" w:sz="0" w:space="0" w:color="auto"/>
        <w:bottom w:val="none" w:sz="0" w:space="0" w:color="auto"/>
        <w:right w:val="none" w:sz="0" w:space="0" w:color="auto"/>
      </w:divBdr>
    </w:div>
    <w:div w:id="365371808">
      <w:bodyDiv w:val="1"/>
      <w:marLeft w:val="0"/>
      <w:marRight w:val="0"/>
      <w:marTop w:val="0"/>
      <w:marBottom w:val="0"/>
      <w:divBdr>
        <w:top w:val="none" w:sz="0" w:space="0" w:color="auto"/>
        <w:left w:val="none" w:sz="0" w:space="0" w:color="auto"/>
        <w:bottom w:val="none" w:sz="0" w:space="0" w:color="auto"/>
        <w:right w:val="none" w:sz="0" w:space="0" w:color="auto"/>
      </w:divBdr>
    </w:div>
    <w:div w:id="402879058">
      <w:bodyDiv w:val="1"/>
      <w:marLeft w:val="0"/>
      <w:marRight w:val="0"/>
      <w:marTop w:val="0"/>
      <w:marBottom w:val="0"/>
      <w:divBdr>
        <w:top w:val="none" w:sz="0" w:space="0" w:color="auto"/>
        <w:left w:val="none" w:sz="0" w:space="0" w:color="auto"/>
        <w:bottom w:val="none" w:sz="0" w:space="0" w:color="auto"/>
        <w:right w:val="none" w:sz="0" w:space="0" w:color="auto"/>
      </w:divBdr>
    </w:div>
    <w:div w:id="408506457">
      <w:bodyDiv w:val="1"/>
      <w:marLeft w:val="0"/>
      <w:marRight w:val="0"/>
      <w:marTop w:val="0"/>
      <w:marBottom w:val="0"/>
      <w:divBdr>
        <w:top w:val="none" w:sz="0" w:space="0" w:color="auto"/>
        <w:left w:val="none" w:sz="0" w:space="0" w:color="auto"/>
        <w:bottom w:val="none" w:sz="0" w:space="0" w:color="auto"/>
        <w:right w:val="none" w:sz="0" w:space="0" w:color="auto"/>
      </w:divBdr>
    </w:div>
    <w:div w:id="414909470">
      <w:bodyDiv w:val="1"/>
      <w:marLeft w:val="0"/>
      <w:marRight w:val="0"/>
      <w:marTop w:val="0"/>
      <w:marBottom w:val="0"/>
      <w:divBdr>
        <w:top w:val="none" w:sz="0" w:space="0" w:color="auto"/>
        <w:left w:val="none" w:sz="0" w:space="0" w:color="auto"/>
        <w:bottom w:val="none" w:sz="0" w:space="0" w:color="auto"/>
        <w:right w:val="none" w:sz="0" w:space="0" w:color="auto"/>
      </w:divBdr>
    </w:div>
    <w:div w:id="501700382">
      <w:bodyDiv w:val="1"/>
      <w:marLeft w:val="0"/>
      <w:marRight w:val="0"/>
      <w:marTop w:val="0"/>
      <w:marBottom w:val="0"/>
      <w:divBdr>
        <w:top w:val="none" w:sz="0" w:space="0" w:color="auto"/>
        <w:left w:val="none" w:sz="0" w:space="0" w:color="auto"/>
        <w:bottom w:val="none" w:sz="0" w:space="0" w:color="auto"/>
        <w:right w:val="none" w:sz="0" w:space="0" w:color="auto"/>
      </w:divBdr>
    </w:div>
    <w:div w:id="531848991">
      <w:bodyDiv w:val="1"/>
      <w:marLeft w:val="0"/>
      <w:marRight w:val="0"/>
      <w:marTop w:val="0"/>
      <w:marBottom w:val="0"/>
      <w:divBdr>
        <w:top w:val="none" w:sz="0" w:space="0" w:color="auto"/>
        <w:left w:val="none" w:sz="0" w:space="0" w:color="auto"/>
        <w:bottom w:val="none" w:sz="0" w:space="0" w:color="auto"/>
        <w:right w:val="none" w:sz="0" w:space="0" w:color="auto"/>
      </w:divBdr>
    </w:div>
    <w:div w:id="538317487">
      <w:bodyDiv w:val="1"/>
      <w:marLeft w:val="0"/>
      <w:marRight w:val="0"/>
      <w:marTop w:val="0"/>
      <w:marBottom w:val="0"/>
      <w:divBdr>
        <w:top w:val="none" w:sz="0" w:space="0" w:color="auto"/>
        <w:left w:val="none" w:sz="0" w:space="0" w:color="auto"/>
        <w:bottom w:val="none" w:sz="0" w:space="0" w:color="auto"/>
        <w:right w:val="none" w:sz="0" w:space="0" w:color="auto"/>
      </w:divBdr>
    </w:div>
    <w:div w:id="552078038">
      <w:bodyDiv w:val="1"/>
      <w:marLeft w:val="0"/>
      <w:marRight w:val="0"/>
      <w:marTop w:val="0"/>
      <w:marBottom w:val="0"/>
      <w:divBdr>
        <w:top w:val="none" w:sz="0" w:space="0" w:color="auto"/>
        <w:left w:val="none" w:sz="0" w:space="0" w:color="auto"/>
        <w:bottom w:val="none" w:sz="0" w:space="0" w:color="auto"/>
        <w:right w:val="none" w:sz="0" w:space="0" w:color="auto"/>
      </w:divBdr>
    </w:div>
    <w:div w:id="573009418">
      <w:bodyDiv w:val="1"/>
      <w:marLeft w:val="0"/>
      <w:marRight w:val="0"/>
      <w:marTop w:val="0"/>
      <w:marBottom w:val="0"/>
      <w:divBdr>
        <w:top w:val="none" w:sz="0" w:space="0" w:color="auto"/>
        <w:left w:val="none" w:sz="0" w:space="0" w:color="auto"/>
        <w:bottom w:val="none" w:sz="0" w:space="0" w:color="auto"/>
        <w:right w:val="none" w:sz="0" w:space="0" w:color="auto"/>
      </w:divBdr>
    </w:div>
    <w:div w:id="577446122">
      <w:bodyDiv w:val="1"/>
      <w:marLeft w:val="0"/>
      <w:marRight w:val="0"/>
      <w:marTop w:val="0"/>
      <w:marBottom w:val="0"/>
      <w:divBdr>
        <w:top w:val="none" w:sz="0" w:space="0" w:color="auto"/>
        <w:left w:val="none" w:sz="0" w:space="0" w:color="auto"/>
        <w:bottom w:val="none" w:sz="0" w:space="0" w:color="auto"/>
        <w:right w:val="none" w:sz="0" w:space="0" w:color="auto"/>
      </w:divBdr>
    </w:div>
    <w:div w:id="604963419">
      <w:bodyDiv w:val="1"/>
      <w:marLeft w:val="0"/>
      <w:marRight w:val="0"/>
      <w:marTop w:val="0"/>
      <w:marBottom w:val="0"/>
      <w:divBdr>
        <w:top w:val="none" w:sz="0" w:space="0" w:color="auto"/>
        <w:left w:val="none" w:sz="0" w:space="0" w:color="auto"/>
        <w:bottom w:val="none" w:sz="0" w:space="0" w:color="auto"/>
        <w:right w:val="none" w:sz="0" w:space="0" w:color="auto"/>
      </w:divBdr>
    </w:div>
    <w:div w:id="637955084">
      <w:bodyDiv w:val="1"/>
      <w:marLeft w:val="0"/>
      <w:marRight w:val="0"/>
      <w:marTop w:val="0"/>
      <w:marBottom w:val="0"/>
      <w:divBdr>
        <w:top w:val="none" w:sz="0" w:space="0" w:color="auto"/>
        <w:left w:val="none" w:sz="0" w:space="0" w:color="auto"/>
        <w:bottom w:val="none" w:sz="0" w:space="0" w:color="auto"/>
        <w:right w:val="none" w:sz="0" w:space="0" w:color="auto"/>
      </w:divBdr>
    </w:div>
    <w:div w:id="695354202">
      <w:bodyDiv w:val="1"/>
      <w:marLeft w:val="0"/>
      <w:marRight w:val="0"/>
      <w:marTop w:val="0"/>
      <w:marBottom w:val="0"/>
      <w:divBdr>
        <w:top w:val="none" w:sz="0" w:space="0" w:color="auto"/>
        <w:left w:val="none" w:sz="0" w:space="0" w:color="auto"/>
        <w:bottom w:val="none" w:sz="0" w:space="0" w:color="auto"/>
        <w:right w:val="none" w:sz="0" w:space="0" w:color="auto"/>
      </w:divBdr>
    </w:div>
    <w:div w:id="730225705">
      <w:bodyDiv w:val="1"/>
      <w:marLeft w:val="0"/>
      <w:marRight w:val="0"/>
      <w:marTop w:val="0"/>
      <w:marBottom w:val="0"/>
      <w:divBdr>
        <w:top w:val="none" w:sz="0" w:space="0" w:color="auto"/>
        <w:left w:val="none" w:sz="0" w:space="0" w:color="auto"/>
        <w:bottom w:val="none" w:sz="0" w:space="0" w:color="auto"/>
        <w:right w:val="none" w:sz="0" w:space="0" w:color="auto"/>
      </w:divBdr>
    </w:div>
    <w:div w:id="803549568">
      <w:bodyDiv w:val="1"/>
      <w:marLeft w:val="0"/>
      <w:marRight w:val="0"/>
      <w:marTop w:val="0"/>
      <w:marBottom w:val="0"/>
      <w:divBdr>
        <w:top w:val="none" w:sz="0" w:space="0" w:color="auto"/>
        <w:left w:val="none" w:sz="0" w:space="0" w:color="auto"/>
        <w:bottom w:val="none" w:sz="0" w:space="0" w:color="auto"/>
        <w:right w:val="none" w:sz="0" w:space="0" w:color="auto"/>
      </w:divBdr>
    </w:div>
    <w:div w:id="812410736">
      <w:bodyDiv w:val="1"/>
      <w:marLeft w:val="0"/>
      <w:marRight w:val="0"/>
      <w:marTop w:val="0"/>
      <w:marBottom w:val="0"/>
      <w:divBdr>
        <w:top w:val="none" w:sz="0" w:space="0" w:color="auto"/>
        <w:left w:val="none" w:sz="0" w:space="0" w:color="auto"/>
        <w:bottom w:val="none" w:sz="0" w:space="0" w:color="auto"/>
        <w:right w:val="none" w:sz="0" w:space="0" w:color="auto"/>
      </w:divBdr>
    </w:div>
    <w:div w:id="881527064">
      <w:bodyDiv w:val="1"/>
      <w:marLeft w:val="0"/>
      <w:marRight w:val="0"/>
      <w:marTop w:val="0"/>
      <w:marBottom w:val="0"/>
      <w:divBdr>
        <w:top w:val="none" w:sz="0" w:space="0" w:color="auto"/>
        <w:left w:val="none" w:sz="0" w:space="0" w:color="auto"/>
        <w:bottom w:val="none" w:sz="0" w:space="0" w:color="auto"/>
        <w:right w:val="none" w:sz="0" w:space="0" w:color="auto"/>
      </w:divBdr>
    </w:div>
    <w:div w:id="939339688">
      <w:bodyDiv w:val="1"/>
      <w:marLeft w:val="0"/>
      <w:marRight w:val="0"/>
      <w:marTop w:val="0"/>
      <w:marBottom w:val="0"/>
      <w:divBdr>
        <w:top w:val="none" w:sz="0" w:space="0" w:color="auto"/>
        <w:left w:val="none" w:sz="0" w:space="0" w:color="auto"/>
        <w:bottom w:val="none" w:sz="0" w:space="0" w:color="auto"/>
        <w:right w:val="none" w:sz="0" w:space="0" w:color="auto"/>
      </w:divBdr>
    </w:div>
    <w:div w:id="980423852">
      <w:bodyDiv w:val="1"/>
      <w:marLeft w:val="0"/>
      <w:marRight w:val="0"/>
      <w:marTop w:val="0"/>
      <w:marBottom w:val="0"/>
      <w:divBdr>
        <w:top w:val="none" w:sz="0" w:space="0" w:color="auto"/>
        <w:left w:val="none" w:sz="0" w:space="0" w:color="auto"/>
        <w:bottom w:val="none" w:sz="0" w:space="0" w:color="auto"/>
        <w:right w:val="none" w:sz="0" w:space="0" w:color="auto"/>
      </w:divBdr>
    </w:div>
    <w:div w:id="1012143729">
      <w:bodyDiv w:val="1"/>
      <w:marLeft w:val="0"/>
      <w:marRight w:val="0"/>
      <w:marTop w:val="0"/>
      <w:marBottom w:val="0"/>
      <w:divBdr>
        <w:top w:val="none" w:sz="0" w:space="0" w:color="auto"/>
        <w:left w:val="none" w:sz="0" w:space="0" w:color="auto"/>
        <w:bottom w:val="none" w:sz="0" w:space="0" w:color="auto"/>
        <w:right w:val="none" w:sz="0" w:space="0" w:color="auto"/>
      </w:divBdr>
    </w:div>
    <w:div w:id="1017586424">
      <w:bodyDiv w:val="1"/>
      <w:marLeft w:val="0"/>
      <w:marRight w:val="0"/>
      <w:marTop w:val="0"/>
      <w:marBottom w:val="0"/>
      <w:divBdr>
        <w:top w:val="none" w:sz="0" w:space="0" w:color="auto"/>
        <w:left w:val="none" w:sz="0" w:space="0" w:color="auto"/>
        <w:bottom w:val="none" w:sz="0" w:space="0" w:color="auto"/>
        <w:right w:val="none" w:sz="0" w:space="0" w:color="auto"/>
      </w:divBdr>
    </w:div>
    <w:div w:id="1151940729">
      <w:bodyDiv w:val="1"/>
      <w:marLeft w:val="0"/>
      <w:marRight w:val="0"/>
      <w:marTop w:val="0"/>
      <w:marBottom w:val="0"/>
      <w:divBdr>
        <w:top w:val="none" w:sz="0" w:space="0" w:color="auto"/>
        <w:left w:val="none" w:sz="0" w:space="0" w:color="auto"/>
        <w:bottom w:val="none" w:sz="0" w:space="0" w:color="auto"/>
        <w:right w:val="none" w:sz="0" w:space="0" w:color="auto"/>
      </w:divBdr>
    </w:div>
    <w:div w:id="1167473998">
      <w:bodyDiv w:val="1"/>
      <w:marLeft w:val="0"/>
      <w:marRight w:val="0"/>
      <w:marTop w:val="0"/>
      <w:marBottom w:val="0"/>
      <w:divBdr>
        <w:top w:val="none" w:sz="0" w:space="0" w:color="auto"/>
        <w:left w:val="none" w:sz="0" w:space="0" w:color="auto"/>
        <w:bottom w:val="none" w:sz="0" w:space="0" w:color="auto"/>
        <w:right w:val="none" w:sz="0" w:space="0" w:color="auto"/>
      </w:divBdr>
    </w:div>
    <w:div w:id="1173257256">
      <w:bodyDiv w:val="1"/>
      <w:marLeft w:val="0"/>
      <w:marRight w:val="0"/>
      <w:marTop w:val="0"/>
      <w:marBottom w:val="0"/>
      <w:divBdr>
        <w:top w:val="none" w:sz="0" w:space="0" w:color="auto"/>
        <w:left w:val="none" w:sz="0" w:space="0" w:color="auto"/>
        <w:bottom w:val="none" w:sz="0" w:space="0" w:color="auto"/>
        <w:right w:val="none" w:sz="0" w:space="0" w:color="auto"/>
      </w:divBdr>
    </w:div>
    <w:div w:id="1210143116">
      <w:bodyDiv w:val="1"/>
      <w:marLeft w:val="0"/>
      <w:marRight w:val="0"/>
      <w:marTop w:val="0"/>
      <w:marBottom w:val="0"/>
      <w:divBdr>
        <w:top w:val="none" w:sz="0" w:space="0" w:color="auto"/>
        <w:left w:val="none" w:sz="0" w:space="0" w:color="auto"/>
        <w:bottom w:val="none" w:sz="0" w:space="0" w:color="auto"/>
        <w:right w:val="none" w:sz="0" w:space="0" w:color="auto"/>
      </w:divBdr>
    </w:div>
    <w:div w:id="1236428186">
      <w:bodyDiv w:val="1"/>
      <w:marLeft w:val="0"/>
      <w:marRight w:val="0"/>
      <w:marTop w:val="0"/>
      <w:marBottom w:val="0"/>
      <w:divBdr>
        <w:top w:val="none" w:sz="0" w:space="0" w:color="auto"/>
        <w:left w:val="none" w:sz="0" w:space="0" w:color="auto"/>
        <w:bottom w:val="none" w:sz="0" w:space="0" w:color="auto"/>
        <w:right w:val="none" w:sz="0" w:space="0" w:color="auto"/>
      </w:divBdr>
    </w:div>
    <w:div w:id="1298531666">
      <w:bodyDiv w:val="1"/>
      <w:marLeft w:val="0"/>
      <w:marRight w:val="0"/>
      <w:marTop w:val="0"/>
      <w:marBottom w:val="0"/>
      <w:divBdr>
        <w:top w:val="none" w:sz="0" w:space="0" w:color="auto"/>
        <w:left w:val="none" w:sz="0" w:space="0" w:color="auto"/>
        <w:bottom w:val="none" w:sz="0" w:space="0" w:color="auto"/>
        <w:right w:val="none" w:sz="0" w:space="0" w:color="auto"/>
      </w:divBdr>
    </w:div>
    <w:div w:id="1303344853">
      <w:bodyDiv w:val="1"/>
      <w:marLeft w:val="0"/>
      <w:marRight w:val="0"/>
      <w:marTop w:val="0"/>
      <w:marBottom w:val="0"/>
      <w:divBdr>
        <w:top w:val="none" w:sz="0" w:space="0" w:color="auto"/>
        <w:left w:val="none" w:sz="0" w:space="0" w:color="auto"/>
        <w:bottom w:val="none" w:sz="0" w:space="0" w:color="auto"/>
        <w:right w:val="none" w:sz="0" w:space="0" w:color="auto"/>
      </w:divBdr>
    </w:div>
    <w:div w:id="1411584715">
      <w:bodyDiv w:val="1"/>
      <w:marLeft w:val="0"/>
      <w:marRight w:val="0"/>
      <w:marTop w:val="0"/>
      <w:marBottom w:val="0"/>
      <w:divBdr>
        <w:top w:val="none" w:sz="0" w:space="0" w:color="auto"/>
        <w:left w:val="none" w:sz="0" w:space="0" w:color="auto"/>
        <w:bottom w:val="none" w:sz="0" w:space="0" w:color="auto"/>
        <w:right w:val="none" w:sz="0" w:space="0" w:color="auto"/>
      </w:divBdr>
    </w:div>
    <w:div w:id="1422945814">
      <w:bodyDiv w:val="1"/>
      <w:marLeft w:val="0"/>
      <w:marRight w:val="0"/>
      <w:marTop w:val="0"/>
      <w:marBottom w:val="0"/>
      <w:divBdr>
        <w:top w:val="none" w:sz="0" w:space="0" w:color="auto"/>
        <w:left w:val="none" w:sz="0" w:space="0" w:color="auto"/>
        <w:bottom w:val="none" w:sz="0" w:space="0" w:color="auto"/>
        <w:right w:val="none" w:sz="0" w:space="0" w:color="auto"/>
      </w:divBdr>
    </w:div>
    <w:div w:id="1437754239">
      <w:bodyDiv w:val="1"/>
      <w:marLeft w:val="0"/>
      <w:marRight w:val="0"/>
      <w:marTop w:val="0"/>
      <w:marBottom w:val="0"/>
      <w:divBdr>
        <w:top w:val="none" w:sz="0" w:space="0" w:color="auto"/>
        <w:left w:val="none" w:sz="0" w:space="0" w:color="auto"/>
        <w:bottom w:val="none" w:sz="0" w:space="0" w:color="auto"/>
        <w:right w:val="none" w:sz="0" w:space="0" w:color="auto"/>
      </w:divBdr>
    </w:div>
    <w:div w:id="1452743254">
      <w:bodyDiv w:val="1"/>
      <w:marLeft w:val="0"/>
      <w:marRight w:val="0"/>
      <w:marTop w:val="0"/>
      <w:marBottom w:val="0"/>
      <w:divBdr>
        <w:top w:val="none" w:sz="0" w:space="0" w:color="auto"/>
        <w:left w:val="none" w:sz="0" w:space="0" w:color="auto"/>
        <w:bottom w:val="none" w:sz="0" w:space="0" w:color="auto"/>
        <w:right w:val="none" w:sz="0" w:space="0" w:color="auto"/>
      </w:divBdr>
    </w:div>
    <w:div w:id="1488866246">
      <w:bodyDiv w:val="1"/>
      <w:marLeft w:val="0"/>
      <w:marRight w:val="0"/>
      <w:marTop w:val="0"/>
      <w:marBottom w:val="0"/>
      <w:divBdr>
        <w:top w:val="none" w:sz="0" w:space="0" w:color="auto"/>
        <w:left w:val="none" w:sz="0" w:space="0" w:color="auto"/>
        <w:bottom w:val="none" w:sz="0" w:space="0" w:color="auto"/>
        <w:right w:val="none" w:sz="0" w:space="0" w:color="auto"/>
      </w:divBdr>
    </w:div>
    <w:div w:id="1510869982">
      <w:bodyDiv w:val="1"/>
      <w:marLeft w:val="0"/>
      <w:marRight w:val="0"/>
      <w:marTop w:val="0"/>
      <w:marBottom w:val="0"/>
      <w:divBdr>
        <w:top w:val="none" w:sz="0" w:space="0" w:color="auto"/>
        <w:left w:val="none" w:sz="0" w:space="0" w:color="auto"/>
        <w:bottom w:val="none" w:sz="0" w:space="0" w:color="auto"/>
        <w:right w:val="none" w:sz="0" w:space="0" w:color="auto"/>
      </w:divBdr>
    </w:div>
    <w:div w:id="1579510567">
      <w:bodyDiv w:val="1"/>
      <w:marLeft w:val="0"/>
      <w:marRight w:val="0"/>
      <w:marTop w:val="0"/>
      <w:marBottom w:val="0"/>
      <w:divBdr>
        <w:top w:val="none" w:sz="0" w:space="0" w:color="auto"/>
        <w:left w:val="none" w:sz="0" w:space="0" w:color="auto"/>
        <w:bottom w:val="none" w:sz="0" w:space="0" w:color="auto"/>
        <w:right w:val="none" w:sz="0" w:space="0" w:color="auto"/>
      </w:divBdr>
    </w:div>
    <w:div w:id="1616521668">
      <w:bodyDiv w:val="1"/>
      <w:marLeft w:val="0"/>
      <w:marRight w:val="0"/>
      <w:marTop w:val="0"/>
      <w:marBottom w:val="0"/>
      <w:divBdr>
        <w:top w:val="none" w:sz="0" w:space="0" w:color="auto"/>
        <w:left w:val="none" w:sz="0" w:space="0" w:color="auto"/>
        <w:bottom w:val="none" w:sz="0" w:space="0" w:color="auto"/>
        <w:right w:val="none" w:sz="0" w:space="0" w:color="auto"/>
      </w:divBdr>
    </w:div>
    <w:div w:id="1707488317">
      <w:bodyDiv w:val="1"/>
      <w:marLeft w:val="0"/>
      <w:marRight w:val="0"/>
      <w:marTop w:val="0"/>
      <w:marBottom w:val="0"/>
      <w:divBdr>
        <w:top w:val="none" w:sz="0" w:space="0" w:color="auto"/>
        <w:left w:val="none" w:sz="0" w:space="0" w:color="auto"/>
        <w:bottom w:val="none" w:sz="0" w:space="0" w:color="auto"/>
        <w:right w:val="none" w:sz="0" w:space="0" w:color="auto"/>
      </w:divBdr>
    </w:div>
    <w:div w:id="1728332705">
      <w:bodyDiv w:val="1"/>
      <w:marLeft w:val="0"/>
      <w:marRight w:val="0"/>
      <w:marTop w:val="0"/>
      <w:marBottom w:val="0"/>
      <w:divBdr>
        <w:top w:val="none" w:sz="0" w:space="0" w:color="auto"/>
        <w:left w:val="none" w:sz="0" w:space="0" w:color="auto"/>
        <w:bottom w:val="none" w:sz="0" w:space="0" w:color="auto"/>
        <w:right w:val="none" w:sz="0" w:space="0" w:color="auto"/>
      </w:divBdr>
    </w:div>
    <w:div w:id="1782802483">
      <w:bodyDiv w:val="1"/>
      <w:marLeft w:val="0"/>
      <w:marRight w:val="0"/>
      <w:marTop w:val="0"/>
      <w:marBottom w:val="0"/>
      <w:divBdr>
        <w:top w:val="none" w:sz="0" w:space="0" w:color="auto"/>
        <w:left w:val="none" w:sz="0" w:space="0" w:color="auto"/>
        <w:bottom w:val="none" w:sz="0" w:space="0" w:color="auto"/>
        <w:right w:val="none" w:sz="0" w:space="0" w:color="auto"/>
      </w:divBdr>
    </w:div>
    <w:div w:id="1800536721">
      <w:bodyDiv w:val="1"/>
      <w:marLeft w:val="0"/>
      <w:marRight w:val="0"/>
      <w:marTop w:val="0"/>
      <w:marBottom w:val="0"/>
      <w:divBdr>
        <w:top w:val="none" w:sz="0" w:space="0" w:color="auto"/>
        <w:left w:val="none" w:sz="0" w:space="0" w:color="auto"/>
        <w:bottom w:val="none" w:sz="0" w:space="0" w:color="auto"/>
        <w:right w:val="none" w:sz="0" w:space="0" w:color="auto"/>
      </w:divBdr>
    </w:div>
    <w:div w:id="1843424871">
      <w:bodyDiv w:val="1"/>
      <w:marLeft w:val="0"/>
      <w:marRight w:val="0"/>
      <w:marTop w:val="0"/>
      <w:marBottom w:val="0"/>
      <w:divBdr>
        <w:top w:val="none" w:sz="0" w:space="0" w:color="auto"/>
        <w:left w:val="none" w:sz="0" w:space="0" w:color="auto"/>
        <w:bottom w:val="none" w:sz="0" w:space="0" w:color="auto"/>
        <w:right w:val="none" w:sz="0" w:space="0" w:color="auto"/>
      </w:divBdr>
    </w:div>
    <w:div w:id="1868330735">
      <w:bodyDiv w:val="1"/>
      <w:marLeft w:val="0"/>
      <w:marRight w:val="0"/>
      <w:marTop w:val="0"/>
      <w:marBottom w:val="0"/>
      <w:divBdr>
        <w:top w:val="none" w:sz="0" w:space="0" w:color="auto"/>
        <w:left w:val="none" w:sz="0" w:space="0" w:color="auto"/>
        <w:bottom w:val="none" w:sz="0" w:space="0" w:color="auto"/>
        <w:right w:val="none" w:sz="0" w:space="0" w:color="auto"/>
      </w:divBdr>
    </w:div>
    <w:div w:id="1876768325">
      <w:bodyDiv w:val="1"/>
      <w:marLeft w:val="0"/>
      <w:marRight w:val="0"/>
      <w:marTop w:val="0"/>
      <w:marBottom w:val="0"/>
      <w:divBdr>
        <w:top w:val="none" w:sz="0" w:space="0" w:color="auto"/>
        <w:left w:val="none" w:sz="0" w:space="0" w:color="auto"/>
        <w:bottom w:val="none" w:sz="0" w:space="0" w:color="auto"/>
        <w:right w:val="none" w:sz="0" w:space="0" w:color="auto"/>
      </w:divBdr>
    </w:div>
    <w:div w:id="1886485122">
      <w:bodyDiv w:val="1"/>
      <w:marLeft w:val="0"/>
      <w:marRight w:val="0"/>
      <w:marTop w:val="0"/>
      <w:marBottom w:val="0"/>
      <w:divBdr>
        <w:top w:val="none" w:sz="0" w:space="0" w:color="auto"/>
        <w:left w:val="none" w:sz="0" w:space="0" w:color="auto"/>
        <w:bottom w:val="none" w:sz="0" w:space="0" w:color="auto"/>
        <w:right w:val="none" w:sz="0" w:space="0" w:color="auto"/>
      </w:divBdr>
    </w:div>
    <w:div w:id="1927031849">
      <w:bodyDiv w:val="1"/>
      <w:marLeft w:val="0"/>
      <w:marRight w:val="0"/>
      <w:marTop w:val="0"/>
      <w:marBottom w:val="0"/>
      <w:divBdr>
        <w:top w:val="none" w:sz="0" w:space="0" w:color="auto"/>
        <w:left w:val="none" w:sz="0" w:space="0" w:color="auto"/>
        <w:bottom w:val="none" w:sz="0" w:space="0" w:color="auto"/>
        <w:right w:val="none" w:sz="0" w:space="0" w:color="auto"/>
      </w:divBdr>
    </w:div>
    <w:div w:id="1962154071">
      <w:bodyDiv w:val="1"/>
      <w:marLeft w:val="0"/>
      <w:marRight w:val="0"/>
      <w:marTop w:val="0"/>
      <w:marBottom w:val="0"/>
      <w:divBdr>
        <w:top w:val="none" w:sz="0" w:space="0" w:color="auto"/>
        <w:left w:val="none" w:sz="0" w:space="0" w:color="auto"/>
        <w:bottom w:val="none" w:sz="0" w:space="0" w:color="auto"/>
        <w:right w:val="none" w:sz="0" w:space="0" w:color="auto"/>
      </w:divBdr>
    </w:div>
    <w:div w:id="2003047896">
      <w:bodyDiv w:val="1"/>
      <w:marLeft w:val="0"/>
      <w:marRight w:val="0"/>
      <w:marTop w:val="0"/>
      <w:marBottom w:val="0"/>
      <w:divBdr>
        <w:top w:val="none" w:sz="0" w:space="0" w:color="auto"/>
        <w:left w:val="none" w:sz="0" w:space="0" w:color="auto"/>
        <w:bottom w:val="none" w:sz="0" w:space="0" w:color="auto"/>
        <w:right w:val="none" w:sz="0" w:space="0" w:color="auto"/>
      </w:divBdr>
    </w:div>
    <w:div w:id="2065636712">
      <w:bodyDiv w:val="1"/>
      <w:marLeft w:val="0"/>
      <w:marRight w:val="0"/>
      <w:marTop w:val="0"/>
      <w:marBottom w:val="0"/>
      <w:divBdr>
        <w:top w:val="none" w:sz="0" w:space="0" w:color="auto"/>
        <w:left w:val="none" w:sz="0" w:space="0" w:color="auto"/>
        <w:bottom w:val="none" w:sz="0" w:space="0" w:color="auto"/>
        <w:right w:val="none" w:sz="0" w:space="0" w:color="auto"/>
      </w:divBdr>
    </w:div>
    <w:div w:id="2088960068">
      <w:bodyDiv w:val="1"/>
      <w:marLeft w:val="0"/>
      <w:marRight w:val="0"/>
      <w:marTop w:val="0"/>
      <w:marBottom w:val="0"/>
      <w:divBdr>
        <w:top w:val="none" w:sz="0" w:space="0" w:color="auto"/>
        <w:left w:val="none" w:sz="0" w:space="0" w:color="auto"/>
        <w:bottom w:val="none" w:sz="0" w:space="0" w:color="auto"/>
        <w:right w:val="none" w:sz="0" w:space="0" w:color="auto"/>
      </w:divBdr>
    </w:div>
    <w:div w:id="2114587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blog.blackcurve.com/author/moira-mccormic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Moi23</b:Tag>
    <b:SourceType>JournalArticle</b:SourceType>
    <b:Guid>{D2CCAD05-BF62-4D06-8E95-620689D3F824}</b:Guid>
    <b:Title>What is Profit Maximisation?</b:Title>
    <b:Year>2023</b:Year>
    <b:Author>
      <b:Author>
        <b:NameList>
          <b:Person>
            <b:Last>McCormick</b:Last>
            <b:First>Moira</b:First>
          </b:Person>
        </b:NameList>
      </b:Author>
    </b:Author>
    <b:JournalName>Blackcurve</b:JournalName>
    <b:RefOrder>1</b:RefOrder>
  </b:Source>
  <b:Source>
    <b:Tag>Vod24</b:Tag>
    <b:SourceType>InternetSite</b:SourceType>
    <b:Guid>{944361A6-1EEF-422C-9576-0CF44E5D4318}</b:Guid>
    <b:Title>Vodafone and Virgin Media O2 announce new, long-term network sharing agreement</b:Title>
    <b:Year>2024</b:Year>
    <b:URL>https://www.vodafone.com/news/corporate-and-financial/vodafone-and-virgin-media-o2-announce-new-long-term-network-sharing-agreement</b:URL>
    <b:RefOrder>2</b:RefOrder>
  </b:Source>
  <b:Source>
    <b:Tag>Mak18</b:Tag>
    <b:SourceType>InternetSite</b:SourceType>
    <b:Guid>{22F54EC4-5B0D-4645-8EE5-11BE65AEADDE}</b:Guid>
    <b:Title>Making 5G pay</b:Title>
    <b:InternetSiteTitle>Strategy&amp;part of the PwC network</b:InternetSiteTitle>
    <b:Year>2018</b:Year>
    <b:URL>https://www.strategyand.pwc.com/gx/en/insights/2019/making-5g-pay.html</b:URL>
    <b:RefOrder>3</b:RefOrder>
  </b:Source>
  <b:Source>
    <b:Tag>Uni24</b:Tag>
    <b:SourceType>InternetSite</b:SourceType>
    <b:Guid>{C129B22A-8A80-4A1E-BC52-F1DA3792BBDB}</b:Guid>
    <b:Title>Unite union makes claim as it calls on CMA to block tie-up that would bring 27m customers under one provider</b:Title>
    <b:InternetSiteTitle>The Guardian</b:InternetSiteTitle>
    <b:Year>2024</b:Year>
    <b:URL>https://www.theguardian.com/business/article/2024/aug/22/vodafone-merger-three-customers-unable-find-cheaper-deals</b:URL>
    <b:RefOrder>4</b:RefOrder>
  </b:Source>
  <b:Source>
    <b:Tag>Ada24</b:Tag>
    <b:SourceType>DocumentFromInternetSite</b:SourceType>
    <b:Guid>{F1A665A5-9A9F-46AF-A487-3ED41AA40FB7}</b:Guid>
    <b:Title>Customer protection in the mobile and broadband markets</b:Title>
    <b:InternetSiteTitle>UK Parliament</b:InternetSiteTitle>
    <b:Year>2024</b:Year>
    <b:Author>
      <b:Author>
        <b:NameList>
          <b:Person>
            <b:Last>Adam Clark</b:Last>
            <b:First>Carl</b:First>
            <b:Middle>Baker</b:Middle>
          </b:Person>
        </b:NameList>
      </b:Author>
    </b:Author>
    <b:RefOrder>5</b:RefOrder>
  </b:Source>
  <b:Source>
    <b:Tag>The24</b:Tag>
    <b:SourceType>Book</b:SourceType>
    <b:Guid>{856A3BBF-41B8-4C94-90A3-54CC8D0C7107}</b:Guid>
    <b:Title>The Mobile Economy</b:Title>
    <b:Year>2024</b:Year>
    <b:City>London</b:City>
    <b:Publisher>GSMA</b:Publisher>
    <b:RefOrder>6</b:RefOrder>
  </b:Source>
  <b:Source>
    <b:Tag>Jov18</b:Tag>
    <b:SourceType>JournalArticle</b:SourceType>
    <b:Guid>{F32EAA68-B9DC-4A0F-96D6-759C55613CA1}</b:Guid>
    <b:Title>The future of mobile operators - new businessmodels</b:Title>
    <b:Year>2018</b:Year>
    <b:Author>
      <b:Author>
        <b:NameList>
          <b:Person>
            <b:Last>Mihailovic</b:Last>
            <b:First>Jovana</b:First>
          </b:Person>
        </b:NameList>
      </b:Author>
    </b:Author>
    <b:JournalName>ournal of Sustainable Business and Management Solutions in Emerging Economies</b:JournalName>
    <b:RefOrder>7</b:RefOrder>
  </b:Source>
</b:Sources>
</file>

<file path=customXml/itemProps1.xml><?xml version="1.0" encoding="utf-8"?>
<ds:datastoreItem xmlns:ds="http://schemas.openxmlformats.org/officeDocument/2006/customXml" ds:itemID="{8E484874-A426-4E98-A3D5-6E575DBEC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4317</TotalTime>
  <Pages>9</Pages>
  <Words>2831</Words>
  <Characters>16140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Veneta Stoyanova-Georgiev</dc:creator>
  <cp:keywords/>
  <dc:description/>
  <cp:lastModifiedBy>Veneta Stoyanova-Georgieva</cp:lastModifiedBy>
  <cp:revision>14</cp:revision>
  <dcterms:created xsi:type="dcterms:W3CDTF">2024-09-27T10:38:00Z</dcterms:created>
  <dcterms:modified xsi:type="dcterms:W3CDTF">2024-10-16T10:34:00Z</dcterms:modified>
</cp:coreProperties>
</file>