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23706" w14:textId="77777777" w:rsidR="000640EB" w:rsidRDefault="000640EB" w:rsidP="00DA3080">
      <w:pPr>
        <w:rPr>
          <w:b/>
          <w:bCs/>
        </w:rPr>
      </w:pPr>
    </w:p>
    <w:p w14:paraId="1DCDFDE7" w14:textId="77777777" w:rsidR="000640EB" w:rsidRDefault="000640EB" w:rsidP="00DA3080">
      <w:pPr>
        <w:rPr>
          <w:b/>
          <w:bCs/>
        </w:rPr>
      </w:pPr>
    </w:p>
    <w:p w14:paraId="6B6A9240" w14:textId="77777777" w:rsidR="000640EB" w:rsidRDefault="000640EB" w:rsidP="00667039">
      <w:pPr>
        <w:jc w:val="center"/>
        <w:rPr>
          <w:b/>
          <w:bCs/>
        </w:rPr>
      </w:pPr>
    </w:p>
    <w:p w14:paraId="72798FB1" w14:textId="77777777" w:rsidR="000640EB" w:rsidRPr="000640EB" w:rsidRDefault="000640EB" w:rsidP="00667039">
      <w:pPr>
        <w:spacing w:line="360" w:lineRule="auto"/>
        <w:jc w:val="center"/>
        <w:rPr>
          <w:rFonts w:ascii="Arial" w:hAnsi="Arial" w:cs="Arial"/>
          <w:b/>
          <w:bCs/>
          <w:sz w:val="22"/>
          <w:szCs w:val="22"/>
        </w:rPr>
      </w:pPr>
    </w:p>
    <w:p w14:paraId="361F7233" w14:textId="77777777" w:rsidR="00334039" w:rsidRDefault="00334039" w:rsidP="00667039">
      <w:pPr>
        <w:spacing w:line="360" w:lineRule="auto"/>
        <w:jc w:val="center"/>
        <w:rPr>
          <w:rFonts w:ascii="Arial" w:hAnsi="Arial" w:cs="Arial"/>
          <w:b/>
          <w:bCs/>
          <w:sz w:val="22"/>
          <w:szCs w:val="22"/>
        </w:rPr>
      </w:pPr>
    </w:p>
    <w:p w14:paraId="41827FA8" w14:textId="77777777" w:rsidR="00334039" w:rsidRDefault="00334039" w:rsidP="00667039">
      <w:pPr>
        <w:spacing w:line="360" w:lineRule="auto"/>
        <w:jc w:val="center"/>
        <w:rPr>
          <w:rFonts w:ascii="Arial" w:hAnsi="Arial" w:cs="Arial"/>
          <w:b/>
          <w:bCs/>
          <w:sz w:val="22"/>
          <w:szCs w:val="22"/>
        </w:rPr>
      </w:pPr>
    </w:p>
    <w:p w14:paraId="22973EA8" w14:textId="77777777" w:rsidR="00334039" w:rsidRDefault="00334039" w:rsidP="00667039">
      <w:pPr>
        <w:spacing w:line="360" w:lineRule="auto"/>
        <w:jc w:val="center"/>
        <w:rPr>
          <w:rFonts w:ascii="Arial" w:hAnsi="Arial" w:cs="Arial"/>
          <w:b/>
          <w:bCs/>
          <w:sz w:val="22"/>
          <w:szCs w:val="22"/>
        </w:rPr>
      </w:pPr>
    </w:p>
    <w:p w14:paraId="2AF3178A" w14:textId="77777777" w:rsidR="00334039" w:rsidRDefault="00334039" w:rsidP="00667039">
      <w:pPr>
        <w:spacing w:line="360" w:lineRule="auto"/>
        <w:jc w:val="center"/>
        <w:rPr>
          <w:rFonts w:ascii="Arial" w:hAnsi="Arial" w:cs="Arial"/>
          <w:b/>
          <w:bCs/>
          <w:sz w:val="22"/>
          <w:szCs w:val="22"/>
        </w:rPr>
      </w:pPr>
    </w:p>
    <w:p w14:paraId="45A1F169" w14:textId="77777777" w:rsidR="00334039" w:rsidRDefault="00334039" w:rsidP="00667039">
      <w:pPr>
        <w:spacing w:line="360" w:lineRule="auto"/>
        <w:jc w:val="center"/>
        <w:rPr>
          <w:rFonts w:ascii="Arial" w:hAnsi="Arial" w:cs="Arial"/>
          <w:b/>
          <w:bCs/>
          <w:sz w:val="22"/>
          <w:szCs w:val="22"/>
        </w:rPr>
      </w:pPr>
    </w:p>
    <w:p w14:paraId="3C8A6F9D" w14:textId="4ADAC41A" w:rsidR="000640EB" w:rsidRPr="000640EB" w:rsidRDefault="000640EB" w:rsidP="00667039">
      <w:pPr>
        <w:spacing w:line="360" w:lineRule="auto"/>
        <w:jc w:val="center"/>
        <w:rPr>
          <w:rFonts w:ascii="Arial" w:hAnsi="Arial" w:cs="Arial"/>
          <w:sz w:val="22"/>
          <w:szCs w:val="22"/>
        </w:rPr>
      </w:pPr>
      <w:r w:rsidRPr="000640EB">
        <w:rPr>
          <w:rFonts w:ascii="Arial" w:hAnsi="Arial" w:cs="Arial"/>
          <w:b/>
          <w:bCs/>
          <w:sz w:val="22"/>
          <w:szCs w:val="22"/>
        </w:rPr>
        <w:t>Name:</w:t>
      </w:r>
      <w:r w:rsidRPr="000640EB">
        <w:rPr>
          <w:rFonts w:ascii="Arial" w:hAnsi="Arial" w:cs="Arial"/>
          <w:sz w:val="22"/>
          <w:szCs w:val="22"/>
        </w:rPr>
        <w:t xml:space="preserve"> Tariq Mehmood Warraich</w:t>
      </w:r>
    </w:p>
    <w:p w14:paraId="25E8ACAF" w14:textId="77777777" w:rsidR="000640EB" w:rsidRPr="000640EB" w:rsidRDefault="000640EB" w:rsidP="00667039">
      <w:pPr>
        <w:spacing w:line="360" w:lineRule="auto"/>
        <w:jc w:val="center"/>
        <w:rPr>
          <w:rFonts w:ascii="Arial" w:hAnsi="Arial" w:cs="Arial"/>
          <w:sz w:val="22"/>
          <w:szCs w:val="22"/>
        </w:rPr>
      </w:pPr>
      <w:r w:rsidRPr="000640EB">
        <w:rPr>
          <w:rFonts w:ascii="Arial" w:hAnsi="Arial" w:cs="Arial"/>
          <w:b/>
          <w:bCs/>
          <w:sz w:val="22"/>
          <w:szCs w:val="22"/>
        </w:rPr>
        <w:t>Student ID:</w:t>
      </w:r>
      <w:r w:rsidRPr="000640EB">
        <w:rPr>
          <w:rFonts w:ascii="Arial" w:hAnsi="Arial" w:cs="Arial"/>
          <w:sz w:val="22"/>
          <w:szCs w:val="22"/>
        </w:rPr>
        <w:t xml:space="preserve"> 2244964</w:t>
      </w:r>
    </w:p>
    <w:p w14:paraId="6A357676" w14:textId="77777777" w:rsidR="000640EB" w:rsidRPr="000640EB" w:rsidRDefault="000640EB" w:rsidP="00667039">
      <w:pPr>
        <w:spacing w:line="360" w:lineRule="auto"/>
        <w:jc w:val="center"/>
        <w:rPr>
          <w:rFonts w:ascii="Arial" w:hAnsi="Arial" w:cs="Arial"/>
          <w:sz w:val="22"/>
          <w:szCs w:val="22"/>
        </w:rPr>
      </w:pPr>
      <w:r w:rsidRPr="000640EB">
        <w:rPr>
          <w:rFonts w:ascii="Arial" w:hAnsi="Arial" w:cs="Arial"/>
          <w:b/>
          <w:bCs/>
          <w:sz w:val="22"/>
          <w:szCs w:val="22"/>
        </w:rPr>
        <w:t xml:space="preserve">Module: </w:t>
      </w:r>
      <w:r w:rsidRPr="000640EB">
        <w:rPr>
          <w:rFonts w:ascii="Arial" w:hAnsi="Arial" w:cs="Arial"/>
          <w:sz w:val="22"/>
          <w:szCs w:val="22"/>
        </w:rPr>
        <w:t>Health, Wellbeing and Sustainable Development</w:t>
      </w:r>
    </w:p>
    <w:p w14:paraId="200E723F" w14:textId="77777777" w:rsidR="000640EB" w:rsidRPr="000640EB" w:rsidRDefault="000640EB" w:rsidP="00667039">
      <w:pPr>
        <w:spacing w:line="360" w:lineRule="auto"/>
        <w:jc w:val="center"/>
        <w:rPr>
          <w:rFonts w:ascii="Arial" w:hAnsi="Arial" w:cs="Arial"/>
          <w:sz w:val="22"/>
          <w:szCs w:val="22"/>
        </w:rPr>
      </w:pPr>
      <w:r w:rsidRPr="000640EB">
        <w:rPr>
          <w:rFonts w:ascii="Arial" w:hAnsi="Arial" w:cs="Arial"/>
          <w:b/>
          <w:bCs/>
          <w:sz w:val="22"/>
          <w:szCs w:val="22"/>
        </w:rPr>
        <w:t xml:space="preserve">Module Code: </w:t>
      </w:r>
      <w:r w:rsidRPr="000640EB">
        <w:rPr>
          <w:rFonts w:ascii="Arial" w:hAnsi="Arial" w:cs="Arial"/>
          <w:sz w:val="22"/>
          <w:szCs w:val="22"/>
        </w:rPr>
        <w:t>BMHP6030</w:t>
      </w:r>
    </w:p>
    <w:p w14:paraId="6541AB82" w14:textId="5DB3A355" w:rsidR="000640EB" w:rsidRPr="000640EB" w:rsidRDefault="000640EB" w:rsidP="00667039">
      <w:pPr>
        <w:spacing w:line="360" w:lineRule="auto"/>
        <w:jc w:val="center"/>
        <w:rPr>
          <w:rFonts w:ascii="Arial" w:hAnsi="Arial" w:cs="Arial"/>
          <w:sz w:val="22"/>
          <w:szCs w:val="22"/>
        </w:rPr>
      </w:pPr>
      <w:r w:rsidRPr="000640EB">
        <w:rPr>
          <w:rFonts w:ascii="Arial" w:hAnsi="Arial" w:cs="Arial"/>
          <w:b/>
          <w:bCs/>
          <w:sz w:val="22"/>
          <w:szCs w:val="22"/>
        </w:rPr>
        <w:t xml:space="preserve">Assignment title: </w:t>
      </w:r>
      <w:r w:rsidRPr="000640EB">
        <w:rPr>
          <w:rFonts w:ascii="Arial" w:hAnsi="Arial" w:cs="Arial"/>
          <w:sz w:val="22"/>
          <w:szCs w:val="22"/>
        </w:rPr>
        <w:t>Component 2 Written Report</w:t>
      </w:r>
    </w:p>
    <w:p w14:paraId="235D8527" w14:textId="3EA6E234" w:rsidR="000640EB" w:rsidRPr="000640EB" w:rsidRDefault="000640EB" w:rsidP="00667039">
      <w:pPr>
        <w:spacing w:line="360" w:lineRule="auto"/>
        <w:jc w:val="center"/>
        <w:rPr>
          <w:rFonts w:ascii="Arial" w:hAnsi="Arial" w:cs="Arial"/>
          <w:sz w:val="22"/>
          <w:szCs w:val="22"/>
        </w:rPr>
      </w:pPr>
      <w:r w:rsidRPr="000640EB">
        <w:rPr>
          <w:rFonts w:ascii="Arial" w:hAnsi="Arial" w:cs="Arial"/>
          <w:b/>
          <w:bCs/>
          <w:sz w:val="22"/>
          <w:szCs w:val="22"/>
        </w:rPr>
        <w:t>Lecturer:</w:t>
      </w:r>
      <w:r w:rsidR="00667039">
        <w:rPr>
          <w:rFonts w:ascii="Arial" w:hAnsi="Arial" w:cs="Arial"/>
          <w:sz w:val="22"/>
          <w:szCs w:val="22"/>
        </w:rPr>
        <w:t xml:space="preserve"> </w:t>
      </w:r>
      <w:r w:rsidRPr="000640EB">
        <w:rPr>
          <w:rFonts w:ascii="Arial" w:hAnsi="Arial" w:cs="Arial"/>
          <w:sz w:val="22"/>
          <w:szCs w:val="22"/>
        </w:rPr>
        <w:t>Parese Ahmed</w:t>
      </w:r>
    </w:p>
    <w:p w14:paraId="43B0CE7F" w14:textId="77777777" w:rsidR="000640EB" w:rsidRPr="000640EB" w:rsidRDefault="000640EB" w:rsidP="000640EB">
      <w:pPr>
        <w:spacing w:line="360" w:lineRule="auto"/>
        <w:rPr>
          <w:rFonts w:ascii="Arial" w:hAnsi="Arial" w:cs="Arial"/>
          <w:b/>
          <w:bCs/>
          <w:sz w:val="22"/>
          <w:szCs w:val="22"/>
        </w:rPr>
      </w:pPr>
    </w:p>
    <w:p w14:paraId="0EADB62D" w14:textId="77777777" w:rsidR="000640EB" w:rsidRPr="000640EB" w:rsidRDefault="000640EB" w:rsidP="000640EB">
      <w:pPr>
        <w:spacing w:line="360" w:lineRule="auto"/>
        <w:rPr>
          <w:rFonts w:ascii="Arial" w:hAnsi="Arial" w:cs="Arial"/>
          <w:b/>
          <w:bCs/>
          <w:sz w:val="22"/>
          <w:szCs w:val="22"/>
        </w:rPr>
      </w:pPr>
    </w:p>
    <w:p w14:paraId="2332B7B6" w14:textId="77777777" w:rsidR="000640EB" w:rsidRPr="000640EB" w:rsidRDefault="000640EB" w:rsidP="000640EB">
      <w:pPr>
        <w:spacing w:line="360" w:lineRule="auto"/>
        <w:rPr>
          <w:rFonts w:ascii="Arial" w:hAnsi="Arial" w:cs="Arial"/>
          <w:b/>
          <w:bCs/>
          <w:sz w:val="22"/>
          <w:szCs w:val="22"/>
        </w:rPr>
      </w:pPr>
    </w:p>
    <w:p w14:paraId="059430FF" w14:textId="77777777" w:rsidR="000640EB" w:rsidRPr="000640EB" w:rsidRDefault="000640EB" w:rsidP="000640EB">
      <w:pPr>
        <w:spacing w:line="360" w:lineRule="auto"/>
        <w:rPr>
          <w:rFonts w:ascii="Arial" w:hAnsi="Arial" w:cs="Arial"/>
          <w:b/>
          <w:bCs/>
          <w:sz w:val="22"/>
          <w:szCs w:val="22"/>
        </w:rPr>
      </w:pPr>
    </w:p>
    <w:p w14:paraId="24B6D4F7" w14:textId="77777777" w:rsidR="000640EB" w:rsidRPr="000640EB" w:rsidRDefault="000640EB" w:rsidP="000640EB">
      <w:pPr>
        <w:spacing w:line="360" w:lineRule="auto"/>
        <w:rPr>
          <w:rFonts w:ascii="Arial" w:hAnsi="Arial" w:cs="Arial"/>
          <w:b/>
          <w:bCs/>
          <w:sz w:val="22"/>
          <w:szCs w:val="22"/>
        </w:rPr>
      </w:pPr>
    </w:p>
    <w:p w14:paraId="6248F465" w14:textId="77777777" w:rsidR="000640EB" w:rsidRPr="000640EB" w:rsidRDefault="000640EB" w:rsidP="000640EB">
      <w:pPr>
        <w:spacing w:line="360" w:lineRule="auto"/>
        <w:rPr>
          <w:rFonts w:ascii="Arial" w:hAnsi="Arial" w:cs="Arial"/>
          <w:b/>
          <w:bCs/>
          <w:sz w:val="22"/>
          <w:szCs w:val="22"/>
        </w:rPr>
      </w:pPr>
    </w:p>
    <w:p w14:paraId="301687F5" w14:textId="77777777" w:rsidR="000640EB" w:rsidRPr="000640EB" w:rsidRDefault="000640EB" w:rsidP="000640EB">
      <w:pPr>
        <w:spacing w:line="360" w:lineRule="auto"/>
        <w:rPr>
          <w:rFonts w:ascii="Arial" w:hAnsi="Arial" w:cs="Arial"/>
          <w:b/>
          <w:bCs/>
          <w:sz w:val="22"/>
          <w:szCs w:val="22"/>
        </w:rPr>
      </w:pPr>
    </w:p>
    <w:p w14:paraId="5CF63185" w14:textId="77777777" w:rsidR="000640EB" w:rsidRPr="000640EB" w:rsidRDefault="000640EB" w:rsidP="000640EB">
      <w:pPr>
        <w:spacing w:line="360" w:lineRule="auto"/>
        <w:rPr>
          <w:rFonts w:ascii="Arial" w:hAnsi="Arial" w:cs="Arial"/>
          <w:b/>
          <w:bCs/>
          <w:sz w:val="22"/>
          <w:szCs w:val="22"/>
        </w:rPr>
      </w:pPr>
    </w:p>
    <w:p w14:paraId="24F9509D" w14:textId="77777777" w:rsidR="000640EB" w:rsidRPr="000640EB" w:rsidRDefault="000640EB" w:rsidP="000640EB">
      <w:pPr>
        <w:spacing w:line="360" w:lineRule="auto"/>
        <w:rPr>
          <w:rFonts w:ascii="Arial" w:hAnsi="Arial" w:cs="Arial"/>
          <w:b/>
          <w:bCs/>
          <w:sz w:val="22"/>
          <w:szCs w:val="22"/>
        </w:rPr>
      </w:pPr>
    </w:p>
    <w:p w14:paraId="000F8116" w14:textId="77777777" w:rsidR="00C26FCB" w:rsidRDefault="00C26FCB" w:rsidP="000640EB">
      <w:pPr>
        <w:spacing w:line="360" w:lineRule="auto"/>
        <w:rPr>
          <w:rFonts w:ascii="Arial" w:hAnsi="Arial" w:cs="Arial"/>
          <w:b/>
          <w:bCs/>
          <w:sz w:val="22"/>
          <w:szCs w:val="22"/>
        </w:rPr>
      </w:pPr>
    </w:p>
    <w:p w14:paraId="2841375E"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lastRenderedPageBreak/>
        <w:t>Examination of Health, Wellbeing and Sustainability Policies and Initiatives at Global, National and Local Levels: A Focus on SDG 3 and SDG 10</w:t>
      </w:r>
    </w:p>
    <w:p w14:paraId="68F5D1E2"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Introduction</w:t>
      </w:r>
    </w:p>
    <w:p w14:paraId="3981C8E8" w14:textId="044924B4"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The Sustainable Development Goals (SDGs) provide an international framework for improving health, wellbeing and social justice (United Nations, 2015). SDG 3 aims to ensure healthy lives and promote wellbeing for all, while SDG 10 focuses on reducing inequalities within and among countries (United Nations, </w:t>
      </w:r>
      <w:proofErr w:type="spellStart"/>
      <w:r w:rsidRPr="00C26FCB">
        <w:rPr>
          <w:rFonts w:ascii="Arial" w:hAnsi="Arial" w:cs="Arial"/>
          <w:sz w:val="22"/>
          <w:szCs w:val="22"/>
        </w:rPr>
        <w:t>n</w:t>
      </w:r>
      <w:r w:rsidR="00EB73B5">
        <w:rPr>
          <w:rFonts w:ascii="Arial" w:hAnsi="Arial" w:cs="Arial"/>
          <w:sz w:val="22"/>
          <w:szCs w:val="22"/>
        </w:rPr>
        <w:t>.d</w:t>
      </w:r>
      <w:proofErr w:type="spellEnd"/>
      <w:r w:rsidRPr="00C26FCB">
        <w:rPr>
          <w:rFonts w:ascii="Arial" w:hAnsi="Arial" w:cs="Arial"/>
          <w:sz w:val="22"/>
          <w:szCs w:val="22"/>
        </w:rPr>
        <w:t>). Although the two goals are connected, they are not the same. SDG 3 is mainly concerned with health systems, prevention and access to care, whereas SDG 10 focuses more broadly on reducing exclusion and unequal opportunity.</w:t>
      </w:r>
    </w:p>
    <w:p w14:paraId="43054525"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This report critically examines current health, wellbeing and sustainability policies and initiatives linked to these goals at global, national and local levels. For SDG 3, it considers the World Health Organization’s promotion of universal health coverage, NHS England’s Core20PLUS5 framework, and Birmingham’s Health and Wellbeing Strategy. For SDG 10, it examines CARE’s Village Savings and Loan Associations, the Innovation for Healthcare Inequalities Programme, and Birmingham’s stop smoking initiative. The report applies the Social Determinants of Health framework to SDG 3 and the Health Belief Model to SDG 10 </w:t>
      </w:r>
      <w:proofErr w:type="gramStart"/>
      <w:r w:rsidRPr="00C26FCB">
        <w:rPr>
          <w:rFonts w:ascii="Arial" w:hAnsi="Arial" w:cs="Arial"/>
          <w:sz w:val="22"/>
          <w:szCs w:val="22"/>
        </w:rPr>
        <w:t>in order to</w:t>
      </w:r>
      <w:proofErr w:type="gramEnd"/>
      <w:r w:rsidRPr="00C26FCB">
        <w:rPr>
          <w:rFonts w:ascii="Arial" w:hAnsi="Arial" w:cs="Arial"/>
          <w:sz w:val="22"/>
          <w:szCs w:val="22"/>
        </w:rPr>
        <w:t xml:space="preserve"> evaluate how far these examples improve outcomes in practice (World Health Organization, 2010; Rosenstock, 1974).</w:t>
      </w:r>
    </w:p>
    <w:p w14:paraId="3C3A869E"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Section 1: SDG 3 – Good Health and Wellbeing</w:t>
      </w:r>
    </w:p>
    <w:p w14:paraId="2C4B1DA3"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SDG 3 aims to ensure healthy lives and promote wellbeing for all at all ages. It includes reducing premature mortality, improving maternal and child health, controlling disease and strengthening health systems (United Nations, no date). Critically examining current action on SDG 3 therefore requires asking whether policies improve access to care, support prevention and reduce avoidable differences in health outcomes.</w:t>
      </w:r>
    </w:p>
    <w:p w14:paraId="58BCBF92"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Global policy</w:t>
      </w:r>
    </w:p>
    <w:p w14:paraId="5C0E1735"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At the global level, the World Health Organization (WHO) has made universal health coverage (UHC) a central policy priority. UHC aims to ensure that all people can access essential health services without financial hardship (World Health Organization, 2025). WHO reports that the UHC service coverage index increased from 54 in 2000 to 71 in 2023, showing long-term progress. However, it also states that progress has slowed significantly since 2015 and that the world is not on track to achieve full UHC (World Health Organization, 2025).</w:t>
      </w:r>
    </w:p>
    <w:p w14:paraId="239D3DEC"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lastRenderedPageBreak/>
        <w:t>This suggests that WHO has been effective in shaping the global health agenda by promoting primary care, prevention and financial protection. Its main strength is that it provides leadership and guidance across countries. However, its weakness is that it cannot enforce implementation. Governments still decide how much to invest and how services are delivered. As a result, WHO has been important in setting direction for SDG 3, but less effective in ensuring equal progress between countries.</w:t>
      </w:r>
    </w:p>
    <w:p w14:paraId="625D4F43"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National policy</w:t>
      </w:r>
    </w:p>
    <w:p w14:paraId="30B6B6F3"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At the national level, NHS England’s Core20PLUS5 framework is a more targeted response. It identifies the most deprived 20% of the population, alongside other underserved groups, and prioritises five key clinical areas including cardiovascular disease, early cancer diagnosis and maternity care (NHS England, 2021). This is important because it turns a general aim to reduce health inequality into a specific healthcare policy.</w:t>
      </w:r>
    </w:p>
    <w:p w14:paraId="6C955A8C"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There is evidence that this approach has had measurable impact. NHS England reported that annual health checks for people on GP learning disability registers rose from 16.8% between April and July 2023 to 18.6% in the same period in 2024, representing more than 8,800 additional checks. It also reported that the proportion of patients with cardiovascular disease treated to NICE-recommended lipid targets increased from 23.7% in March 2021 to 27.8% in March 2023, which was estimated to have prevented over 9,000 heart attacks and strokes (NHS England, 2024).</w:t>
      </w:r>
    </w:p>
    <w:p w14:paraId="38BF97A2"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However, Core20PLUS5 also has limitations. It mainly addresses inequality within healthcare delivery, rather than the wider causes of poor health such as poverty, housing and insecure employment. It also depends on local services having the resources to deliver it effectively (NHS England, 2021). This means it is strong at identifying who should be prioritised, but weaker at changing the broader conditions that continue to damage health.</w:t>
      </w:r>
    </w:p>
    <w:p w14:paraId="2928F58C"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Local policy</w:t>
      </w:r>
    </w:p>
    <w:p w14:paraId="2360D194"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At the local level, Birmingham’s </w:t>
      </w:r>
      <w:r w:rsidRPr="00C26FCB">
        <w:rPr>
          <w:rFonts w:ascii="Arial" w:hAnsi="Arial" w:cs="Arial"/>
          <w:i/>
          <w:iCs/>
          <w:sz w:val="22"/>
          <w:szCs w:val="22"/>
        </w:rPr>
        <w:t xml:space="preserve">Creating a </w:t>
      </w:r>
      <w:proofErr w:type="gramStart"/>
      <w:r w:rsidRPr="00C26FCB">
        <w:rPr>
          <w:rFonts w:ascii="Arial" w:hAnsi="Arial" w:cs="Arial"/>
          <w:i/>
          <w:iCs/>
          <w:sz w:val="22"/>
          <w:szCs w:val="22"/>
        </w:rPr>
        <w:t>Bolder</w:t>
      </w:r>
      <w:proofErr w:type="gramEnd"/>
      <w:r w:rsidRPr="00C26FCB">
        <w:rPr>
          <w:rFonts w:ascii="Arial" w:hAnsi="Arial" w:cs="Arial"/>
          <w:i/>
          <w:iCs/>
          <w:sz w:val="22"/>
          <w:szCs w:val="22"/>
        </w:rPr>
        <w:t>, Healthier City 2022–2030</w:t>
      </w:r>
      <w:r w:rsidRPr="00C26FCB">
        <w:rPr>
          <w:rFonts w:ascii="Arial" w:hAnsi="Arial" w:cs="Arial"/>
          <w:sz w:val="22"/>
          <w:szCs w:val="22"/>
        </w:rPr>
        <w:t xml:space="preserve"> strategy sets out practical actions to improve health, not just broad aims (Birmingham City Council, 2022). For example, it supported the Feed Your Way breastfeeding campaign, a surplus food hub at Birmingham Wholesale Market, and community food projects through the Birmingham Food Legends Fund. By October 2025, the food hub had redistributed almost 88,000kg of food and was providing around 1,200 portions a week, showing that the strategy has led to real local action (Birmingham City Council, 2025a).</w:t>
      </w:r>
    </w:p>
    <w:p w14:paraId="5454ECD0"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This is a strength because it shows the strategy is addressing wider determinants of health, particularly food insecurity and prevention, through partnership working across the council, </w:t>
      </w:r>
      <w:r w:rsidRPr="00C26FCB">
        <w:rPr>
          <w:rFonts w:ascii="Arial" w:hAnsi="Arial" w:cs="Arial"/>
          <w:sz w:val="22"/>
          <w:szCs w:val="22"/>
        </w:rPr>
        <w:lastRenderedPageBreak/>
        <w:t>NHS and community sector. However, its impact appears limited by the scale of need in Birmingham. The same review reported that only 23.3% of adults were eating five portions of fruit and vegetables a day, and 27.0% of Year 6 children were living with obesity (Birmingham City Council, 2025a). This suggests that while the strategy has produced useful initiatives, it has not yet created major improvement in overall population health.</w:t>
      </w:r>
    </w:p>
    <w:p w14:paraId="590DBD6E"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Theoretical framework</w:t>
      </w:r>
    </w:p>
    <w:p w14:paraId="7F2904F1"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The Social Determinants of Health framework is useful for critically examining SDG 3 because it focuses attention on whether policies address the wider conditions that shape health, such as income, housing, education and employment (World Health Organization, 2010). This helps evaluate the policies discussed in this section. WHO’s UHC agenda and Core20PLUS5 improve access to healthcare, while Birmingham’s strategy also recognises prevention and wider local conditions. However, the framework suggests that these policies will still have limited impact if the social causes of poor health remain unchanged.</w:t>
      </w:r>
    </w:p>
    <w:p w14:paraId="63AF858A"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National evidence supports this criticism. In England in 2020–2022, life expectancy in the most deprived areas was 72.6 years for males and 77.7 years for females, compared with 83.0 and 86.1 years in the least deprived areas. Healthy life expectancy gaps were over 19 years for both sexes (Office for National Statistics, 2025). This shows that although current SDG 3 policies have improved access and targeting, they have been less successful in reducing the deeper social conditions that continue to produce poor health.</w:t>
      </w:r>
    </w:p>
    <w:p w14:paraId="5FA2DFDD"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Overall, current policy linked to SDG 3 shows progress, particularly in improving healthcare access and identifying disadvantaged groups. However, its main weakness is that health policy alone cannot fully achieve the goal while wider social determinants remain unequal. A realistic recommendation would be to strengthen preventative and community-based care while linking healthcare more closely to housing, income support and wider wellbeing services.</w:t>
      </w:r>
    </w:p>
    <w:p w14:paraId="06730E3C"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Section 2: SDG 10 – Reduced Inequalities</w:t>
      </w:r>
    </w:p>
    <w:p w14:paraId="06F5CB53"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SDG 10 aims to reduce inequality within and among countries by improving inclusion and opportunities for disadvantaged groups (United Nations, 2015). In this report, critically examining SDG 10 means assessing how far initiatives reduce exclusion, remove barriers and improve opportunities for those most likely to be left behind.</w:t>
      </w:r>
    </w:p>
    <w:p w14:paraId="1E85D31F"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Global initiative</w:t>
      </w:r>
    </w:p>
    <w:p w14:paraId="0F0106EF"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At the global level, CARE’s Village Savings and Loan Associations (VSLAs) provide a suitable example. This initiative fits SDG 10 because it focuses directly on reducing poverty </w:t>
      </w:r>
      <w:r w:rsidRPr="00C26FCB">
        <w:rPr>
          <w:rFonts w:ascii="Arial" w:hAnsi="Arial" w:cs="Arial"/>
          <w:sz w:val="22"/>
          <w:szCs w:val="22"/>
        </w:rPr>
        <w:lastRenderedPageBreak/>
        <w:t>and exclusion through financial opportunity. CARE reports that the model operates in 64 countries and reaches around 15 million members through approximately half a million groups. Its 2024 report states that, over five years, every $1 invested yields $18.85 for members, women experience almost 300% average income growth, and members are less likely to face food insecurity (CARE, 2024).</w:t>
      </w:r>
    </w:p>
    <w:p w14:paraId="3573BAEB"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These outcomes suggest that the initiative contributes to SDG 10 by improving financial independence and resilience, especially for women and low-income communities. Its strength lies in providing a practical way for disadvantaged groups to save, borrow and increase local economic security. However, it also has limits. It improves opportunities at community level but does not remove wider structural causes of inequality such as weak labour markets or national economic instability. It is therefore a useful global initiative, but not a complete solution.</w:t>
      </w:r>
    </w:p>
    <w:p w14:paraId="33D696C6"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National initiative</w:t>
      </w:r>
    </w:p>
    <w:p w14:paraId="4A62F5C2"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At the national level, the Innovation for Healthcare Inequalities Programme (</w:t>
      </w:r>
      <w:proofErr w:type="spellStart"/>
      <w:r w:rsidRPr="00C26FCB">
        <w:rPr>
          <w:rFonts w:ascii="Arial" w:hAnsi="Arial" w:cs="Arial"/>
          <w:sz w:val="22"/>
          <w:szCs w:val="22"/>
        </w:rPr>
        <w:t>InHIP</w:t>
      </w:r>
      <w:proofErr w:type="spellEnd"/>
      <w:r w:rsidRPr="00C26FCB">
        <w:rPr>
          <w:rFonts w:ascii="Arial" w:hAnsi="Arial" w:cs="Arial"/>
          <w:sz w:val="22"/>
          <w:szCs w:val="22"/>
        </w:rPr>
        <w:t>) provides a targeted English example. The programme supports local teams in improving access to proven health innovations for deprived and underserved groups. It is useful for critical examination because it includes measurable outcomes rather than broad intentions alone. According to the 2024 Impact and Learning Report, over 34,000 people from underserved groups or deprived areas benefited from Wave 1 interventions, around 8,000 patients gained access to an innovative product on a treatment pathway, and 95% of surveyed patients reported a positive experience of care (Health Innovation Network, 2024).</w:t>
      </w:r>
    </w:p>
    <w:p w14:paraId="517AE66C"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This suggests that </w:t>
      </w:r>
      <w:proofErr w:type="spellStart"/>
      <w:r w:rsidRPr="00C26FCB">
        <w:rPr>
          <w:rFonts w:ascii="Arial" w:hAnsi="Arial" w:cs="Arial"/>
          <w:sz w:val="22"/>
          <w:szCs w:val="22"/>
        </w:rPr>
        <w:t>InHIP</w:t>
      </w:r>
      <w:proofErr w:type="spellEnd"/>
      <w:r w:rsidRPr="00C26FCB">
        <w:rPr>
          <w:rFonts w:ascii="Arial" w:hAnsi="Arial" w:cs="Arial"/>
          <w:sz w:val="22"/>
          <w:szCs w:val="22"/>
        </w:rPr>
        <w:t xml:space="preserve"> is effective in reducing inequality in access. One case study found that 13 community events reached 696 people, with 424 individuals tested for atrial fibrillation and hypertension. Of these, 5.2% were referred to a GP for suspected atrial fibrillation and 43% were found to have high blood pressure requiring urgent referral or self-monitoring (Health Innovation Network, 2024). These findings show that community-based delivery can identify hidden need earlier than standard pathways.</w:t>
      </w:r>
    </w:p>
    <w:p w14:paraId="72E699FE"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However, the programme also exposes a common weakness in national initiatives: sustainability. Much of its success depends on local partnerships and whether pilots are embedded into routine services (Health Innovation Network, 2024). Without long-term commissioning, short-term gains may not lead to lasting reduction in inequality.</w:t>
      </w:r>
    </w:p>
    <w:p w14:paraId="13AEA089"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Local initiative</w:t>
      </w:r>
    </w:p>
    <w:p w14:paraId="2D51539B"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At the local level, Birmingham’s stop smoking initiative is relevant because smoking remains concentrated in disadvantaged groups. In Birmingham, adult smoking prevalence was 13.6% </w:t>
      </w:r>
      <w:r w:rsidRPr="00C26FCB">
        <w:rPr>
          <w:rFonts w:ascii="Arial" w:hAnsi="Arial" w:cs="Arial"/>
          <w:sz w:val="22"/>
          <w:szCs w:val="22"/>
        </w:rPr>
        <w:lastRenderedPageBreak/>
        <w:t>in 2022, above the England average of 12.7%. Rates were much higher among adults with a long-term mental health condition at 28.2% and among people in routine and manual occupations at 23.5% (Birmingham City Council, 2024a). This shows that smoking is a clear local inequality issue.</w:t>
      </w:r>
    </w:p>
    <w:p w14:paraId="24011EC0"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The initiative is valuable because it directs support towards groups with the highest need rather than assuming equal provision will reduce inequality. This targeted approach is a strength. However, Birmingham does not outperform England on every quit-related measure, showing that contact with services does not always lead to sustained behaviour change (Birmingham City Council, 2024a). The initiative is therefore useful, but its long-term effectiveness depends on whether it achieves lasting quits in the groups most affected.</w:t>
      </w:r>
    </w:p>
    <w:p w14:paraId="5A05837D"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Theoretical framework</w:t>
      </w:r>
    </w:p>
    <w:p w14:paraId="20924727"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The Health Belief Model is useful for critically examining the SDG 10 initiatives discussed here because it helps explain how targeted interventions improve engagement by changing perceptions of risk and barriers (Rosenstock, 1974; Janz and Becker, 1984). This is especially relevant to </w:t>
      </w:r>
      <w:proofErr w:type="spellStart"/>
      <w:r w:rsidRPr="00C26FCB">
        <w:rPr>
          <w:rFonts w:ascii="Arial" w:hAnsi="Arial" w:cs="Arial"/>
          <w:sz w:val="22"/>
          <w:szCs w:val="22"/>
        </w:rPr>
        <w:t>InHIP’s</w:t>
      </w:r>
      <w:proofErr w:type="spellEnd"/>
      <w:r w:rsidRPr="00C26FCB">
        <w:rPr>
          <w:rFonts w:ascii="Arial" w:hAnsi="Arial" w:cs="Arial"/>
          <w:sz w:val="22"/>
          <w:szCs w:val="22"/>
        </w:rPr>
        <w:t xml:space="preserve"> cardiovascular outreach. Community-based checks can increase perceived susceptibility by helping people recognise their own health risks. Delivering testing in accessible local settings can also reduce perceived barriers such as transport difficulties, appointment pressure and discomfort with formal healthcare environments.</w:t>
      </w:r>
    </w:p>
    <w:p w14:paraId="26C0567F"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This helps explain why targeted outreach was effective in reaching underserved groups. However, the model also has limitations. It focuses mainly on individual beliefs and behaviour, whereas inequality is also shaped by wider structural issues such as deprivation and social exclusion. This means the model is useful for understanding participation, but less useful for explaining the deeper causes of inequality itself.</w:t>
      </w:r>
    </w:p>
    <w:p w14:paraId="3BC309DF"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Overall, current initiatives linked to SDG 10 are most effective when they are targeted, measurable and designed around the needs of excluded groups. CARE’s work demonstrates the value of economic inclusion, </w:t>
      </w:r>
      <w:proofErr w:type="spellStart"/>
      <w:r w:rsidRPr="00C26FCB">
        <w:rPr>
          <w:rFonts w:ascii="Arial" w:hAnsi="Arial" w:cs="Arial"/>
          <w:sz w:val="22"/>
          <w:szCs w:val="22"/>
        </w:rPr>
        <w:t>InHIP</w:t>
      </w:r>
      <w:proofErr w:type="spellEnd"/>
      <w:r w:rsidRPr="00C26FCB">
        <w:rPr>
          <w:rFonts w:ascii="Arial" w:hAnsi="Arial" w:cs="Arial"/>
          <w:sz w:val="22"/>
          <w:szCs w:val="22"/>
        </w:rPr>
        <w:t xml:space="preserve"> shows how innovation can be adapted to deprived communities, and Birmingham’s stop smoking initiative highlights the importance of local targeting. However, long-term progress depends on whether successful initiatives are sustained and supported by broader structural change.</w:t>
      </w:r>
    </w:p>
    <w:p w14:paraId="445E91A5" w14:textId="77777777" w:rsidR="00C26FCB" w:rsidRPr="00C26FCB" w:rsidRDefault="00C26FCB" w:rsidP="00C26FCB">
      <w:pPr>
        <w:spacing w:line="360" w:lineRule="auto"/>
        <w:rPr>
          <w:rFonts w:ascii="Arial" w:hAnsi="Arial" w:cs="Arial"/>
          <w:b/>
          <w:bCs/>
          <w:sz w:val="22"/>
          <w:szCs w:val="22"/>
        </w:rPr>
      </w:pPr>
      <w:r w:rsidRPr="00C26FCB">
        <w:rPr>
          <w:rFonts w:ascii="Arial" w:hAnsi="Arial" w:cs="Arial"/>
          <w:b/>
          <w:bCs/>
          <w:sz w:val="22"/>
          <w:szCs w:val="22"/>
        </w:rPr>
        <w:t>Conclusion</w:t>
      </w:r>
    </w:p>
    <w:p w14:paraId="7B06346A" w14:textId="77777777" w:rsidR="00C26FCB" w:rsidRPr="00C26FCB" w:rsidRDefault="00C26FCB" w:rsidP="00C26FCB">
      <w:pPr>
        <w:spacing w:line="360" w:lineRule="auto"/>
        <w:rPr>
          <w:rFonts w:ascii="Arial" w:hAnsi="Arial" w:cs="Arial"/>
          <w:sz w:val="22"/>
          <w:szCs w:val="22"/>
        </w:rPr>
      </w:pPr>
      <w:r w:rsidRPr="00C26FCB">
        <w:rPr>
          <w:rFonts w:ascii="Arial" w:hAnsi="Arial" w:cs="Arial"/>
          <w:sz w:val="22"/>
          <w:szCs w:val="22"/>
        </w:rPr>
        <w:t xml:space="preserve">Current policies and initiatives at global, national and local levels have made some progress towards SDG 3 and SDG 10, particularly where they are targeted, evidence-based and responsive to the needs of disadvantaged groups. In relation to SDG 3, action to improve </w:t>
      </w:r>
      <w:r w:rsidRPr="00C26FCB">
        <w:rPr>
          <w:rFonts w:ascii="Arial" w:hAnsi="Arial" w:cs="Arial"/>
          <w:sz w:val="22"/>
          <w:szCs w:val="22"/>
        </w:rPr>
        <w:lastRenderedPageBreak/>
        <w:t>universal health coverage, prioritise underserved populations and strengthen local prevention has supported better access to healthcare, but has not removed the wider conditions that continue to produce poor health. In relation to SDG 10, initiatives aimed at economic inclusion, community outreach and targeted behaviour change have reduced some barriers for excluded groups, but they have not fully addressed the deeper structural causes of inequality. The overall picture is therefore one of partial progress: current policies and initiatives are valuable, but they are not sufficient on their own to achieve lasting improvements in health, wellbeing and equality without stronger long-term investment and broader social change.</w:t>
      </w:r>
    </w:p>
    <w:p w14:paraId="3751F0FD" w14:textId="77777777" w:rsidR="00C26FCB" w:rsidRPr="006F066A" w:rsidRDefault="00C26FCB" w:rsidP="000640EB">
      <w:pPr>
        <w:spacing w:line="360" w:lineRule="auto"/>
        <w:rPr>
          <w:rFonts w:ascii="Arial" w:hAnsi="Arial" w:cs="Arial"/>
          <w:sz w:val="22"/>
          <w:szCs w:val="22"/>
        </w:rPr>
      </w:pPr>
    </w:p>
    <w:p w14:paraId="7133BEF9" w14:textId="067450F1" w:rsidR="000A56E9" w:rsidRPr="00CD45E6" w:rsidRDefault="00334039" w:rsidP="000640EB">
      <w:pPr>
        <w:spacing w:line="360" w:lineRule="auto"/>
        <w:rPr>
          <w:rFonts w:ascii="Arial" w:hAnsi="Arial" w:cs="Arial"/>
          <w:b/>
          <w:bCs/>
          <w:sz w:val="22"/>
          <w:szCs w:val="22"/>
        </w:rPr>
      </w:pPr>
      <w:r w:rsidRPr="00CD45E6">
        <w:rPr>
          <w:rFonts w:ascii="Arial" w:hAnsi="Arial" w:cs="Arial"/>
          <w:b/>
          <w:bCs/>
          <w:sz w:val="22"/>
          <w:szCs w:val="22"/>
        </w:rPr>
        <w:t xml:space="preserve">Reference List </w:t>
      </w:r>
    </w:p>
    <w:p w14:paraId="3CEBBE51" w14:textId="1F0B31EE" w:rsidR="00C26FCB" w:rsidRDefault="006F066A" w:rsidP="000640EB">
      <w:pPr>
        <w:spacing w:line="360" w:lineRule="auto"/>
        <w:rPr>
          <w:rFonts w:ascii="Arial" w:hAnsi="Arial" w:cs="Arial"/>
          <w:sz w:val="22"/>
          <w:szCs w:val="22"/>
        </w:rPr>
      </w:pPr>
      <w:r w:rsidRPr="006F066A">
        <w:rPr>
          <w:rFonts w:ascii="Arial" w:hAnsi="Arial" w:cs="Arial"/>
          <w:sz w:val="22"/>
          <w:szCs w:val="22"/>
        </w:rPr>
        <w:t xml:space="preserve">Birmingham City Council (2022) </w:t>
      </w:r>
      <w:r w:rsidRPr="006F066A">
        <w:rPr>
          <w:rFonts w:ascii="Arial" w:hAnsi="Arial" w:cs="Arial"/>
          <w:i/>
          <w:iCs/>
          <w:sz w:val="22"/>
          <w:szCs w:val="22"/>
        </w:rPr>
        <w:t xml:space="preserve">Creating a </w:t>
      </w:r>
      <w:proofErr w:type="gramStart"/>
      <w:r w:rsidRPr="006F066A">
        <w:rPr>
          <w:rFonts w:ascii="Arial" w:hAnsi="Arial" w:cs="Arial"/>
          <w:i/>
          <w:iCs/>
          <w:sz w:val="22"/>
          <w:szCs w:val="22"/>
        </w:rPr>
        <w:t>bolder</w:t>
      </w:r>
      <w:proofErr w:type="gramEnd"/>
      <w:r w:rsidRPr="006F066A">
        <w:rPr>
          <w:rFonts w:ascii="Arial" w:hAnsi="Arial" w:cs="Arial"/>
          <w:i/>
          <w:iCs/>
          <w:sz w:val="22"/>
          <w:szCs w:val="22"/>
        </w:rPr>
        <w:t>, healthier city: Birmingham’s health and wellbeing strategy 2022–2030</w:t>
      </w:r>
      <w:r w:rsidRPr="006F066A">
        <w:rPr>
          <w:rFonts w:ascii="Arial" w:hAnsi="Arial" w:cs="Arial"/>
          <w:sz w:val="22"/>
          <w:szCs w:val="22"/>
        </w:rPr>
        <w:t>. Birmingham: Birmingham City Council. Available at:</w:t>
      </w:r>
      <w:r>
        <w:rPr>
          <w:rFonts w:ascii="Arial" w:hAnsi="Arial" w:cs="Arial"/>
          <w:sz w:val="22"/>
          <w:szCs w:val="22"/>
        </w:rPr>
        <w:t xml:space="preserve"> </w:t>
      </w:r>
      <w:hyperlink r:id="rId7" w:history="1">
        <w:r w:rsidRPr="006F066A">
          <w:rPr>
            <w:rStyle w:val="Hyperlink"/>
            <w:rFonts w:ascii="Arial" w:hAnsi="Arial" w:cs="Arial"/>
            <w:sz w:val="22"/>
            <w:szCs w:val="22"/>
          </w:rPr>
          <w:t>Creating a Bolder, Healthier City (2022 to 2030) | Birmingham City Council</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1</w:t>
      </w:r>
      <w:r w:rsidR="00CD45E6" w:rsidRPr="00CD45E6">
        <w:rPr>
          <w:rFonts w:ascii="Arial" w:hAnsi="Arial" w:cs="Arial"/>
          <w:sz w:val="22"/>
          <w:szCs w:val="22"/>
        </w:rPr>
        <w:t xml:space="preserve"> March 2026].</w:t>
      </w:r>
    </w:p>
    <w:p w14:paraId="07EBEC3A" w14:textId="7EF840E1"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Birmingham City Council (2025a) </w:t>
      </w:r>
      <w:r w:rsidRPr="006F066A">
        <w:rPr>
          <w:rFonts w:ascii="Arial" w:hAnsi="Arial" w:cs="Arial"/>
          <w:i/>
          <w:iCs/>
          <w:sz w:val="22"/>
          <w:szCs w:val="22"/>
        </w:rPr>
        <w:t>Health and Wellbeing Board strategy annual review 22–23</w:t>
      </w:r>
      <w:r w:rsidRPr="006F066A">
        <w:rPr>
          <w:rFonts w:ascii="Arial" w:hAnsi="Arial" w:cs="Arial"/>
          <w:sz w:val="22"/>
          <w:szCs w:val="22"/>
        </w:rPr>
        <w:t>. Birmingham: Birmingham City Council. Available at:</w:t>
      </w:r>
      <w:r w:rsidRPr="006F066A">
        <w:t xml:space="preserve"> </w:t>
      </w:r>
      <w:hyperlink r:id="rId8" w:history="1">
        <w:r w:rsidRPr="006F066A">
          <w:rPr>
            <w:rStyle w:val="Hyperlink"/>
            <w:rFonts w:ascii="Arial" w:hAnsi="Arial" w:cs="Arial"/>
            <w:sz w:val="22"/>
            <w:szCs w:val="22"/>
          </w:rPr>
          <w:t>Health and Wellbeing Board Strategy Annual Review 22-23</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1</w:t>
      </w:r>
      <w:r w:rsidR="00CD45E6" w:rsidRPr="00CD45E6">
        <w:rPr>
          <w:rFonts w:ascii="Arial" w:hAnsi="Arial" w:cs="Arial"/>
          <w:sz w:val="22"/>
          <w:szCs w:val="22"/>
        </w:rPr>
        <w:t xml:space="preserve"> March 2026].</w:t>
      </w:r>
    </w:p>
    <w:p w14:paraId="6A6EE765" w14:textId="6619037B"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CARE (2024) </w:t>
      </w:r>
      <w:r w:rsidRPr="006F066A">
        <w:rPr>
          <w:rFonts w:ascii="Arial" w:hAnsi="Arial" w:cs="Arial"/>
          <w:i/>
          <w:iCs/>
          <w:sz w:val="22"/>
          <w:szCs w:val="22"/>
        </w:rPr>
        <w:t>Village Savings and Loan Associations annual report 2024</w:t>
      </w:r>
      <w:r w:rsidRPr="006F066A">
        <w:rPr>
          <w:rFonts w:ascii="Arial" w:hAnsi="Arial" w:cs="Arial"/>
          <w:sz w:val="22"/>
          <w:szCs w:val="22"/>
        </w:rPr>
        <w:t>. CARE. Available at:</w:t>
      </w:r>
      <w:r w:rsidRPr="006F066A">
        <w:t xml:space="preserve"> </w:t>
      </w:r>
      <w:hyperlink r:id="rId9" w:history="1">
        <w:r w:rsidRPr="006F066A">
          <w:rPr>
            <w:rStyle w:val="Hyperlink"/>
            <w:rFonts w:ascii="Arial" w:hAnsi="Arial" w:cs="Arial"/>
            <w:sz w:val="22"/>
            <w:szCs w:val="22"/>
          </w:rPr>
          <w:t>FY24-VSLA-Annual-Report_EN.pdf</w:t>
        </w:r>
      </w:hyperlink>
      <w:r w:rsidR="00CD45E6">
        <w:rPr>
          <w:rFonts w:ascii="Arial" w:hAnsi="Arial" w:cs="Arial"/>
          <w:sz w:val="22"/>
          <w:szCs w:val="22"/>
        </w:rPr>
        <w:t xml:space="preserve"> </w:t>
      </w:r>
      <w:r w:rsidR="00CD45E6" w:rsidRPr="00CD45E6">
        <w:rPr>
          <w:rFonts w:ascii="Arial" w:hAnsi="Arial" w:cs="Arial"/>
          <w:sz w:val="22"/>
          <w:szCs w:val="22"/>
        </w:rPr>
        <w:t>[Accessed 22 March 2026].</w:t>
      </w:r>
    </w:p>
    <w:p w14:paraId="472D35A1" w14:textId="4C2F2DB2"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Health Innovation Network (2024) </w:t>
      </w:r>
      <w:r w:rsidRPr="006F066A">
        <w:rPr>
          <w:rFonts w:ascii="Arial" w:hAnsi="Arial" w:cs="Arial"/>
          <w:i/>
          <w:iCs/>
          <w:sz w:val="22"/>
          <w:szCs w:val="22"/>
        </w:rPr>
        <w:t>Innovation for Healthcare Inequalities Programme: impact and learning report</w:t>
      </w:r>
      <w:r w:rsidRPr="006F066A">
        <w:rPr>
          <w:rFonts w:ascii="Arial" w:hAnsi="Arial" w:cs="Arial"/>
          <w:sz w:val="22"/>
          <w:szCs w:val="22"/>
        </w:rPr>
        <w:t>. London: Health Innovation Network. Available at:</w:t>
      </w:r>
      <w:r w:rsidRPr="006F066A">
        <w:t xml:space="preserve"> </w:t>
      </w:r>
      <w:hyperlink r:id="rId10" w:history="1">
        <w:r w:rsidRPr="006F066A">
          <w:rPr>
            <w:rStyle w:val="Hyperlink"/>
            <w:rFonts w:ascii="Arial" w:hAnsi="Arial" w:cs="Arial"/>
            <w:sz w:val="22"/>
            <w:szCs w:val="22"/>
          </w:rPr>
          <w:t>Innovation for Healthcare Inequalities Programme: Impact and learning report</w:t>
        </w:r>
      </w:hyperlink>
      <w:r w:rsidR="00CD45E6">
        <w:rPr>
          <w:rFonts w:ascii="Arial" w:hAnsi="Arial" w:cs="Arial"/>
          <w:sz w:val="22"/>
          <w:szCs w:val="22"/>
        </w:rPr>
        <w:t xml:space="preserve"> </w:t>
      </w:r>
      <w:r w:rsidR="00CD45E6" w:rsidRPr="00CD45E6">
        <w:rPr>
          <w:rFonts w:ascii="Arial" w:hAnsi="Arial" w:cs="Arial"/>
          <w:sz w:val="22"/>
          <w:szCs w:val="22"/>
        </w:rPr>
        <w:t>[Accessed 22 March 2026].</w:t>
      </w:r>
    </w:p>
    <w:p w14:paraId="68CB7646" w14:textId="36E9EEBE"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Janz, N.K. and Becker, M.H. (1984) ‘The Health Belief Model: a decade later’, </w:t>
      </w:r>
      <w:r w:rsidRPr="006F066A">
        <w:rPr>
          <w:rFonts w:ascii="Arial" w:hAnsi="Arial" w:cs="Arial"/>
          <w:i/>
          <w:iCs/>
          <w:sz w:val="22"/>
          <w:szCs w:val="22"/>
        </w:rPr>
        <w:t>Health Education Quarterly</w:t>
      </w:r>
      <w:r w:rsidRPr="006F066A">
        <w:rPr>
          <w:rFonts w:ascii="Arial" w:hAnsi="Arial" w:cs="Arial"/>
          <w:sz w:val="22"/>
          <w:szCs w:val="22"/>
        </w:rPr>
        <w:t>, 11(1), pp. 1–47. Available at:</w:t>
      </w:r>
      <w:r>
        <w:rPr>
          <w:rFonts w:ascii="Arial" w:hAnsi="Arial" w:cs="Arial"/>
          <w:sz w:val="22"/>
          <w:szCs w:val="22"/>
        </w:rPr>
        <w:t xml:space="preserve"> </w:t>
      </w:r>
      <w:hyperlink r:id="rId11" w:history="1">
        <w:r w:rsidRPr="006F066A">
          <w:rPr>
            <w:rStyle w:val="Hyperlink"/>
            <w:rFonts w:ascii="Arial" w:hAnsi="Arial" w:cs="Arial"/>
            <w:sz w:val="22"/>
            <w:szCs w:val="22"/>
          </w:rPr>
          <w:t>The Health Belief Model: a decade later - PubMed</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2</w:t>
      </w:r>
      <w:r w:rsidR="00CD45E6" w:rsidRPr="00CD45E6">
        <w:rPr>
          <w:rFonts w:ascii="Arial" w:hAnsi="Arial" w:cs="Arial"/>
          <w:sz w:val="22"/>
          <w:szCs w:val="22"/>
        </w:rPr>
        <w:t xml:space="preserve"> March 2026].</w:t>
      </w:r>
    </w:p>
    <w:p w14:paraId="019408DE" w14:textId="4D516FA6"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Marmot, M., Allen, J., Boyce, T., Goldblatt, P. and Morrison, J. (2020) </w:t>
      </w:r>
      <w:r w:rsidRPr="006F066A">
        <w:rPr>
          <w:rFonts w:ascii="Arial" w:hAnsi="Arial" w:cs="Arial"/>
          <w:i/>
          <w:iCs/>
          <w:sz w:val="22"/>
          <w:szCs w:val="22"/>
        </w:rPr>
        <w:t xml:space="preserve">Health equity in England: </w:t>
      </w:r>
      <w:proofErr w:type="gramStart"/>
      <w:r w:rsidRPr="006F066A">
        <w:rPr>
          <w:rFonts w:ascii="Arial" w:hAnsi="Arial" w:cs="Arial"/>
          <w:i/>
          <w:iCs/>
          <w:sz w:val="22"/>
          <w:szCs w:val="22"/>
        </w:rPr>
        <w:t>the</w:t>
      </w:r>
      <w:proofErr w:type="gramEnd"/>
      <w:r w:rsidRPr="006F066A">
        <w:rPr>
          <w:rFonts w:ascii="Arial" w:hAnsi="Arial" w:cs="Arial"/>
          <w:i/>
          <w:iCs/>
          <w:sz w:val="22"/>
          <w:szCs w:val="22"/>
        </w:rPr>
        <w:t xml:space="preserve"> Marmot review 10 years on</w:t>
      </w:r>
      <w:r w:rsidRPr="006F066A">
        <w:rPr>
          <w:rFonts w:ascii="Arial" w:hAnsi="Arial" w:cs="Arial"/>
          <w:sz w:val="22"/>
          <w:szCs w:val="22"/>
        </w:rPr>
        <w:t>. London: Institute of Health Equity. Available at:</w:t>
      </w:r>
      <w:r w:rsidRPr="006F066A">
        <w:t xml:space="preserve"> </w:t>
      </w:r>
      <w:hyperlink r:id="rId12" w:history="1">
        <w:r w:rsidRPr="006F066A">
          <w:rPr>
            <w:rStyle w:val="Hyperlink"/>
            <w:rFonts w:ascii="Arial" w:hAnsi="Arial" w:cs="Arial"/>
            <w:sz w:val="22"/>
            <w:szCs w:val="22"/>
          </w:rPr>
          <w:t>Health Equity in England: The Marmot Review 10 Years On | The Health Foundation</w:t>
        </w:r>
      </w:hyperlink>
      <w:r w:rsidR="00CD45E6" w:rsidRPr="00CD45E6">
        <w:t xml:space="preserve"> </w:t>
      </w:r>
      <w:r w:rsidR="00CD45E6" w:rsidRPr="00CD45E6">
        <w:rPr>
          <w:rFonts w:ascii="Arial" w:hAnsi="Arial" w:cs="Arial"/>
          <w:sz w:val="22"/>
          <w:szCs w:val="22"/>
        </w:rPr>
        <w:t>[Accessed 2</w:t>
      </w:r>
      <w:r w:rsidR="00CD45E6">
        <w:rPr>
          <w:rFonts w:ascii="Arial" w:hAnsi="Arial" w:cs="Arial"/>
          <w:sz w:val="22"/>
          <w:szCs w:val="22"/>
        </w:rPr>
        <w:t>0</w:t>
      </w:r>
      <w:r w:rsidR="00CD45E6" w:rsidRPr="00CD45E6">
        <w:rPr>
          <w:rFonts w:ascii="Arial" w:hAnsi="Arial" w:cs="Arial"/>
          <w:sz w:val="22"/>
          <w:szCs w:val="22"/>
        </w:rPr>
        <w:t xml:space="preserve"> March 2026].</w:t>
      </w:r>
    </w:p>
    <w:p w14:paraId="1B17A770" w14:textId="3FA2DD80"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NHS England (2021) </w:t>
      </w:r>
      <w:r w:rsidRPr="006F066A">
        <w:rPr>
          <w:rFonts w:ascii="Arial" w:hAnsi="Arial" w:cs="Arial"/>
          <w:i/>
          <w:iCs/>
          <w:sz w:val="22"/>
          <w:szCs w:val="22"/>
        </w:rPr>
        <w:t>Core20PLUS5 (adults) – an approach to reducing healthcare inequalities</w:t>
      </w:r>
      <w:r w:rsidRPr="006F066A">
        <w:rPr>
          <w:rFonts w:ascii="Arial" w:hAnsi="Arial" w:cs="Arial"/>
          <w:sz w:val="22"/>
          <w:szCs w:val="22"/>
        </w:rPr>
        <w:t>. Leeds: NHS England. Available at:</w:t>
      </w:r>
      <w:r w:rsidRPr="006F066A">
        <w:t xml:space="preserve"> </w:t>
      </w:r>
      <w:hyperlink r:id="rId13" w:history="1">
        <w:r w:rsidRPr="006F066A">
          <w:rPr>
            <w:rStyle w:val="Hyperlink"/>
            <w:rFonts w:ascii="Arial" w:hAnsi="Arial" w:cs="Arial"/>
            <w:sz w:val="22"/>
            <w:szCs w:val="22"/>
          </w:rPr>
          <w:t>NHS England » Core20PLUS5 (adults) – an approach to reducing healthcare inequalities</w:t>
        </w:r>
      </w:hyperlink>
      <w:r w:rsidR="00CD45E6" w:rsidRPr="00CD45E6">
        <w:t xml:space="preserve"> </w:t>
      </w:r>
      <w:r w:rsidR="00CD45E6" w:rsidRPr="00CD45E6">
        <w:rPr>
          <w:rFonts w:ascii="Arial" w:hAnsi="Arial" w:cs="Arial"/>
          <w:sz w:val="22"/>
          <w:szCs w:val="22"/>
        </w:rPr>
        <w:t>[Accessed 2</w:t>
      </w:r>
      <w:r w:rsidR="00CD45E6">
        <w:rPr>
          <w:rFonts w:ascii="Arial" w:hAnsi="Arial" w:cs="Arial"/>
          <w:sz w:val="22"/>
          <w:szCs w:val="22"/>
        </w:rPr>
        <w:t>1</w:t>
      </w:r>
      <w:r w:rsidR="00CD45E6" w:rsidRPr="00CD45E6">
        <w:rPr>
          <w:rFonts w:ascii="Arial" w:hAnsi="Arial" w:cs="Arial"/>
          <w:sz w:val="22"/>
          <w:szCs w:val="22"/>
        </w:rPr>
        <w:t xml:space="preserve"> March 2026].</w:t>
      </w:r>
    </w:p>
    <w:p w14:paraId="0783E315" w14:textId="7809D1F3" w:rsidR="00CD45E6" w:rsidRDefault="00CD45E6" w:rsidP="000640EB">
      <w:pPr>
        <w:spacing w:line="360" w:lineRule="auto"/>
        <w:rPr>
          <w:rFonts w:ascii="Arial" w:hAnsi="Arial" w:cs="Arial"/>
          <w:sz w:val="22"/>
          <w:szCs w:val="22"/>
        </w:rPr>
      </w:pPr>
      <w:r w:rsidRPr="00CD45E6">
        <w:rPr>
          <w:rFonts w:ascii="Arial" w:hAnsi="Arial" w:cs="Arial"/>
          <w:sz w:val="22"/>
          <w:szCs w:val="22"/>
        </w:rPr>
        <w:lastRenderedPageBreak/>
        <w:t xml:space="preserve">NHS England (2023) </w:t>
      </w:r>
      <w:r w:rsidRPr="00CD45E6">
        <w:rPr>
          <w:rFonts w:ascii="Arial" w:hAnsi="Arial" w:cs="Arial"/>
          <w:i/>
          <w:iCs/>
          <w:sz w:val="22"/>
          <w:szCs w:val="22"/>
        </w:rPr>
        <w:t>Core20PLUS5: an approach to reducing healthcare inequalities</w:t>
      </w:r>
      <w:r w:rsidRPr="00CD45E6">
        <w:rPr>
          <w:rFonts w:ascii="Arial" w:hAnsi="Arial" w:cs="Arial"/>
          <w:sz w:val="22"/>
          <w:szCs w:val="22"/>
        </w:rPr>
        <w:t>. Leeds: NHS England. Available at:</w:t>
      </w:r>
      <w:r w:rsidRPr="00CD45E6">
        <w:t xml:space="preserve"> </w:t>
      </w:r>
      <w:hyperlink r:id="rId14" w:history="1">
        <w:r w:rsidRPr="00CD45E6">
          <w:rPr>
            <w:rStyle w:val="Hyperlink"/>
            <w:rFonts w:ascii="Arial" w:hAnsi="Arial" w:cs="Arial"/>
            <w:sz w:val="22"/>
            <w:szCs w:val="22"/>
          </w:rPr>
          <w:t>NHS England » Core20PLUS5 (adults) – an approach to reducing healthcare inequalities</w:t>
        </w:r>
      </w:hyperlink>
      <w:r w:rsidRPr="00CD45E6">
        <w:t xml:space="preserve"> </w:t>
      </w:r>
      <w:r w:rsidRPr="00CD45E6">
        <w:rPr>
          <w:rFonts w:ascii="Arial" w:hAnsi="Arial" w:cs="Arial"/>
          <w:sz w:val="22"/>
          <w:szCs w:val="22"/>
        </w:rPr>
        <w:t>[Accessed 2</w:t>
      </w:r>
      <w:r>
        <w:rPr>
          <w:rFonts w:ascii="Arial" w:hAnsi="Arial" w:cs="Arial"/>
          <w:sz w:val="22"/>
          <w:szCs w:val="22"/>
        </w:rPr>
        <w:t>1</w:t>
      </w:r>
      <w:r w:rsidRPr="00CD45E6">
        <w:rPr>
          <w:rFonts w:ascii="Arial" w:hAnsi="Arial" w:cs="Arial"/>
          <w:sz w:val="22"/>
          <w:szCs w:val="22"/>
        </w:rPr>
        <w:t xml:space="preserve"> March 2026].</w:t>
      </w:r>
    </w:p>
    <w:p w14:paraId="5D2070B9" w14:textId="14F1E5A7"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NHS England (2024) </w:t>
      </w:r>
      <w:r w:rsidRPr="006F066A">
        <w:rPr>
          <w:rFonts w:ascii="Arial" w:hAnsi="Arial" w:cs="Arial"/>
          <w:i/>
          <w:iCs/>
          <w:sz w:val="22"/>
          <w:szCs w:val="22"/>
        </w:rPr>
        <w:t>Annex: operational performance update, October 2024</w:t>
      </w:r>
      <w:r w:rsidRPr="006F066A">
        <w:rPr>
          <w:rFonts w:ascii="Arial" w:hAnsi="Arial" w:cs="Arial"/>
          <w:sz w:val="22"/>
          <w:szCs w:val="22"/>
        </w:rPr>
        <w:t>. Leeds: NHS England. Available at</w:t>
      </w:r>
      <w:r>
        <w:rPr>
          <w:rFonts w:ascii="Arial" w:hAnsi="Arial" w:cs="Arial"/>
          <w:sz w:val="22"/>
          <w:szCs w:val="22"/>
        </w:rPr>
        <w:t>:</w:t>
      </w:r>
      <w:r w:rsidR="00CD45E6" w:rsidRPr="00CD45E6">
        <w:t xml:space="preserve"> </w:t>
      </w:r>
      <w:hyperlink r:id="rId15" w:history="1">
        <w:r w:rsidR="00CD45E6" w:rsidRPr="00CD45E6">
          <w:rPr>
            <w:rStyle w:val="Hyperlink"/>
            <w:rFonts w:ascii="Arial" w:hAnsi="Arial" w:cs="Arial"/>
            <w:sz w:val="22"/>
            <w:szCs w:val="22"/>
          </w:rPr>
          <w:t>NHS England » Annex: operational performance update</w:t>
        </w:r>
      </w:hyperlink>
      <w:r w:rsidR="00CD45E6" w:rsidRPr="00CD45E6">
        <w:t xml:space="preserve"> </w:t>
      </w:r>
      <w:r w:rsidR="00CD45E6" w:rsidRPr="00CD45E6">
        <w:rPr>
          <w:rFonts w:ascii="Arial" w:hAnsi="Arial" w:cs="Arial"/>
          <w:sz w:val="22"/>
          <w:szCs w:val="22"/>
        </w:rPr>
        <w:t>[Accessed 2</w:t>
      </w:r>
      <w:r w:rsidR="00CD45E6">
        <w:rPr>
          <w:rFonts w:ascii="Arial" w:hAnsi="Arial" w:cs="Arial"/>
          <w:sz w:val="22"/>
          <w:szCs w:val="22"/>
        </w:rPr>
        <w:t>0</w:t>
      </w:r>
      <w:r w:rsidR="00CD45E6" w:rsidRPr="00CD45E6">
        <w:rPr>
          <w:rFonts w:ascii="Arial" w:hAnsi="Arial" w:cs="Arial"/>
          <w:sz w:val="22"/>
          <w:szCs w:val="22"/>
        </w:rPr>
        <w:t xml:space="preserve"> March 2026].</w:t>
      </w:r>
    </w:p>
    <w:p w14:paraId="30F1D880" w14:textId="0B7ABB48"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Office for National Statistics (2025) </w:t>
      </w:r>
      <w:r w:rsidRPr="006F066A">
        <w:rPr>
          <w:rFonts w:ascii="Arial" w:hAnsi="Arial" w:cs="Arial"/>
          <w:i/>
          <w:iCs/>
          <w:sz w:val="22"/>
          <w:szCs w:val="22"/>
        </w:rPr>
        <w:t>Healthy life expectancy by national area deprivation, England and Wales: between 2013 to 2015 and 2020 to 2022</w:t>
      </w:r>
      <w:r w:rsidRPr="006F066A">
        <w:rPr>
          <w:rFonts w:ascii="Arial" w:hAnsi="Arial" w:cs="Arial"/>
          <w:sz w:val="22"/>
          <w:szCs w:val="22"/>
        </w:rPr>
        <w:t>. Newport: ONS. Available at:</w:t>
      </w:r>
      <w:r w:rsidR="00CD45E6" w:rsidRPr="00CD45E6">
        <w:t xml:space="preserve"> </w:t>
      </w:r>
      <w:hyperlink r:id="rId16" w:history="1">
        <w:r w:rsidR="00CD45E6" w:rsidRPr="00CD45E6">
          <w:rPr>
            <w:rStyle w:val="Hyperlink"/>
            <w:rFonts w:ascii="Arial" w:hAnsi="Arial" w:cs="Arial"/>
            <w:sz w:val="22"/>
            <w:szCs w:val="22"/>
          </w:rPr>
          <w:t>Healthy life expectancy by national area deprivation, England and Wales between 2013 to 2015 and 2020 to 2022.pdf</w:t>
        </w:r>
      </w:hyperlink>
      <w:r w:rsidR="00CD45E6" w:rsidRPr="00CD45E6">
        <w:t xml:space="preserve"> </w:t>
      </w:r>
      <w:r w:rsidR="00CD45E6" w:rsidRPr="00CD45E6">
        <w:rPr>
          <w:rFonts w:ascii="Arial" w:hAnsi="Arial" w:cs="Arial"/>
          <w:sz w:val="22"/>
          <w:szCs w:val="22"/>
        </w:rPr>
        <w:t>[Accessed 2</w:t>
      </w:r>
      <w:r w:rsidR="00CD45E6">
        <w:rPr>
          <w:rFonts w:ascii="Arial" w:hAnsi="Arial" w:cs="Arial"/>
          <w:sz w:val="22"/>
          <w:szCs w:val="22"/>
        </w:rPr>
        <w:t>0</w:t>
      </w:r>
      <w:r w:rsidR="00CD45E6" w:rsidRPr="00CD45E6">
        <w:rPr>
          <w:rFonts w:ascii="Arial" w:hAnsi="Arial" w:cs="Arial"/>
          <w:sz w:val="22"/>
          <w:szCs w:val="22"/>
        </w:rPr>
        <w:t xml:space="preserve"> March 2026].</w:t>
      </w:r>
    </w:p>
    <w:p w14:paraId="3B9ABDB1" w14:textId="6B9E2473" w:rsidR="00CD45E6" w:rsidRDefault="006F066A" w:rsidP="000640EB">
      <w:pPr>
        <w:spacing w:line="360" w:lineRule="auto"/>
        <w:rPr>
          <w:rFonts w:ascii="Arial" w:hAnsi="Arial" w:cs="Arial"/>
          <w:sz w:val="22"/>
          <w:szCs w:val="22"/>
        </w:rPr>
      </w:pPr>
      <w:r w:rsidRPr="006F066A">
        <w:rPr>
          <w:rFonts w:ascii="Arial" w:hAnsi="Arial" w:cs="Arial"/>
          <w:sz w:val="22"/>
          <w:szCs w:val="22"/>
        </w:rPr>
        <w:t xml:space="preserve">Rosenstock, I.M. (1974) ‘Historical origins of the Health Belief Model’, </w:t>
      </w:r>
      <w:r w:rsidRPr="006F066A">
        <w:rPr>
          <w:rFonts w:ascii="Arial" w:hAnsi="Arial" w:cs="Arial"/>
          <w:i/>
          <w:iCs/>
          <w:sz w:val="22"/>
          <w:szCs w:val="22"/>
        </w:rPr>
        <w:t>Health Education Monographs</w:t>
      </w:r>
      <w:r w:rsidRPr="006F066A">
        <w:rPr>
          <w:rFonts w:ascii="Arial" w:hAnsi="Arial" w:cs="Arial"/>
          <w:sz w:val="22"/>
          <w:szCs w:val="22"/>
        </w:rPr>
        <w:t>, 2(4), pp. 328–335. Available at:</w:t>
      </w:r>
      <w:r w:rsidR="00CD45E6" w:rsidRPr="00CD45E6">
        <w:t xml:space="preserve"> </w:t>
      </w:r>
      <w:hyperlink r:id="rId17" w:history="1">
        <w:r w:rsidR="00CD45E6" w:rsidRPr="00CD45E6">
          <w:rPr>
            <w:rStyle w:val="Hyperlink"/>
            <w:rFonts w:ascii="Arial" w:hAnsi="Arial" w:cs="Arial"/>
            <w:sz w:val="22"/>
            <w:szCs w:val="22"/>
          </w:rPr>
          <w:t>Historical Origins of the Health Belief Model - Irwin M. Rosenstock, 1974</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1</w:t>
      </w:r>
      <w:r w:rsidR="00CD45E6" w:rsidRPr="00CD45E6">
        <w:rPr>
          <w:rFonts w:ascii="Arial" w:hAnsi="Arial" w:cs="Arial"/>
          <w:sz w:val="22"/>
          <w:szCs w:val="22"/>
        </w:rPr>
        <w:t xml:space="preserve"> March 2026].</w:t>
      </w:r>
    </w:p>
    <w:p w14:paraId="1C9966DC" w14:textId="2D1B6D04"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Rosenstock, I.M. (1974) ‘The Health Belief Model and preventive health </w:t>
      </w:r>
      <w:proofErr w:type="spellStart"/>
      <w:r w:rsidRPr="006F066A">
        <w:rPr>
          <w:rFonts w:ascii="Arial" w:hAnsi="Arial" w:cs="Arial"/>
          <w:sz w:val="22"/>
          <w:szCs w:val="22"/>
        </w:rPr>
        <w:t>behavior</w:t>
      </w:r>
      <w:proofErr w:type="spellEnd"/>
      <w:r w:rsidRPr="006F066A">
        <w:rPr>
          <w:rFonts w:ascii="Arial" w:hAnsi="Arial" w:cs="Arial"/>
          <w:sz w:val="22"/>
          <w:szCs w:val="22"/>
        </w:rPr>
        <w:t xml:space="preserve">’, </w:t>
      </w:r>
      <w:r w:rsidRPr="006F066A">
        <w:rPr>
          <w:rFonts w:ascii="Arial" w:hAnsi="Arial" w:cs="Arial"/>
          <w:i/>
          <w:iCs/>
          <w:sz w:val="22"/>
          <w:szCs w:val="22"/>
        </w:rPr>
        <w:t>Health Education Monographs</w:t>
      </w:r>
      <w:r w:rsidRPr="006F066A">
        <w:rPr>
          <w:rFonts w:ascii="Arial" w:hAnsi="Arial" w:cs="Arial"/>
          <w:sz w:val="22"/>
          <w:szCs w:val="22"/>
        </w:rPr>
        <w:t>, 2(4), pp. 354–386. Available at:</w:t>
      </w:r>
      <w:r w:rsidR="00CD45E6" w:rsidRPr="00CD45E6">
        <w:t xml:space="preserve"> </w:t>
      </w:r>
      <w:hyperlink r:id="rId18" w:history="1">
        <w:r w:rsidR="00CD45E6" w:rsidRPr="00CD45E6">
          <w:rPr>
            <w:rStyle w:val="Hyperlink"/>
            <w:rFonts w:ascii="Arial" w:hAnsi="Arial" w:cs="Arial"/>
            <w:sz w:val="22"/>
            <w:szCs w:val="22"/>
          </w:rPr>
          <w:t xml:space="preserve">The Health Belief Model and Preventive Health </w:t>
        </w:r>
        <w:proofErr w:type="spellStart"/>
        <w:r w:rsidR="00CD45E6" w:rsidRPr="00CD45E6">
          <w:rPr>
            <w:rStyle w:val="Hyperlink"/>
            <w:rFonts w:ascii="Arial" w:hAnsi="Arial" w:cs="Arial"/>
            <w:sz w:val="22"/>
            <w:szCs w:val="22"/>
          </w:rPr>
          <w:t>Behavior</w:t>
        </w:r>
        <w:proofErr w:type="spellEnd"/>
        <w:r w:rsidR="00CD45E6" w:rsidRPr="00CD45E6">
          <w:rPr>
            <w:rStyle w:val="Hyperlink"/>
            <w:rFonts w:ascii="Arial" w:hAnsi="Arial" w:cs="Arial"/>
            <w:sz w:val="22"/>
            <w:szCs w:val="22"/>
          </w:rPr>
          <w:t xml:space="preserve"> - Irwin M. Rosenstock, 1974</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0</w:t>
      </w:r>
      <w:r w:rsidR="00CD45E6" w:rsidRPr="00CD45E6">
        <w:rPr>
          <w:rFonts w:ascii="Arial" w:hAnsi="Arial" w:cs="Arial"/>
          <w:sz w:val="22"/>
          <w:szCs w:val="22"/>
        </w:rPr>
        <w:t xml:space="preserve"> March 2026].</w:t>
      </w:r>
    </w:p>
    <w:p w14:paraId="5625B198" w14:textId="5E8168B2"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Rosenstock, I.M., </w:t>
      </w:r>
      <w:proofErr w:type="spellStart"/>
      <w:r w:rsidRPr="006F066A">
        <w:rPr>
          <w:rFonts w:ascii="Arial" w:hAnsi="Arial" w:cs="Arial"/>
          <w:sz w:val="22"/>
          <w:szCs w:val="22"/>
        </w:rPr>
        <w:t>Strecher</w:t>
      </w:r>
      <w:proofErr w:type="spellEnd"/>
      <w:r w:rsidRPr="006F066A">
        <w:rPr>
          <w:rFonts w:ascii="Arial" w:hAnsi="Arial" w:cs="Arial"/>
          <w:sz w:val="22"/>
          <w:szCs w:val="22"/>
        </w:rPr>
        <w:t xml:space="preserve">, V.J. and Becker, M.H. (1988) ‘Social learning theory and the Health Belief Model’, </w:t>
      </w:r>
      <w:r w:rsidRPr="006F066A">
        <w:rPr>
          <w:rFonts w:ascii="Arial" w:hAnsi="Arial" w:cs="Arial"/>
          <w:i/>
          <w:iCs/>
          <w:sz w:val="22"/>
          <w:szCs w:val="22"/>
        </w:rPr>
        <w:t>Health Education Quarterly</w:t>
      </w:r>
      <w:r w:rsidRPr="006F066A">
        <w:rPr>
          <w:rFonts w:ascii="Arial" w:hAnsi="Arial" w:cs="Arial"/>
          <w:sz w:val="22"/>
          <w:szCs w:val="22"/>
        </w:rPr>
        <w:t>, 15(2), pp. 175–183. Available at:</w:t>
      </w:r>
      <w:r w:rsidR="00CD45E6" w:rsidRPr="00CD45E6">
        <w:t xml:space="preserve"> </w:t>
      </w:r>
      <w:hyperlink r:id="rId19" w:history="1">
        <w:r w:rsidR="00CD45E6" w:rsidRPr="00CD45E6">
          <w:rPr>
            <w:rStyle w:val="Hyperlink"/>
            <w:rFonts w:ascii="Arial" w:hAnsi="Arial" w:cs="Arial"/>
            <w:sz w:val="22"/>
            <w:szCs w:val="22"/>
          </w:rPr>
          <w:t>Social learning theory and the Health Belief Model - PubMed</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0</w:t>
      </w:r>
      <w:r w:rsidR="00CD45E6" w:rsidRPr="00CD45E6">
        <w:rPr>
          <w:rFonts w:ascii="Arial" w:hAnsi="Arial" w:cs="Arial"/>
          <w:sz w:val="22"/>
          <w:szCs w:val="22"/>
        </w:rPr>
        <w:t xml:space="preserve"> March 2026].</w:t>
      </w:r>
    </w:p>
    <w:p w14:paraId="3696018B" w14:textId="6158F1E7" w:rsidR="005620C3" w:rsidRDefault="005620C3" w:rsidP="000640EB">
      <w:pPr>
        <w:spacing w:line="360" w:lineRule="auto"/>
        <w:rPr>
          <w:rFonts w:ascii="Arial" w:hAnsi="Arial" w:cs="Arial"/>
          <w:sz w:val="22"/>
          <w:szCs w:val="22"/>
        </w:rPr>
      </w:pPr>
      <w:proofErr w:type="spellStart"/>
      <w:r w:rsidRPr="005620C3">
        <w:rPr>
          <w:rFonts w:ascii="Arial" w:hAnsi="Arial" w:cs="Arial"/>
          <w:sz w:val="22"/>
          <w:szCs w:val="22"/>
        </w:rPr>
        <w:t>Unicef</w:t>
      </w:r>
      <w:proofErr w:type="spellEnd"/>
      <w:r w:rsidRPr="005620C3">
        <w:rPr>
          <w:rFonts w:ascii="Arial" w:hAnsi="Arial" w:cs="Arial"/>
          <w:sz w:val="22"/>
          <w:szCs w:val="22"/>
        </w:rPr>
        <w:t xml:space="preserve">. “SDG Goal 10: Reduced Inequalities.” </w:t>
      </w:r>
      <w:r w:rsidRPr="005620C3">
        <w:rPr>
          <w:rFonts w:ascii="Arial" w:hAnsi="Arial" w:cs="Arial"/>
          <w:i/>
          <w:iCs/>
          <w:sz w:val="22"/>
          <w:szCs w:val="22"/>
        </w:rPr>
        <w:t>UNICEF DATA</w:t>
      </w:r>
      <w:r w:rsidRPr="005620C3">
        <w:rPr>
          <w:rFonts w:ascii="Arial" w:hAnsi="Arial" w:cs="Arial"/>
          <w:sz w:val="22"/>
          <w:szCs w:val="22"/>
        </w:rPr>
        <w:t>, 2024, data.unicef.org/</w:t>
      </w:r>
      <w:proofErr w:type="spellStart"/>
      <w:r w:rsidRPr="005620C3">
        <w:rPr>
          <w:rFonts w:ascii="Arial" w:hAnsi="Arial" w:cs="Arial"/>
          <w:sz w:val="22"/>
          <w:szCs w:val="22"/>
        </w:rPr>
        <w:t>sdgs</w:t>
      </w:r>
      <w:proofErr w:type="spellEnd"/>
      <w:r w:rsidRPr="005620C3">
        <w:rPr>
          <w:rFonts w:ascii="Arial" w:hAnsi="Arial" w:cs="Arial"/>
          <w:sz w:val="22"/>
          <w:szCs w:val="22"/>
        </w:rPr>
        <w:t>/goal-10-reduced-inequalities/.</w:t>
      </w:r>
    </w:p>
    <w:p w14:paraId="1FB567B7" w14:textId="5605A92E"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United Nations (2015) </w:t>
      </w:r>
      <w:r w:rsidRPr="006F066A">
        <w:rPr>
          <w:rFonts w:ascii="Arial" w:hAnsi="Arial" w:cs="Arial"/>
          <w:i/>
          <w:iCs/>
          <w:sz w:val="22"/>
          <w:szCs w:val="22"/>
        </w:rPr>
        <w:t>Transforming our world: the 2030 Agenda for Sustainable Development</w:t>
      </w:r>
      <w:r w:rsidRPr="006F066A">
        <w:rPr>
          <w:rFonts w:ascii="Arial" w:hAnsi="Arial" w:cs="Arial"/>
          <w:sz w:val="22"/>
          <w:szCs w:val="22"/>
        </w:rPr>
        <w:t>. New York: United Nations. Available at:</w:t>
      </w:r>
      <w:r w:rsidR="00CD45E6" w:rsidRPr="00CD45E6">
        <w:t xml:space="preserve"> </w:t>
      </w:r>
      <w:hyperlink r:id="rId20" w:history="1">
        <w:r w:rsidR="00CD45E6" w:rsidRPr="00CD45E6">
          <w:rPr>
            <w:rStyle w:val="Hyperlink"/>
            <w:rFonts w:ascii="Arial" w:hAnsi="Arial" w:cs="Arial"/>
            <w:sz w:val="22"/>
            <w:szCs w:val="22"/>
          </w:rPr>
          <w:t>Social learning theory and the Health Belief Model - PubMed</w:t>
        </w:r>
      </w:hyperlink>
      <w:r w:rsidR="00CD45E6">
        <w:rPr>
          <w:rFonts w:ascii="Arial" w:hAnsi="Arial" w:cs="Arial"/>
          <w:sz w:val="22"/>
          <w:szCs w:val="22"/>
        </w:rPr>
        <w:t xml:space="preserve"> </w:t>
      </w:r>
      <w:r w:rsidR="00CD45E6" w:rsidRPr="00CD45E6">
        <w:rPr>
          <w:rFonts w:ascii="Arial" w:hAnsi="Arial" w:cs="Arial"/>
          <w:sz w:val="22"/>
          <w:szCs w:val="22"/>
        </w:rPr>
        <w:t>[Accessed 22 March 2026].</w:t>
      </w:r>
    </w:p>
    <w:p w14:paraId="351D5490" w14:textId="44274523"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United Nations (no date) </w:t>
      </w:r>
      <w:r w:rsidRPr="006F066A">
        <w:rPr>
          <w:rFonts w:ascii="Arial" w:hAnsi="Arial" w:cs="Arial"/>
          <w:i/>
          <w:iCs/>
          <w:sz w:val="22"/>
          <w:szCs w:val="22"/>
        </w:rPr>
        <w:t>Goal 3: Ensure healthy lives and promote well-being for all at all ages</w:t>
      </w:r>
      <w:r w:rsidRPr="006F066A">
        <w:rPr>
          <w:rFonts w:ascii="Arial" w:hAnsi="Arial" w:cs="Arial"/>
          <w:sz w:val="22"/>
          <w:szCs w:val="22"/>
        </w:rPr>
        <w:t>. New York: United Nations. Available at:</w:t>
      </w:r>
      <w:r w:rsidR="00CD45E6" w:rsidRPr="00CD45E6">
        <w:t xml:space="preserve"> </w:t>
      </w:r>
      <w:hyperlink r:id="rId21" w:history="1">
        <w:r w:rsidR="00CD45E6" w:rsidRPr="00CD45E6">
          <w:rPr>
            <w:rStyle w:val="Hyperlink"/>
            <w:rFonts w:ascii="Arial" w:hAnsi="Arial" w:cs="Arial"/>
            <w:sz w:val="22"/>
            <w:szCs w:val="22"/>
          </w:rPr>
          <w:t>Goal 3 | Department of Economic and Social Affairs</w:t>
        </w:r>
      </w:hyperlink>
      <w:r w:rsidR="00CD45E6">
        <w:rPr>
          <w:rFonts w:ascii="Arial" w:hAnsi="Arial" w:cs="Arial"/>
          <w:sz w:val="22"/>
          <w:szCs w:val="22"/>
        </w:rPr>
        <w:t xml:space="preserve"> </w:t>
      </w:r>
      <w:r w:rsidR="00CD45E6" w:rsidRPr="00CD45E6">
        <w:rPr>
          <w:rFonts w:ascii="Arial" w:hAnsi="Arial" w:cs="Arial"/>
          <w:sz w:val="22"/>
          <w:szCs w:val="22"/>
        </w:rPr>
        <w:t>[Accessed 22 March 2026].</w:t>
      </w:r>
    </w:p>
    <w:p w14:paraId="01AF0764" w14:textId="07D75959"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United Nations (no date) </w:t>
      </w:r>
      <w:r w:rsidRPr="006F066A">
        <w:rPr>
          <w:rFonts w:ascii="Arial" w:hAnsi="Arial" w:cs="Arial"/>
          <w:i/>
          <w:iCs/>
          <w:sz w:val="22"/>
          <w:szCs w:val="22"/>
        </w:rPr>
        <w:t>Goal 10: Reduce inequality within and among countries</w:t>
      </w:r>
      <w:r w:rsidRPr="006F066A">
        <w:rPr>
          <w:rFonts w:ascii="Arial" w:hAnsi="Arial" w:cs="Arial"/>
          <w:sz w:val="22"/>
          <w:szCs w:val="22"/>
        </w:rPr>
        <w:t>. New York: United Nations. Available at:</w:t>
      </w:r>
      <w:r w:rsidR="00CD45E6" w:rsidRPr="00CD45E6">
        <w:t xml:space="preserve"> </w:t>
      </w:r>
      <w:hyperlink r:id="rId22" w:history="1">
        <w:r w:rsidR="00CD45E6" w:rsidRPr="00CD45E6">
          <w:rPr>
            <w:rStyle w:val="Hyperlink"/>
            <w:rFonts w:ascii="Arial" w:hAnsi="Arial" w:cs="Arial"/>
            <w:sz w:val="22"/>
            <w:szCs w:val="22"/>
          </w:rPr>
          <w:t>Goal 10 | Department of Economic and Social Affairs</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0</w:t>
      </w:r>
      <w:r w:rsidR="00CD45E6" w:rsidRPr="00CD45E6">
        <w:rPr>
          <w:rFonts w:ascii="Arial" w:hAnsi="Arial" w:cs="Arial"/>
          <w:sz w:val="22"/>
          <w:szCs w:val="22"/>
        </w:rPr>
        <w:t xml:space="preserve"> March 2026].</w:t>
      </w:r>
    </w:p>
    <w:p w14:paraId="09EA06CA" w14:textId="342B046F" w:rsidR="006F066A" w:rsidRDefault="006F066A" w:rsidP="000640EB">
      <w:pPr>
        <w:spacing w:line="360" w:lineRule="auto"/>
        <w:rPr>
          <w:rFonts w:ascii="Arial" w:hAnsi="Arial" w:cs="Arial"/>
          <w:sz w:val="22"/>
          <w:szCs w:val="22"/>
        </w:rPr>
      </w:pPr>
      <w:r w:rsidRPr="006F066A">
        <w:rPr>
          <w:rFonts w:ascii="Arial" w:hAnsi="Arial" w:cs="Arial"/>
          <w:sz w:val="22"/>
          <w:szCs w:val="22"/>
        </w:rPr>
        <w:lastRenderedPageBreak/>
        <w:t xml:space="preserve">World Health Organization (2010) </w:t>
      </w:r>
      <w:r w:rsidRPr="006F066A">
        <w:rPr>
          <w:rFonts w:ascii="Arial" w:hAnsi="Arial" w:cs="Arial"/>
          <w:i/>
          <w:iCs/>
          <w:sz w:val="22"/>
          <w:szCs w:val="22"/>
        </w:rPr>
        <w:t>A conceptual framework for action on the social determinants of health</w:t>
      </w:r>
      <w:r w:rsidRPr="006F066A">
        <w:rPr>
          <w:rFonts w:ascii="Arial" w:hAnsi="Arial" w:cs="Arial"/>
          <w:sz w:val="22"/>
          <w:szCs w:val="22"/>
        </w:rPr>
        <w:t>. Geneva: WHO. Available at:</w:t>
      </w:r>
      <w:r w:rsidR="00CD45E6" w:rsidRPr="00CD45E6">
        <w:t xml:space="preserve"> </w:t>
      </w:r>
      <w:hyperlink r:id="rId23" w:history="1">
        <w:r w:rsidR="00CD45E6" w:rsidRPr="00CD45E6">
          <w:rPr>
            <w:rStyle w:val="Hyperlink"/>
            <w:rFonts w:ascii="Arial" w:hAnsi="Arial" w:cs="Arial"/>
            <w:sz w:val="22"/>
            <w:szCs w:val="22"/>
          </w:rPr>
          <w:t>A Conceptual Framework for Action on the Social Determinants of Health</w:t>
        </w:r>
      </w:hyperlink>
      <w:r w:rsidR="00CD45E6">
        <w:rPr>
          <w:rFonts w:ascii="Arial" w:hAnsi="Arial" w:cs="Arial"/>
          <w:sz w:val="22"/>
          <w:szCs w:val="22"/>
        </w:rPr>
        <w:t xml:space="preserve"> </w:t>
      </w:r>
      <w:r w:rsidR="00CD45E6" w:rsidRPr="00CD45E6">
        <w:rPr>
          <w:rFonts w:ascii="Arial" w:hAnsi="Arial" w:cs="Arial"/>
          <w:sz w:val="22"/>
          <w:szCs w:val="22"/>
        </w:rPr>
        <w:t>[Accessed 2</w:t>
      </w:r>
      <w:r w:rsidR="00CD45E6">
        <w:rPr>
          <w:rFonts w:ascii="Arial" w:hAnsi="Arial" w:cs="Arial"/>
          <w:sz w:val="22"/>
          <w:szCs w:val="22"/>
        </w:rPr>
        <w:t>0</w:t>
      </w:r>
      <w:r w:rsidR="00CD45E6" w:rsidRPr="00CD45E6">
        <w:rPr>
          <w:rFonts w:ascii="Arial" w:hAnsi="Arial" w:cs="Arial"/>
          <w:sz w:val="22"/>
          <w:szCs w:val="22"/>
        </w:rPr>
        <w:t xml:space="preserve"> March 2026].</w:t>
      </w:r>
    </w:p>
    <w:p w14:paraId="35E30F96" w14:textId="610DB232" w:rsidR="006F066A" w:rsidRDefault="006F066A" w:rsidP="000640EB">
      <w:pPr>
        <w:spacing w:line="360" w:lineRule="auto"/>
        <w:rPr>
          <w:rFonts w:ascii="Arial" w:hAnsi="Arial" w:cs="Arial"/>
          <w:sz w:val="22"/>
          <w:szCs w:val="22"/>
        </w:rPr>
      </w:pPr>
      <w:r w:rsidRPr="006F066A">
        <w:rPr>
          <w:rFonts w:ascii="Arial" w:hAnsi="Arial" w:cs="Arial"/>
          <w:sz w:val="22"/>
          <w:szCs w:val="22"/>
        </w:rPr>
        <w:t xml:space="preserve">World Health Organization (2025) </w:t>
      </w:r>
      <w:r w:rsidRPr="006F066A">
        <w:rPr>
          <w:rFonts w:ascii="Arial" w:hAnsi="Arial" w:cs="Arial"/>
          <w:i/>
          <w:iCs/>
          <w:sz w:val="22"/>
          <w:szCs w:val="22"/>
        </w:rPr>
        <w:t>Universal health coverage (UHC)</w:t>
      </w:r>
      <w:r w:rsidRPr="006F066A">
        <w:rPr>
          <w:rFonts w:ascii="Arial" w:hAnsi="Arial" w:cs="Arial"/>
          <w:sz w:val="22"/>
          <w:szCs w:val="22"/>
        </w:rPr>
        <w:t>. Geneva: WHO. Available at:</w:t>
      </w:r>
      <w:r w:rsidR="00CD45E6" w:rsidRPr="00CD45E6">
        <w:t xml:space="preserve"> </w:t>
      </w:r>
      <w:hyperlink r:id="rId24" w:history="1">
        <w:r w:rsidR="00CD45E6" w:rsidRPr="00CD45E6">
          <w:rPr>
            <w:rStyle w:val="Hyperlink"/>
            <w:rFonts w:ascii="Arial" w:hAnsi="Arial" w:cs="Arial"/>
            <w:sz w:val="22"/>
            <w:szCs w:val="22"/>
          </w:rPr>
          <w:t>Universal health coverage (UHC)</w:t>
        </w:r>
      </w:hyperlink>
    </w:p>
    <w:p w14:paraId="35E179EB" w14:textId="60B02FF7" w:rsidR="006F066A" w:rsidRPr="006F066A" w:rsidRDefault="006F066A" w:rsidP="000640EB">
      <w:pPr>
        <w:spacing w:line="360" w:lineRule="auto"/>
        <w:rPr>
          <w:rFonts w:ascii="Arial" w:hAnsi="Arial" w:cs="Arial"/>
          <w:sz w:val="22"/>
          <w:szCs w:val="22"/>
        </w:rPr>
      </w:pPr>
      <w:r w:rsidRPr="006F066A">
        <w:rPr>
          <w:rFonts w:ascii="Arial" w:hAnsi="Arial" w:cs="Arial"/>
          <w:sz w:val="22"/>
          <w:szCs w:val="22"/>
        </w:rPr>
        <w:t xml:space="preserve">World Health Organization and World Bank (2025) </w:t>
      </w:r>
      <w:r w:rsidRPr="006F066A">
        <w:rPr>
          <w:rFonts w:ascii="Arial" w:hAnsi="Arial" w:cs="Arial"/>
          <w:i/>
          <w:iCs/>
          <w:sz w:val="22"/>
          <w:szCs w:val="22"/>
        </w:rPr>
        <w:t>Tracking universal health coverage: 2025 global monitoring report</w:t>
      </w:r>
      <w:r w:rsidRPr="006F066A">
        <w:rPr>
          <w:rFonts w:ascii="Arial" w:hAnsi="Arial" w:cs="Arial"/>
          <w:sz w:val="22"/>
          <w:szCs w:val="22"/>
        </w:rPr>
        <w:t>. Geneva: WHO. Available at:</w:t>
      </w:r>
      <w:r w:rsidR="00CD45E6" w:rsidRPr="00CD45E6">
        <w:t xml:space="preserve"> </w:t>
      </w:r>
      <w:hyperlink r:id="rId25" w:history="1">
        <w:r w:rsidR="00CD45E6" w:rsidRPr="00CD45E6">
          <w:rPr>
            <w:rStyle w:val="Hyperlink"/>
            <w:rFonts w:ascii="Arial" w:hAnsi="Arial" w:cs="Arial"/>
            <w:sz w:val="22"/>
            <w:szCs w:val="22"/>
          </w:rPr>
          <w:t>Tracking universal health coverage: 2025 global monitoring report</w:t>
        </w:r>
      </w:hyperlink>
    </w:p>
    <w:sectPr w:rsidR="006F066A" w:rsidRPr="006F06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3B3"/>
    <w:rsid w:val="000640EB"/>
    <w:rsid w:val="000A56E9"/>
    <w:rsid w:val="00334039"/>
    <w:rsid w:val="004473B3"/>
    <w:rsid w:val="00517C11"/>
    <w:rsid w:val="005620C3"/>
    <w:rsid w:val="00612191"/>
    <w:rsid w:val="00667039"/>
    <w:rsid w:val="00670F96"/>
    <w:rsid w:val="006F066A"/>
    <w:rsid w:val="009C703D"/>
    <w:rsid w:val="00C26FCB"/>
    <w:rsid w:val="00CD45E6"/>
    <w:rsid w:val="00D12332"/>
    <w:rsid w:val="00DA3080"/>
    <w:rsid w:val="00E97BA4"/>
    <w:rsid w:val="00EB73B5"/>
    <w:rsid w:val="00F83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9774"/>
  <w15:chartTrackingRefBased/>
  <w15:docId w15:val="{CFD01D0E-E5D3-4144-A462-9ABC478EE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3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3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3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3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3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3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3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3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3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3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3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3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3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3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3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3B3"/>
    <w:rPr>
      <w:rFonts w:eastAsiaTheme="majorEastAsia" w:cstheme="majorBidi"/>
      <w:color w:val="272727" w:themeColor="text1" w:themeTint="D8"/>
    </w:rPr>
  </w:style>
  <w:style w:type="paragraph" w:styleId="Title">
    <w:name w:val="Title"/>
    <w:basedOn w:val="Normal"/>
    <w:next w:val="Normal"/>
    <w:link w:val="TitleChar"/>
    <w:uiPriority w:val="10"/>
    <w:qFormat/>
    <w:rsid w:val="00447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3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3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3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3B3"/>
    <w:pPr>
      <w:spacing w:before="160"/>
      <w:jc w:val="center"/>
    </w:pPr>
    <w:rPr>
      <w:i/>
      <w:iCs/>
      <w:color w:val="404040" w:themeColor="text1" w:themeTint="BF"/>
    </w:rPr>
  </w:style>
  <w:style w:type="character" w:customStyle="1" w:styleId="QuoteChar">
    <w:name w:val="Quote Char"/>
    <w:basedOn w:val="DefaultParagraphFont"/>
    <w:link w:val="Quote"/>
    <w:uiPriority w:val="29"/>
    <w:rsid w:val="004473B3"/>
    <w:rPr>
      <w:i/>
      <w:iCs/>
      <w:color w:val="404040" w:themeColor="text1" w:themeTint="BF"/>
    </w:rPr>
  </w:style>
  <w:style w:type="paragraph" w:styleId="ListParagraph">
    <w:name w:val="List Paragraph"/>
    <w:basedOn w:val="Normal"/>
    <w:uiPriority w:val="34"/>
    <w:qFormat/>
    <w:rsid w:val="004473B3"/>
    <w:pPr>
      <w:ind w:left="720"/>
      <w:contextualSpacing/>
    </w:pPr>
  </w:style>
  <w:style w:type="character" w:styleId="IntenseEmphasis">
    <w:name w:val="Intense Emphasis"/>
    <w:basedOn w:val="DefaultParagraphFont"/>
    <w:uiPriority w:val="21"/>
    <w:qFormat/>
    <w:rsid w:val="004473B3"/>
    <w:rPr>
      <w:i/>
      <w:iCs/>
      <w:color w:val="0F4761" w:themeColor="accent1" w:themeShade="BF"/>
    </w:rPr>
  </w:style>
  <w:style w:type="paragraph" w:styleId="IntenseQuote">
    <w:name w:val="Intense Quote"/>
    <w:basedOn w:val="Normal"/>
    <w:next w:val="Normal"/>
    <w:link w:val="IntenseQuoteChar"/>
    <w:uiPriority w:val="30"/>
    <w:qFormat/>
    <w:rsid w:val="00447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3B3"/>
    <w:rPr>
      <w:i/>
      <w:iCs/>
      <w:color w:val="0F4761" w:themeColor="accent1" w:themeShade="BF"/>
    </w:rPr>
  </w:style>
  <w:style w:type="character" w:styleId="IntenseReference">
    <w:name w:val="Intense Reference"/>
    <w:basedOn w:val="DefaultParagraphFont"/>
    <w:uiPriority w:val="32"/>
    <w:qFormat/>
    <w:rsid w:val="004473B3"/>
    <w:rPr>
      <w:b/>
      <w:bCs/>
      <w:smallCaps/>
      <w:color w:val="0F4761" w:themeColor="accent1" w:themeShade="BF"/>
      <w:spacing w:val="5"/>
    </w:rPr>
  </w:style>
  <w:style w:type="character" w:styleId="Hyperlink">
    <w:name w:val="Hyperlink"/>
    <w:basedOn w:val="DefaultParagraphFont"/>
    <w:uiPriority w:val="99"/>
    <w:unhideWhenUsed/>
    <w:rsid w:val="006F066A"/>
    <w:rPr>
      <w:color w:val="467886" w:themeColor="hyperlink"/>
      <w:u w:val="single"/>
    </w:rPr>
  </w:style>
  <w:style w:type="character" w:styleId="UnresolvedMention">
    <w:name w:val="Unresolved Mention"/>
    <w:basedOn w:val="DefaultParagraphFont"/>
    <w:uiPriority w:val="99"/>
    <w:semiHidden/>
    <w:unhideWhenUsed/>
    <w:rsid w:val="006F06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mingham.cmis.uk.com/Birmingham/Document.ashx?FgPlIEJYlotS%2BYGoBi5olA%3D%3D=NHdURQburHA%3D&amp;WGewmoAfeNQ16B2MHuCpMRKZMwaG1PaO=ctNJFf55vVA%3D&amp;WGewmoAfeNR9xqBux0r1Q8Za60lavYmz=ctNJFf55vVA%3D&amp;czJKcaeAi5tUFL1DTL2UE4zNRBcoShgo=IDPKit1zuI6jKZPx%2FClavQJ3wWnfQDKt7oVQt54OhwT6xRgGNcDWUw%3D%3D&amp;d9Qjj0ag1Pd993jsyOJqFvmyB7X0CSQK=ctNJFf55vVA%3D&amp;kCx1AnS9%2FpWZQ40DXFvdEw%3D%3D=hFflUdN3100%3D&amp;mCTIbCubSFfXsDGW9IXnlg%3D%3D=hFflUdN3100%3D&amp;rUzwRPf%2BZ3zd4E7Ikn8Lyw%3D%3D=pwRE6AGJFLDNlh225F5QMaQWCtPHwdhUfCZ%2FLUQzgA2uL5jNRG4jdQ%3D%3D&amp;uJovDxwdjMPoYv%2BAJvYtyA%3D%3D=ctNJFf55vVA%3D&amp;" TargetMode="External"/><Relationship Id="rId13" Type="http://schemas.openxmlformats.org/officeDocument/2006/relationships/hyperlink" Target="https://www.england.nhs.uk/about/equality/equality-hub/national-healthcare-inequalities-improvement-programme/core20plus5/" TargetMode="External"/><Relationship Id="rId18" Type="http://schemas.openxmlformats.org/officeDocument/2006/relationships/hyperlink" Target="https://journals.sagepub.com/doi/10.1177/109019817400200405?"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sdgs.un.org/goals/goal3" TargetMode="External"/><Relationship Id="rId7" Type="http://schemas.openxmlformats.org/officeDocument/2006/relationships/hyperlink" Target="https://www.birmingham.gov.uk/downloads/file/23756/creating_a_bolder_healthier_city_2022_to_2030?" TargetMode="External"/><Relationship Id="rId12" Type="http://schemas.openxmlformats.org/officeDocument/2006/relationships/hyperlink" Target="https://www.health.org.uk/reports-and-analysis/reports/health-equity-in-england-the-marmot-review-10-years-on-0?utm_source=chatgpt.com" TargetMode="External"/><Relationship Id="rId17" Type="http://schemas.openxmlformats.org/officeDocument/2006/relationships/hyperlink" Target="https://journals.sagepub.com/doi/10.1177/109019817400200403?" TargetMode="External"/><Relationship Id="rId25" Type="http://schemas.openxmlformats.org/officeDocument/2006/relationships/hyperlink" Target="https://www.who.int/publications/i/item/9789240117808?" TargetMode="External"/><Relationship Id="rId2" Type="http://schemas.openxmlformats.org/officeDocument/2006/relationships/customXml" Target="../customXml/item2.xml"/><Relationship Id="rId16" Type="http://schemas.openxmlformats.org/officeDocument/2006/relationships/hyperlink" Target="file:///C:\Users\akasa\Downloads\Healthy%20life%20expectancy%20by%20national%20area%20deprivation,%20England%20and%20Wales%20between%202013%20to%202015%20and%202020%20to%202022.pdf" TargetMode="External"/><Relationship Id="rId20" Type="http://schemas.openxmlformats.org/officeDocument/2006/relationships/hyperlink" Target="https://pubmed.ncbi.nlm.nih.gov/337890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med.ncbi.nlm.nih.gov/6392204/" TargetMode="External"/><Relationship Id="rId24" Type="http://schemas.openxmlformats.org/officeDocument/2006/relationships/hyperlink" Target="https://www.who.int/news-room/fact-sheets/detail/universal-health-coverage-%28uhc%29" TargetMode="External"/><Relationship Id="rId5" Type="http://schemas.openxmlformats.org/officeDocument/2006/relationships/settings" Target="settings.xml"/><Relationship Id="rId15" Type="http://schemas.openxmlformats.org/officeDocument/2006/relationships/hyperlink" Target="https://www.england.nhs.uk/long-read/annex-operational-performance-update-oct-2024/" TargetMode="External"/><Relationship Id="rId23" Type="http://schemas.openxmlformats.org/officeDocument/2006/relationships/hyperlink" Target="https://www.who.int/publications/i/item/9789241500852?" TargetMode="External"/><Relationship Id="rId10" Type="http://schemas.openxmlformats.org/officeDocument/2006/relationships/hyperlink" Target="https://thehealthinnovationnetwork.co.uk/wp-content/uploads/2024/12/Innovation-for-Healthcare-Inequalities-Programme-report.pdf" TargetMode="External"/><Relationship Id="rId19" Type="http://schemas.openxmlformats.org/officeDocument/2006/relationships/hyperlink" Target="https://pubmed.ncbi.nlm.nih.gov/3378902/" TargetMode="External"/><Relationship Id="rId4" Type="http://schemas.openxmlformats.org/officeDocument/2006/relationships/styles" Target="styles.xml"/><Relationship Id="rId9" Type="http://schemas.openxmlformats.org/officeDocument/2006/relationships/hyperlink" Target="https://care.or.tz/wp-content/uploads/2024/10/FY24-VSLA-Annual-Report_EN.pdf" TargetMode="External"/><Relationship Id="rId14" Type="http://schemas.openxmlformats.org/officeDocument/2006/relationships/hyperlink" Target="https://www.england.nhs.uk/about/equality/equality-hub/national-healthcare-inequalities-improvement-programme/core20plus5/" TargetMode="External"/><Relationship Id="rId22" Type="http://schemas.openxmlformats.org/officeDocument/2006/relationships/hyperlink" Target="https://sdgs.un.org/goals/goal1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847132985988f0abc9be1ca91c3fb1a5">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99e245138113594b7595c373eb657952"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5488B6BE-3598-4F53-BECB-9D40DCAE69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89439F-C9A4-43B7-A719-C1AF4E008C50}">
  <ds:schemaRefs>
    <ds:schemaRef ds:uri="http://schemas.microsoft.com/sharepoint/v3/contenttype/forms"/>
  </ds:schemaRefs>
</ds:datastoreItem>
</file>

<file path=customXml/itemProps3.xml><?xml version="1.0" encoding="utf-8"?>
<ds:datastoreItem xmlns:ds="http://schemas.openxmlformats.org/officeDocument/2006/customXml" ds:itemID="{4F0C3FD1-5902-4952-9A71-2E025B054C96}">
  <ds:schemaRefs>
    <ds:schemaRef ds:uri="http://schemas.microsoft.com/office/2006/metadata/properties"/>
    <ds:schemaRef ds:uri="http://schemas.microsoft.com/office/infopath/2007/PartnerControls"/>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3110</Words>
  <Characters>17732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Mehmood Warraich (2244964)</dc:creator>
  <cp:keywords/>
  <dc:description/>
  <cp:lastModifiedBy>Tariq Mehmood Warraich (2244964)</cp:lastModifiedBy>
  <cp:revision>2</cp:revision>
  <dcterms:created xsi:type="dcterms:W3CDTF">2026-03-22T12:10:00Z</dcterms:created>
  <dcterms:modified xsi:type="dcterms:W3CDTF">2026-03-22T12:10:00Z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