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diagrams/data2.xml" ContentType="application/vnd.openxmlformats-officedocument.drawingml.diagramData+xml"/>
  <Override PartName="/word/diagrams/layout2.xml" ContentType="application/vnd.openxmlformats-officedocument.drawingml.diagramLayout+xml"/>
  <Override PartName="/word/diagrams/quickStyle2.xml" ContentType="application/vnd.openxmlformats-officedocument.drawingml.diagramStyle+xml"/>
  <Override PartName="/word/diagrams/colors2.xml" ContentType="application/vnd.openxmlformats-officedocument.drawingml.diagramColors+xml"/>
  <Override PartName="/word/diagrams/drawing2.xml" ContentType="application/vnd.ms-office.drawingml.diagramDrawing+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ECE7F49" w14:textId="21FA4F0C" w:rsidR="007E6266" w:rsidRDefault="007E6266" w:rsidP="007E6266">
      <w:pPr>
        <w:spacing w:line="360" w:lineRule="auto"/>
      </w:pPr>
    </w:p>
    <w:p w14:paraId="1AB7469E" w14:textId="2CD1B6A9" w:rsidR="007E6266" w:rsidRDefault="007E6266" w:rsidP="007E6266">
      <w:pPr>
        <w:spacing w:line="360" w:lineRule="auto"/>
      </w:pPr>
    </w:p>
    <w:p w14:paraId="7716AE18" w14:textId="77777777" w:rsidR="007E6266" w:rsidRDefault="007E6266" w:rsidP="007E6266">
      <w:pPr>
        <w:spacing w:line="600" w:lineRule="auto"/>
        <w:jc w:val="center"/>
        <w:rPr>
          <w:sz w:val="32"/>
          <w:szCs w:val="32"/>
        </w:rPr>
      </w:pPr>
      <w:r w:rsidRPr="00A406E5">
        <w:rPr>
          <w:rFonts w:ascii="Arial" w:hAnsi="Arial" w:cs="Arial"/>
          <w:noProof/>
        </w:rPr>
        <w:drawing>
          <wp:anchor distT="0" distB="0" distL="114300" distR="114300" simplePos="0" relativeHeight="251659264" behindDoc="0" locked="0" layoutInCell="1" allowOverlap="1" wp14:anchorId="1984A219" wp14:editId="104B49CA">
            <wp:simplePos x="0" y="0"/>
            <wp:positionH relativeFrom="column">
              <wp:posOffset>-347472</wp:posOffset>
            </wp:positionH>
            <wp:positionV relativeFrom="paragraph">
              <wp:posOffset>381</wp:posOffset>
            </wp:positionV>
            <wp:extent cx="2267712" cy="870204"/>
            <wp:effectExtent l="0" t="0" r="5715"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8" r:link="rId9">
                      <a:extLst>
                        <a:ext uri="{28A0092B-C50C-407E-A947-70E740481C1C}">
                          <a14:useLocalDpi xmlns:a14="http://schemas.microsoft.com/office/drawing/2010/main" val="0"/>
                        </a:ext>
                      </a:extLst>
                    </a:blip>
                    <a:srcRect/>
                    <a:stretch>
                      <a:fillRect/>
                    </a:stretch>
                  </pic:blipFill>
                  <pic:spPr bwMode="auto">
                    <a:xfrm>
                      <a:off x="0" y="0"/>
                      <a:ext cx="2279984" cy="874913"/>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3C21D584" w14:textId="77777777" w:rsidR="007E6266" w:rsidRDefault="007E6266" w:rsidP="007E6266">
      <w:pPr>
        <w:spacing w:line="600" w:lineRule="auto"/>
        <w:jc w:val="center"/>
        <w:rPr>
          <w:sz w:val="32"/>
          <w:szCs w:val="32"/>
        </w:rPr>
      </w:pPr>
    </w:p>
    <w:p w14:paraId="7908FA19" w14:textId="77777777" w:rsidR="007E6266" w:rsidRDefault="007E6266" w:rsidP="007E6266">
      <w:pPr>
        <w:spacing w:line="600" w:lineRule="auto"/>
        <w:jc w:val="center"/>
        <w:rPr>
          <w:sz w:val="32"/>
          <w:szCs w:val="32"/>
        </w:rPr>
      </w:pPr>
    </w:p>
    <w:p w14:paraId="686F866B" w14:textId="4F4ADAE4" w:rsidR="007E6266" w:rsidRDefault="007E6266" w:rsidP="007E6266">
      <w:pPr>
        <w:spacing w:line="600" w:lineRule="auto"/>
        <w:jc w:val="center"/>
        <w:rPr>
          <w:sz w:val="32"/>
          <w:szCs w:val="32"/>
        </w:rPr>
      </w:pPr>
      <w:r w:rsidRPr="00CE6708">
        <w:rPr>
          <w:b/>
          <w:bCs/>
          <w:sz w:val="32"/>
          <w:szCs w:val="32"/>
        </w:rPr>
        <w:t>Student</w:t>
      </w:r>
      <w:r w:rsidRPr="00CE6708">
        <w:rPr>
          <w:sz w:val="32"/>
          <w:szCs w:val="32"/>
        </w:rPr>
        <w:t xml:space="preserve"> </w:t>
      </w:r>
      <w:r w:rsidRPr="00CE6708">
        <w:rPr>
          <w:b/>
          <w:bCs/>
          <w:sz w:val="32"/>
          <w:szCs w:val="32"/>
        </w:rPr>
        <w:t>Name</w:t>
      </w:r>
      <w:r w:rsidRPr="00CE6708">
        <w:rPr>
          <w:sz w:val="32"/>
          <w:szCs w:val="32"/>
        </w:rPr>
        <w:t xml:space="preserve">: Daniel </w:t>
      </w:r>
      <w:proofErr w:type="spellStart"/>
      <w:r w:rsidRPr="00CE6708">
        <w:rPr>
          <w:sz w:val="32"/>
          <w:szCs w:val="32"/>
        </w:rPr>
        <w:t>Petcu</w:t>
      </w:r>
      <w:proofErr w:type="spellEnd"/>
    </w:p>
    <w:p w14:paraId="05BC37CC" w14:textId="20B52DDB" w:rsidR="007E6266" w:rsidRDefault="007E6266" w:rsidP="007E6266">
      <w:pPr>
        <w:spacing w:line="600" w:lineRule="auto"/>
        <w:jc w:val="center"/>
        <w:rPr>
          <w:sz w:val="32"/>
          <w:szCs w:val="32"/>
        </w:rPr>
      </w:pPr>
    </w:p>
    <w:p w14:paraId="61ACEC7E" w14:textId="7851712C" w:rsidR="007E6266" w:rsidRPr="007E6266" w:rsidRDefault="007E6266" w:rsidP="007E6266">
      <w:pPr>
        <w:spacing w:line="600" w:lineRule="auto"/>
        <w:jc w:val="center"/>
        <w:rPr>
          <w:b/>
          <w:bCs/>
          <w:sz w:val="32"/>
          <w:szCs w:val="32"/>
          <w:u w:val="single"/>
        </w:rPr>
      </w:pPr>
      <w:r w:rsidRPr="007E6266">
        <w:rPr>
          <w:b/>
          <w:bCs/>
          <w:sz w:val="32"/>
          <w:szCs w:val="32"/>
          <w:u w:val="single"/>
        </w:rPr>
        <w:t>LCLM5003 PROJECT MANAGEMENT</w:t>
      </w:r>
    </w:p>
    <w:p w14:paraId="676FA197" w14:textId="4AE96860" w:rsidR="007E6266" w:rsidRPr="007E6266" w:rsidRDefault="007E6266" w:rsidP="007E6266">
      <w:pPr>
        <w:pStyle w:val="ListParagraph"/>
        <w:numPr>
          <w:ilvl w:val="0"/>
          <w:numId w:val="30"/>
        </w:numPr>
        <w:spacing w:line="600" w:lineRule="auto"/>
        <w:jc w:val="center"/>
        <w:rPr>
          <w:sz w:val="32"/>
          <w:szCs w:val="32"/>
        </w:rPr>
      </w:pPr>
      <w:r w:rsidRPr="007E6266">
        <w:rPr>
          <w:sz w:val="32"/>
          <w:szCs w:val="32"/>
        </w:rPr>
        <w:t xml:space="preserve">INDIVIDUAL PORTFOLIO - </w:t>
      </w:r>
    </w:p>
    <w:p w14:paraId="045947A4" w14:textId="28406285" w:rsidR="007E6266" w:rsidRDefault="007E6266" w:rsidP="007E6266">
      <w:pPr>
        <w:spacing w:line="360" w:lineRule="auto"/>
      </w:pPr>
    </w:p>
    <w:p w14:paraId="49103FC3" w14:textId="0F6B0591" w:rsidR="007E6266" w:rsidRDefault="007E6266" w:rsidP="007E6266">
      <w:pPr>
        <w:spacing w:line="360" w:lineRule="auto"/>
      </w:pPr>
    </w:p>
    <w:p w14:paraId="17C14A78" w14:textId="6D52994F" w:rsidR="007E6266" w:rsidRDefault="007E6266" w:rsidP="007E6266">
      <w:pPr>
        <w:spacing w:line="360" w:lineRule="auto"/>
      </w:pPr>
    </w:p>
    <w:p w14:paraId="14D062FD" w14:textId="19723DFB" w:rsidR="007E6266" w:rsidRDefault="007E6266" w:rsidP="007E6266">
      <w:pPr>
        <w:spacing w:line="360" w:lineRule="auto"/>
      </w:pPr>
    </w:p>
    <w:p w14:paraId="4EC09741" w14:textId="4D7786FB" w:rsidR="007E6266" w:rsidRDefault="007E6266" w:rsidP="007E6266">
      <w:pPr>
        <w:spacing w:line="360" w:lineRule="auto"/>
      </w:pPr>
    </w:p>
    <w:p w14:paraId="7D823A60" w14:textId="080663FF" w:rsidR="007E6266" w:rsidRDefault="007E6266" w:rsidP="007E6266">
      <w:pPr>
        <w:spacing w:line="360" w:lineRule="auto"/>
      </w:pPr>
    </w:p>
    <w:p w14:paraId="7836EF7F" w14:textId="6E8ECE60" w:rsidR="007E6266" w:rsidRDefault="007E6266" w:rsidP="007E6266">
      <w:pPr>
        <w:spacing w:line="360" w:lineRule="auto"/>
      </w:pPr>
    </w:p>
    <w:p w14:paraId="779020CC" w14:textId="6F472FE9" w:rsidR="007E6266" w:rsidRDefault="007E6266" w:rsidP="007E6266">
      <w:pPr>
        <w:spacing w:line="360" w:lineRule="auto"/>
      </w:pPr>
    </w:p>
    <w:p w14:paraId="1905FCF3" w14:textId="15C5C122" w:rsidR="007E6266" w:rsidRDefault="007E6266" w:rsidP="007E6266">
      <w:pPr>
        <w:spacing w:line="360" w:lineRule="auto"/>
      </w:pPr>
    </w:p>
    <w:p w14:paraId="5E8EFA6F" w14:textId="2E2A604C" w:rsidR="007E6266" w:rsidRDefault="007E6266" w:rsidP="007E6266">
      <w:pPr>
        <w:spacing w:line="360" w:lineRule="auto"/>
      </w:pPr>
    </w:p>
    <w:p w14:paraId="2ABD13A2" w14:textId="77777777" w:rsidR="007E6266" w:rsidRDefault="007E6266" w:rsidP="007E6266">
      <w:pPr>
        <w:spacing w:line="360" w:lineRule="auto"/>
      </w:pPr>
    </w:p>
    <w:p w14:paraId="152B01DA" w14:textId="2DF2D659" w:rsidR="007E6266" w:rsidRDefault="007E6266" w:rsidP="007E6266">
      <w:pPr>
        <w:spacing w:line="360" w:lineRule="auto"/>
      </w:pPr>
    </w:p>
    <w:p w14:paraId="5815D91D" w14:textId="593723FF" w:rsidR="007E6266" w:rsidRDefault="007E6266" w:rsidP="007E6266">
      <w:pPr>
        <w:spacing w:line="360" w:lineRule="auto"/>
      </w:pPr>
    </w:p>
    <w:p w14:paraId="336CCE25" w14:textId="702D397B" w:rsidR="007E6266" w:rsidRDefault="007E6266" w:rsidP="007E6266">
      <w:pPr>
        <w:spacing w:line="360" w:lineRule="auto"/>
      </w:pPr>
    </w:p>
    <w:sdt>
      <w:sdtPr>
        <w:id w:val="-15473567"/>
        <w:docPartObj>
          <w:docPartGallery w:val="Table of Contents"/>
          <w:docPartUnique/>
        </w:docPartObj>
      </w:sdtPr>
      <w:sdtEndPr>
        <w:rPr>
          <w:rFonts w:ascii="Times New Roman" w:eastAsia="Times New Roman" w:hAnsi="Times New Roman" w:cs="Times New Roman"/>
          <w:noProof/>
          <w:color w:val="auto"/>
          <w:sz w:val="24"/>
          <w:szCs w:val="24"/>
          <w:lang w:val="en-GB" w:eastAsia="en-GB"/>
        </w:rPr>
      </w:sdtEndPr>
      <w:sdtContent>
        <w:p w14:paraId="065646CB" w14:textId="557B8AD6" w:rsidR="007E6266" w:rsidRDefault="007E6266">
          <w:pPr>
            <w:pStyle w:val="TOCHeading"/>
          </w:pPr>
          <w:r>
            <w:t>Table of Contents</w:t>
          </w:r>
        </w:p>
        <w:p w14:paraId="10F89F8F" w14:textId="649BC23A" w:rsidR="007E6266" w:rsidRDefault="007E6266">
          <w:pPr>
            <w:pStyle w:val="TOC1"/>
            <w:tabs>
              <w:tab w:val="right" w:leader="dot" w:pos="9016"/>
            </w:tabs>
            <w:rPr>
              <w:rFonts w:eastAsiaTheme="minorEastAsia" w:cstheme="minorBidi"/>
              <w:b w:val="0"/>
              <w:bCs w:val="0"/>
              <w:i w:val="0"/>
              <w:iCs w:val="0"/>
              <w:noProof/>
            </w:rPr>
          </w:pPr>
          <w:r>
            <w:rPr>
              <w:b w:val="0"/>
              <w:bCs w:val="0"/>
            </w:rPr>
            <w:fldChar w:fldCharType="begin"/>
          </w:r>
          <w:r>
            <w:instrText xml:space="preserve"> TOC \o "1-3" \h \z \u </w:instrText>
          </w:r>
          <w:r>
            <w:rPr>
              <w:b w:val="0"/>
              <w:bCs w:val="0"/>
            </w:rPr>
            <w:fldChar w:fldCharType="separate"/>
          </w:r>
          <w:hyperlink w:anchor="_Toc214308067" w:history="1">
            <w:r w:rsidRPr="009C3102">
              <w:rPr>
                <w:rStyle w:val="Hyperlink"/>
                <w:noProof/>
              </w:rPr>
              <w:t>PART ONE: POSTER PRESENTATION</w:t>
            </w:r>
            <w:r>
              <w:rPr>
                <w:noProof/>
                <w:webHidden/>
              </w:rPr>
              <w:tab/>
            </w:r>
            <w:r>
              <w:rPr>
                <w:noProof/>
                <w:webHidden/>
              </w:rPr>
              <w:fldChar w:fldCharType="begin"/>
            </w:r>
            <w:r>
              <w:rPr>
                <w:noProof/>
                <w:webHidden/>
              </w:rPr>
              <w:instrText xml:space="preserve"> PAGEREF _Toc214308067 \h </w:instrText>
            </w:r>
            <w:r>
              <w:rPr>
                <w:noProof/>
                <w:webHidden/>
              </w:rPr>
            </w:r>
            <w:r>
              <w:rPr>
                <w:noProof/>
                <w:webHidden/>
              </w:rPr>
              <w:fldChar w:fldCharType="separate"/>
            </w:r>
            <w:r>
              <w:rPr>
                <w:noProof/>
                <w:webHidden/>
              </w:rPr>
              <w:t>2</w:t>
            </w:r>
            <w:r>
              <w:rPr>
                <w:noProof/>
                <w:webHidden/>
              </w:rPr>
              <w:fldChar w:fldCharType="end"/>
            </w:r>
          </w:hyperlink>
        </w:p>
        <w:p w14:paraId="2D0DEE51" w14:textId="3DE3E7DC" w:rsidR="007E6266" w:rsidRDefault="007E6266">
          <w:pPr>
            <w:pStyle w:val="TOC1"/>
            <w:tabs>
              <w:tab w:val="right" w:leader="dot" w:pos="9016"/>
            </w:tabs>
            <w:rPr>
              <w:rFonts w:eastAsiaTheme="minorEastAsia" w:cstheme="minorBidi"/>
              <w:b w:val="0"/>
              <w:bCs w:val="0"/>
              <w:i w:val="0"/>
              <w:iCs w:val="0"/>
              <w:noProof/>
            </w:rPr>
          </w:pPr>
          <w:hyperlink w:anchor="_Toc214308068" w:history="1">
            <w:r w:rsidRPr="009C3102">
              <w:rPr>
                <w:rStyle w:val="Hyperlink"/>
                <w:noProof/>
              </w:rPr>
              <w:t>PART TWO: REFLECTION</w:t>
            </w:r>
            <w:r>
              <w:rPr>
                <w:noProof/>
                <w:webHidden/>
              </w:rPr>
              <w:tab/>
            </w:r>
            <w:r>
              <w:rPr>
                <w:noProof/>
                <w:webHidden/>
              </w:rPr>
              <w:fldChar w:fldCharType="begin"/>
            </w:r>
            <w:r>
              <w:rPr>
                <w:noProof/>
                <w:webHidden/>
              </w:rPr>
              <w:instrText xml:space="preserve"> PAGEREF _Toc214308068 \h </w:instrText>
            </w:r>
            <w:r>
              <w:rPr>
                <w:noProof/>
                <w:webHidden/>
              </w:rPr>
            </w:r>
            <w:r>
              <w:rPr>
                <w:noProof/>
                <w:webHidden/>
              </w:rPr>
              <w:fldChar w:fldCharType="separate"/>
            </w:r>
            <w:r>
              <w:rPr>
                <w:noProof/>
                <w:webHidden/>
              </w:rPr>
              <w:t>3</w:t>
            </w:r>
            <w:r>
              <w:rPr>
                <w:noProof/>
                <w:webHidden/>
              </w:rPr>
              <w:fldChar w:fldCharType="end"/>
            </w:r>
          </w:hyperlink>
        </w:p>
        <w:p w14:paraId="0A7C6A34" w14:textId="07A30F7E" w:rsidR="007E6266" w:rsidRDefault="007E6266">
          <w:pPr>
            <w:pStyle w:val="TOC1"/>
            <w:tabs>
              <w:tab w:val="right" w:leader="dot" w:pos="9016"/>
            </w:tabs>
            <w:rPr>
              <w:rFonts w:eastAsiaTheme="minorEastAsia" w:cstheme="minorBidi"/>
              <w:b w:val="0"/>
              <w:bCs w:val="0"/>
              <w:i w:val="0"/>
              <w:iCs w:val="0"/>
              <w:noProof/>
            </w:rPr>
          </w:pPr>
          <w:hyperlink w:anchor="_Toc214308069" w:history="1">
            <w:r w:rsidRPr="009C3102">
              <w:rPr>
                <w:rStyle w:val="Hyperlink"/>
                <w:noProof/>
              </w:rPr>
              <w:t>PART THREE: PROJECT MANAGEMENT REPORT</w:t>
            </w:r>
            <w:r>
              <w:rPr>
                <w:noProof/>
                <w:webHidden/>
              </w:rPr>
              <w:tab/>
            </w:r>
            <w:r>
              <w:rPr>
                <w:noProof/>
                <w:webHidden/>
              </w:rPr>
              <w:fldChar w:fldCharType="begin"/>
            </w:r>
            <w:r>
              <w:rPr>
                <w:noProof/>
                <w:webHidden/>
              </w:rPr>
              <w:instrText xml:space="preserve"> PAGEREF _Toc214308069 \h </w:instrText>
            </w:r>
            <w:r>
              <w:rPr>
                <w:noProof/>
                <w:webHidden/>
              </w:rPr>
            </w:r>
            <w:r>
              <w:rPr>
                <w:noProof/>
                <w:webHidden/>
              </w:rPr>
              <w:fldChar w:fldCharType="separate"/>
            </w:r>
            <w:r>
              <w:rPr>
                <w:noProof/>
                <w:webHidden/>
              </w:rPr>
              <w:t>5</w:t>
            </w:r>
            <w:r>
              <w:rPr>
                <w:noProof/>
                <w:webHidden/>
              </w:rPr>
              <w:fldChar w:fldCharType="end"/>
            </w:r>
          </w:hyperlink>
        </w:p>
        <w:p w14:paraId="6202F906" w14:textId="65FA2969" w:rsidR="007E6266" w:rsidRDefault="007E6266">
          <w:pPr>
            <w:pStyle w:val="TOC2"/>
            <w:tabs>
              <w:tab w:val="right" w:leader="dot" w:pos="9016"/>
            </w:tabs>
            <w:rPr>
              <w:rFonts w:eastAsiaTheme="minorEastAsia" w:cstheme="minorBidi"/>
              <w:b w:val="0"/>
              <w:bCs w:val="0"/>
              <w:noProof/>
              <w:sz w:val="24"/>
              <w:szCs w:val="24"/>
            </w:rPr>
          </w:pPr>
          <w:hyperlink w:anchor="_Toc214308070" w:history="1">
            <w:r w:rsidRPr="009C3102">
              <w:rPr>
                <w:rStyle w:val="Hyperlink"/>
                <w:noProof/>
              </w:rPr>
              <w:t>1. Introduction</w:t>
            </w:r>
            <w:r>
              <w:rPr>
                <w:noProof/>
                <w:webHidden/>
              </w:rPr>
              <w:tab/>
            </w:r>
            <w:r>
              <w:rPr>
                <w:noProof/>
                <w:webHidden/>
              </w:rPr>
              <w:fldChar w:fldCharType="begin"/>
            </w:r>
            <w:r>
              <w:rPr>
                <w:noProof/>
                <w:webHidden/>
              </w:rPr>
              <w:instrText xml:space="preserve"> PAGEREF _Toc214308070 \h </w:instrText>
            </w:r>
            <w:r>
              <w:rPr>
                <w:noProof/>
                <w:webHidden/>
              </w:rPr>
            </w:r>
            <w:r>
              <w:rPr>
                <w:noProof/>
                <w:webHidden/>
              </w:rPr>
              <w:fldChar w:fldCharType="separate"/>
            </w:r>
            <w:r>
              <w:rPr>
                <w:noProof/>
                <w:webHidden/>
              </w:rPr>
              <w:t>5</w:t>
            </w:r>
            <w:r>
              <w:rPr>
                <w:noProof/>
                <w:webHidden/>
              </w:rPr>
              <w:fldChar w:fldCharType="end"/>
            </w:r>
          </w:hyperlink>
        </w:p>
        <w:p w14:paraId="2718347F" w14:textId="73D2D5A1" w:rsidR="007E6266" w:rsidRDefault="007E6266">
          <w:pPr>
            <w:pStyle w:val="TOC2"/>
            <w:tabs>
              <w:tab w:val="right" w:leader="dot" w:pos="9016"/>
            </w:tabs>
            <w:rPr>
              <w:rFonts w:eastAsiaTheme="minorEastAsia" w:cstheme="minorBidi"/>
              <w:b w:val="0"/>
              <w:bCs w:val="0"/>
              <w:noProof/>
              <w:sz w:val="24"/>
              <w:szCs w:val="24"/>
            </w:rPr>
          </w:pPr>
          <w:hyperlink w:anchor="_Toc214308071" w:history="1">
            <w:r w:rsidRPr="009C3102">
              <w:rPr>
                <w:rStyle w:val="Hyperlink"/>
                <w:noProof/>
              </w:rPr>
              <w:t>2. Project Description</w:t>
            </w:r>
            <w:r>
              <w:rPr>
                <w:noProof/>
                <w:webHidden/>
              </w:rPr>
              <w:tab/>
            </w:r>
            <w:r>
              <w:rPr>
                <w:noProof/>
                <w:webHidden/>
              </w:rPr>
              <w:fldChar w:fldCharType="begin"/>
            </w:r>
            <w:r>
              <w:rPr>
                <w:noProof/>
                <w:webHidden/>
              </w:rPr>
              <w:instrText xml:space="preserve"> PAGEREF _Toc214308071 \h </w:instrText>
            </w:r>
            <w:r>
              <w:rPr>
                <w:noProof/>
                <w:webHidden/>
              </w:rPr>
            </w:r>
            <w:r>
              <w:rPr>
                <w:noProof/>
                <w:webHidden/>
              </w:rPr>
              <w:fldChar w:fldCharType="separate"/>
            </w:r>
            <w:r>
              <w:rPr>
                <w:noProof/>
                <w:webHidden/>
              </w:rPr>
              <w:t>6</w:t>
            </w:r>
            <w:r>
              <w:rPr>
                <w:noProof/>
                <w:webHidden/>
              </w:rPr>
              <w:fldChar w:fldCharType="end"/>
            </w:r>
          </w:hyperlink>
        </w:p>
        <w:p w14:paraId="66A2B364" w14:textId="73065170" w:rsidR="007E6266" w:rsidRDefault="007E6266">
          <w:pPr>
            <w:pStyle w:val="TOC2"/>
            <w:tabs>
              <w:tab w:val="right" w:leader="dot" w:pos="9016"/>
            </w:tabs>
            <w:rPr>
              <w:rFonts w:eastAsiaTheme="minorEastAsia" w:cstheme="minorBidi"/>
              <w:b w:val="0"/>
              <w:bCs w:val="0"/>
              <w:noProof/>
              <w:sz w:val="24"/>
              <w:szCs w:val="24"/>
            </w:rPr>
          </w:pPr>
          <w:hyperlink w:anchor="_Toc214308072" w:history="1">
            <w:r w:rsidRPr="009C3102">
              <w:rPr>
                <w:rStyle w:val="Hyperlink"/>
                <w:noProof/>
              </w:rPr>
              <w:t>2.1 Project Title</w:t>
            </w:r>
            <w:r>
              <w:rPr>
                <w:noProof/>
                <w:webHidden/>
              </w:rPr>
              <w:tab/>
            </w:r>
            <w:r>
              <w:rPr>
                <w:noProof/>
                <w:webHidden/>
              </w:rPr>
              <w:fldChar w:fldCharType="begin"/>
            </w:r>
            <w:r>
              <w:rPr>
                <w:noProof/>
                <w:webHidden/>
              </w:rPr>
              <w:instrText xml:space="preserve"> PAGEREF _Toc214308072 \h </w:instrText>
            </w:r>
            <w:r>
              <w:rPr>
                <w:noProof/>
                <w:webHidden/>
              </w:rPr>
            </w:r>
            <w:r>
              <w:rPr>
                <w:noProof/>
                <w:webHidden/>
              </w:rPr>
              <w:fldChar w:fldCharType="separate"/>
            </w:r>
            <w:r>
              <w:rPr>
                <w:noProof/>
                <w:webHidden/>
              </w:rPr>
              <w:t>6</w:t>
            </w:r>
            <w:r>
              <w:rPr>
                <w:noProof/>
                <w:webHidden/>
              </w:rPr>
              <w:fldChar w:fldCharType="end"/>
            </w:r>
          </w:hyperlink>
        </w:p>
        <w:p w14:paraId="0AC8F992" w14:textId="3764826D" w:rsidR="007E6266" w:rsidRDefault="007E6266">
          <w:pPr>
            <w:pStyle w:val="TOC2"/>
            <w:tabs>
              <w:tab w:val="right" w:leader="dot" w:pos="9016"/>
            </w:tabs>
            <w:rPr>
              <w:rFonts w:eastAsiaTheme="minorEastAsia" w:cstheme="minorBidi"/>
              <w:b w:val="0"/>
              <w:bCs w:val="0"/>
              <w:noProof/>
              <w:sz w:val="24"/>
              <w:szCs w:val="24"/>
            </w:rPr>
          </w:pPr>
          <w:hyperlink w:anchor="_Toc214308073" w:history="1">
            <w:r w:rsidRPr="009C3102">
              <w:rPr>
                <w:rStyle w:val="Hyperlink"/>
                <w:noProof/>
              </w:rPr>
              <w:t>2.2 Background</w:t>
            </w:r>
            <w:r>
              <w:rPr>
                <w:noProof/>
                <w:webHidden/>
              </w:rPr>
              <w:tab/>
            </w:r>
            <w:r>
              <w:rPr>
                <w:noProof/>
                <w:webHidden/>
              </w:rPr>
              <w:fldChar w:fldCharType="begin"/>
            </w:r>
            <w:r>
              <w:rPr>
                <w:noProof/>
                <w:webHidden/>
              </w:rPr>
              <w:instrText xml:space="preserve"> PAGEREF _Toc214308073 \h </w:instrText>
            </w:r>
            <w:r>
              <w:rPr>
                <w:noProof/>
                <w:webHidden/>
              </w:rPr>
            </w:r>
            <w:r>
              <w:rPr>
                <w:noProof/>
                <w:webHidden/>
              </w:rPr>
              <w:fldChar w:fldCharType="separate"/>
            </w:r>
            <w:r>
              <w:rPr>
                <w:noProof/>
                <w:webHidden/>
              </w:rPr>
              <w:t>6</w:t>
            </w:r>
            <w:r>
              <w:rPr>
                <w:noProof/>
                <w:webHidden/>
              </w:rPr>
              <w:fldChar w:fldCharType="end"/>
            </w:r>
          </w:hyperlink>
        </w:p>
        <w:p w14:paraId="5B1AFB47" w14:textId="11A3AC40" w:rsidR="007E6266" w:rsidRDefault="007E6266">
          <w:pPr>
            <w:pStyle w:val="TOC2"/>
            <w:tabs>
              <w:tab w:val="right" w:leader="dot" w:pos="9016"/>
            </w:tabs>
            <w:rPr>
              <w:rFonts w:eastAsiaTheme="minorEastAsia" w:cstheme="minorBidi"/>
              <w:b w:val="0"/>
              <w:bCs w:val="0"/>
              <w:noProof/>
              <w:sz w:val="24"/>
              <w:szCs w:val="24"/>
            </w:rPr>
          </w:pPr>
          <w:hyperlink w:anchor="_Toc214308074" w:history="1">
            <w:r w:rsidRPr="009C3102">
              <w:rPr>
                <w:rStyle w:val="Hyperlink"/>
                <w:noProof/>
              </w:rPr>
              <w:t>2.3 Project Purpose and Rationale</w:t>
            </w:r>
            <w:r>
              <w:rPr>
                <w:noProof/>
                <w:webHidden/>
              </w:rPr>
              <w:tab/>
            </w:r>
            <w:r>
              <w:rPr>
                <w:noProof/>
                <w:webHidden/>
              </w:rPr>
              <w:fldChar w:fldCharType="begin"/>
            </w:r>
            <w:r>
              <w:rPr>
                <w:noProof/>
                <w:webHidden/>
              </w:rPr>
              <w:instrText xml:space="preserve"> PAGEREF _Toc214308074 \h </w:instrText>
            </w:r>
            <w:r>
              <w:rPr>
                <w:noProof/>
                <w:webHidden/>
              </w:rPr>
            </w:r>
            <w:r>
              <w:rPr>
                <w:noProof/>
                <w:webHidden/>
              </w:rPr>
              <w:fldChar w:fldCharType="separate"/>
            </w:r>
            <w:r>
              <w:rPr>
                <w:noProof/>
                <w:webHidden/>
              </w:rPr>
              <w:t>6</w:t>
            </w:r>
            <w:r>
              <w:rPr>
                <w:noProof/>
                <w:webHidden/>
              </w:rPr>
              <w:fldChar w:fldCharType="end"/>
            </w:r>
          </w:hyperlink>
        </w:p>
        <w:p w14:paraId="3526B733" w14:textId="7DB51D7F" w:rsidR="007E6266" w:rsidRDefault="007E6266">
          <w:pPr>
            <w:pStyle w:val="TOC2"/>
            <w:tabs>
              <w:tab w:val="right" w:leader="dot" w:pos="9016"/>
            </w:tabs>
            <w:rPr>
              <w:rFonts w:eastAsiaTheme="minorEastAsia" w:cstheme="minorBidi"/>
              <w:b w:val="0"/>
              <w:bCs w:val="0"/>
              <w:noProof/>
              <w:sz w:val="24"/>
              <w:szCs w:val="24"/>
            </w:rPr>
          </w:pPr>
          <w:hyperlink w:anchor="_Toc214308075" w:history="1">
            <w:r w:rsidRPr="009C3102">
              <w:rPr>
                <w:rStyle w:val="Hyperlink"/>
                <w:noProof/>
              </w:rPr>
              <w:t>2.4 Project Objectives</w:t>
            </w:r>
            <w:r>
              <w:rPr>
                <w:noProof/>
                <w:webHidden/>
              </w:rPr>
              <w:tab/>
            </w:r>
            <w:r>
              <w:rPr>
                <w:noProof/>
                <w:webHidden/>
              </w:rPr>
              <w:fldChar w:fldCharType="begin"/>
            </w:r>
            <w:r>
              <w:rPr>
                <w:noProof/>
                <w:webHidden/>
              </w:rPr>
              <w:instrText xml:space="preserve"> PAGEREF _Toc214308075 \h </w:instrText>
            </w:r>
            <w:r>
              <w:rPr>
                <w:noProof/>
                <w:webHidden/>
              </w:rPr>
            </w:r>
            <w:r>
              <w:rPr>
                <w:noProof/>
                <w:webHidden/>
              </w:rPr>
              <w:fldChar w:fldCharType="separate"/>
            </w:r>
            <w:r>
              <w:rPr>
                <w:noProof/>
                <w:webHidden/>
              </w:rPr>
              <w:t>6</w:t>
            </w:r>
            <w:r>
              <w:rPr>
                <w:noProof/>
                <w:webHidden/>
              </w:rPr>
              <w:fldChar w:fldCharType="end"/>
            </w:r>
          </w:hyperlink>
        </w:p>
        <w:p w14:paraId="294EE24A" w14:textId="310E58DF" w:rsidR="007E6266" w:rsidRDefault="007E6266">
          <w:pPr>
            <w:pStyle w:val="TOC2"/>
            <w:tabs>
              <w:tab w:val="right" w:leader="dot" w:pos="9016"/>
            </w:tabs>
            <w:rPr>
              <w:rFonts w:eastAsiaTheme="minorEastAsia" w:cstheme="minorBidi"/>
              <w:b w:val="0"/>
              <w:bCs w:val="0"/>
              <w:noProof/>
              <w:sz w:val="24"/>
              <w:szCs w:val="24"/>
            </w:rPr>
          </w:pPr>
          <w:hyperlink w:anchor="_Toc214308076" w:history="1">
            <w:r w:rsidRPr="009C3102">
              <w:rPr>
                <w:rStyle w:val="Hyperlink"/>
                <w:noProof/>
              </w:rPr>
              <w:t>2.5 Project Management Approach</w:t>
            </w:r>
            <w:r>
              <w:rPr>
                <w:noProof/>
                <w:webHidden/>
              </w:rPr>
              <w:tab/>
            </w:r>
            <w:r>
              <w:rPr>
                <w:noProof/>
                <w:webHidden/>
              </w:rPr>
              <w:fldChar w:fldCharType="begin"/>
            </w:r>
            <w:r>
              <w:rPr>
                <w:noProof/>
                <w:webHidden/>
              </w:rPr>
              <w:instrText xml:space="preserve"> PAGEREF _Toc214308076 \h </w:instrText>
            </w:r>
            <w:r>
              <w:rPr>
                <w:noProof/>
                <w:webHidden/>
              </w:rPr>
            </w:r>
            <w:r>
              <w:rPr>
                <w:noProof/>
                <w:webHidden/>
              </w:rPr>
              <w:fldChar w:fldCharType="separate"/>
            </w:r>
            <w:r>
              <w:rPr>
                <w:noProof/>
                <w:webHidden/>
              </w:rPr>
              <w:t>7</w:t>
            </w:r>
            <w:r>
              <w:rPr>
                <w:noProof/>
                <w:webHidden/>
              </w:rPr>
              <w:fldChar w:fldCharType="end"/>
            </w:r>
          </w:hyperlink>
        </w:p>
        <w:p w14:paraId="524C04A7" w14:textId="5EFC6DA0" w:rsidR="007E6266" w:rsidRDefault="007E6266">
          <w:pPr>
            <w:pStyle w:val="TOC2"/>
            <w:tabs>
              <w:tab w:val="right" w:leader="dot" w:pos="9016"/>
            </w:tabs>
            <w:rPr>
              <w:rFonts w:eastAsiaTheme="minorEastAsia" w:cstheme="minorBidi"/>
              <w:b w:val="0"/>
              <w:bCs w:val="0"/>
              <w:noProof/>
              <w:sz w:val="24"/>
              <w:szCs w:val="24"/>
            </w:rPr>
          </w:pPr>
          <w:hyperlink w:anchor="_Toc214308077" w:history="1">
            <w:r w:rsidRPr="009C3102">
              <w:rPr>
                <w:rStyle w:val="Hyperlink"/>
                <w:noProof/>
              </w:rPr>
              <w:t>3. Project Scope</w:t>
            </w:r>
            <w:r>
              <w:rPr>
                <w:noProof/>
                <w:webHidden/>
              </w:rPr>
              <w:tab/>
            </w:r>
            <w:r>
              <w:rPr>
                <w:noProof/>
                <w:webHidden/>
              </w:rPr>
              <w:fldChar w:fldCharType="begin"/>
            </w:r>
            <w:r>
              <w:rPr>
                <w:noProof/>
                <w:webHidden/>
              </w:rPr>
              <w:instrText xml:space="preserve"> PAGEREF _Toc214308077 \h </w:instrText>
            </w:r>
            <w:r>
              <w:rPr>
                <w:noProof/>
                <w:webHidden/>
              </w:rPr>
            </w:r>
            <w:r>
              <w:rPr>
                <w:noProof/>
                <w:webHidden/>
              </w:rPr>
              <w:fldChar w:fldCharType="separate"/>
            </w:r>
            <w:r>
              <w:rPr>
                <w:noProof/>
                <w:webHidden/>
              </w:rPr>
              <w:t>7</w:t>
            </w:r>
            <w:r>
              <w:rPr>
                <w:noProof/>
                <w:webHidden/>
              </w:rPr>
              <w:fldChar w:fldCharType="end"/>
            </w:r>
          </w:hyperlink>
        </w:p>
        <w:p w14:paraId="495B575B" w14:textId="2ABDDEED" w:rsidR="007E6266" w:rsidRDefault="007E6266">
          <w:pPr>
            <w:pStyle w:val="TOC2"/>
            <w:tabs>
              <w:tab w:val="right" w:leader="dot" w:pos="9016"/>
            </w:tabs>
            <w:rPr>
              <w:rFonts w:eastAsiaTheme="minorEastAsia" w:cstheme="minorBidi"/>
              <w:b w:val="0"/>
              <w:bCs w:val="0"/>
              <w:noProof/>
              <w:sz w:val="24"/>
              <w:szCs w:val="24"/>
            </w:rPr>
          </w:pPr>
          <w:hyperlink w:anchor="_Toc214308078" w:history="1">
            <w:r w:rsidRPr="009C3102">
              <w:rPr>
                <w:rStyle w:val="Hyperlink"/>
                <w:noProof/>
              </w:rPr>
              <w:t>3.1 In-Scope Activities</w:t>
            </w:r>
            <w:r>
              <w:rPr>
                <w:noProof/>
                <w:webHidden/>
              </w:rPr>
              <w:tab/>
            </w:r>
            <w:r>
              <w:rPr>
                <w:noProof/>
                <w:webHidden/>
              </w:rPr>
              <w:fldChar w:fldCharType="begin"/>
            </w:r>
            <w:r>
              <w:rPr>
                <w:noProof/>
                <w:webHidden/>
              </w:rPr>
              <w:instrText xml:space="preserve"> PAGEREF _Toc214308078 \h </w:instrText>
            </w:r>
            <w:r>
              <w:rPr>
                <w:noProof/>
                <w:webHidden/>
              </w:rPr>
            </w:r>
            <w:r>
              <w:rPr>
                <w:noProof/>
                <w:webHidden/>
              </w:rPr>
              <w:fldChar w:fldCharType="separate"/>
            </w:r>
            <w:r>
              <w:rPr>
                <w:noProof/>
                <w:webHidden/>
              </w:rPr>
              <w:t>7</w:t>
            </w:r>
            <w:r>
              <w:rPr>
                <w:noProof/>
                <w:webHidden/>
              </w:rPr>
              <w:fldChar w:fldCharType="end"/>
            </w:r>
          </w:hyperlink>
        </w:p>
        <w:p w14:paraId="50330BFC" w14:textId="2D11F87B" w:rsidR="007E6266" w:rsidRDefault="007E6266">
          <w:pPr>
            <w:pStyle w:val="TOC2"/>
            <w:tabs>
              <w:tab w:val="right" w:leader="dot" w:pos="9016"/>
            </w:tabs>
            <w:rPr>
              <w:rFonts w:eastAsiaTheme="minorEastAsia" w:cstheme="minorBidi"/>
              <w:b w:val="0"/>
              <w:bCs w:val="0"/>
              <w:noProof/>
              <w:sz w:val="24"/>
              <w:szCs w:val="24"/>
            </w:rPr>
          </w:pPr>
          <w:hyperlink w:anchor="_Toc214308079" w:history="1">
            <w:r w:rsidRPr="009C3102">
              <w:rPr>
                <w:rStyle w:val="Hyperlink"/>
                <w:noProof/>
              </w:rPr>
              <w:t>3.2 Out-of-Scope Activities</w:t>
            </w:r>
            <w:r>
              <w:rPr>
                <w:noProof/>
                <w:webHidden/>
              </w:rPr>
              <w:tab/>
            </w:r>
            <w:r>
              <w:rPr>
                <w:noProof/>
                <w:webHidden/>
              </w:rPr>
              <w:fldChar w:fldCharType="begin"/>
            </w:r>
            <w:r>
              <w:rPr>
                <w:noProof/>
                <w:webHidden/>
              </w:rPr>
              <w:instrText xml:space="preserve"> PAGEREF _Toc214308079 \h </w:instrText>
            </w:r>
            <w:r>
              <w:rPr>
                <w:noProof/>
                <w:webHidden/>
              </w:rPr>
            </w:r>
            <w:r>
              <w:rPr>
                <w:noProof/>
                <w:webHidden/>
              </w:rPr>
              <w:fldChar w:fldCharType="separate"/>
            </w:r>
            <w:r>
              <w:rPr>
                <w:noProof/>
                <w:webHidden/>
              </w:rPr>
              <w:t>7</w:t>
            </w:r>
            <w:r>
              <w:rPr>
                <w:noProof/>
                <w:webHidden/>
              </w:rPr>
              <w:fldChar w:fldCharType="end"/>
            </w:r>
          </w:hyperlink>
        </w:p>
        <w:p w14:paraId="515F98CA" w14:textId="2D296257" w:rsidR="007E6266" w:rsidRDefault="007E6266">
          <w:pPr>
            <w:pStyle w:val="TOC2"/>
            <w:tabs>
              <w:tab w:val="right" w:leader="dot" w:pos="9016"/>
            </w:tabs>
            <w:rPr>
              <w:rFonts w:eastAsiaTheme="minorEastAsia" w:cstheme="minorBidi"/>
              <w:b w:val="0"/>
              <w:bCs w:val="0"/>
              <w:noProof/>
              <w:sz w:val="24"/>
              <w:szCs w:val="24"/>
            </w:rPr>
          </w:pPr>
          <w:hyperlink w:anchor="_Toc214308080" w:history="1">
            <w:r w:rsidRPr="009C3102">
              <w:rPr>
                <w:rStyle w:val="Hyperlink"/>
                <w:noProof/>
              </w:rPr>
              <w:t>3.3 Scope Justification</w:t>
            </w:r>
            <w:r>
              <w:rPr>
                <w:noProof/>
                <w:webHidden/>
              </w:rPr>
              <w:tab/>
            </w:r>
            <w:r>
              <w:rPr>
                <w:noProof/>
                <w:webHidden/>
              </w:rPr>
              <w:fldChar w:fldCharType="begin"/>
            </w:r>
            <w:r>
              <w:rPr>
                <w:noProof/>
                <w:webHidden/>
              </w:rPr>
              <w:instrText xml:space="preserve"> PAGEREF _Toc214308080 \h </w:instrText>
            </w:r>
            <w:r>
              <w:rPr>
                <w:noProof/>
                <w:webHidden/>
              </w:rPr>
            </w:r>
            <w:r>
              <w:rPr>
                <w:noProof/>
                <w:webHidden/>
              </w:rPr>
              <w:fldChar w:fldCharType="separate"/>
            </w:r>
            <w:r>
              <w:rPr>
                <w:noProof/>
                <w:webHidden/>
              </w:rPr>
              <w:t>7</w:t>
            </w:r>
            <w:r>
              <w:rPr>
                <w:noProof/>
                <w:webHidden/>
              </w:rPr>
              <w:fldChar w:fldCharType="end"/>
            </w:r>
          </w:hyperlink>
        </w:p>
        <w:p w14:paraId="5B7559D8" w14:textId="12779E42" w:rsidR="007E6266" w:rsidRDefault="007E6266">
          <w:pPr>
            <w:pStyle w:val="TOC2"/>
            <w:tabs>
              <w:tab w:val="right" w:leader="dot" w:pos="9016"/>
            </w:tabs>
            <w:rPr>
              <w:rFonts w:eastAsiaTheme="minorEastAsia" w:cstheme="minorBidi"/>
              <w:b w:val="0"/>
              <w:bCs w:val="0"/>
              <w:noProof/>
              <w:sz w:val="24"/>
              <w:szCs w:val="24"/>
            </w:rPr>
          </w:pPr>
          <w:hyperlink w:anchor="_Toc214308081" w:history="1">
            <w:r w:rsidRPr="009C3102">
              <w:rPr>
                <w:rStyle w:val="Hyperlink"/>
                <w:noProof/>
              </w:rPr>
              <w:t>Work Breakdown Structure (WBS)</w:t>
            </w:r>
            <w:r>
              <w:rPr>
                <w:noProof/>
                <w:webHidden/>
              </w:rPr>
              <w:tab/>
            </w:r>
            <w:r>
              <w:rPr>
                <w:noProof/>
                <w:webHidden/>
              </w:rPr>
              <w:fldChar w:fldCharType="begin"/>
            </w:r>
            <w:r>
              <w:rPr>
                <w:noProof/>
                <w:webHidden/>
              </w:rPr>
              <w:instrText xml:space="preserve"> PAGEREF _Toc214308081 \h </w:instrText>
            </w:r>
            <w:r>
              <w:rPr>
                <w:noProof/>
                <w:webHidden/>
              </w:rPr>
            </w:r>
            <w:r>
              <w:rPr>
                <w:noProof/>
                <w:webHidden/>
              </w:rPr>
              <w:fldChar w:fldCharType="separate"/>
            </w:r>
            <w:r>
              <w:rPr>
                <w:noProof/>
                <w:webHidden/>
              </w:rPr>
              <w:t>9</w:t>
            </w:r>
            <w:r>
              <w:rPr>
                <w:noProof/>
                <w:webHidden/>
              </w:rPr>
              <w:fldChar w:fldCharType="end"/>
            </w:r>
          </w:hyperlink>
        </w:p>
        <w:p w14:paraId="400492DA" w14:textId="0B644760" w:rsidR="007E6266" w:rsidRDefault="007E6266">
          <w:pPr>
            <w:pStyle w:val="TOC2"/>
            <w:tabs>
              <w:tab w:val="right" w:leader="dot" w:pos="9016"/>
            </w:tabs>
            <w:rPr>
              <w:rFonts w:eastAsiaTheme="minorEastAsia" w:cstheme="minorBidi"/>
              <w:b w:val="0"/>
              <w:bCs w:val="0"/>
              <w:noProof/>
              <w:sz w:val="24"/>
              <w:szCs w:val="24"/>
            </w:rPr>
          </w:pPr>
          <w:hyperlink w:anchor="_Toc214308082" w:history="1">
            <w:r w:rsidRPr="009C3102">
              <w:rPr>
                <w:rStyle w:val="Hyperlink"/>
                <w:noProof/>
              </w:rPr>
              <w:t>5. Quad Chart</w:t>
            </w:r>
            <w:r>
              <w:rPr>
                <w:noProof/>
                <w:webHidden/>
              </w:rPr>
              <w:tab/>
            </w:r>
            <w:r>
              <w:rPr>
                <w:noProof/>
                <w:webHidden/>
              </w:rPr>
              <w:fldChar w:fldCharType="begin"/>
            </w:r>
            <w:r>
              <w:rPr>
                <w:noProof/>
                <w:webHidden/>
              </w:rPr>
              <w:instrText xml:space="preserve"> PAGEREF _Toc214308082 \h </w:instrText>
            </w:r>
            <w:r>
              <w:rPr>
                <w:noProof/>
                <w:webHidden/>
              </w:rPr>
            </w:r>
            <w:r>
              <w:rPr>
                <w:noProof/>
                <w:webHidden/>
              </w:rPr>
              <w:fldChar w:fldCharType="separate"/>
            </w:r>
            <w:r>
              <w:rPr>
                <w:noProof/>
                <w:webHidden/>
              </w:rPr>
              <w:t>10</w:t>
            </w:r>
            <w:r>
              <w:rPr>
                <w:noProof/>
                <w:webHidden/>
              </w:rPr>
              <w:fldChar w:fldCharType="end"/>
            </w:r>
          </w:hyperlink>
        </w:p>
        <w:p w14:paraId="0A8297CE" w14:textId="7A4DE5E4" w:rsidR="007E6266" w:rsidRDefault="007E6266">
          <w:pPr>
            <w:pStyle w:val="TOC2"/>
            <w:tabs>
              <w:tab w:val="right" w:leader="dot" w:pos="9016"/>
            </w:tabs>
            <w:rPr>
              <w:rFonts w:eastAsiaTheme="minorEastAsia" w:cstheme="minorBidi"/>
              <w:b w:val="0"/>
              <w:bCs w:val="0"/>
              <w:noProof/>
              <w:sz w:val="24"/>
              <w:szCs w:val="24"/>
            </w:rPr>
          </w:pPr>
          <w:hyperlink w:anchor="_Toc214308083" w:history="1">
            <w:r w:rsidRPr="009C3102">
              <w:rPr>
                <w:rStyle w:val="Hyperlink"/>
                <w:noProof/>
              </w:rPr>
              <w:t>6. Gantt Chart</w:t>
            </w:r>
            <w:r>
              <w:rPr>
                <w:noProof/>
                <w:webHidden/>
              </w:rPr>
              <w:tab/>
            </w:r>
            <w:r>
              <w:rPr>
                <w:noProof/>
                <w:webHidden/>
              </w:rPr>
              <w:fldChar w:fldCharType="begin"/>
            </w:r>
            <w:r>
              <w:rPr>
                <w:noProof/>
                <w:webHidden/>
              </w:rPr>
              <w:instrText xml:space="preserve"> PAGEREF _Toc214308083 \h </w:instrText>
            </w:r>
            <w:r>
              <w:rPr>
                <w:noProof/>
                <w:webHidden/>
              </w:rPr>
            </w:r>
            <w:r>
              <w:rPr>
                <w:noProof/>
                <w:webHidden/>
              </w:rPr>
              <w:fldChar w:fldCharType="separate"/>
            </w:r>
            <w:r>
              <w:rPr>
                <w:noProof/>
                <w:webHidden/>
              </w:rPr>
              <w:t>11</w:t>
            </w:r>
            <w:r>
              <w:rPr>
                <w:noProof/>
                <w:webHidden/>
              </w:rPr>
              <w:fldChar w:fldCharType="end"/>
            </w:r>
          </w:hyperlink>
        </w:p>
        <w:p w14:paraId="4F066ECF" w14:textId="29BC3942" w:rsidR="007E6266" w:rsidRDefault="007E6266">
          <w:pPr>
            <w:pStyle w:val="TOC2"/>
            <w:tabs>
              <w:tab w:val="right" w:leader="dot" w:pos="9016"/>
            </w:tabs>
            <w:rPr>
              <w:rFonts w:eastAsiaTheme="minorEastAsia" w:cstheme="minorBidi"/>
              <w:b w:val="0"/>
              <w:bCs w:val="0"/>
              <w:noProof/>
              <w:sz w:val="24"/>
              <w:szCs w:val="24"/>
            </w:rPr>
          </w:pPr>
          <w:hyperlink w:anchor="_Toc214308084" w:history="1">
            <w:r w:rsidRPr="009C3102">
              <w:rPr>
                <w:rStyle w:val="Hyperlink"/>
                <w:noProof/>
              </w:rPr>
              <w:t>7. Stakeholders’ Involvement</w:t>
            </w:r>
            <w:r>
              <w:rPr>
                <w:noProof/>
                <w:webHidden/>
              </w:rPr>
              <w:tab/>
            </w:r>
            <w:r>
              <w:rPr>
                <w:noProof/>
                <w:webHidden/>
              </w:rPr>
              <w:fldChar w:fldCharType="begin"/>
            </w:r>
            <w:r>
              <w:rPr>
                <w:noProof/>
                <w:webHidden/>
              </w:rPr>
              <w:instrText xml:space="preserve"> PAGEREF _Toc214308084 \h </w:instrText>
            </w:r>
            <w:r>
              <w:rPr>
                <w:noProof/>
                <w:webHidden/>
              </w:rPr>
            </w:r>
            <w:r>
              <w:rPr>
                <w:noProof/>
                <w:webHidden/>
              </w:rPr>
              <w:fldChar w:fldCharType="separate"/>
            </w:r>
            <w:r>
              <w:rPr>
                <w:noProof/>
                <w:webHidden/>
              </w:rPr>
              <w:t>12</w:t>
            </w:r>
            <w:r>
              <w:rPr>
                <w:noProof/>
                <w:webHidden/>
              </w:rPr>
              <w:fldChar w:fldCharType="end"/>
            </w:r>
          </w:hyperlink>
        </w:p>
        <w:p w14:paraId="44D5E526" w14:textId="72B719DA" w:rsidR="007E6266" w:rsidRDefault="007E6266">
          <w:pPr>
            <w:pStyle w:val="TOC3"/>
            <w:tabs>
              <w:tab w:val="right" w:leader="dot" w:pos="9016"/>
            </w:tabs>
            <w:rPr>
              <w:rFonts w:eastAsiaTheme="minorEastAsia" w:cstheme="minorBidi"/>
              <w:noProof/>
              <w:sz w:val="24"/>
              <w:szCs w:val="24"/>
            </w:rPr>
          </w:pPr>
          <w:hyperlink w:anchor="_Toc214308085" w:history="1">
            <w:r w:rsidRPr="009C3102">
              <w:rPr>
                <w:rStyle w:val="Hyperlink"/>
                <w:b/>
                <w:bCs/>
                <w:noProof/>
              </w:rPr>
              <w:t>Key Stakeholders and Roles</w:t>
            </w:r>
            <w:r>
              <w:rPr>
                <w:noProof/>
                <w:webHidden/>
              </w:rPr>
              <w:tab/>
            </w:r>
            <w:r>
              <w:rPr>
                <w:noProof/>
                <w:webHidden/>
              </w:rPr>
              <w:fldChar w:fldCharType="begin"/>
            </w:r>
            <w:r>
              <w:rPr>
                <w:noProof/>
                <w:webHidden/>
              </w:rPr>
              <w:instrText xml:space="preserve"> PAGEREF _Toc214308085 \h </w:instrText>
            </w:r>
            <w:r>
              <w:rPr>
                <w:noProof/>
                <w:webHidden/>
              </w:rPr>
            </w:r>
            <w:r>
              <w:rPr>
                <w:noProof/>
                <w:webHidden/>
              </w:rPr>
              <w:fldChar w:fldCharType="separate"/>
            </w:r>
            <w:r>
              <w:rPr>
                <w:noProof/>
                <w:webHidden/>
              </w:rPr>
              <w:t>12</w:t>
            </w:r>
            <w:r>
              <w:rPr>
                <w:noProof/>
                <w:webHidden/>
              </w:rPr>
              <w:fldChar w:fldCharType="end"/>
            </w:r>
          </w:hyperlink>
        </w:p>
        <w:p w14:paraId="5CC4B680" w14:textId="38473D30" w:rsidR="007E6266" w:rsidRDefault="007E6266">
          <w:pPr>
            <w:pStyle w:val="TOC2"/>
            <w:tabs>
              <w:tab w:val="right" w:leader="dot" w:pos="9016"/>
            </w:tabs>
            <w:rPr>
              <w:rFonts w:eastAsiaTheme="minorEastAsia" w:cstheme="minorBidi"/>
              <w:b w:val="0"/>
              <w:bCs w:val="0"/>
              <w:noProof/>
              <w:sz w:val="24"/>
              <w:szCs w:val="24"/>
            </w:rPr>
          </w:pPr>
          <w:hyperlink w:anchor="_Toc214308086" w:history="1">
            <w:r w:rsidRPr="009C3102">
              <w:rPr>
                <w:rStyle w:val="Hyperlink"/>
                <w:noProof/>
              </w:rPr>
              <w:t>8. Allocation of Resources</w:t>
            </w:r>
            <w:r>
              <w:rPr>
                <w:noProof/>
                <w:webHidden/>
              </w:rPr>
              <w:tab/>
            </w:r>
            <w:r>
              <w:rPr>
                <w:noProof/>
                <w:webHidden/>
              </w:rPr>
              <w:fldChar w:fldCharType="begin"/>
            </w:r>
            <w:r>
              <w:rPr>
                <w:noProof/>
                <w:webHidden/>
              </w:rPr>
              <w:instrText xml:space="preserve"> PAGEREF _Toc214308086 \h </w:instrText>
            </w:r>
            <w:r>
              <w:rPr>
                <w:noProof/>
                <w:webHidden/>
              </w:rPr>
            </w:r>
            <w:r>
              <w:rPr>
                <w:noProof/>
                <w:webHidden/>
              </w:rPr>
              <w:fldChar w:fldCharType="separate"/>
            </w:r>
            <w:r>
              <w:rPr>
                <w:noProof/>
                <w:webHidden/>
              </w:rPr>
              <w:t>13</w:t>
            </w:r>
            <w:r>
              <w:rPr>
                <w:noProof/>
                <w:webHidden/>
              </w:rPr>
              <w:fldChar w:fldCharType="end"/>
            </w:r>
          </w:hyperlink>
        </w:p>
        <w:p w14:paraId="019A2239" w14:textId="019D2BB5" w:rsidR="007E6266" w:rsidRDefault="007E6266">
          <w:pPr>
            <w:pStyle w:val="TOC2"/>
            <w:tabs>
              <w:tab w:val="right" w:leader="dot" w:pos="9016"/>
            </w:tabs>
            <w:rPr>
              <w:rFonts w:eastAsiaTheme="minorEastAsia" w:cstheme="minorBidi"/>
              <w:b w:val="0"/>
              <w:bCs w:val="0"/>
              <w:noProof/>
              <w:sz w:val="24"/>
              <w:szCs w:val="24"/>
            </w:rPr>
          </w:pPr>
          <w:hyperlink w:anchor="_Toc214308087" w:history="1">
            <w:r w:rsidRPr="009C3102">
              <w:rPr>
                <w:rStyle w:val="Hyperlink"/>
                <w:noProof/>
              </w:rPr>
              <w:t>8.1 Human Resources</w:t>
            </w:r>
            <w:r>
              <w:rPr>
                <w:noProof/>
                <w:webHidden/>
              </w:rPr>
              <w:tab/>
            </w:r>
            <w:r>
              <w:rPr>
                <w:noProof/>
                <w:webHidden/>
              </w:rPr>
              <w:fldChar w:fldCharType="begin"/>
            </w:r>
            <w:r>
              <w:rPr>
                <w:noProof/>
                <w:webHidden/>
              </w:rPr>
              <w:instrText xml:space="preserve"> PAGEREF _Toc214308087 \h </w:instrText>
            </w:r>
            <w:r>
              <w:rPr>
                <w:noProof/>
                <w:webHidden/>
              </w:rPr>
            </w:r>
            <w:r>
              <w:rPr>
                <w:noProof/>
                <w:webHidden/>
              </w:rPr>
              <w:fldChar w:fldCharType="separate"/>
            </w:r>
            <w:r>
              <w:rPr>
                <w:noProof/>
                <w:webHidden/>
              </w:rPr>
              <w:t>13</w:t>
            </w:r>
            <w:r>
              <w:rPr>
                <w:noProof/>
                <w:webHidden/>
              </w:rPr>
              <w:fldChar w:fldCharType="end"/>
            </w:r>
          </w:hyperlink>
        </w:p>
        <w:p w14:paraId="111F9065" w14:textId="060D5849" w:rsidR="007E6266" w:rsidRDefault="007E6266">
          <w:pPr>
            <w:pStyle w:val="TOC2"/>
            <w:tabs>
              <w:tab w:val="right" w:leader="dot" w:pos="9016"/>
            </w:tabs>
            <w:rPr>
              <w:rFonts w:eastAsiaTheme="minorEastAsia" w:cstheme="minorBidi"/>
              <w:b w:val="0"/>
              <w:bCs w:val="0"/>
              <w:noProof/>
              <w:sz w:val="24"/>
              <w:szCs w:val="24"/>
            </w:rPr>
          </w:pPr>
          <w:hyperlink w:anchor="_Toc214308088" w:history="1">
            <w:r w:rsidRPr="009C3102">
              <w:rPr>
                <w:rStyle w:val="Hyperlink"/>
                <w:noProof/>
              </w:rPr>
              <w:t>8.2 Financial Resources</w:t>
            </w:r>
            <w:r>
              <w:rPr>
                <w:noProof/>
                <w:webHidden/>
              </w:rPr>
              <w:tab/>
            </w:r>
            <w:r>
              <w:rPr>
                <w:noProof/>
                <w:webHidden/>
              </w:rPr>
              <w:fldChar w:fldCharType="begin"/>
            </w:r>
            <w:r>
              <w:rPr>
                <w:noProof/>
                <w:webHidden/>
              </w:rPr>
              <w:instrText xml:space="preserve"> PAGEREF _Toc214308088 \h </w:instrText>
            </w:r>
            <w:r>
              <w:rPr>
                <w:noProof/>
                <w:webHidden/>
              </w:rPr>
            </w:r>
            <w:r>
              <w:rPr>
                <w:noProof/>
                <w:webHidden/>
              </w:rPr>
              <w:fldChar w:fldCharType="separate"/>
            </w:r>
            <w:r>
              <w:rPr>
                <w:noProof/>
                <w:webHidden/>
              </w:rPr>
              <w:t>14</w:t>
            </w:r>
            <w:r>
              <w:rPr>
                <w:noProof/>
                <w:webHidden/>
              </w:rPr>
              <w:fldChar w:fldCharType="end"/>
            </w:r>
          </w:hyperlink>
        </w:p>
        <w:p w14:paraId="02F32233" w14:textId="7A7AA05B" w:rsidR="007E6266" w:rsidRDefault="007E6266">
          <w:pPr>
            <w:pStyle w:val="TOC2"/>
            <w:tabs>
              <w:tab w:val="right" w:leader="dot" w:pos="9016"/>
            </w:tabs>
            <w:rPr>
              <w:rFonts w:eastAsiaTheme="minorEastAsia" w:cstheme="minorBidi"/>
              <w:b w:val="0"/>
              <w:bCs w:val="0"/>
              <w:noProof/>
              <w:sz w:val="24"/>
              <w:szCs w:val="24"/>
            </w:rPr>
          </w:pPr>
          <w:hyperlink w:anchor="_Toc214308089" w:history="1">
            <w:r w:rsidRPr="009C3102">
              <w:rPr>
                <w:rStyle w:val="Hyperlink"/>
                <w:noProof/>
              </w:rPr>
              <w:t>8.3 Technological Resources</w:t>
            </w:r>
            <w:r>
              <w:rPr>
                <w:noProof/>
                <w:webHidden/>
              </w:rPr>
              <w:tab/>
            </w:r>
            <w:r>
              <w:rPr>
                <w:noProof/>
                <w:webHidden/>
              </w:rPr>
              <w:fldChar w:fldCharType="begin"/>
            </w:r>
            <w:r>
              <w:rPr>
                <w:noProof/>
                <w:webHidden/>
              </w:rPr>
              <w:instrText xml:space="preserve"> PAGEREF _Toc214308089 \h </w:instrText>
            </w:r>
            <w:r>
              <w:rPr>
                <w:noProof/>
                <w:webHidden/>
              </w:rPr>
            </w:r>
            <w:r>
              <w:rPr>
                <w:noProof/>
                <w:webHidden/>
              </w:rPr>
              <w:fldChar w:fldCharType="separate"/>
            </w:r>
            <w:r>
              <w:rPr>
                <w:noProof/>
                <w:webHidden/>
              </w:rPr>
              <w:t>15</w:t>
            </w:r>
            <w:r>
              <w:rPr>
                <w:noProof/>
                <w:webHidden/>
              </w:rPr>
              <w:fldChar w:fldCharType="end"/>
            </w:r>
          </w:hyperlink>
        </w:p>
        <w:p w14:paraId="4473C3A6" w14:textId="404C7A3D" w:rsidR="007E6266" w:rsidRDefault="007E6266">
          <w:pPr>
            <w:pStyle w:val="TOC2"/>
            <w:tabs>
              <w:tab w:val="right" w:leader="dot" w:pos="9016"/>
            </w:tabs>
            <w:rPr>
              <w:rFonts w:eastAsiaTheme="minorEastAsia" w:cstheme="minorBidi"/>
              <w:b w:val="0"/>
              <w:bCs w:val="0"/>
              <w:noProof/>
              <w:sz w:val="24"/>
              <w:szCs w:val="24"/>
            </w:rPr>
          </w:pPr>
          <w:hyperlink w:anchor="_Toc214308090" w:history="1">
            <w:r w:rsidRPr="009C3102">
              <w:rPr>
                <w:rStyle w:val="Hyperlink"/>
                <w:noProof/>
              </w:rPr>
              <w:t>8.4 Material Resources</w:t>
            </w:r>
            <w:r>
              <w:rPr>
                <w:noProof/>
                <w:webHidden/>
              </w:rPr>
              <w:tab/>
            </w:r>
            <w:r>
              <w:rPr>
                <w:noProof/>
                <w:webHidden/>
              </w:rPr>
              <w:fldChar w:fldCharType="begin"/>
            </w:r>
            <w:r>
              <w:rPr>
                <w:noProof/>
                <w:webHidden/>
              </w:rPr>
              <w:instrText xml:space="preserve"> PAGEREF _Toc214308090 \h </w:instrText>
            </w:r>
            <w:r>
              <w:rPr>
                <w:noProof/>
                <w:webHidden/>
              </w:rPr>
            </w:r>
            <w:r>
              <w:rPr>
                <w:noProof/>
                <w:webHidden/>
              </w:rPr>
              <w:fldChar w:fldCharType="separate"/>
            </w:r>
            <w:r>
              <w:rPr>
                <w:noProof/>
                <w:webHidden/>
              </w:rPr>
              <w:t>15</w:t>
            </w:r>
            <w:r>
              <w:rPr>
                <w:noProof/>
                <w:webHidden/>
              </w:rPr>
              <w:fldChar w:fldCharType="end"/>
            </w:r>
          </w:hyperlink>
        </w:p>
        <w:p w14:paraId="28259395" w14:textId="56284836" w:rsidR="007E6266" w:rsidRDefault="007E6266">
          <w:pPr>
            <w:pStyle w:val="TOC3"/>
            <w:tabs>
              <w:tab w:val="right" w:leader="dot" w:pos="9016"/>
            </w:tabs>
            <w:rPr>
              <w:rFonts w:eastAsiaTheme="minorEastAsia" w:cstheme="minorBidi"/>
              <w:noProof/>
              <w:sz w:val="24"/>
              <w:szCs w:val="24"/>
            </w:rPr>
          </w:pPr>
          <w:hyperlink w:anchor="_Toc214308091" w:history="1">
            <w:r w:rsidRPr="009C3102">
              <w:rPr>
                <w:rStyle w:val="Hyperlink"/>
                <w:b/>
                <w:bCs/>
                <w:noProof/>
              </w:rPr>
              <w:t>Critical Summary</w:t>
            </w:r>
            <w:r>
              <w:rPr>
                <w:noProof/>
                <w:webHidden/>
              </w:rPr>
              <w:tab/>
            </w:r>
            <w:r>
              <w:rPr>
                <w:noProof/>
                <w:webHidden/>
              </w:rPr>
              <w:fldChar w:fldCharType="begin"/>
            </w:r>
            <w:r>
              <w:rPr>
                <w:noProof/>
                <w:webHidden/>
              </w:rPr>
              <w:instrText xml:space="preserve"> PAGEREF _Toc214308091 \h </w:instrText>
            </w:r>
            <w:r>
              <w:rPr>
                <w:noProof/>
                <w:webHidden/>
              </w:rPr>
            </w:r>
            <w:r>
              <w:rPr>
                <w:noProof/>
                <w:webHidden/>
              </w:rPr>
              <w:fldChar w:fldCharType="separate"/>
            </w:r>
            <w:r>
              <w:rPr>
                <w:noProof/>
                <w:webHidden/>
              </w:rPr>
              <w:t>16</w:t>
            </w:r>
            <w:r>
              <w:rPr>
                <w:noProof/>
                <w:webHidden/>
              </w:rPr>
              <w:fldChar w:fldCharType="end"/>
            </w:r>
          </w:hyperlink>
        </w:p>
        <w:p w14:paraId="449B8CE0" w14:textId="196A90E8" w:rsidR="007E6266" w:rsidRDefault="007E6266">
          <w:pPr>
            <w:pStyle w:val="TOC2"/>
            <w:tabs>
              <w:tab w:val="right" w:leader="dot" w:pos="9016"/>
            </w:tabs>
            <w:rPr>
              <w:rFonts w:eastAsiaTheme="minorEastAsia" w:cstheme="minorBidi"/>
              <w:b w:val="0"/>
              <w:bCs w:val="0"/>
              <w:noProof/>
              <w:sz w:val="24"/>
              <w:szCs w:val="24"/>
            </w:rPr>
          </w:pPr>
          <w:hyperlink w:anchor="_Toc214308092" w:history="1">
            <w:r w:rsidRPr="009C3102">
              <w:rPr>
                <w:rStyle w:val="Hyperlink"/>
                <w:noProof/>
              </w:rPr>
              <w:t>9. Risk Analysis</w:t>
            </w:r>
            <w:r>
              <w:rPr>
                <w:noProof/>
                <w:webHidden/>
              </w:rPr>
              <w:tab/>
            </w:r>
            <w:r>
              <w:rPr>
                <w:noProof/>
                <w:webHidden/>
              </w:rPr>
              <w:fldChar w:fldCharType="begin"/>
            </w:r>
            <w:r>
              <w:rPr>
                <w:noProof/>
                <w:webHidden/>
              </w:rPr>
              <w:instrText xml:space="preserve"> PAGEREF _Toc214308092 \h </w:instrText>
            </w:r>
            <w:r>
              <w:rPr>
                <w:noProof/>
                <w:webHidden/>
              </w:rPr>
            </w:r>
            <w:r>
              <w:rPr>
                <w:noProof/>
                <w:webHidden/>
              </w:rPr>
              <w:fldChar w:fldCharType="separate"/>
            </w:r>
            <w:r>
              <w:rPr>
                <w:noProof/>
                <w:webHidden/>
              </w:rPr>
              <w:t>16</w:t>
            </w:r>
            <w:r>
              <w:rPr>
                <w:noProof/>
                <w:webHidden/>
              </w:rPr>
              <w:fldChar w:fldCharType="end"/>
            </w:r>
          </w:hyperlink>
        </w:p>
        <w:p w14:paraId="1E784DBC" w14:textId="0A9DAC66" w:rsidR="007E6266" w:rsidRDefault="007E6266">
          <w:pPr>
            <w:pStyle w:val="TOC2"/>
            <w:tabs>
              <w:tab w:val="right" w:leader="dot" w:pos="9016"/>
            </w:tabs>
            <w:rPr>
              <w:rFonts w:eastAsiaTheme="minorEastAsia" w:cstheme="minorBidi"/>
              <w:b w:val="0"/>
              <w:bCs w:val="0"/>
              <w:noProof/>
              <w:sz w:val="24"/>
              <w:szCs w:val="24"/>
            </w:rPr>
          </w:pPr>
          <w:hyperlink w:anchor="_Toc214308093" w:history="1">
            <w:r w:rsidRPr="009C3102">
              <w:rPr>
                <w:rStyle w:val="Hyperlink"/>
                <w:noProof/>
              </w:rPr>
              <w:t>10. Conclusion</w:t>
            </w:r>
            <w:r>
              <w:rPr>
                <w:noProof/>
                <w:webHidden/>
              </w:rPr>
              <w:tab/>
            </w:r>
            <w:r>
              <w:rPr>
                <w:noProof/>
                <w:webHidden/>
              </w:rPr>
              <w:fldChar w:fldCharType="begin"/>
            </w:r>
            <w:r>
              <w:rPr>
                <w:noProof/>
                <w:webHidden/>
              </w:rPr>
              <w:instrText xml:space="preserve"> PAGEREF _Toc214308093 \h </w:instrText>
            </w:r>
            <w:r>
              <w:rPr>
                <w:noProof/>
                <w:webHidden/>
              </w:rPr>
            </w:r>
            <w:r>
              <w:rPr>
                <w:noProof/>
                <w:webHidden/>
              </w:rPr>
              <w:fldChar w:fldCharType="separate"/>
            </w:r>
            <w:r>
              <w:rPr>
                <w:noProof/>
                <w:webHidden/>
              </w:rPr>
              <w:t>18</w:t>
            </w:r>
            <w:r>
              <w:rPr>
                <w:noProof/>
                <w:webHidden/>
              </w:rPr>
              <w:fldChar w:fldCharType="end"/>
            </w:r>
          </w:hyperlink>
        </w:p>
        <w:p w14:paraId="084AEF68" w14:textId="5C28CB73" w:rsidR="007E6266" w:rsidRDefault="007E6266">
          <w:pPr>
            <w:pStyle w:val="TOC1"/>
            <w:tabs>
              <w:tab w:val="right" w:leader="dot" w:pos="9016"/>
            </w:tabs>
            <w:rPr>
              <w:rFonts w:eastAsiaTheme="minorEastAsia" w:cstheme="minorBidi"/>
              <w:b w:val="0"/>
              <w:bCs w:val="0"/>
              <w:i w:val="0"/>
              <w:iCs w:val="0"/>
              <w:noProof/>
            </w:rPr>
          </w:pPr>
          <w:hyperlink w:anchor="_Toc214308094" w:history="1">
            <w:r w:rsidRPr="009C3102">
              <w:rPr>
                <w:rStyle w:val="Hyperlink"/>
                <w:noProof/>
              </w:rPr>
              <w:t>References List</w:t>
            </w:r>
            <w:r>
              <w:rPr>
                <w:noProof/>
                <w:webHidden/>
              </w:rPr>
              <w:tab/>
            </w:r>
            <w:r>
              <w:rPr>
                <w:noProof/>
                <w:webHidden/>
              </w:rPr>
              <w:fldChar w:fldCharType="begin"/>
            </w:r>
            <w:r>
              <w:rPr>
                <w:noProof/>
                <w:webHidden/>
              </w:rPr>
              <w:instrText xml:space="preserve"> PAGEREF _Toc214308094 \h </w:instrText>
            </w:r>
            <w:r>
              <w:rPr>
                <w:noProof/>
                <w:webHidden/>
              </w:rPr>
            </w:r>
            <w:r>
              <w:rPr>
                <w:noProof/>
                <w:webHidden/>
              </w:rPr>
              <w:fldChar w:fldCharType="separate"/>
            </w:r>
            <w:r>
              <w:rPr>
                <w:noProof/>
                <w:webHidden/>
              </w:rPr>
              <w:t>19</w:t>
            </w:r>
            <w:r>
              <w:rPr>
                <w:noProof/>
                <w:webHidden/>
              </w:rPr>
              <w:fldChar w:fldCharType="end"/>
            </w:r>
          </w:hyperlink>
        </w:p>
        <w:p w14:paraId="3346A5C2" w14:textId="3DCF0E8C" w:rsidR="007E6266" w:rsidRPr="007E6266" w:rsidRDefault="007E6266" w:rsidP="007E6266">
          <w:r>
            <w:rPr>
              <w:b/>
              <w:bCs/>
              <w:noProof/>
            </w:rPr>
            <w:fldChar w:fldCharType="end"/>
          </w:r>
        </w:p>
      </w:sdtContent>
    </w:sdt>
    <w:p w14:paraId="5453A6BB" w14:textId="77777777" w:rsidR="007E6266" w:rsidRDefault="007E6266" w:rsidP="007E6266">
      <w:pPr>
        <w:pStyle w:val="Heading1"/>
      </w:pPr>
      <w:bookmarkStart w:id="0" w:name="_Toc214308067"/>
    </w:p>
    <w:p w14:paraId="5A648198" w14:textId="77777777" w:rsidR="007E6266" w:rsidRDefault="007E6266" w:rsidP="007E6266">
      <w:pPr>
        <w:pStyle w:val="Heading1"/>
      </w:pPr>
    </w:p>
    <w:p w14:paraId="2CBC2F3C" w14:textId="77777777" w:rsidR="007E6266" w:rsidRDefault="007E6266" w:rsidP="007E6266">
      <w:pPr>
        <w:pStyle w:val="Heading1"/>
      </w:pPr>
    </w:p>
    <w:p w14:paraId="4C338643" w14:textId="77777777" w:rsidR="007E6266" w:rsidRDefault="007E6266" w:rsidP="007E6266">
      <w:pPr>
        <w:pStyle w:val="Heading1"/>
      </w:pPr>
    </w:p>
    <w:p w14:paraId="37BE1CEF" w14:textId="4A6CD4FB" w:rsidR="007E6266" w:rsidRPr="007E6266" w:rsidRDefault="007E6266" w:rsidP="007E6266">
      <w:pPr>
        <w:pStyle w:val="Heading1"/>
      </w:pPr>
      <w:r w:rsidRPr="007E6266">
        <w:lastRenderedPageBreak/>
        <w:t>PART ONE: POSTER PRESENTATION</w:t>
      </w:r>
      <w:bookmarkEnd w:id="0"/>
    </w:p>
    <w:p w14:paraId="06C72CE7" w14:textId="22125C88" w:rsidR="007E6266" w:rsidRDefault="007E6266" w:rsidP="007E6266">
      <w:pPr>
        <w:spacing w:line="360" w:lineRule="auto"/>
      </w:pPr>
    </w:p>
    <w:p w14:paraId="3574933E" w14:textId="16DB2344" w:rsidR="007E6266" w:rsidRDefault="007E6266" w:rsidP="007E6266">
      <w:pPr>
        <w:spacing w:line="360" w:lineRule="auto"/>
      </w:pPr>
      <w:r w:rsidRPr="007E6266">
        <w:drawing>
          <wp:inline distT="0" distB="0" distL="0" distR="0" wp14:anchorId="6FE496D5" wp14:editId="40B5B5DA">
            <wp:extent cx="5731510" cy="4048760"/>
            <wp:effectExtent l="0" t="0" r="0" b="2540"/>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5731510" cy="4048760"/>
                    </a:xfrm>
                    <a:prstGeom prst="rect">
                      <a:avLst/>
                    </a:prstGeom>
                  </pic:spPr>
                </pic:pic>
              </a:graphicData>
            </a:graphic>
          </wp:inline>
        </w:drawing>
      </w:r>
    </w:p>
    <w:p w14:paraId="6D75EF87" w14:textId="607311B1" w:rsidR="007E6266" w:rsidRDefault="007E6266" w:rsidP="007E6266">
      <w:pPr>
        <w:spacing w:line="360" w:lineRule="auto"/>
      </w:pPr>
    </w:p>
    <w:p w14:paraId="397A92AF" w14:textId="77777777" w:rsidR="007E6266" w:rsidRDefault="007E6266" w:rsidP="007E6266">
      <w:pPr>
        <w:spacing w:line="360" w:lineRule="auto"/>
      </w:pPr>
    </w:p>
    <w:p w14:paraId="4D0C103B" w14:textId="62D78A1D" w:rsidR="007E6266" w:rsidRDefault="007E6266" w:rsidP="007E6266">
      <w:pPr>
        <w:spacing w:line="360" w:lineRule="auto"/>
      </w:pPr>
    </w:p>
    <w:p w14:paraId="01DA5CD8" w14:textId="6BD1CF5D" w:rsidR="007E6266" w:rsidRDefault="007E6266" w:rsidP="007E6266">
      <w:pPr>
        <w:spacing w:line="360" w:lineRule="auto"/>
      </w:pPr>
    </w:p>
    <w:p w14:paraId="6B0D08E9" w14:textId="305DC340" w:rsidR="007E6266" w:rsidRDefault="007E6266" w:rsidP="007E6266">
      <w:pPr>
        <w:spacing w:line="360" w:lineRule="auto"/>
      </w:pPr>
    </w:p>
    <w:p w14:paraId="181837AF" w14:textId="447B2DB8" w:rsidR="007E6266" w:rsidRDefault="007E6266" w:rsidP="007E6266">
      <w:pPr>
        <w:spacing w:line="360" w:lineRule="auto"/>
      </w:pPr>
    </w:p>
    <w:p w14:paraId="4495C0D0" w14:textId="432B7F3F" w:rsidR="007E6266" w:rsidRDefault="007E6266" w:rsidP="007E6266">
      <w:pPr>
        <w:spacing w:line="360" w:lineRule="auto"/>
      </w:pPr>
    </w:p>
    <w:p w14:paraId="76BD7C09" w14:textId="3D535D89" w:rsidR="007E6266" w:rsidRDefault="007E6266" w:rsidP="007E6266">
      <w:pPr>
        <w:spacing w:line="360" w:lineRule="auto"/>
      </w:pPr>
    </w:p>
    <w:p w14:paraId="42381448" w14:textId="23EA7F33" w:rsidR="007E6266" w:rsidRDefault="007E6266" w:rsidP="007E6266">
      <w:pPr>
        <w:spacing w:line="360" w:lineRule="auto"/>
      </w:pPr>
    </w:p>
    <w:p w14:paraId="761E93A7" w14:textId="044EDD5B" w:rsidR="007E6266" w:rsidRDefault="007E6266" w:rsidP="007E6266">
      <w:pPr>
        <w:spacing w:line="360" w:lineRule="auto"/>
      </w:pPr>
    </w:p>
    <w:p w14:paraId="608EA587" w14:textId="56A12B5A" w:rsidR="007E6266" w:rsidRDefault="007E6266" w:rsidP="007E6266">
      <w:pPr>
        <w:spacing w:line="360" w:lineRule="auto"/>
      </w:pPr>
    </w:p>
    <w:p w14:paraId="0008F923" w14:textId="0D981E57" w:rsidR="007E6266" w:rsidRDefault="007E6266" w:rsidP="007E6266">
      <w:pPr>
        <w:spacing w:line="360" w:lineRule="auto"/>
      </w:pPr>
    </w:p>
    <w:p w14:paraId="1FD0AF26" w14:textId="3EDC6F62" w:rsidR="007E6266" w:rsidRDefault="007E6266" w:rsidP="007E6266">
      <w:pPr>
        <w:spacing w:line="360" w:lineRule="auto"/>
      </w:pPr>
    </w:p>
    <w:p w14:paraId="29A9DE2A" w14:textId="77777777" w:rsidR="007E6266" w:rsidRDefault="007E6266" w:rsidP="007E6266">
      <w:pPr>
        <w:spacing w:line="360" w:lineRule="auto"/>
      </w:pPr>
    </w:p>
    <w:p w14:paraId="7B4069E5" w14:textId="3418D091" w:rsidR="007E6266" w:rsidRPr="007E6266" w:rsidRDefault="007E6266" w:rsidP="007E6266">
      <w:pPr>
        <w:pStyle w:val="Heading1"/>
      </w:pPr>
      <w:bookmarkStart w:id="1" w:name="_Toc214308068"/>
      <w:r w:rsidRPr="007E6266">
        <w:lastRenderedPageBreak/>
        <w:t>PART TWO: REFLECTION</w:t>
      </w:r>
      <w:bookmarkEnd w:id="1"/>
    </w:p>
    <w:p w14:paraId="43411087" w14:textId="77777777" w:rsidR="007E6266" w:rsidRPr="007E6266" w:rsidRDefault="007E6266" w:rsidP="007E6266">
      <w:pPr>
        <w:spacing w:before="100" w:beforeAutospacing="1" w:after="100" w:afterAutospacing="1" w:line="360" w:lineRule="auto"/>
      </w:pPr>
      <w:r w:rsidRPr="007E6266">
        <w:t>Completing the Project Management Plan for the reconstruction of the Coquihalla Corridor has been a valuable learning experience that strengthened my academic, analytical, and project management capabilities. The range of tasks required—researching context, developing a WBS, creating a Gantt chart, producing a Quad Chart, undertaking risk analysis, and allocating resources—allowed me to apply theoretical knowledge to a realistic scenario. Reflecting on this process has helped me recognise both the skills I developed and the challenges I encountered while producing a comprehensive and well-structured project proposal.</w:t>
      </w:r>
    </w:p>
    <w:p w14:paraId="3223F3B8" w14:textId="77777777" w:rsidR="007E6266" w:rsidRPr="007E6266" w:rsidRDefault="007E6266" w:rsidP="007E6266">
      <w:pPr>
        <w:spacing w:before="100" w:beforeAutospacing="1" w:after="100" w:afterAutospacing="1" w:line="360" w:lineRule="auto"/>
      </w:pPr>
      <w:r w:rsidRPr="007E6266">
        <w:t>One of the first challenges I faced was understanding the complexity of the 2022 British Columbia flooding and its implications for infrastructure, supply chains, and public services. Initially, the volume of information felt overwhelming, and I struggled to find credible and specific sources. This required me to improve my research strategies by using academic databases, government reports, and technical documents rather than relying on generic summaries. As a result, my research skills became more targeted and evidence-based, enabling me to integrate reliable in-text references throughout the report. This experience also highlighted the importance of source evaluation, which is essential when working on technical subjects such as infrastructure resilience and climate-related disasters.</w:t>
      </w:r>
    </w:p>
    <w:p w14:paraId="2849AA2B" w14:textId="77777777" w:rsidR="007E6266" w:rsidRPr="007E6266" w:rsidRDefault="007E6266" w:rsidP="007E6266">
      <w:pPr>
        <w:spacing w:before="100" w:beforeAutospacing="1" w:after="100" w:afterAutospacing="1" w:line="360" w:lineRule="auto"/>
      </w:pPr>
      <w:r w:rsidRPr="007E6266">
        <w:t>Developing the Work Breakdown Structure (WBS) strengthened my ability to decompose a complex project into logical, manageable components. At first, I found it difficult to identify which tasks should be grouped together and how detailed each level of the WBS should be. By referring to PMBOK guidelines, I learned how WBS hierarchies improve clarity, scheduling, and accountability. Creating the Gantt chart further reinforced my understanding of project time management. Visualising the timeline made me more aware of task dependencies and how construction sequencing must align with seasonal constraints. This was particularly relevant in the context of British Columbia, where weather-related delays are a major risk. As a result, I became more confident in using scheduling tools and considering real-world constraints when planning project timelines.</w:t>
      </w:r>
    </w:p>
    <w:p w14:paraId="2D1202AC" w14:textId="77777777" w:rsidR="007E6266" w:rsidRPr="007E6266" w:rsidRDefault="007E6266" w:rsidP="007E6266">
      <w:pPr>
        <w:spacing w:before="100" w:beforeAutospacing="1" w:after="100" w:afterAutospacing="1" w:line="360" w:lineRule="auto"/>
      </w:pPr>
      <w:r w:rsidRPr="007E6266">
        <w:t xml:space="preserve">The Quad Chart required me to condense complex information into a concise and visually accessible format. This challenged me to distinguish between essential and non-essential details, which improved my ability to summarise effectively. Producing a risk analysis </w:t>
      </w:r>
      <w:r w:rsidRPr="007E6266">
        <w:lastRenderedPageBreak/>
        <w:t>section pushed me to think critically rather than descriptively. Instead of simply listing risks, I learned to evaluate their probability, assess their impact, and justify mitigation strategies using PRINCE2 and PMBOK frameworks. This process strengthened my analytical skills and encouraged me to adopt a more strategic mindset.</w:t>
      </w:r>
    </w:p>
    <w:p w14:paraId="26FD4C2A" w14:textId="77777777" w:rsidR="007E6266" w:rsidRPr="007E6266" w:rsidRDefault="007E6266" w:rsidP="007E6266">
      <w:pPr>
        <w:spacing w:before="100" w:beforeAutospacing="1" w:after="100" w:afterAutospacing="1" w:line="360" w:lineRule="auto"/>
      </w:pPr>
      <w:r w:rsidRPr="007E6266">
        <w:t>One of the most meaningful aspects of the assignment was the task of identifying stakeholders and allocating resources. I realised how essential stakeholder engagement is, especially in public infrastructure projects that involve Indigenous communities, multiple government agencies, and local residents. Reflecting on this helped me appreciate the importance of collaboration, communication, and cultural awareness in project management. Additionally, analysing resource allocation taught me how interconnected human, financial, technological, and material resources are, and how failure in one area can undermine the entire project. Understanding these relationships deepened my appreciation for holistic project planning.</w:t>
      </w:r>
    </w:p>
    <w:p w14:paraId="5E5FAC44" w14:textId="77777777" w:rsidR="007E6266" w:rsidRPr="007E6266" w:rsidRDefault="007E6266" w:rsidP="007E6266">
      <w:pPr>
        <w:spacing w:before="100" w:beforeAutospacing="1" w:after="100" w:afterAutospacing="1" w:line="360" w:lineRule="auto"/>
      </w:pPr>
      <w:r w:rsidRPr="007E6266">
        <w:t>Throughout the project, I also improved my academic writing skills. I learned to structure sections more clearly, integrate Harvard references correctly, and express ideas critically rather than descriptively. At times, I found it challenging to maintain a professional tone while also meeting word count requirements, but this encouraged me to revise my work more carefully and improve clarity.</w:t>
      </w:r>
    </w:p>
    <w:p w14:paraId="176091B6" w14:textId="77777777" w:rsidR="007E6266" w:rsidRPr="007E6266" w:rsidRDefault="007E6266" w:rsidP="007E6266">
      <w:pPr>
        <w:spacing w:before="100" w:beforeAutospacing="1" w:after="100" w:afterAutospacing="1" w:line="360" w:lineRule="auto"/>
      </w:pPr>
      <w:r w:rsidRPr="007E6266">
        <w:t>Overall, completing this Project Management Plan has enhanced my research abilities, project planning skills, critical analysis, and academic writing. It helped me gain a deeper understanding of project management frameworks and how they apply in real-world contexts, particularly in disaster recovery and public infrastructure. This reflective process has also made me more confident in approaching future academic and professional tasks with greater structure, critical thinking, and attention to detail</w:t>
      </w:r>
    </w:p>
    <w:p w14:paraId="27F75A11" w14:textId="574716D1" w:rsidR="007E6266" w:rsidRDefault="007E6266" w:rsidP="007E6266">
      <w:pPr>
        <w:spacing w:line="360" w:lineRule="auto"/>
      </w:pPr>
    </w:p>
    <w:p w14:paraId="5D432531" w14:textId="347E0878" w:rsidR="007E6266" w:rsidRDefault="007E6266" w:rsidP="007E6266">
      <w:pPr>
        <w:spacing w:line="360" w:lineRule="auto"/>
      </w:pPr>
    </w:p>
    <w:p w14:paraId="6217A2E8" w14:textId="6F7D53E2" w:rsidR="007E6266" w:rsidRDefault="007E6266" w:rsidP="007E6266">
      <w:pPr>
        <w:spacing w:line="360" w:lineRule="auto"/>
      </w:pPr>
    </w:p>
    <w:p w14:paraId="36080169" w14:textId="5E1A3A61" w:rsidR="007E6266" w:rsidRDefault="007E6266" w:rsidP="007E6266">
      <w:pPr>
        <w:spacing w:line="360" w:lineRule="auto"/>
      </w:pPr>
    </w:p>
    <w:p w14:paraId="2F3E87E3" w14:textId="1C04A20A" w:rsidR="007E6266" w:rsidRDefault="007E6266" w:rsidP="007E6266">
      <w:pPr>
        <w:spacing w:line="360" w:lineRule="auto"/>
      </w:pPr>
    </w:p>
    <w:p w14:paraId="78C91DF7" w14:textId="77777777" w:rsidR="007E6266" w:rsidRDefault="007E6266" w:rsidP="007E6266">
      <w:pPr>
        <w:spacing w:line="360" w:lineRule="auto"/>
      </w:pPr>
    </w:p>
    <w:p w14:paraId="5BDAD06F" w14:textId="3826FF55" w:rsidR="007E6266" w:rsidRPr="007E6266" w:rsidRDefault="007E6266" w:rsidP="007E6266">
      <w:pPr>
        <w:pStyle w:val="Heading1"/>
      </w:pPr>
      <w:bookmarkStart w:id="2" w:name="_Toc214308069"/>
      <w:r>
        <w:lastRenderedPageBreak/>
        <w:t>PART THREE: PROJECT MANAGEMENT REPORT</w:t>
      </w:r>
      <w:bookmarkEnd w:id="2"/>
    </w:p>
    <w:p w14:paraId="22F5DF33" w14:textId="77777777" w:rsidR="007E6266" w:rsidRPr="007E6266" w:rsidRDefault="007E6266" w:rsidP="007E6266">
      <w:pPr>
        <w:pStyle w:val="Heading2"/>
      </w:pPr>
      <w:bookmarkStart w:id="3" w:name="_Toc214308070"/>
      <w:r w:rsidRPr="007E6266">
        <w:t>1. Introduction</w:t>
      </w:r>
      <w:bookmarkEnd w:id="3"/>
    </w:p>
    <w:p w14:paraId="4D806C89" w14:textId="77777777" w:rsidR="007E6266" w:rsidRPr="007E6266" w:rsidRDefault="007E6266" w:rsidP="007E6266">
      <w:pPr>
        <w:spacing w:before="100" w:beforeAutospacing="1" w:after="100" w:afterAutospacing="1" w:line="360" w:lineRule="auto"/>
      </w:pPr>
      <w:r w:rsidRPr="007E6266">
        <w:t>In November 2022, British Columbia (BC) experienced one of the most destructive climate-related disasters in Canadian history. A series of atmospheric rivers—extreme weather systems characterised by long, narrow corridors of concentrated moisture—brought unprecedented rainfall that triggered catastrophic flooding, landslides, erosion and infrastructure failure across the province (Environment Canada, 2023). The disaster severely damaged Highway 5 (the Coquihalla), the principal transportation artery connecting the Lower Mainland with the rest of Canada. Several bridges collapsed, major sections of roadway were washed out, and thousands of residents and businesses were left isolated (Transport Canada, 2023). The impacts were far-reaching: supply chains were disrupted, trade was stalled, agricultural production suffered immense losses, and essential public services such as schools, hospitals, and government buildings were heavily affected.</w:t>
      </w:r>
    </w:p>
    <w:p w14:paraId="52D0A8C6" w14:textId="77777777" w:rsidR="007E6266" w:rsidRPr="007E6266" w:rsidRDefault="007E6266" w:rsidP="007E6266">
      <w:pPr>
        <w:spacing w:before="100" w:beforeAutospacing="1" w:after="100" w:afterAutospacing="1" w:line="360" w:lineRule="auto"/>
      </w:pPr>
      <w:r w:rsidRPr="007E6266">
        <w:t xml:space="preserve">The purpose of this Project Management Plan (PMP) is to present a comprehensive, structured proposal for the </w:t>
      </w:r>
      <w:r w:rsidRPr="007E6266">
        <w:rPr>
          <w:b/>
          <w:bCs/>
        </w:rPr>
        <w:t>Reconstruction of the Coquihalla Transportation Corridor</w:t>
      </w:r>
      <w:r w:rsidRPr="007E6266">
        <w:t xml:space="preserve">, addressing both immediate restoration needs and long-term climate resilience. </w:t>
      </w:r>
      <w:proofErr w:type="gramStart"/>
      <w:r w:rsidRPr="007E6266">
        <w:t>As a qualified project manager, this report</w:t>
      </w:r>
      <w:proofErr w:type="gramEnd"/>
      <w:r w:rsidRPr="007E6266">
        <w:t xml:space="preserve"> is addressed to key stakeholders—including the Government of British Columbia, Infrastructure Canada, local municipalities, Indigenous communities, transportation authorities, and the general public—and advocates for the urgent and strategic rebuilding of the Coquihalla Corridor using modern engineering, risk-governance frameworks, and sustainable project management principles.</w:t>
      </w:r>
    </w:p>
    <w:p w14:paraId="29E78813" w14:textId="77777777" w:rsidR="007E6266" w:rsidRPr="007E6266" w:rsidRDefault="007E6266" w:rsidP="007E6266">
      <w:pPr>
        <w:spacing w:before="100" w:beforeAutospacing="1" w:after="100" w:afterAutospacing="1" w:line="360" w:lineRule="auto"/>
      </w:pPr>
      <w:r w:rsidRPr="007E6266">
        <w:t>Rebuilding Highway 5 is not merely a matter of restoring transportation access; it is integral to the province’s economic stability and national supply chain resilience. Given BC’s reliance on this corridor to transport food, fuel, commercial goods, and essential services, swift and systematic reconstruction is essential. This PMP demonstrates the project’s significance, outlines its scope, identifies major stakeholders, allocates resources, analyses risks, and applies recognised project management methodologies including WBS, Gantt scheduling, and structured governance techniques.</w:t>
      </w:r>
    </w:p>
    <w:p w14:paraId="325C1A11" w14:textId="7F52C613" w:rsidR="007E6266" w:rsidRDefault="007E6266" w:rsidP="007E6266">
      <w:pPr>
        <w:spacing w:line="360" w:lineRule="auto"/>
      </w:pPr>
    </w:p>
    <w:p w14:paraId="2585CA1B" w14:textId="5E6268A0" w:rsidR="007E6266" w:rsidRDefault="007E6266" w:rsidP="007E6266">
      <w:pPr>
        <w:spacing w:line="360" w:lineRule="auto"/>
      </w:pPr>
    </w:p>
    <w:p w14:paraId="0054B2F9" w14:textId="77777777" w:rsidR="007E6266" w:rsidRPr="007E6266" w:rsidRDefault="007E6266" w:rsidP="007E6266">
      <w:pPr>
        <w:spacing w:line="360" w:lineRule="auto"/>
      </w:pPr>
    </w:p>
    <w:p w14:paraId="1260DDDD" w14:textId="77777777" w:rsidR="007E6266" w:rsidRPr="007E6266" w:rsidRDefault="007E6266" w:rsidP="007E6266">
      <w:pPr>
        <w:pStyle w:val="Heading2"/>
      </w:pPr>
      <w:bookmarkStart w:id="4" w:name="_Toc214308071"/>
      <w:r w:rsidRPr="007E6266">
        <w:lastRenderedPageBreak/>
        <w:t>2. Project Description</w:t>
      </w:r>
      <w:bookmarkEnd w:id="4"/>
    </w:p>
    <w:p w14:paraId="292C190A" w14:textId="77777777" w:rsidR="007E6266" w:rsidRPr="007E6266" w:rsidRDefault="007E6266" w:rsidP="007E6266">
      <w:pPr>
        <w:pStyle w:val="Heading2"/>
        <w:ind w:firstLine="720"/>
        <w:rPr>
          <w:sz w:val="27"/>
          <w:szCs w:val="27"/>
        </w:rPr>
      </w:pPr>
      <w:bookmarkStart w:id="5" w:name="_Toc214308072"/>
      <w:r w:rsidRPr="007E6266">
        <w:rPr>
          <w:sz w:val="27"/>
          <w:szCs w:val="27"/>
        </w:rPr>
        <w:t>2.1 Project Title</w:t>
      </w:r>
      <w:bookmarkEnd w:id="5"/>
    </w:p>
    <w:p w14:paraId="1BC95F7D" w14:textId="77777777" w:rsidR="007E6266" w:rsidRPr="007E6266" w:rsidRDefault="007E6266" w:rsidP="007E6266">
      <w:pPr>
        <w:spacing w:before="100" w:beforeAutospacing="1" w:after="100" w:afterAutospacing="1" w:line="360" w:lineRule="auto"/>
      </w:pPr>
      <w:r w:rsidRPr="007E6266">
        <w:rPr>
          <w:b/>
          <w:bCs/>
        </w:rPr>
        <w:t>Reconstruction and Climate-Resilient Reinforcement of the Coquihalla Transportation Corridor (Highway 5)</w:t>
      </w:r>
    </w:p>
    <w:p w14:paraId="1761037F" w14:textId="77777777" w:rsidR="007E6266" w:rsidRPr="007E6266" w:rsidRDefault="007E6266" w:rsidP="007E6266">
      <w:pPr>
        <w:pStyle w:val="Heading2"/>
        <w:spacing w:line="360" w:lineRule="auto"/>
        <w:ind w:firstLine="720"/>
      </w:pPr>
      <w:bookmarkStart w:id="6" w:name="_Toc214308073"/>
      <w:r w:rsidRPr="007E6266">
        <w:t>2.2 Background</w:t>
      </w:r>
      <w:bookmarkEnd w:id="6"/>
    </w:p>
    <w:p w14:paraId="7FCFE4BE" w14:textId="77777777" w:rsidR="007E6266" w:rsidRPr="007E6266" w:rsidRDefault="007E6266" w:rsidP="007E6266">
      <w:pPr>
        <w:spacing w:before="100" w:beforeAutospacing="1" w:after="100" w:afterAutospacing="1" w:line="360" w:lineRule="auto"/>
      </w:pPr>
      <w:r w:rsidRPr="007E6266">
        <w:t>The 2022 flooding event resulted in multiple bridge collapses, landslide blockages, and structural failures along Highway 5. The Coquihalla serves as a critical national freight route, moving billions of dollars of goods annually (BC Ministry of Transportation, 2023). Disruption created supply shortages, increased transportation costs, and delayed emergency responses. Without timely reconstruction, economic loss and social disruption would continue to escalate.</w:t>
      </w:r>
    </w:p>
    <w:p w14:paraId="65874368" w14:textId="77777777" w:rsidR="007E6266" w:rsidRPr="007E6266" w:rsidRDefault="007E6266" w:rsidP="007E6266">
      <w:pPr>
        <w:pStyle w:val="Heading2"/>
        <w:spacing w:line="360" w:lineRule="auto"/>
        <w:ind w:firstLine="720"/>
      </w:pPr>
      <w:bookmarkStart w:id="7" w:name="_Toc214308074"/>
      <w:r w:rsidRPr="007E6266">
        <w:t>2.3 Project Purpose and Rationale</w:t>
      </w:r>
      <w:bookmarkEnd w:id="7"/>
    </w:p>
    <w:p w14:paraId="1131ECB0" w14:textId="77777777" w:rsidR="007E6266" w:rsidRPr="007E6266" w:rsidRDefault="007E6266" w:rsidP="007E6266">
      <w:pPr>
        <w:spacing w:before="100" w:beforeAutospacing="1" w:after="100" w:afterAutospacing="1" w:line="360" w:lineRule="auto"/>
      </w:pPr>
      <w:r w:rsidRPr="007E6266">
        <w:t xml:space="preserve">The project aims to </w:t>
      </w:r>
      <w:r w:rsidRPr="007E6266">
        <w:rPr>
          <w:b/>
          <w:bCs/>
        </w:rPr>
        <w:t>restore full transportation functionality</w:t>
      </w:r>
      <w:r w:rsidRPr="007E6266">
        <w:t xml:space="preserve"> and </w:t>
      </w:r>
      <w:r w:rsidRPr="007E6266">
        <w:rPr>
          <w:b/>
          <w:bCs/>
        </w:rPr>
        <w:t>enhance resilience</w:t>
      </w:r>
      <w:r w:rsidRPr="007E6266">
        <w:t xml:space="preserve"> against future climate-related disasters. Support from stakeholders is necessary because:</w:t>
      </w:r>
    </w:p>
    <w:p w14:paraId="4351D1BC" w14:textId="77777777" w:rsidR="007E6266" w:rsidRPr="007E6266" w:rsidRDefault="007E6266" w:rsidP="007E6266">
      <w:pPr>
        <w:numPr>
          <w:ilvl w:val="0"/>
          <w:numId w:val="1"/>
        </w:numPr>
        <w:spacing w:before="100" w:beforeAutospacing="1" w:after="100" w:afterAutospacing="1" w:line="360" w:lineRule="auto"/>
      </w:pPr>
      <w:r w:rsidRPr="007E6266">
        <w:t>Highway 5 is a national economic lifeline.</w:t>
      </w:r>
    </w:p>
    <w:p w14:paraId="34E8032C" w14:textId="77777777" w:rsidR="007E6266" w:rsidRPr="007E6266" w:rsidRDefault="007E6266" w:rsidP="007E6266">
      <w:pPr>
        <w:numPr>
          <w:ilvl w:val="0"/>
          <w:numId w:val="1"/>
        </w:numPr>
        <w:spacing w:before="100" w:beforeAutospacing="1" w:after="100" w:afterAutospacing="1" w:line="360" w:lineRule="auto"/>
      </w:pPr>
      <w:r w:rsidRPr="007E6266">
        <w:t>The reconstruction will minimise future disruptions caused by extreme rainfall.</w:t>
      </w:r>
    </w:p>
    <w:p w14:paraId="43CE7BB6" w14:textId="77777777" w:rsidR="007E6266" w:rsidRPr="007E6266" w:rsidRDefault="007E6266" w:rsidP="007E6266">
      <w:pPr>
        <w:numPr>
          <w:ilvl w:val="0"/>
          <w:numId w:val="1"/>
        </w:numPr>
        <w:spacing w:before="100" w:beforeAutospacing="1" w:after="100" w:afterAutospacing="1" w:line="360" w:lineRule="auto"/>
      </w:pPr>
      <w:r w:rsidRPr="007E6266">
        <w:t>Resilient design will reduce long-term maintenance and emergency response costs.</w:t>
      </w:r>
    </w:p>
    <w:p w14:paraId="636CCEF4" w14:textId="77777777" w:rsidR="007E6266" w:rsidRPr="007E6266" w:rsidRDefault="007E6266" w:rsidP="007E6266">
      <w:pPr>
        <w:numPr>
          <w:ilvl w:val="0"/>
          <w:numId w:val="1"/>
        </w:numPr>
        <w:spacing w:before="100" w:beforeAutospacing="1" w:after="100" w:afterAutospacing="1" w:line="360" w:lineRule="auto"/>
      </w:pPr>
      <w:r w:rsidRPr="007E6266">
        <w:t>The project supports community recovery, agricultural access, and public service delivery.</w:t>
      </w:r>
    </w:p>
    <w:p w14:paraId="604C5EAD" w14:textId="77777777" w:rsidR="007E6266" w:rsidRPr="007E6266" w:rsidRDefault="007E6266" w:rsidP="007E6266">
      <w:pPr>
        <w:pStyle w:val="Heading2"/>
        <w:spacing w:line="360" w:lineRule="auto"/>
        <w:ind w:firstLine="360"/>
      </w:pPr>
      <w:bookmarkStart w:id="8" w:name="_Toc214308075"/>
      <w:r w:rsidRPr="007E6266">
        <w:t>2.4 Project Objectives</w:t>
      </w:r>
      <w:bookmarkEnd w:id="8"/>
    </w:p>
    <w:p w14:paraId="6CD8EC3C" w14:textId="77777777" w:rsidR="007E6266" w:rsidRPr="007E6266" w:rsidRDefault="007E6266" w:rsidP="007E6266">
      <w:pPr>
        <w:numPr>
          <w:ilvl w:val="0"/>
          <w:numId w:val="2"/>
        </w:numPr>
        <w:spacing w:before="100" w:beforeAutospacing="1" w:after="100" w:afterAutospacing="1" w:line="360" w:lineRule="auto"/>
      </w:pPr>
      <w:r w:rsidRPr="007E6266">
        <w:t>Restore safe and efficient connectivity between the Lower Mainland and the Canadian interior.</w:t>
      </w:r>
    </w:p>
    <w:p w14:paraId="58EBAE62" w14:textId="77777777" w:rsidR="007E6266" w:rsidRPr="007E6266" w:rsidRDefault="007E6266" w:rsidP="007E6266">
      <w:pPr>
        <w:numPr>
          <w:ilvl w:val="0"/>
          <w:numId w:val="2"/>
        </w:numPr>
        <w:spacing w:before="100" w:beforeAutospacing="1" w:after="100" w:afterAutospacing="1" w:line="360" w:lineRule="auto"/>
      </w:pPr>
      <w:r w:rsidRPr="007E6266">
        <w:t>Rebuild and reinforce damaged bridges, roads, and supporting structures.</w:t>
      </w:r>
    </w:p>
    <w:p w14:paraId="648DD7B7" w14:textId="77777777" w:rsidR="007E6266" w:rsidRPr="007E6266" w:rsidRDefault="007E6266" w:rsidP="007E6266">
      <w:pPr>
        <w:numPr>
          <w:ilvl w:val="0"/>
          <w:numId w:val="2"/>
        </w:numPr>
        <w:spacing w:before="100" w:beforeAutospacing="1" w:after="100" w:afterAutospacing="1" w:line="360" w:lineRule="auto"/>
      </w:pPr>
      <w:r w:rsidRPr="007E6266">
        <w:t>Incorporate flood-mitigation systems, advanced drainage, and climate-resilient engineering.</w:t>
      </w:r>
    </w:p>
    <w:p w14:paraId="309979D3" w14:textId="77777777" w:rsidR="007E6266" w:rsidRPr="007E6266" w:rsidRDefault="007E6266" w:rsidP="007E6266">
      <w:pPr>
        <w:numPr>
          <w:ilvl w:val="0"/>
          <w:numId w:val="2"/>
        </w:numPr>
        <w:spacing w:before="100" w:beforeAutospacing="1" w:after="100" w:afterAutospacing="1" w:line="360" w:lineRule="auto"/>
      </w:pPr>
      <w:r w:rsidRPr="007E6266">
        <w:t>Minimise economic losses by accelerating reopening timelines.</w:t>
      </w:r>
    </w:p>
    <w:p w14:paraId="0AE34E2D" w14:textId="77777777" w:rsidR="007E6266" w:rsidRPr="007E6266" w:rsidRDefault="007E6266" w:rsidP="007E6266">
      <w:pPr>
        <w:numPr>
          <w:ilvl w:val="0"/>
          <w:numId w:val="2"/>
        </w:numPr>
        <w:spacing w:before="100" w:beforeAutospacing="1" w:after="100" w:afterAutospacing="1" w:line="360" w:lineRule="auto"/>
      </w:pPr>
      <w:r w:rsidRPr="007E6266">
        <w:lastRenderedPageBreak/>
        <w:t>Strengthen long-term transportation resilience through modern monitoring systems (IoT, early warning sensors).</w:t>
      </w:r>
    </w:p>
    <w:p w14:paraId="4D3AC281" w14:textId="77777777" w:rsidR="007E6266" w:rsidRPr="007E6266" w:rsidRDefault="007E6266" w:rsidP="007E6266">
      <w:pPr>
        <w:pStyle w:val="Heading2"/>
        <w:spacing w:line="360" w:lineRule="auto"/>
        <w:ind w:firstLine="360"/>
      </w:pPr>
      <w:bookmarkStart w:id="9" w:name="_Toc214308076"/>
      <w:r w:rsidRPr="007E6266">
        <w:t>2.5 Project Management Approach</w:t>
      </w:r>
      <w:bookmarkEnd w:id="9"/>
    </w:p>
    <w:p w14:paraId="6244A481" w14:textId="77777777" w:rsidR="007E6266" w:rsidRPr="007E6266" w:rsidRDefault="007E6266" w:rsidP="007E6266">
      <w:pPr>
        <w:spacing w:before="100" w:beforeAutospacing="1" w:after="100" w:afterAutospacing="1" w:line="360" w:lineRule="auto"/>
      </w:pPr>
      <w:r w:rsidRPr="007E6266">
        <w:t>The project will apply:</w:t>
      </w:r>
    </w:p>
    <w:p w14:paraId="7E67DA4D" w14:textId="77777777" w:rsidR="007E6266" w:rsidRPr="007E6266" w:rsidRDefault="007E6266" w:rsidP="007E6266">
      <w:pPr>
        <w:numPr>
          <w:ilvl w:val="0"/>
          <w:numId w:val="3"/>
        </w:numPr>
        <w:spacing w:before="100" w:beforeAutospacing="1" w:after="100" w:afterAutospacing="1" w:line="360" w:lineRule="auto"/>
      </w:pPr>
      <w:r w:rsidRPr="007E6266">
        <w:rPr>
          <w:b/>
          <w:bCs/>
        </w:rPr>
        <w:t>PMBOK</w:t>
      </w:r>
      <w:r w:rsidRPr="007E6266">
        <w:t xml:space="preserve"> principles for scope, risk, time and cost management.</w:t>
      </w:r>
    </w:p>
    <w:p w14:paraId="712EBC52" w14:textId="77777777" w:rsidR="007E6266" w:rsidRPr="007E6266" w:rsidRDefault="007E6266" w:rsidP="007E6266">
      <w:pPr>
        <w:numPr>
          <w:ilvl w:val="0"/>
          <w:numId w:val="3"/>
        </w:numPr>
        <w:spacing w:before="100" w:beforeAutospacing="1" w:after="100" w:afterAutospacing="1" w:line="360" w:lineRule="auto"/>
      </w:pPr>
      <w:r w:rsidRPr="007E6266">
        <w:rPr>
          <w:b/>
          <w:bCs/>
        </w:rPr>
        <w:t>PRINCE2</w:t>
      </w:r>
      <w:r w:rsidRPr="007E6266">
        <w:t xml:space="preserve"> governance for decision making and project controls.</w:t>
      </w:r>
    </w:p>
    <w:p w14:paraId="28FB9BD6" w14:textId="77777777" w:rsidR="007E6266" w:rsidRPr="007E6266" w:rsidRDefault="007E6266" w:rsidP="007E6266">
      <w:pPr>
        <w:numPr>
          <w:ilvl w:val="0"/>
          <w:numId w:val="3"/>
        </w:numPr>
        <w:spacing w:before="100" w:beforeAutospacing="1" w:after="100" w:afterAutospacing="1" w:line="360" w:lineRule="auto"/>
      </w:pPr>
      <w:r w:rsidRPr="007E6266">
        <w:rPr>
          <w:b/>
          <w:bCs/>
        </w:rPr>
        <w:t>Agile-adaptive components</w:t>
      </w:r>
      <w:r w:rsidRPr="007E6266">
        <w:t xml:space="preserve"> for environmental uncertainty.</w:t>
      </w:r>
    </w:p>
    <w:p w14:paraId="3912FAA6" w14:textId="6A92F66A" w:rsidR="007E6266" w:rsidRPr="007E6266" w:rsidRDefault="007E6266" w:rsidP="007E6266">
      <w:pPr>
        <w:numPr>
          <w:ilvl w:val="0"/>
          <w:numId w:val="3"/>
        </w:numPr>
        <w:spacing w:before="100" w:beforeAutospacing="1" w:after="100" w:afterAutospacing="1" w:line="360" w:lineRule="auto"/>
      </w:pPr>
      <w:r w:rsidRPr="007E6266">
        <w:rPr>
          <w:b/>
          <w:bCs/>
        </w:rPr>
        <w:t>Sustainability frameworks</w:t>
      </w:r>
      <w:r w:rsidRPr="007E6266">
        <w:t xml:space="preserve"> aligned with Canada’s climate adaptation strategy.</w:t>
      </w:r>
    </w:p>
    <w:p w14:paraId="28267345" w14:textId="77777777" w:rsidR="007E6266" w:rsidRPr="007E6266" w:rsidRDefault="007E6266" w:rsidP="007E6266">
      <w:pPr>
        <w:pStyle w:val="Heading2"/>
      </w:pPr>
      <w:bookmarkStart w:id="10" w:name="_Toc214308077"/>
      <w:r w:rsidRPr="007E6266">
        <w:t>3. Project Scope</w:t>
      </w:r>
      <w:bookmarkEnd w:id="10"/>
    </w:p>
    <w:p w14:paraId="6620E40C" w14:textId="77777777" w:rsidR="007E6266" w:rsidRPr="007E6266" w:rsidRDefault="007E6266" w:rsidP="007E6266">
      <w:pPr>
        <w:pStyle w:val="Heading2"/>
        <w:spacing w:line="360" w:lineRule="auto"/>
        <w:ind w:firstLine="360"/>
      </w:pPr>
      <w:bookmarkStart w:id="11" w:name="_Toc214308078"/>
      <w:r w:rsidRPr="007E6266">
        <w:t>3.1 In-Scope Activities</w:t>
      </w:r>
      <w:bookmarkEnd w:id="11"/>
    </w:p>
    <w:p w14:paraId="16D9933A" w14:textId="77777777" w:rsidR="007E6266" w:rsidRPr="007E6266" w:rsidRDefault="007E6266" w:rsidP="007E6266">
      <w:pPr>
        <w:numPr>
          <w:ilvl w:val="0"/>
          <w:numId w:val="4"/>
        </w:numPr>
        <w:spacing w:before="100" w:beforeAutospacing="1" w:after="100" w:afterAutospacing="1" w:line="360" w:lineRule="auto"/>
      </w:pPr>
      <w:r w:rsidRPr="007E6266">
        <w:t>Reconstruction of major bridge structures and washed-out road sections.</w:t>
      </w:r>
    </w:p>
    <w:p w14:paraId="33F1DD01" w14:textId="77777777" w:rsidR="007E6266" w:rsidRPr="007E6266" w:rsidRDefault="007E6266" w:rsidP="007E6266">
      <w:pPr>
        <w:numPr>
          <w:ilvl w:val="0"/>
          <w:numId w:val="4"/>
        </w:numPr>
        <w:spacing w:before="100" w:beforeAutospacing="1" w:after="100" w:afterAutospacing="1" w:line="360" w:lineRule="auto"/>
      </w:pPr>
      <w:r w:rsidRPr="007E6266">
        <w:t>Engineering and geotechnical stabilisation (slope reinforcement, embankments).</w:t>
      </w:r>
    </w:p>
    <w:p w14:paraId="60B84D66" w14:textId="77777777" w:rsidR="007E6266" w:rsidRPr="007E6266" w:rsidRDefault="007E6266" w:rsidP="007E6266">
      <w:pPr>
        <w:numPr>
          <w:ilvl w:val="0"/>
          <w:numId w:val="4"/>
        </w:numPr>
        <w:spacing w:before="100" w:beforeAutospacing="1" w:after="100" w:afterAutospacing="1" w:line="360" w:lineRule="auto"/>
      </w:pPr>
      <w:r w:rsidRPr="007E6266">
        <w:t>Installation of advanced drainage and flood-mitigation systems.</w:t>
      </w:r>
    </w:p>
    <w:p w14:paraId="197E1A53" w14:textId="77777777" w:rsidR="007E6266" w:rsidRPr="007E6266" w:rsidRDefault="007E6266" w:rsidP="007E6266">
      <w:pPr>
        <w:numPr>
          <w:ilvl w:val="0"/>
          <w:numId w:val="4"/>
        </w:numPr>
        <w:spacing w:before="100" w:beforeAutospacing="1" w:after="100" w:afterAutospacing="1" w:line="360" w:lineRule="auto"/>
      </w:pPr>
      <w:r w:rsidRPr="007E6266">
        <w:t>Construction of temporary access routes for emergency and construction traffic.</w:t>
      </w:r>
    </w:p>
    <w:p w14:paraId="15C49495" w14:textId="77777777" w:rsidR="007E6266" w:rsidRPr="007E6266" w:rsidRDefault="007E6266" w:rsidP="007E6266">
      <w:pPr>
        <w:numPr>
          <w:ilvl w:val="0"/>
          <w:numId w:val="4"/>
        </w:numPr>
        <w:spacing w:before="100" w:beforeAutospacing="1" w:after="100" w:afterAutospacing="1" w:line="360" w:lineRule="auto"/>
      </w:pPr>
      <w:r w:rsidRPr="007E6266">
        <w:t>Smart infrastructure integration (sensors, monitoring systems).</w:t>
      </w:r>
    </w:p>
    <w:p w14:paraId="3184D4F9" w14:textId="77777777" w:rsidR="007E6266" w:rsidRPr="007E6266" w:rsidRDefault="007E6266" w:rsidP="007E6266">
      <w:pPr>
        <w:numPr>
          <w:ilvl w:val="0"/>
          <w:numId w:val="4"/>
        </w:numPr>
        <w:spacing w:before="100" w:beforeAutospacing="1" w:after="100" w:afterAutospacing="1" w:line="360" w:lineRule="auto"/>
      </w:pPr>
      <w:r w:rsidRPr="007E6266">
        <w:t>Environmental assessment and ecological restoration plans.</w:t>
      </w:r>
    </w:p>
    <w:p w14:paraId="4FEB1AD0" w14:textId="77777777" w:rsidR="007E6266" w:rsidRPr="007E6266" w:rsidRDefault="007E6266" w:rsidP="007E6266">
      <w:pPr>
        <w:pStyle w:val="Heading2"/>
        <w:spacing w:line="360" w:lineRule="auto"/>
      </w:pPr>
      <w:bookmarkStart w:id="12" w:name="_Toc214308079"/>
      <w:r w:rsidRPr="007E6266">
        <w:t>3.2 Out-of-Scope Activities</w:t>
      </w:r>
      <w:bookmarkEnd w:id="12"/>
    </w:p>
    <w:p w14:paraId="09708CE9" w14:textId="77777777" w:rsidR="007E6266" w:rsidRPr="007E6266" w:rsidRDefault="007E6266" w:rsidP="007E6266">
      <w:pPr>
        <w:numPr>
          <w:ilvl w:val="0"/>
          <w:numId w:val="5"/>
        </w:numPr>
        <w:spacing w:before="100" w:beforeAutospacing="1" w:after="100" w:afterAutospacing="1" w:line="360" w:lineRule="auto"/>
      </w:pPr>
      <w:r w:rsidRPr="007E6266">
        <w:t>Reconstruction of private properties or non-transportation infrastructure.</w:t>
      </w:r>
    </w:p>
    <w:p w14:paraId="3DDA76F9" w14:textId="77777777" w:rsidR="007E6266" w:rsidRPr="007E6266" w:rsidRDefault="007E6266" w:rsidP="007E6266">
      <w:pPr>
        <w:numPr>
          <w:ilvl w:val="0"/>
          <w:numId w:val="5"/>
        </w:numPr>
        <w:spacing w:before="100" w:beforeAutospacing="1" w:after="100" w:afterAutospacing="1" w:line="360" w:lineRule="auto"/>
      </w:pPr>
      <w:r w:rsidRPr="007E6266">
        <w:t>Long-term regional development unrelated to highway resilience.</w:t>
      </w:r>
    </w:p>
    <w:p w14:paraId="01130E5F" w14:textId="77777777" w:rsidR="007E6266" w:rsidRPr="007E6266" w:rsidRDefault="007E6266" w:rsidP="007E6266">
      <w:pPr>
        <w:numPr>
          <w:ilvl w:val="0"/>
          <w:numId w:val="5"/>
        </w:numPr>
        <w:spacing w:before="100" w:beforeAutospacing="1" w:after="100" w:afterAutospacing="1" w:line="360" w:lineRule="auto"/>
      </w:pPr>
      <w:r w:rsidRPr="007E6266">
        <w:t>Insurance-related compensation mechanisms.</w:t>
      </w:r>
    </w:p>
    <w:p w14:paraId="531AF2CE" w14:textId="77777777" w:rsidR="007E6266" w:rsidRPr="007E6266" w:rsidRDefault="007E6266" w:rsidP="007E6266">
      <w:pPr>
        <w:pStyle w:val="Heading2"/>
        <w:spacing w:line="360" w:lineRule="auto"/>
      </w:pPr>
      <w:bookmarkStart w:id="13" w:name="_Toc214308080"/>
      <w:r w:rsidRPr="007E6266">
        <w:t>3.3 Scope Justification</w:t>
      </w:r>
      <w:bookmarkEnd w:id="13"/>
    </w:p>
    <w:p w14:paraId="0E9043D5" w14:textId="770DA468" w:rsidR="007E6266" w:rsidRDefault="007E6266" w:rsidP="007E6266">
      <w:pPr>
        <w:spacing w:before="100" w:beforeAutospacing="1" w:after="100" w:afterAutospacing="1" w:line="360" w:lineRule="auto"/>
        <w:sectPr w:rsidR="007E6266">
          <w:footerReference w:type="even" r:id="rId11"/>
          <w:footerReference w:type="default" r:id="rId12"/>
          <w:pgSz w:w="11906" w:h="16838"/>
          <w:pgMar w:top="1440" w:right="1440" w:bottom="1440" w:left="1440" w:header="708" w:footer="708" w:gutter="0"/>
          <w:cols w:space="708"/>
          <w:docGrid w:linePitch="360"/>
        </w:sectPr>
      </w:pPr>
      <w:r w:rsidRPr="007E6266">
        <w:t>Limiting the scope ensures the project remains focused on rapid restoration of core transportation links while meeting national priorities of economic recovery, supply chain resilience, and climate adaptation (Public Safety Canada, 2023)</w:t>
      </w:r>
    </w:p>
    <w:p w14:paraId="34B1B83A" w14:textId="70909E16" w:rsidR="007E6266" w:rsidRPr="007E6266" w:rsidRDefault="007E6266" w:rsidP="007E6266">
      <w:pPr>
        <w:pStyle w:val="Heading2"/>
      </w:pPr>
      <w:r w:rsidRPr="007E6266">
        <w:lastRenderedPageBreak/>
        <w:t xml:space="preserve"> </w:t>
      </w:r>
      <w:bookmarkStart w:id="14" w:name="_Toc214308081"/>
      <w:r w:rsidRPr="007E6266">
        <w:t>Work Breakdown Structure</w:t>
      </w:r>
      <w:r>
        <w:t xml:space="preserve"> (</w:t>
      </w:r>
      <w:r w:rsidRPr="007E6266">
        <w:t>WBS)</w:t>
      </w:r>
      <w:bookmarkEnd w:id="14"/>
    </w:p>
    <w:p w14:paraId="20F55F51" w14:textId="77777777" w:rsidR="007E6266" w:rsidRPr="007E6266" w:rsidRDefault="007E6266" w:rsidP="007E6266">
      <w:pPr>
        <w:spacing w:before="100" w:beforeAutospacing="1" w:after="100" w:afterAutospacing="1" w:line="360" w:lineRule="auto"/>
      </w:pPr>
      <w:r w:rsidRPr="007E6266">
        <w:t>The WBS divides the project into manageable components to structure planning, resource allocation, and schedule tracking.</w:t>
      </w:r>
    </w:p>
    <w:p w14:paraId="00565C87" w14:textId="77777777" w:rsidR="007E6266" w:rsidRDefault="007E6266" w:rsidP="007E6266">
      <w:pPr>
        <w:spacing w:line="360" w:lineRule="auto"/>
      </w:pPr>
      <w:r w:rsidRPr="007E6266">
        <w:drawing>
          <wp:inline distT="0" distB="0" distL="0" distR="0" wp14:anchorId="0C286011" wp14:editId="0960ED01">
            <wp:extent cx="8822724" cy="4176584"/>
            <wp:effectExtent l="0" t="0" r="29210" b="0"/>
            <wp:docPr id="19" name="Diagram 19">
              <a:extLst xmlns:a="http://schemas.openxmlformats.org/drawingml/2006/main">
                <a:ext uri="{FF2B5EF4-FFF2-40B4-BE49-F238E27FC236}">
                  <a16:creationId xmlns:a16="http://schemas.microsoft.com/office/drawing/2014/main" id="{416FF408-F6A0-FA43-A300-234DB4763B9B}"/>
                </a:ext>
              </a:extLst>
            </wp:docPr>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3" r:lo="rId14" r:qs="rId15" r:cs="rId16"/>
              </a:graphicData>
            </a:graphic>
          </wp:inline>
        </w:drawing>
      </w:r>
    </w:p>
    <w:p w14:paraId="6F12D92A" w14:textId="77777777" w:rsidR="007E6266" w:rsidRDefault="007E6266" w:rsidP="007E6266">
      <w:pPr>
        <w:sectPr w:rsidR="007E6266" w:rsidSect="007E6266">
          <w:pgSz w:w="16838" w:h="11906" w:orient="landscape"/>
          <w:pgMar w:top="1440" w:right="1440" w:bottom="1440" w:left="1440" w:header="708" w:footer="708" w:gutter="0"/>
          <w:cols w:space="708"/>
          <w:docGrid w:linePitch="360"/>
        </w:sectPr>
      </w:pPr>
    </w:p>
    <w:p w14:paraId="141673F8" w14:textId="77777777" w:rsidR="007E6266" w:rsidRDefault="007E6266" w:rsidP="007E6266">
      <w:pPr>
        <w:spacing w:line="360" w:lineRule="auto"/>
      </w:pPr>
      <w:r>
        <w:lastRenderedPageBreak/>
        <w:t>The Work Breakdown Structure (WBS) provides a hierarchical decomposition of the project into manageable and clearly defined work packages, enabling effective planning, coordination, and control. By breaking the Coquihalla Corridor Reconstruction into four major phases—Initiation &amp; Feasibility, Design &amp; Procurement, Construction, and Testing &amp; Handover—the WBS ensures that each stage of the project lifecycle is systematically addressed. This structure aligns with PMBOK best practices, allowing the project team to allocate resources efficiently, establish realistic timelines, and monitor progress against defined deliverables. The inclusion of detailed sub-tasks, such as environmental assessments, bridge superstructure works, and smart monitoring installation, supports granular oversight and reduces the risk of omission or scope creep. Overall, the WBS functions as a foundational tool that enhances clarity, accountability, and integration across multidisciplinary teams, ensuring that the reconstruction process is executed in a controlled, transparent, and coordinated manner.</w:t>
      </w:r>
    </w:p>
    <w:p w14:paraId="3C6BA1B9" w14:textId="77777777" w:rsidR="007E6266" w:rsidRPr="007E6266" w:rsidRDefault="007E6266" w:rsidP="007E6266">
      <w:pPr>
        <w:spacing w:line="360" w:lineRule="auto"/>
      </w:pPr>
    </w:p>
    <w:p w14:paraId="08280BA1" w14:textId="77777777" w:rsidR="007E6266" w:rsidRPr="007E6266" w:rsidRDefault="007E6266" w:rsidP="007E6266">
      <w:pPr>
        <w:pStyle w:val="Heading2"/>
      </w:pPr>
      <w:bookmarkStart w:id="15" w:name="_Toc214308082"/>
      <w:r w:rsidRPr="007E6266">
        <w:t>5. Quad Chart</w:t>
      </w:r>
      <w:bookmarkEnd w:id="15"/>
    </w:p>
    <w:p w14:paraId="0352D5AA" w14:textId="77777777" w:rsidR="007E6266" w:rsidRDefault="007E6266" w:rsidP="007E6266">
      <w:pPr>
        <w:spacing w:line="360" w:lineRule="auto"/>
      </w:pPr>
      <w:r w:rsidRPr="007E6266">
        <w:rPr>
          <w:b/>
          <w:bCs/>
        </w:rPr>
        <w:drawing>
          <wp:inline distT="0" distB="0" distL="0" distR="0" wp14:anchorId="63476BD1" wp14:editId="460026B7">
            <wp:extent cx="5731510" cy="2199005"/>
            <wp:effectExtent l="0" t="0" r="0" b="10795"/>
            <wp:docPr id="12" name="Diagram 12">
              <a:extLst xmlns:a="http://schemas.openxmlformats.org/drawingml/2006/main">
                <a:ext uri="{FF2B5EF4-FFF2-40B4-BE49-F238E27FC236}">
                  <a16:creationId xmlns:a16="http://schemas.microsoft.com/office/drawing/2014/main" id="{ACC2A3DA-F559-A57A-9A73-685E91C5C9DC}"/>
                </a:ext>
              </a:extLst>
            </wp:docPr>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8" r:lo="rId19" r:qs="rId20" r:cs="rId21"/>
              </a:graphicData>
            </a:graphic>
          </wp:inline>
        </w:drawing>
      </w:r>
    </w:p>
    <w:p w14:paraId="1BDB9AC0" w14:textId="77777777" w:rsidR="007E6266" w:rsidRDefault="007E6266" w:rsidP="007E6266">
      <w:pPr>
        <w:spacing w:line="360" w:lineRule="auto"/>
      </w:pPr>
    </w:p>
    <w:p w14:paraId="52CC6FDF" w14:textId="77777777" w:rsidR="007E6266" w:rsidRDefault="007E6266" w:rsidP="007E6266">
      <w:pPr>
        <w:spacing w:line="360" w:lineRule="auto"/>
      </w:pPr>
    </w:p>
    <w:p w14:paraId="07ECB0BB" w14:textId="77777777" w:rsidR="007E6266" w:rsidRDefault="007E6266" w:rsidP="007E6266">
      <w:pPr>
        <w:spacing w:line="360" w:lineRule="auto"/>
      </w:pPr>
      <w:r>
        <w:t xml:space="preserve">The Quad Chart summarises the key information required for stakeholders to understand the scope and strategic importance of the Coquihalla Corridor Reconstruction project. The </w:t>
      </w:r>
      <w:r>
        <w:rPr>
          <w:rStyle w:val="Strong"/>
        </w:rPr>
        <w:t>Project Overview</w:t>
      </w:r>
      <w:r>
        <w:t xml:space="preserve"> quadrant highlights the central purpose of the initiative—rebuilding and strengthening the transportation corridor to restore mobility and enhance climate resilience following the 2022 floods. The </w:t>
      </w:r>
      <w:r>
        <w:rPr>
          <w:rStyle w:val="Strong"/>
        </w:rPr>
        <w:t>Objectives and Scope</w:t>
      </w:r>
      <w:r>
        <w:t xml:space="preserve"> section outlines the major technical and operational goals, including bridge reconstruction, roadway repairs, flood-mitigation upgrades, and the integration of smart monitoring technology, all of which are essential to </w:t>
      </w:r>
      <w:r>
        <w:lastRenderedPageBreak/>
        <w:t xml:space="preserve">preventing future disruptions. The </w:t>
      </w:r>
      <w:r>
        <w:rPr>
          <w:rStyle w:val="Strong"/>
        </w:rPr>
        <w:t>Schedule and Resources</w:t>
      </w:r>
      <w:r>
        <w:t xml:space="preserve"> quadrant provides a high-level timeline from 2025 to 2027 and identifies the multidisciplinary expertise and government funding required to deliver the project. Finally, the </w:t>
      </w:r>
      <w:r>
        <w:rPr>
          <w:rStyle w:val="Strong"/>
        </w:rPr>
        <w:t>Risks and Stakeholders</w:t>
      </w:r>
      <w:r>
        <w:t xml:space="preserve"> section identifies potential challenges such as adverse weather and cost escalation while acknowledging the key groups involved—government agencies, First Nations, municipalities, and local industries. Together, the Quad Chart presents a comprehensive snapshot of the project, enabling informed decision-making and ensuring all stakeholders have a shared understanding of its priorities and constraints.</w:t>
      </w:r>
    </w:p>
    <w:p w14:paraId="1E44ACEF" w14:textId="77777777" w:rsidR="007E6266" w:rsidRPr="007E6266" w:rsidRDefault="007E6266" w:rsidP="007E6266">
      <w:pPr>
        <w:spacing w:line="360" w:lineRule="auto"/>
      </w:pPr>
    </w:p>
    <w:p w14:paraId="4BAB0CBD" w14:textId="77777777" w:rsidR="007E6266" w:rsidRPr="007E6266" w:rsidRDefault="007E6266" w:rsidP="007E6266">
      <w:pPr>
        <w:pStyle w:val="Heading2"/>
      </w:pPr>
      <w:bookmarkStart w:id="16" w:name="_Toc214308083"/>
      <w:r w:rsidRPr="007E6266">
        <w:rPr>
          <w:rStyle w:val="Heading1Char"/>
          <w:b/>
          <w:bCs/>
          <w:color w:val="auto"/>
          <w:kern w:val="0"/>
          <w:sz w:val="28"/>
          <w:szCs w:val="36"/>
        </w:rPr>
        <w:t>6. Gantt Chart</w:t>
      </w:r>
      <w:bookmarkEnd w:id="16"/>
      <w:r w:rsidRPr="007E6266">
        <w:rPr>
          <w:rStyle w:val="Heading1Char"/>
          <w:b/>
          <w:bCs/>
          <w:color w:val="auto"/>
          <w:kern w:val="0"/>
          <w:sz w:val="28"/>
          <w:szCs w:val="36"/>
        </w:rPr>
        <w:t xml:space="preserve"> </w:t>
      </w:r>
    </w:p>
    <w:p w14:paraId="7C14862C" w14:textId="77777777" w:rsidR="007E6266" w:rsidRDefault="007E6266" w:rsidP="007E6266">
      <w:pPr>
        <w:spacing w:before="100" w:beforeAutospacing="1" w:after="100" w:afterAutospacing="1" w:line="360" w:lineRule="auto"/>
        <w:rPr>
          <w:i/>
          <w:iCs/>
        </w:rPr>
      </w:pPr>
      <w:r>
        <w:rPr>
          <w:noProof/>
        </w:rPr>
        <w:drawing>
          <wp:inline distT="0" distB="0" distL="0" distR="0" wp14:anchorId="0EDA02A4" wp14:editId="5CA3FDFB">
            <wp:extent cx="5731510" cy="3803015"/>
            <wp:effectExtent l="0" t="0" r="0" b="0"/>
            <wp:docPr id="11" name="Picture 11" descr="A graph with different colored bar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descr="A graph with different colored bars&#10;&#10;Description automatically generated"/>
                    <pic:cNvPicPr/>
                  </pic:nvPicPr>
                  <pic:blipFill>
                    <a:blip r:embed="rId23" cstate="print">
                      <a:extLst>
                        <a:ext uri="{28A0092B-C50C-407E-A947-70E740481C1C}">
                          <a14:useLocalDpi xmlns:a14="http://schemas.microsoft.com/office/drawing/2010/main" val="0"/>
                        </a:ext>
                      </a:extLst>
                    </a:blip>
                    <a:stretch>
                      <a:fillRect/>
                    </a:stretch>
                  </pic:blipFill>
                  <pic:spPr>
                    <a:xfrm>
                      <a:off x="0" y="0"/>
                      <a:ext cx="5731510" cy="3803015"/>
                    </a:xfrm>
                    <a:prstGeom prst="rect">
                      <a:avLst/>
                    </a:prstGeom>
                  </pic:spPr>
                </pic:pic>
              </a:graphicData>
            </a:graphic>
          </wp:inline>
        </w:drawing>
      </w:r>
    </w:p>
    <w:p w14:paraId="3A6C4C2E" w14:textId="77777777" w:rsidR="007E6266" w:rsidRDefault="007E6266" w:rsidP="007E6266">
      <w:pPr>
        <w:spacing w:line="360" w:lineRule="auto"/>
      </w:pPr>
      <w:r>
        <w:t xml:space="preserve">The Gantt Chart provides a structured visual representation of the project timeline, showing how each phase of the Coquihalla Corridor Reconstruction is scheduled across the 2025–2027 delivery window. By mapping activities such as feasibility studies, environmental assessments, engineering design, procurement, construction works, and final testing onto a quarterly timeline, the Gantt Chart allows stakeholders to clearly understand the sequencing and duration of each task. This temporal overview is essential for coordinating multidisciplinary teams, allocating resources at the appropriate stages, and identifying </w:t>
      </w:r>
      <w:r>
        <w:lastRenderedPageBreak/>
        <w:t>potential overlaps or bottlenecks that may affect project progress. The chart also supports proactive risk management by highlighting critical periods—such as the full-year construction phase in 2026—where weather conditions or supply chain issues may pose challenges. Overall, the Gantt Chart enhances project transparency, improves planning accuracy, and ensures that all stakeholders share a unified understanding of the project’s pacing and key milestones.</w:t>
      </w:r>
    </w:p>
    <w:p w14:paraId="67B366D6" w14:textId="77777777" w:rsidR="007E6266" w:rsidRPr="007E6266" w:rsidRDefault="007E6266" w:rsidP="007E6266">
      <w:pPr>
        <w:spacing w:line="360" w:lineRule="auto"/>
      </w:pPr>
    </w:p>
    <w:p w14:paraId="687D0FAF" w14:textId="77777777" w:rsidR="007E6266" w:rsidRPr="007E6266" w:rsidRDefault="007E6266" w:rsidP="007E6266">
      <w:pPr>
        <w:pStyle w:val="Heading2"/>
      </w:pPr>
      <w:bookmarkStart w:id="17" w:name="_Toc214308084"/>
      <w:r w:rsidRPr="007E6266">
        <w:t>7. Stakeholders’ Involvement</w:t>
      </w:r>
      <w:bookmarkEnd w:id="17"/>
    </w:p>
    <w:p w14:paraId="20CF94A7" w14:textId="77777777" w:rsidR="007E6266" w:rsidRPr="007E6266" w:rsidRDefault="007E6266" w:rsidP="007E6266">
      <w:pPr>
        <w:spacing w:before="100" w:beforeAutospacing="1" w:after="100" w:afterAutospacing="1" w:line="360" w:lineRule="auto"/>
      </w:pPr>
      <w:r w:rsidRPr="007E6266">
        <w:t>Stakeholder management is essential for infrastructure project success (Freeman, 2010). Stakeholders influence funding, environmental compliance, land access, cultural considerations, and public acceptance.</w:t>
      </w:r>
    </w:p>
    <w:p w14:paraId="5686899B" w14:textId="77777777" w:rsidR="007E6266" w:rsidRPr="007E6266" w:rsidRDefault="007E6266" w:rsidP="007E6266">
      <w:pPr>
        <w:spacing w:before="100" w:beforeAutospacing="1" w:after="100" w:afterAutospacing="1" w:line="360" w:lineRule="auto"/>
        <w:outlineLvl w:val="2"/>
        <w:rPr>
          <w:b/>
          <w:bCs/>
          <w:sz w:val="27"/>
          <w:szCs w:val="27"/>
        </w:rPr>
      </w:pPr>
      <w:bookmarkStart w:id="18" w:name="_Toc214308085"/>
      <w:r w:rsidRPr="007E6266">
        <w:rPr>
          <w:b/>
          <w:bCs/>
          <w:sz w:val="27"/>
          <w:szCs w:val="27"/>
        </w:rPr>
        <w:t>Key Stakeholders and Roles</w:t>
      </w:r>
      <w:bookmarkEnd w:id="18"/>
    </w:p>
    <w:tbl>
      <w:tblPr>
        <w:tblStyle w:val="TableGrid"/>
        <w:tblW w:w="0" w:type="auto"/>
        <w:tblLook w:val="04A0" w:firstRow="1" w:lastRow="0" w:firstColumn="1" w:lastColumn="0" w:noHBand="0" w:noVBand="1"/>
      </w:tblPr>
      <w:tblGrid>
        <w:gridCol w:w="2729"/>
        <w:gridCol w:w="3030"/>
        <w:gridCol w:w="3257"/>
      </w:tblGrid>
      <w:tr w:rsidR="007E6266" w:rsidRPr="007E6266" w14:paraId="2622FC5E" w14:textId="77777777" w:rsidTr="000E07CD">
        <w:tc>
          <w:tcPr>
            <w:tcW w:w="0" w:type="auto"/>
            <w:hideMark/>
          </w:tcPr>
          <w:p w14:paraId="0259EF55" w14:textId="77777777" w:rsidR="007E6266" w:rsidRPr="007E6266" w:rsidRDefault="007E6266" w:rsidP="000E07CD">
            <w:pPr>
              <w:spacing w:line="360" w:lineRule="auto"/>
              <w:jc w:val="center"/>
              <w:rPr>
                <w:b/>
                <w:bCs/>
              </w:rPr>
            </w:pPr>
            <w:r w:rsidRPr="007E6266">
              <w:rPr>
                <w:b/>
                <w:bCs/>
              </w:rPr>
              <w:t>Stakeholder</w:t>
            </w:r>
          </w:p>
        </w:tc>
        <w:tc>
          <w:tcPr>
            <w:tcW w:w="0" w:type="auto"/>
            <w:hideMark/>
          </w:tcPr>
          <w:p w14:paraId="4F3F3232" w14:textId="77777777" w:rsidR="007E6266" w:rsidRPr="007E6266" w:rsidRDefault="007E6266" w:rsidP="000E07CD">
            <w:pPr>
              <w:spacing w:line="360" w:lineRule="auto"/>
              <w:jc w:val="center"/>
              <w:rPr>
                <w:b/>
                <w:bCs/>
              </w:rPr>
            </w:pPr>
            <w:r w:rsidRPr="007E6266">
              <w:rPr>
                <w:b/>
                <w:bCs/>
              </w:rPr>
              <w:t>Interest / Influence</w:t>
            </w:r>
          </w:p>
        </w:tc>
        <w:tc>
          <w:tcPr>
            <w:tcW w:w="0" w:type="auto"/>
            <w:hideMark/>
          </w:tcPr>
          <w:p w14:paraId="46758959" w14:textId="77777777" w:rsidR="007E6266" w:rsidRPr="007E6266" w:rsidRDefault="007E6266" w:rsidP="000E07CD">
            <w:pPr>
              <w:spacing w:line="360" w:lineRule="auto"/>
              <w:jc w:val="center"/>
              <w:rPr>
                <w:b/>
                <w:bCs/>
              </w:rPr>
            </w:pPr>
            <w:r w:rsidRPr="007E6266">
              <w:rPr>
                <w:b/>
                <w:bCs/>
              </w:rPr>
              <w:t>Engagement Strategy</w:t>
            </w:r>
          </w:p>
        </w:tc>
      </w:tr>
      <w:tr w:rsidR="007E6266" w:rsidRPr="007E6266" w14:paraId="2B53EF0B" w14:textId="77777777" w:rsidTr="000E07CD">
        <w:tc>
          <w:tcPr>
            <w:tcW w:w="0" w:type="auto"/>
            <w:hideMark/>
          </w:tcPr>
          <w:p w14:paraId="27385E3E" w14:textId="77777777" w:rsidR="007E6266" w:rsidRPr="007E6266" w:rsidRDefault="007E6266" w:rsidP="000E07CD">
            <w:pPr>
              <w:spacing w:line="360" w:lineRule="auto"/>
            </w:pPr>
            <w:r w:rsidRPr="007E6266">
              <w:t>Government of British Columbia</w:t>
            </w:r>
          </w:p>
        </w:tc>
        <w:tc>
          <w:tcPr>
            <w:tcW w:w="0" w:type="auto"/>
            <w:hideMark/>
          </w:tcPr>
          <w:p w14:paraId="38843DED" w14:textId="77777777" w:rsidR="007E6266" w:rsidRPr="007E6266" w:rsidRDefault="007E6266" w:rsidP="000E07CD">
            <w:pPr>
              <w:spacing w:line="360" w:lineRule="auto"/>
            </w:pPr>
            <w:r w:rsidRPr="007E6266">
              <w:t>High influence; project sponsor</w:t>
            </w:r>
          </w:p>
        </w:tc>
        <w:tc>
          <w:tcPr>
            <w:tcW w:w="0" w:type="auto"/>
            <w:hideMark/>
          </w:tcPr>
          <w:p w14:paraId="444878ED" w14:textId="77777777" w:rsidR="007E6266" w:rsidRPr="007E6266" w:rsidRDefault="007E6266" w:rsidP="000E07CD">
            <w:pPr>
              <w:spacing w:line="360" w:lineRule="auto"/>
            </w:pPr>
            <w:r w:rsidRPr="007E6266">
              <w:t>Weekly progress reports; strategic alignment meetings</w:t>
            </w:r>
          </w:p>
        </w:tc>
      </w:tr>
      <w:tr w:rsidR="007E6266" w:rsidRPr="007E6266" w14:paraId="1C0641B1" w14:textId="77777777" w:rsidTr="000E07CD">
        <w:tc>
          <w:tcPr>
            <w:tcW w:w="0" w:type="auto"/>
            <w:hideMark/>
          </w:tcPr>
          <w:p w14:paraId="4E0655C2" w14:textId="77777777" w:rsidR="007E6266" w:rsidRPr="007E6266" w:rsidRDefault="007E6266" w:rsidP="000E07CD">
            <w:pPr>
              <w:spacing w:line="360" w:lineRule="auto"/>
            </w:pPr>
            <w:r w:rsidRPr="007E6266">
              <w:t>Infrastructure Canada</w:t>
            </w:r>
          </w:p>
        </w:tc>
        <w:tc>
          <w:tcPr>
            <w:tcW w:w="0" w:type="auto"/>
            <w:hideMark/>
          </w:tcPr>
          <w:p w14:paraId="6414C85E" w14:textId="77777777" w:rsidR="007E6266" w:rsidRPr="007E6266" w:rsidRDefault="007E6266" w:rsidP="000E07CD">
            <w:pPr>
              <w:spacing w:line="360" w:lineRule="auto"/>
            </w:pPr>
            <w:r w:rsidRPr="007E6266">
              <w:t>Funding oversight</w:t>
            </w:r>
          </w:p>
        </w:tc>
        <w:tc>
          <w:tcPr>
            <w:tcW w:w="0" w:type="auto"/>
            <w:hideMark/>
          </w:tcPr>
          <w:p w14:paraId="0C57B6A3" w14:textId="77777777" w:rsidR="007E6266" w:rsidRPr="007E6266" w:rsidRDefault="007E6266" w:rsidP="000E07CD">
            <w:pPr>
              <w:spacing w:line="360" w:lineRule="auto"/>
            </w:pPr>
            <w:r w:rsidRPr="007E6266">
              <w:t>Quarterly audits; performance reporting</w:t>
            </w:r>
          </w:p>
        </w:tc>
      </w:tr>
      <w:tr w:rsidR="007E6266" w:rsidRPr="007E6266" w14:paraId="54685AF6" w14:textId="77777777" w:rsidTr="000E07CD">
        <w:tc>
          <w:tcPr>
            <w:tcW w:w="0" w:type="auto"/>
            <w:hideMark/>
          </w:tcPr>
          <w:p w14:paraId="3712D8CD" w14:textId="77777777" w:rsidR="007E6266" w:rsidRPr="007E6266" w:rsidRDefault="007E6266" w:rsidP="000E07CD">
            <w:pPr>
              <w:spacing w:line="360" w:lineRule="auto"/>
            </w:pPr>
            <w:r w:rsidRPr="007E6266">
              <w:t>Local Municipalities</w:t>
            </w:r>
          </w:p>
        </w:tc>
        <w:tc>
          <w:tcPr>
            <w:tcW w:w="0" w:type="auto"/>
            <w:hideMark/>
          </w:tcPr>
          <w:p w14:paraId="6913FE79" w14:textId="77777777" w:rsidR="007E6266" w:rsidRPr="007E6266" w:rsidRDefault="007E6266" w:rsidP="000E07CD">
            <w:pPr>
              <w:spacing w:line="360" w:lineRule="auto"/>
            </w:pPr>
            <w:r w:rsidRPr="007E6266">
              <w:t>Community impacts; traffic disruption</w:t>
            </w:r>
          </w:p>
        </w:tc>
        <w:tc>
          <w:tcPr>
            <w:tcW w:w="0" w:type="auto"/>
            <w:hideMark/>
          </w:tcPr>
          <w:p w14:paraId="3F16452B" w14:textId="77777777" w:rsidR="007E6266" w:rsidRPr="007E6266" w:rsidRDefault="007E6266" w:rsidP="000E07CD">
            <w:pPr>
              <w:spacing w:line="360" w:lineRule="auto"/>
            </w:pPr>
            <w:r w:rsidRPr="007E6266">
              <w:t>Public consultations; updates via town halls</w:t>
            </w:r>
          </w:p>
        </w:tc>
      </w:tr>
      <w:tr w:rsidR="007E6266" w:rsidRPr="007E6266" w14:paraId="5BEA71A7" w14:textId="77777777" w:rsidTr="000E07CD">
        <w:tc>
          <w:tcPr>
            <w:tcW w:w="0" w:type="auto"/>
            <w:hideMark/>
          </w:tcPr>
          <w:p w14:paraId="42766F20" w14:textId="77777777" w:rsidR="007E6266" w:rsidRPr="007E6266" w:rsidRDefault="007E6266" w:rsidP="000E07CD">
            <w:pPr>
              <w:spacing w:line="360" w:lineRule="auto"/>
            </w:pPr>
            <w:r w:rsidRPr="007E6266">
              <w:t>Indigenous Communities</w:t>
            </w:r>
          </w:p>
        </w:tc>
        <w:tc>
          <w:tcPr>
            <w:tcW w:w="0" w:type="auto"/>
            <w:hideMark/>
          </w:tcPr>
          <w:p w14:paraId="5491FDB5" w14:textId="77777777" w:rsidR="007E6266" w:rsidRPr="007E6266" w:rsidRDefault="007E6266" w:rsidP="000E07CD">
            <w:pPr>
              <w:spacing w:line="360" w:lineRule="auto"/>
            </w:pPr>
            <w:r w:rsidRPr="007E6266">
              <w:t>Cultural, environmental stewardship; land rights</w:t>
            </w:r>
          </w:p>
        </w:tc>
        <w:tc>
          <w:tcPr>
            <w:tcW w:w="0" w:type="auto"/>
            <w:hideMark/>
          </w:tcPr>
          <w:p w14:paraId="7FBEF5D9" w14:textId="77777777" w:rsidR="007E6266" w:rsidRPr="007E6266" w:rsidRDefault="007E6266" w:rsidP="000E07CD">
            <w:pPr>
              <w:spacing w:line="360" w:lineRule="auto"/>
            </w:pPr>
            <w:r w:rsidRPr="007E6266">
              <w:t>Collaborative design sessions; consent protocols</w:t>
            </w:r>
          </w:p>
        </w:tc>
      </w:tr>
      <w:tr w:rsidR="007E6266" w:rsidRPr="007E6266" w14:paraId="1CC0D6E2" w14:textId="77777777" w:rsidTr="000E07CD">
        <w:tc>
          <w:tcPr>
            <w:tcW w:w="0" w:type="auto"/>
            <w:hideMark/>
          </w:tcPr>
          <w:p w14:paraId="4C16FC31" w14:textId="77777777" w:rsidR="007E6266" w:rsidRPr="007E6266" w:rsidRDefault="007E6266" w:rsidP="000E07CD">
            <w:pPr>
              <w:spacing w:line="360" w:lineRule="auto"/>
            </w:pPr>
            <w:r w:rsidRPr="007E6266">
              <w:t>Contractors &amp; Engineers</w:t>
            </w:r>
          </w:p>
        </w:tc>
        <w:tc>
          <w:tcPr>
            <w:tcW w:w="0" w:type="auto"/>
            <w:hideMark/>
          </w:tcPr>
          <w:p w14:paraId="28D5CC8D" w14:textId="77777777" w:rsidR="007E6266" w:rsidRPr="007E6266" w:rsidRDefault="007E6266" w:rsidP="000E07CD">
            <w:pPr>
              <w:spacing w:line="360" w:lineRule="auto"/>
            </w:pPr>
            <w:r w:rsidRPr="007E6266">
              <w:t>Delivery and quality</w:t>
            </w:r>
          </w:p>
        </w:tc>
        <w:tc>
          <w:tcPr>
            <w:tcW w:w="0" w:type="auto"/>
            <w:hideMark/>
          </w:tcPr>
          <w:p w14:paraId="2D151484" w14:textId="77777777" w:rsidR="007E6266" w:rsidRPr="007E6266" w:rsidRDefault="007E6266" w:rsidP="000E07CD">
            <w:pPr>
              <w:spacing w:line="360" w:lineRule="auto"/>
            </w:pPr>
            <w:r w:rsidRPr="007E6266">
              <w:t>KPIs, contract reviews, risk-sharing mechanisms</w:t>
            </w:r>
          </w:p>
        </w:tc>
      </w:tr>
      <w:tr w:rsidR="007E6266" w:rsidRPr="007E6266" w14:paraId="361D2C00" w14:textId="77777777" w:rsidTr="000E07CD">
        <w:tc>
          <w:tcPr>
            <w:tcW w:w="0" w:type="auto"/>
            <w:hideMark/>
          </w:tcPr>
          <w:p w14:paraId="2D006828" w14:textId="77777777" w:rsidR="007E6266" w:rsidRPr="007E6266" w:rsidRDefault="007E6266" w:rsidP="000E07CD">
            <w:pPr>
              <w:spacing w:line="360" w:lineRule="auto"/>
            </w:pPr>
            <w:r w:rsidRPr="007E6266">
              <w:t>Agricultural and Supply Chain Operators</w:t>
            </w:r>
          </w:p>
        </w:tc>
        <w:tc>
          <w:tcPr>
            <w:tcW w:w="0" w:type="auto"/>
            <w:hideMark/>
          </w:tcPr>
          <w:p w14:paraId="03A88806" w14:textId="77777777" w:rsidR="007E6266" w:rsidRPr="007E6266" w:rsidRDefault="007E6266" w:rsidP="000E07CD">
            <w:pPr>
              <w:spacing w:line="360" w:lineRule="auto"/>
            </w:pPr>
            <w:r w:rsidRPr="007E6266">
              <w:t>Depend on corridor for goods movement</w:t>
            </w:r>
          </w:p>
        </w:tc>
        <w:tc>
          <w:tcPr>
            <w:tcW w:w="0" w:type="auto"/>
            <w:hideMark/>
          </w:tcPr>
          <w:p w14:paraId="7376F836" w14:textId="77777777" w:rsidR="007E6266" w:rsidRPr="007E6266" w:rsidRDefault="007E6266" w:rsidP="000E07CD">
            <w:pPr>
              <w:spacing w:line="360" w:lineRule="auto"/>
            </w:pPr>
            <w:r w:rsidRPr="007E6266">
              <w:t>Logistics coordination meetings</w:t>
            </w:r>
          </w:p>
        </w:tc>
      </w:tr>
      <w:tr w:rsidR="007E6266" w:rsidRPr="007E6266" w14:paraId="4D9AEF53" w14:textId="77777777" w:rsidTr="000E07CD">
        <w:tc>
          <w:tcPr>
            <w:tcW w:w="0" w:type="auto"/>
            <w:hideMark/>
          </w:tcPr>
          <w:p w14:paraId="182DC38F" w14:textId="77777777" w:rsidR="007E6266" w:rsidRPr="007E6266" w:rsidRDefault="007E6266" w:rsidP="000E07CD">
            <w:pPr>
              <w:spacing w:line="360" w:lineRule="auto"/>
            </w:pPr>
            <w:r w:rsidRPr="007E6266">
              <w:t>General Public</w:t>
            </w:r>
          </w:p>
        </w:tc>
        <w:tc>
          <w:tcPr>
            <w:tcW w:w="0" w:type="auto"/>
            <w:hideMark/>
          </w:tcPr>
          <w:p w14:paraId="2EB40A56" w14:textId="77777777" w:rsidR="007E6266" w:rsidRPr="007E6266" w:rsidRDefault="007E6266" w:rsidP="000E07CD">
            <w:pPr>
              <w:spacing w:line="360" w:lineRule="auto"/>
            </w:pPr>
            <w:r w:rsidRPr="007E6266">
              <w:t>Safety and access</w:t>
            </w:r>
          </w:p>
        </w:tc>
        <w:tc>
          <w:tcPr>
            <w:tcW w:w="0" w:type="auto"/>
            <w:hideMark/>
          </w:tcPr>
          <w:p w14:paraId="4BFD405C" w14:textId="77777777" w:rsidR="007E6266" w:rsidRPr="007E6266" w:rsidRDefault="007E6266" w:rsidP="000E07CD">
            <w:pPr>
              <w:spacing w:line="360" w:lineRule="auto"/>
            </w:pPr>
            <w:r w:rsidRPr="007E6266">
              <w:t>Media briefings; project website; public notices</w:t>
            </w:r>
          </w:p>
        </w:tc>
      </w:tr>
    </w:tbl>
    <w:p w14:paraId="30CF9E2F" w14:textId="77777777" w:rsidR="007E6266" w:rsidRDefault="007E6266" w:rsidP="007E6266">
      <w:pPr>
        <w:spacing w:before="100" w:beforeAutospacing="1" w:after="100" w:afterAutospacing="1" w:line="360" w:lineRule="auto"/>
      </w:pPr>
    </w:p>
    <w:p w14:paraId="62DC39D1" w14:textId="77777777" w:rsidR="007E6266" w:rsidRDefault="007E6266" w:rsidP="007E6266">
      <w:pPr>
        <w:spacing w:before="100" w:beforeAutospacing="1" w:after="100" w:afterAutospacing="1" w:line="360" w:lineRule="auto"/>
      </w:pPr>
    </w:p>
    <w:p w14:paraId="4BDC1E31" w14:textId="27F45136" w:rsidR="007E6266" w:rsidRPr="007E6266" w:rsidRDefault="007E6266" w:rsidP="007E6266">
      <w:pPr>
        <w:spacing w:before="100" w:beforeAutospacing="1" w:after="100" w:afterAutospacing="1" w:line="360" w:lineRule="auto"/>
      </w:pPr>
      <w:r w:rsidRPr="007E6266">
        <w:lastRenderedPageBreak/>
        <w:t xml:space="preserve">Applying </w:t>
      </w:r>
      <w:proofErr w:type="spellStart"/>
      <w:r w:rsidRPr="007E6266">
        <w:rPr>
          <w:b/>
          <w:bCs/>
        </w:rPr>
        <w:t>Mendelow’s</w:t>
      </w:r>
      <w:proofErr w:type="spellEnd"/>
      <w:r w:rsidRPr="007E6266">
        <w:rPr>
          <w:b/>
          <w:bCs/>
        </w:rPr>
        <w:t xml:space="preserve"> Matrix</w:t>
      </w:r>
      <w:r w:rsidRPr="007E6266">
        <w:t>:</w:t>
      </w:r>
    </w:p>
    <w:p w14:paraId="567F0BE0" w14:textId="77777777" w:rsidR="007E6266" w:rsidRPr="007E6266" w:rsidRDefault="007E6266" w:rsidP="007E6266">
      <w:pPr>
        <w:numPr>
          <w:ilvl w:val="0"/>
          <w:numId w:val="12"/>
        </w:numPr>
        <w:spacing w:before="100" w:beforeAutospacing="1" w:after="100" w:afterAutospacing="1" w:line="360" w:lineRule="auto"/>
      </w:pPr>
      <w:r w:rsidRPr="007E6266">
        <w:rPr>
          <w:i/>
          <w:iCs/>
        </w:rPr>
        <w:t>Manage Closely</w:t>
      </w:r>
      <w:r w:rsidRPr="007E6266">
        <w:t>: Provincial government, Infrastructure Canada, Indigenous Nations, major contractors.</w:t>
      </w:r>
    </w:p>
    <w:p w14:paraId="62F7748D" w14:textId="77777777" w:rsidR="007E6266" w:rsidRPr="007E6266" w:rsidRDefault="007E6266" w:rsidP="007E6266">
      <w:pPr>
        <w:numPr>
          <w:ilvl w:val="0"/>
          <w:numId w:val="12"/>
        </w:numPr>
        <w:spacing w:before="100" w:beforeAutospacing="1" w:after="100" w:afterAutospacing="1" w:line="360" w:lineRule="auto"/>
      </w:pPr>
      <w:r w:rsidRPr="007E6266">
        <w:rPr>
          <w:i/>
          <w:iCs/>
        </w:rPr>
        <w:t>Keep Satisfied</w:t>
      </w:r>
      <w:r w:rsidRPr="007E6266">
        <w:t>: Municipalities, supply chain industries.</w:t>
      </w:r>
    </w:p>
    <w:p w14:paraId="4A3F3FCE" w14:textId="77777777" w:rsidR="007E6266" w:rsidRPr="007E6266" w:rsidRDefault="007E6266" w:rsidP="007E6266">
      <w:pPr>
        <w:numPr>
          <w:ilvl w:val="0"/>
          <w:numId w:val="12"/>
        </w:numPr>
        <w:spacing w:before="100" w:beforeAutospacing="1" w:after="100" w:afterAutospacing="1" w:line="360" w:lineRule="auto"/>
      </w:pPr>
      <w:r w:rsidRPr="007E6266">
        <w:rPr>
          <w:i/>
          <w:iCs/>
        </w:rPr>
        <w:t>Keep Informed</w:t>
      </w:r>
      <w:r w:rsidRPr="007E6266">
        <w:t>: General public, local businesses.</w:t>
      </w:r>
    </w:p>
    <w:p w14:paraId="777FA1F7" w14:textId="77777777" w:rsidR="007E6266" w:rsidRPr="007E6266" w:rsidRDefault="007E6266" w:rsidP="007E6266">
      <w:pPr>
        <w:numPr>
          <w:ilvl w:val="0"/>
          <w:numId w:val="12"/>
        </w:numPr>
        <w:spacing w:before="100" w:beforeAutospacing="1" w:after="100" w:afterAutospacing="1" w:line="360" w:lineRule="auto"/>
      </w:pPr>
      <w:r w:rsidRPr="007E6266">
        <w:rPr>
          <w:i/>
          <w:iCs/>
        </w:rPr>
        <w:t>Monitor</w:t>
      </w:r>
      <w:r w:rsidRPr="007E6266">
        <w:t>: Environmental NGOs, media.</w:t>
      </w:r>
    </w:p>
    <w:p w14:paraId="767582A7" w14:textId="77777777" w:rsidR="007E6266" w:rsidRPr="007E6266" w:rsidRDefault="007E6266" w:rsidP="007E6266">
      <w:pPr>
        <w:pStyle w:val="Heading2"/>
      </w:pPr>
      <w:bookmarkStart w:id="19" w:name="_Toc214308086"/>
      <w:r w:rsidRPr="007E6266">
        <w:t>8</w:t>
      </w:r>
      <w:r>
        <w:t xml:space="preserve">. </w:t>
      </w:r>
      <w:r w:rsidRPr="007E6266">
        <w:t>Allocation of Resources</w:t>
      </w:r>
      <w:bookmarkEnd w:id="19"/>
    </w:p>
    <w:p w14:paraId="15223FAD" w14:textId="77777777" w:rsidR="007E6266" w:rsidRPr="007E6266" w:rsidRDefault="007E6266" w:rsidP="007E6266">
      <w:pPr>
        <w:spacing w:before="100" w:beforeAutospacing="1" w:after="100" w:afterAutospacing="1" w:line="360" w:lineRule="auto"/>
      </w:pPr>
      <w:r w:rsidRPr="007E6266">
        <w:t>Effective resource allocation is fundamental to the success of large-scale infrastructure projects, particularly those characterised by high complexity, environmental uncertainty, and interdependent work streams such as the reconstruction of the Coquihalla Corridor. According to PMBOK, resources—human, financial, technological, and material—must be planned, acquired, and managed strategically to ensure that project objectives are delivered efficiently and sustainably (PMI, 2021). Inadequate or poorly managed resources are a major cause of delays, cost overruns, and quality failures in public sector megaprojects, making resource planning a critical governance function. The following subsections outline the key resources required and justify their strategic importance to this project.</w:t>
      </w:r>
    </w:p>
    <w:p w14:paraId="5DF17ED4" w14:textId="77777777" w:rsidR="007E6266" w:rsidRPr="007E6266" w:rsidRDefault="007E6266" w:rsidP="007E6266">
      <w:pPr>
        <w:pStyle w:val="Heading2"/>
        <w:ind w:firstLine="720"/>
      </w:pPr>
      <w:bookmarkStart w:id="20" w:name="_Toc214308087"/>
      <w:r w:rsidRPr="007E6266">
        <w:t>8.1 Human Resources</w:t>
      </w:r>
      <w:bookmarkEnd w:id="20"/>
    </w:p>
    <w:p w14:paraId="149B6096" w14:textId="77777777" w:rsidR="007E6266" w:rsidRPr="007E6266" w:rsidRDefault="007E6266" w:rsidP="007E6266">
      <w:pPr>
        <w:spacing w:before="100" w:beforeAutospacing="1" w:after="100" w:afterAutospacing="1" w:line="360" w:lineRule="auto"/>
      </w:pPr>
      <w:r w:rsidRPr="007E6266">
        <w:t>This project relies on a diverse and highly skilled workforce, reflecting the technical and environmental challenges associated with reconstructing damaged bridges, stabilising landslide-prone areas, and implementing advanced monitoring systems. Key personnel include:</w:t>
      </w:r>
    </w:p>
    <w:p w14:paraId="27D51E9B" w14:textId="77777777" w:rsidR="007E6266" w:rsidRPr="007E6266" w:rsidRDefault="007E6266" w:rsidP="007E6266">
      <w:pPr>
        <w:numPr>
          <w:ilvl w:val="0"/>
          <w:numId w:val="26"/>
        </w:numPr>
        <w:spacing w:before="100" w:beforeAutospacing="1" w:after="100" w:afterAutospacing="1" w:line="360" w:lineRule="auto"/>
      </w:pPr>
      <w:r w:rsidRPr="007E6266">
        <w:t>Project Manager and PMO specialists</w:t>
      </w:r>
    </w:p>
    <w:p w14:paraId="3603D80E" w14:textId="77777777" w:rsidR="007E6266" w:rsidRPr="007E6266" w:rsidRDefault="007E6266" w:rsidP="007E6266">
      <w:pPr>
        <w:numPr>
          <w:ilvl w:val="0"/>
          <w:numId w:val="26"/>
        </w:numPr>
        <w:spacing w:before="100" w:beforeAutospacing="1" w:after="100" w:afterAutospacing="1" w:line="360" w:lineRule="auto"/>
      </w:pPr>
      <w:r w:rsidRPr="007E6266">
        <w:t>Civil and structural engineers</w:t>
      </w:r>
    </w:p>
    <w:p w14:paraId="4C847052" w14:textId="77777777" w:rsidR="007E6266" w:rsidRPr="007E6266" w:rsidRDefault="007E6266" w:rsidP="007E6266">
      <w:pPr>
        <w:numPr>
          <w:ilvl w:val="0"/>
          <w:numId w:val="26"/>
        </w:numPr>
        <w:spacing w:before="100" w:beforeAutospacing="1" w:after="100" w:afterAutospacing="1" w:line="360" w:lineRule="auto"/>
      </w:pPr>
      <w:r w:rsidRPr="007E6266">
        <w:t>Geotechnical experts</w:t>
      </w:r>
    </w:p>
    <w:p w14:paraId="0FD5CE76" w14:textId="77777777" w:rsidR="007E6266" w:rsidRPr="007E6266" w:rsidRDefault="007E6266" w:rsidP="007E6266">
      <w:pPr>
        <w:numPr>
          <w:ilvl w:val="0"/>
          <w:numId w:val="26"/>
        </w:numPr>
        <w:spacing w:before="100" w:beforeAutospacing="1" w:after="100" w:afterAutospacing="1" w:line="360" w:lineRule="auto"/>
      </w:pPr>
      <w:r w:rsidRPr="007E6266">
        <w:t>Environmental scientists</w:t>
      </w:r>
    </w:p>
    <w:p w14:paraId="185E4216" w14:textId="77777777" w:rsidR="007E6266" w:rsidRPr="007E6266" w:rsidRDefault="007E6266" w:rsidP="007E6266">
      <w:pPr>
        <w:numPr>
          <w:ilvl w:val="0"/>
          <w:numId w:val="26"/>
        </w:numPr>
        <w:spacing w:before="100" w:beforeAutospacing="1" w:after="100" w:afterAutospacing="1" w:line="360" w:lineRule="auto"/>
      </w:pPr>
      <w:r w:rsidRPr="007E6266">
        <w:t>Indigenous engagement specialists</w:t>
      </w:r>
    </w:p>
    <w:p w14:paraId="731A08D3" w14:textId="77777777" w:rsidR="007E6266" w:rsidRPr="007E6266" w:rsidRDefault="007E6266" w:rsidP="007E6266">
      <w:pPr>
        <w:numPr>
          <w:ilvl w:val="0"/>
          <w:numId w:val="26"/>
        </w:numPr>
        <w:spacing w:before="100" w:beforeAutospacing="1" w:after="100" w:afterAutospacing="1" w:line="360" w:lineRule="auto"/>
      </w:pPr>
      <w:r w:rsidRPr="007E6266">
        <w:t>Labourers, machine operators, safety officers</w:t>
      </w:r>
    </w:p>
    <w:p w14:paraId="48D187C1" w14:textId="77777777" w:rsidR="007E6266" w:rsidRPr="007E6266" w:rsidRDefault="007E6266" w:rsidP="007E6266">
      <w:pPr>
        <w:numPr>
          <w:ilvl w:val="0"/>
          <w:numId w:val="26"/>
        </w:numPr>
        <w:spacing w:before="100" w:beforeAutospacing="1" w:after="100" w:afterAutospacing="1" w:line="360" w:lineRule="auto"/>
      </w:pPr>
      <w:r w:rsidRPr="007E6266">
        <w:t>IT specialists for IoT and sensor installation</w:t>
      </w:r>
    </w:p>
    <w:p w14:paraId="2951CFC1" w14:textId="77777777" w:rsidR="007E6266" w:rsidRPr="007E6266" w:rsidRDefault="007E6266" w:rsidP="007E6266">
      <w:pPr>
        <w:spacing w:before="100" w:beforeAutospacing="1" w:after="100" w:afterAutospacing="1" w:line="360" w:lineRule="auto"/>
      </w:pPr>
      <w:r w:rsidRPr="007E6266">
        <w:lastRenderedPageBreak/>
        <w:t>Human resources are central because they provide the expertise needed to interpret geotechnical data, design resilient structures, navigate regulatory requirements, and ensure cultural and environmental compliance. Without the correct mix of specialised skills, the project risks encountering design errors, safety failures, or regulatory breaches. HR management will therefore follow PMBOK’s Resource Management framework, which emphasises capability alignment, workload balancing, and the ongoing development of technical competencies. This is especially important as infrastructure megaprojects often suffer from coordination challenges across multidisciplinary teams; structured HR management helps mitigate such inefficiencies.</w:t>
      </w:r>
    </w:p>
    <w:p w14:paraId="429BF462" w14:textId="77777777" w:rsidR="007E6266" w:rsidRPr="007E6266" w:rsidRDefault="007E6266" w:rsidP="007E6266">
      <w:pPr>
        <w:pStyle w:val="Heading2"/>
        <w:ind w:firstLine="720"/>
      </w:pPr>
      <w:bookmarkStart w:id="21" w:name="_Toc214308088"/>
      <w:r w:rsidRPr="007E6266">
        <w:t>8.2 Financial Resources</w:t>
      </w:r>
      <w:bookmarkEnd w:id="21"/>
    </w:p>
    <w:p w14:paraId="73FB2233" w14:textId="77777777" w:rsidR="007E6266" w:rsidRPr="007E6266" w:rsidRDefault="007E6266" w:rsidP="007E6266">
      <w:pPr>
        <w:spacing w:before="100" w:beforeAutospacing="1" w:after="100" w:afterAutospacing="1" w:line="360" w:lineRule="auto"/>
      </w:pPr>
      <w:r w:rsidRPr="007E6266">
        <w:t xml:space="preserve">The estimated project budget of </w:t>
      </w:r>
      <w:r w:rsidRPr="007E6266">
        <w:rPr>
          <w:b/>
          <w:bCs/>
        </w:rPr>
        <w:t>CAD $480 million</w:t>
      </w:r>
      <w:r w:rsidRPr="007E6266">
        <w:t xml:space="preserve"> covers:</w:t>
      </w:r>
    </w:p>
    <w:p w14:paraId="045BED20" w14:textId="77777777" w:rsidR="007E6266" w:rsidRPr="007E6266" w:rsidRDefault="007E6266" w:rsidP="007E6266">
      <w:pPr>
        <w:numPr>
          <w:ilvl w:val="0"/>
          <w:numId w:val="27"/>
        </w:numPr>
        <w:spacing w:before="100" w:beforeAutospacing="1" w:after="100" w:afterAutospacing="1" w:line="360" w:lineRule="auto"/>
      </w:pPr>
      <w:r w:rsidRPr="007E6266">
        <w:t>Bridge reconstruction</w:t>
      </w:r>
    </w:p>
    <w:p w14:paraId="55A49BFF" w14:textId="77777777" w:rsidR="007E6266" w:rsidRPr="007E6266" w:rsidRDefault="007E6266" w:rsidP="007E6266">
      <w:pPr>
        <w:numPr>
          <w:ilvl w:val="0"/>
          <w:numId w:val="27"/>
        </w:numPr>
        <w:spacing w:before="100" w:beforeAutospacing="1" w:after="100" w:afterAutospacing="1" w:line="360" w:lineRule="auto"/>
      </w:pPr>
      <w:r w:rsidRPr="007E6266">
        <w:t>Roadway engineering</w:t>
      </w:r>
    </w:p>
    <w:p w14:paraId="27016865" w14:textId="77777777" w:rsidR="007E6266" w:rsidRPr="007E6266" w:rsidRDefault="007E6266" w:rsidP="007E6266">
      <w:pPr>
        <w:numPr>
          <w:ilvl w:val="0"/>
          <w:numId w:val="27"/>
        </w:numPr>
        <w:spacing w:before="100" w:beforeAutospacing="1" w:after="100" w:afterAutospacing="1" w:line="360" w:lineRule="auto"/>
      </w:pPr>
      <w:r w:rsidRPr="007E6266">
        <w:t>Environmental restoration</w:t>
      </w:r>
    </w:p>
    <w:p w14:paraId="7C0EAD99" w14:textId="77777777" w:rsidR="007E6266" w:rsidRPr="007E6266" w:rsidRDefault="007E6266" w:rsidP="007E6266">
      <w:pPr>
        <w:numPr>
          <w:ilvl w:val="0"/>
          <w:numId w:val="27"/>
        </w:numPr>
        <w:spacing w:before="100" w:beforeAutospacing="1" w:after="100" w:afterAutospacing="1" w:line="360" w:lineRule="auto"/>
      </w:pPr>
      <w:r w:rsidRPr="007E6266">
        <w:t>Smart monitoring systems</w:t>
      </w:r>
    </w:p>
    <w:p w14:paraId="5A26CEA7" w14:textId="77777777" w:rsidR="007E6266" w:rsidRPr="007E6266" w:rsidRDefault="007E6266" w:rsidP="007E6266">
      <w:pPr>
        <w:numPr>
          <w:ilvl w:val="0"/>
          <w:numId w:val="27"/>
        </w:numPr>
        <w:spacing w:before="100" w:beforeAutospacing="1" w:after="100" w:afterAutospacing="1" w:line="360" w:lineRule="auto"/>
      </w:pPr>
      <w:r w:rsidRPr="007E6266">
        <w:t>Contractor fees</w:t>
      </w:r>
    </w:p>
    <w:p w14:paraId="1DD2B11D" w14:textId="77777777" w:rsidR="007E6266" w:rsidRPr="007E6266" w:rsidRDefault="007E6266" w:rsidP="007E6266">
      <w:pPr>
        <w:numPr>
          <w:ilvl w:val="0"/>
          <w:numId w:val="27"/>
        </w:numPr>
        <w:spacing w:before="100" w:beforeAutospacing="1" w:after="100" w:afterAutospacing="1" w:line="360" w:lineRule="auto"/>
      </w:pPr>
      <w:r w:rsidRPr="007E6266">
        <w:t>Contingency allowance (~15%)</w:t>
      </w:r>
    </w:p>
    <w:p w14:paraId="36E17436" w14:textId="77777777" w:rsidR="007E6266" w:rsidRPr="007E6266" w:rsidRDefault="007E6266" w:rsidP="007E6266">
      <w:pPr>
        <w:spacing w:before="100" w:beforeAutospacing="1" w:after="100" w:afterAutospacing="1" w:line="360" w:lineRule="auto"/>
      </w:pPr>
      <w:r w:rsidRPr="007E6266">
        <w:t>Funding will be drawn from federal DMAF programmes, provincial transportation budgets, and emergency reconstruction grants. Financial resources are a critical success factor because they determine the scope, quality, and pace of project delivery. Underfunded infrastructure projects often experience reactive decision-making, reduced design quality, or compromised safety protocols (</w:t>
      </w:r>
      <w:proofErr w:type="spellStart"/>
      <w:r w:rsidRPr="007E6266">
        <w:t>Flyvbjerg</w:t>
      </w:r>
      <w:proofErr w:type="spellEnd"/>
      <w:r w:rsidRPr="007E6266">
        <w:t>, 2021). Conversely, well-planned funding ensures that high-quality materials can be procured, skilled contractors retained, and innovative technologies incorporated.</w:t>
      </w:r>
    </w:p>
    <w:p w14:paraId="02340AD2" w14:textId="59929590" w:rsidR="007E6266" w:rsidRDefault="007E6266" w:rsidP="007E6266">
      <w:pPr>
        <w:spacing w:before="100" w:beforeAutospacing="1" w:after="100" w:afterAutospacing="1" w:line="360" w:lineRule="auto"/>
      </w:pPr>
      <w:r w:rsidRPr="007E6266">
        <w:t xml:space="preserve">The inclusion of a 15% contingency fund reflects best practice in risk management and acknowledges the inherent uncertainty associated with constructing in a post-disaster environment where geotechnical conditions may change during excavation. Additionally, the staged release of funds—aligned with milestone achievements—provides accountability while reducing the risk of financial mismanagement. A critical element of financial resource allocation is the balancing of capital investment with long-term value: rebuilding with </w:t>
      </w:r>
      <w:r w:rsidRPr="007E6266">
        <w:lastRenderedPageBreak/>
        <w:t>climate-resilient materials and technology may have higher upfront costs but significantly lower maintenance and emergency repair costs in future decades.</w:t>
      </w:r>
    </w:p>
    <w:p w14:paraId="67809345" w14:textId="77777777" w:rsidR="007E6266" w:rsidRPr="007E6266" w:rsidRDefault="007E6266" w:rsidP="007E6266">
      <w:pPr>
        <w:spacing w:before="100" w:beforeAutospacing="1" w:after="100" w:afterAutospacing="1" w:line="360" w:lineRule="auto"/>
      </w:pPr>
    </w:p>
    <w:p w14:paraId="218FCD8B" w14:textId="77777777" w:rsidR="007E6266" w:rsidRPr="007E6266" w:rsidRDefault="007E6266" w:rsidP="007E6266">
      <w:pPr>
        <w:pStyle w:val="Heading2"/>
        <w:ind w:firstLine="720"/>
      </w:pPr>
      <w:bookmarkStart w:id="22" w:name="_Toc214308089"/>
      <w:r w:rsidRPr="007E6266">
        <w:t>8.3 Technological Resources</w:t>
      </w:r>
      <w:bookmarkEnd w:id="22"/>
    </w:p>
    <w:p w14:paraId="24CD0A44" w14:textId="77777777" w:rsidR="007E6266" w:rsidRPr="007E6266" w:rsidRDefault="007E6266" w:rsidP="007E6266">
      <w:pPr>
        <w:spacing w:before="100" w:beforeAutospacing="1" w:after="100" w:afterAutospacing="1" w:line="360" w:lineRule="auto"/>
      </w:pPr>
      <w:r w:rsidRPr="007E6266">
        <w:t>Technological resources are essential to both the construction process and long-term corridor resilience. They include:</w:t>
      </w:r>
    </w:p>
    <w:p w14:paraId="690FA918" w14:textId="77777777" w:rsidR="007E6266" w:rsidRPr="007E6266" w:rsidRDefault="007E6266" w:rsidP="007E6266">
      <w:pPr>
        <w:numPr>
          <w:ilvl w:val="0"/>
          <w:numId w:val="28"/>
        </w:numPr>
        <w:spacing w:before="100" w:beforeAutospacing="1" w:after="100" w:afterAutospacing="1" w:line="360" w:lineRule="auto"/>
      </w:pPr>
      <w:r w:rsidRPr="007E6266">
        <w:t>Heavy machinery (cranes, excavators, graders)</w:t>
      </w:r>
    </w:p>
    <w:p w14:paraId="18D6E81F" w14:textId="77777777" w:rsidR="007E6266" w:rsidRPr="007E6266" w:rsidRDefault="007E6266" w:rsidP="007E6266">
      <w:pPr>
        <w:numPr>
          <w:ilvl w:val="0"/>
          <w:numId w:val="28"/>
        </w:numPr>
        <w:spacing w:before="100" w:beforeAutospacing="1" w:after="100" w:afterAutospacing="1" w:line="360" w:lineRule="auto"/>
      </w:pPr>
      <w:r w:rsidRPr="007E6266">
        <w:t>IoT monitoring sensors</w:t>
      </w:r>
    </w:p>
    <w:p w14:paraId="07939E0B" w14:textId="77777777" w:rsidR="007E6266" w:rsidRPr="007E6266" w:rsidRDefault="007E6266" w:rsidP="007E6266">
      <w:pPr>
        <w:numPr>
          <w:ilvl w:val="0"/>
          <w:numId w:val="28"/>
        </w:numPr>
        <w:spacing w:before="100" w:beforeAutospacing="1" w:after="100" w:afterAutospacing="1" w:line="360" w:lineRule="auto"/>
      </w:pPr>
      <w:r w:rsidRPr="007E6266">
        <w:t>Flood-modelling software</w:t>
      </w:r>
    </w:p>
    <w:p w14:paraId="4522C8FD" w14:textId="77777777" w:rsidR="007E6266" w:rsidRPr="007E6266" w:rsidRDefault="007E6266" w:rsidP="007E6266">
      <w:pPr>
        <w:numPr>
          <w:ilvl w:val="0"/>
          <w:numId w:val="28"/>
        </w:numPr>
        <w:spacing w:before="100" w:beforeAutospacing="1" w:after="100" w:afterAutospacing="1" w:line="360" w:lineRule="auto"/>
      </w:pPr>
      <w:r w:rsidRPr="007E6266">
        <w:t>GIS and drone surveying systems</w:t>
      </w:r>
    </w:p>
    <w:p w14:paraId="62856634" w14:textId="77777777" w:rsidR="007E6266" w:rsidRPr="007E6266" w:rsidRDefault="007E6266" w:rsidP="007E6266">
      <w:pPr>
        <w:spacing w:before="100" w:beforeAutospacing="1" w:after="100" w:afterAutospacing="1" w:line="360" w:lineRule="auto"/>
      </w:pPr>
      <w:r w:rsidRPr="007E6266">
        <w:t>Modern construction relies heavily on advanced technology to increase accuracy, reduce risks, and improve efficiency. For instance, drone-based surveying accelerates terrain analysis and provides real-time progress monitoring, while GIS tools enable better decision-making related to slope stability and hydrological patterns. IoT sensors installed along the corridor will support predictive maintenance and early warning systems, ensuring that any future flooding, erosion, or structural stress is detected and responded to promptly.</w:t>
      </w:r>
    </w:p>
    <w:p w14:paraId="32AEBFFE" w14:textId="77777777" w:rsidR="007E6266" w:rsidRPr="007E6266" w:rsidRDefault="007E6266" w:rsidP="007E6266">
      <w:pPr>
        <w:spacing w:before="100" w:beforeAutospacing="1" w:after="100" w:afterAutospacing="1" w:line="360" w:lineRule="auto"/>
      </w:pPr>
      <w:r w:rsidRPr="007E6266">
        <w:t>Technological resources are particularly important in a climate-threatened region where infrastructure must withstand increasingly unpredictable weather conditions. Without these tools, the project would not only be slower and less precise but also less resilient in the long term.</w:t>
      </w:r>
    </w:p>
    <w:p w14:paraId="75084AB6" w14:textId="77777777" w:rsidR="007E6266" w:rsidRPr="007E6266" w:rsidRDefault="007E6266" w:rsidP="007E6266">
      <w:pPr>
        <w:pStyle w:val="Heading2"/>
        <w:ind w:firstLine="720"/>
      </w:pPr>
      <w:bookmarkStart w:id="23" w:name="_Toc214308090"/>
      <w:r w:rsidRPr="007E6266">
        <w:t>8.4 Material Resources</w:t>
      </w:r>
      <w:bookmarkEnd w:id="23"/>
    </w:p>
    <w:p w14:paraId="5A272758" w14:textId="77777777" w:rsidR="007E6266" w:rsidRPr="007E6266" w:rsidRDefault="007E6266" w:rsidP="007E6266">
      <w:pPr>
        <w:spacing w:before="100" w:beforeAutospacing="1" w:after="100" w:afterAutospacing="1" w:line="360" w:lineRule="auto"/>
      </w:pPr>
      <w:r w:rsidRPr="007E6266">
        <w:t>Material resources represent the physical backbone of the reconstruction effort and include:</w:t>
      </w:r>
    </w:p>
    <w:p w14:paraId="2B1D454B" w14:textId="77777777" w:rsidR="007E6266" w:rsidRPr="007E6266" w:rsidRDefault="007E6266" w:rsidP="007E6266">
      <w:pPr>
        <w:numPr>
          <w:ilvl w:val="0"/>
          <w:numId w:val="29"/>
        </w:numPr>
        <w:spacing w:before="100" w:beforeAutospacing="1" w:after="100" w:afterAutospacing="1" w:line="360" w:lineRule="auto"/>
      </w:pPr>
      <w:r w:rsidRPr="007E6266">
        <w:t>Reinforced concrete, steel, asphalt</w:t>
      </w:r>
    </w:p>
    <w:p w14:paraId="1CF81E6C" w14:textId="77777777" w:rsidR="007E6266" w:rsidRPr="007E6266" w:rsidRDefault="007E6266" w:rsidP="007E6266">
      <w:pPr>
        <w:numPr>
          <w:ilvl w:val="0"/>
          <w:numId w:val="29"/>
        </w:numPr>
        <w:spacing w:before="100" w:beforeAutospacing="1" w:after="100" w:afterAutospacing="1" w:line="360" w:lineRule="auto"/>
      </w:pPr>
      <w:r w:rsidRPr="007E6266">
        <w:t>Culverts and embankment materials</w:t>
      </w:r>
    </w:p>
    <w:p w14:paraId="75B3D658" w14:textId="77777777" w:rsidR="007E6266" w:rsidRPr="007E6266" w:rsidRDefault="007E6266" w:rsidP="007E6266">
      <w:pPr>
        <w:numPr>
          <w:ilvl w:val="0"/>
          <w:numId w:val="29"/>
        </w:numPr>
        <w:spacing w:before="100" w:beforeAutospacing="1" w:after="100" w:afterAutospacing="1" w:line="360" w:lineRule="auto"/>
      </w:pPr>
      <w:r w:rsidRPr="007E6266">
        <w:t>Drainage pipes</w:t>
      </w:r>
    </w:p>
    <w:p w14:paraId="0F32E841" w14:textId="77777777" w:rsidR="007E6266" w:rsidRPr="007E6266" w:rsidRDefault="007E6266" w:rsidP="007E6266">
      <w:pPr>
        <w:numPr>
          <w:ilvl w:val="0"/>
          <w:numId w:val="29"/>
        </w:numPr>
        <w:spacing w:before="100" w:beforeAutospacing="1" w:after="100" w:afterAutospacing="1" w:line="360" w:lineRule="auto"/>
      </w:pPr>
      <w:r w:rsidRPr="007E6266">
        <w:t>Protective coatings</w:t>
      </w:r>
    </w:p>
    <w:p w14:paraId="2F04C9E0" w14:textId="77777777" w:rsidR="007E6266" w:rsidRPr="007E6266" w:rsidRDefault="007E6266" w:rsidP="007E6266">
      <w:pPr>
        <w:spacing w:before="100" w:beforeAutospacing="1" w:after="100" w:afterAutospacing="1" w:line="360" w:lineRule="auto"/>
      </w:pPr>
      <w:r w:rsidRPr="007E6266">
        <w:lastRenderedPageBreak/>
        <w:t>The selection of high-quality and climate-resilient materials is critical to ensuring the durability and safety of the reconstructed corridor. For example, reinforced concrete and high-strength steel provide structural stability for bridges, while advanced drainage systems help divert water flow during extreme rainfall events, reducing erosion and flood risk. Protective coatings further extend material lifespan by preventing corrosion and weather-related degradation.</w:t>
      </w:r>
    </w:p>
    <w:p w14:paraId="65C15C0E" w14:textId="77777777" w:rsidR="007E6266" w:rsidRPr="007E6266" w:rsidRDefault="007E6266" w:rsidP="007E6266">
      <w:pPr>
        <w:spacing w:before="100" w:beforeAutospacing="1" w:after="100" w:afterAutospacing="1" w:line="360" w:lineRule="auto"/>
      </w:pPr>
      <w:r w:rsidRPr="007E6266">
        <w:t>Material allocation must also consider supply chain efficiency, as shortages or delivery delays can halt critical path tasks. This makes early procurement and supplier diversification essential components of the resource strategy.</w:t>
      </w:r>
    </w:p>
    <w:p w14:paraId="45F58271" w14:textId="77777777" w:rsidR="007E6266" w:rsidRPr="007E6266" w:rsidRDefault="007E6266" w:rsidP="007E6266">
      <w:pPr>
        <w:spacing w:before="100" w:beforeAutospacing="1" w:after="100" w:afterAutospacing="1" w:line="360" w:lineRule="auto"/>
        <w:outlineLvl w:val="2"/>
        <w:rPr>
          <w:b/>
          <w:bCs/>
          <w:sz w:val="27"/>
          <w:szCs w:val="27"/>
        </w:rPr>
      </w:pPr>
      <w:bookmarkStart w:id="24" w:name="_Toc214308091"/>
      <w:r w:rsidRPr="007E6266">
        <w:rPr>
          <w:b/>
          <w:bCs/>
          <w:sz w:val="27"/>
          <w:szCs w:val="27"/>
        </w:rPr>
        <w:t>Critical Summary</w:t>
      </w:r>
      <w:bookmarkEnd w:id="24"/>
    </w:p>
    <w:p w14:paraId="7699FE77" w14:textId="77777777" w:rsidR="007E6266" w:rsidRPr="007E6266" w:rsidRDefault="007E6266" w:rsidP="007E6266">
      <w:pPr>
        <w:spacing w:before="100" w:beforeAutospacing="1" w:after="100" w:afterAutospacing="1" w:line="360" w:lineRule="auto"/>
      </w:pPr>
      <w:r w:rsidRPr="007E6266">
        <w:t>Overall, resource allocation is not simply a logistical task but a strategic driver of project performance. Insufficient human capacity leads to design flaws, inadequate funding compromises structural integrity, outdated technology reduces resilience, and poor material choices increase long-term vulnerability. By applying PMBOK and PRINCE2 principles, this project ensures that resources are not only available but optimised, coordinated, and aligned with the overarching goal of rebuilding a safe, resilient, and future-proof transportation corridor</w:t>
      </w:r>
    </w:p>
    <w:p w14:paraId="0CC41E22" w14:textId="77777777" w:rsidR="007E6266" w:rsidRPr="007E6266" w:rsidRDefault="007E6266" w:rsidP="007E6266">
      <w:pPr>
        <w:pStyle w:val="Heading2"/>
      </w:pPr>
      <w:bookmarkStart w:id="25" w:name="_Toc214308092"/>
      <w:r w:rsidRPr="007E6266">
        <w:t>9. Risk Analysis</w:t>
      </w:r>
      <w:bookmarkEnd w:id="25"/>
    </w:p>
    <w:p w14:paraId="5AC4BE6A" w14:textId="77777777" w:rsidR="007E6266" w:rsidRPr="007E6266" w:rsidRDefault="007E6266" w:rsidP="007E6266">
      <w:pPr>
        <w:spacing w:before="100" w:beforeAutospacing="1" w:after="100" w:afterAutospacing="1" w:line="360" w:lineRule="auto"/>
      </w:pPr>
      <w:r w:rsidRPr="007E6266">
        <w:t xml:space="preserve">Effective risk management is essential for a complex infrastructure project such as the reconstruction of the Coquihalla Corridor. This plan applies recognised frameworks from both </w:t>
      </w:r>
      <w:r w:rsidRPr="007E6266">
        <w:rPr>
          <w:b/>
          <w:bCs/>
        </w:rPr>
        <w:t>PRINCE2</w:t>
      </w:r>
      <w:r w:rsidRPr="007E6266">
        <w:t xml:space="preserve">—which emphasises controlled environments, risk ownership, and structured governance—and </w:t>
      </w:r>
      <w:r w:rsidRPr="007E6266">
        <w:rPr>
          <w:b/>
          <w:bCs/>
        </w:rPr>
        <w:t>PMBOK</w:t>
      </w:r>
      <w:r w:rsidRPr="007E6266">
        <w:t>, which recommends systematic processes for risk identification, assessment, mitigation, and monitoring (PMI, 2021). Through these methodologies, risks are evaluated based on their likelihood and impact, and mitigation strategies are embedded within the project lifecycle to enhance resilience, minimise delays, and protect budgetary integrity.</w:t>
      </w:r>
    </w:p>
    <w:p w14:paraId="48C9CDF6" w14:textId="77777777" w:rsidR="007E6266" w:rsidRPr="007E6266" w:rsidRDefault="007E6266" w:rsidP="007E6266">
      <w:pPr>
        <w:spacing w:before="100" w:beforeAutospacing="1" w:after="100" w:afterAutospacing="1" w:line="360" w:lineRule="auto"/>
      </w:pPr>
      <w:r w:rsidRPr="007E6266">
        <w:rPr>
          <w:b/>
          <w:bCs/>
        </w:rPr>
        <w:t>1. Extreme Weather Delays (High Risk)</w:t>
      </w:r>
      <w:r w:rsidRPr="007E6266">
        <w:br/>
        <w:t xml:space="preserve">Given the region’s history of severe storms and atmospheric rivers, extreme weather represents one of the most significant risks to construction progress. Heavy rainfall, flooding, or early snowfall could halt operations, cause unsafe working conditions, or damage partially </w:t>
      </w:r>
      <w:r w:rsidRPr="007E6266">
        <w:lastRenderedPageBreak/>
        <w:t>completed structures.</w:t>
      </w:r>
      <w:r w:rsidRPr="007E6266">
        <w:br/>
      </w:r>
      <w:r w:rsidRPr="007E6266">
        <w:rPr>
          <w:b/>
          <w:bCs/>
        </w:rPr>
        <w:t>Mitigation:</w:t>
      </w:r>
      <w:r w:rsidRPr="007E6266">
        <w:t xml:space="preserve"> Work will be scheduled seasonally, with major construction tasks concentrated in the drier summer months. Accelerated summer programmes and flexible contingency timelines will be embedded into the Gantt schedule to minimise disruption.</w:t>
      </w:r>
    </w:p>
    <w:p w14:paraId="00EF2DF6" w14:textId="77777777" w:rsidR="007E6266" w:rsidRPr="007E6266" w:rsidRDefault="007E6266" w:rsidP="007E6266">
      <w:pPr>
        <w:spacing w:before="100" w:beforeAutospacing="1" w:after="100" w:afterAutospacing="1" w:line="360" w:lineRule="auto"/>
      </w:pPr>
      <w:r w:rsidRPr="007E6266">
        <w:rPr>
          <w:b/>
          <w:bCs/>
        </w:rPr>
        <w:t>2. Cost Overruns (High Risk)</w:t>
      </w:r>
      <w:r w:rsidRPr="007E6266">
        <w:br/>
        <w:t xml:space="preserve">Large-scale, climate-resilient infrastructure projects are highly susceptible to escalating costs due to uncertainty in materials, labour, and design complexity. This risk is further amplified by </w:t>
      </w:r>
      <w:r w:rsidRPr="007E6266">
        <w:rPr>
          <w:i/>
          <w:iCs/>
        </w:rPr>
        <w:t>optimism bias</w:t>
      </w:r>
      <w:r w:rsidRPr="007E6266">
        <w:t>, a common tendency to underestimate costs and timelines (</w:t>
      </w:r>
      <w:proofErr w:type="spellStart"/>
      <w:r w:rsidRPr="007E6266">
        <w:t>Flyvbjerg</w:t>
      </w:r>
      <w:proofErr w:type="spellEnd"/>
      <w:r w:rsidRPr="007E6266">
        <w:t>, 2021).</w:t>
      </w:r>
      <w:r w:rsidRPr="007E6266">
        <w:br/>
      </w:r>
      <w:r w:rsidRPr="007E6266">
        <w:rPr>
          <w:b/>
          <w:bCs/>
        </w:rPr>
        <w:t>Mitigation:</w:t>
      </w:r>
      <w:r w:rsidRPr="007E6266">
        <w:t xml:space="preserve"> Practices such as independent financial auditing, milestone-based funding releases, and value engineering reviews will be used to maintain budget discipline. Contingency allowances will be incorporated into the financial plan.</w:t>
      </w:r>
    </w:p>
    <w:p w14:paraId="72C2F6CE" w14:textId="77777777" w:rsidR="007E6266" w:rsidRPr="007E6266" w:rsidRDefault="007E6266" w:rsidP="007E6266">
      <w:pPr>
        <w:spacing w:before="100" w:beforeAutospacing="1" w:after="100" w:afterAutospacing="1" w:line="360" w:lineRule="auto"/>
      </w:pPr>
      <w:r w:rsidRPr="007E6266">
        <w:rPr>
          <w:b/>
          <w:bCs/>
        </w:rPr>
        <w:t>3. Material Shortages (Medium Risk)</w:t>
      </w:r>
      <w:r w:rsidRPr="007E6266">
        <w:br/>
      </w:r>
      <w:proofErr w:type="gramStart"/>
      <w:r w:rsidRPr="007E6266">
        <w:t>Post-disaster</w:t>
      </w:r>
      <w:proofErr w:type="gramEnd"/>
      <w:r w:rsidRPr="007E6266">
        <w:t xml:space="preserve"> environments often strain supply chains, leading to shortages of steel, concrete, aggregate, and specialist components. Such shortages could delay critical path activities.</w:t>
      </w:r>
      <w:r w:rsidRPr="007E6266">
        <w:br/>
      </w:r>
      <w:r w:rsidRPr="007E6266">
        <w:rPr>
          <w:b/>
          <w:bCs/>
        </w:rPr>
        <w:t>Mitigation:</w:t>
      </w:r>
      <w:r w:rsidRPr="007E6266">
        <w:t xml:space="preserve"> Early bulk procurement, diversifying suppliers, and real-time inventory tracking will reduce vulnerability to supply chain disruptions.</w:t>
      </w:r>
    </w:p>
    <w:p w14:paraId="3C831EC5" w14:textId="77777777" w:rsidR="007E6266" w:rsidRPr="007E6266" w:rsidRDefault="007E6266" w:rsidP="007E6266">
      <w:pPr>
        <w:spacing w:before="100" w:beforeAutospacing="1" w:after="100" w:afterAutospacing="1" w:line="360" w:lineRule="auto"/>
      </w:pPr>
      <w:r w:rsidRPr="007E6266">
        <w:rPr>
          <w:b/>
          <w:bCs/>
        </w:rPr>
        <w:t>4. Environmental Approval Delays (Medium Risk)</w:t>
      </w:r>
      <w:r w:rsidRPr="007E6266">
        <w:br/>
        <w:t>Environmental regulations in British Columbia are rigorous, particularly concerning waterways, habitats, and cultural land use. Approvals may require extended consultation and compliance checks.</w:t>
      </w:r>
      <w:r w:rsidRPr="007E6266">
        <w:br/>
      </w:r>
      <w:r w:rsidRPr="007E6266">
        <w:rPr>
          <w:b/>
          <w:bCs/>
        </w:rPr>
        <w:t>Mitigation:</w:t>
      </w:r>
      <w:r w:rsidRPr="007E6266">
        <w:t xml:space="preserve"> The project team will engage with environmental authorities and Indigenous councils at the earliest stages, ensuring that assessments and obligations are integrated into planning rather than causing delays later.</w:t>
      </w:r>
    </w:p>
    <w:p w14:paraId="0D403A2B" w14:textId="77777777" w:rsidR="007E6266" w:rsidRPr="007E6266" w:rsidRDefault="007E6266" w:rsidP="007E6266">
      <w:pPr>
        <w:spacing w:before="100" w:beforeAutospacing="1" w:after="100" w:afterAutospacing="1" w:line="360" w:lineRule="auto"/>
      </w:pPr>
      <w:r w:rsidRPr="007E6266">
        <w:rPr>
          <w:b/>
          <w:bCs/>
        </w:rPr>
        <w:t>5. Safety Risks and On-Site Accidents (Medium Risk)</w:t>
      </w:r>
      <w:r w:rsidRPr="007E6266">
        <w:br/>
        <w:t>Construction in geotechnically unstable areas, near watercourses, and during unpredictable weather elevates the likelihood of accidents.</w:t>
      </w:r>
      <w:r w:rsidRPr="007E6266">
        <w:br/>
      </w:r>
      <w:r w:rsidRPr="007E6266">
        <w:rPr>
          <w:b/>
          <w:bCs/>
        </w:rPr>
        <w:t>Mitigation:</w:t>
      </w:r>
      <w:r w:rsidRPr="007E6266">
        <w:t xml:space="preserve"> Comprehensive safety protocols—including mandatory PPE, real-time hazard monitoring, induction training, and strict incident reporting—will be enforced. Regular safety audits will ensure compliance.</w:t>
      </w:r>
    </w:p>
    <w:p w14:paraId="74044BD9" w14:textId="77777777" w:rsidR="007E6266" w:rsidRPr="007E6266" w:rsidRDefault="007E6266" w:rsidP="007E6266">
      <w:pPr>
        <w:spacing w:before="100" w:beforeAutospacing="1" w:after="100" w:afterAutospacing="1" w:line="360" w:lineRule="auto"/>
      </w:pPr>
      <w:r w:rsidRPr="007E6266">
        <w:rPr>
          <w:b/>
          <w:bCs/>
        </w:rPr>
        <w:lastRenderedPageBreak/>
        <w:t>6. Engineering Complexity (Medium Risk)</w:t>
      </w:r>
      <w:r w:rsidRPr="007E6266">
        <w:br/>
        <w:t>Rebuilding collapsed bridges and stabilising landslide-prone slopes involves advanced engineering techniques and geotechnical uncertainty.</w:t>
      </w:r>
      <w:r w:rsidRPr="007E6266">
        <w:br/>
      </w:r>
      <w:r w:rsidRPr="007E6266">
        <w:rPr>
          <w:b/>
          <w:bCs/>
        </w:rPr>
        <w:t>Mitigation:</w:t>
      </w:r>
      <w:r w:rsidRPr="007E6266">
        <w:t xml:space="preserve"> Additional soil investigations, slope stability modelling, and peer-reviewed engineering designs will be undertaken before construction begins to lower the risk of structural failure or redesign.</w:t>
      </w:r>
    </w:p>
    <w:p w14:paraId="63DEC7EE" w14:textId="77777777" w:rsidR="007E6266" w:rsidRPr="007E6266" w:rsidRDefault="007E6266" w:rsidP="007E6266">
      <w:pPr>
        <w:spacing w:before="100" w:beforeAutospacing="1" w:after="100" w:afterAutospacing="1" w:line="360" w:lineRule="auto"/>
      </w:pPr>
      <w:r w:rsidRPr="007E6266">
        <w:rPr>
          <w:b/>
          <w:bCs/>
        </w:rPr>
        <w:t>7. Stakeholder Misalignment (Low–Medium Risk)</w:t>
      </w:r>
      <w:r w:rsidRPr="007E6266">
        <w:br/>
        <w:t>Conflicting priorities among government agencies, Indigenous communities, contractors, and local municipalities may interfere with progress if not managed proactively.</w:t>
      </w:r>
      <w:r w:rsidRPr="007E6266">
        <w:br/>
      </w:r>
      <w:r w:rsidRPr="007E6266">
        <w:rPr>
          <w:b/>
          <w:bCs/>
        </w:rPr>
        <w:t>Mitigation:</w:t>
      </w:r>
      <w:r w:rsidRPr="007E6266">
        <w:t xml:space="preserve"> Regular stakeholder consultations, transparent communication, and a structured reporting system will ensure alignment throughout the project lifecycle.</w:t>
      </w:r>
    </w:p>
    <w:p w14:paraId="74A8D84A" w14:textId="77777777" w:rsidR="007E6266" w:rsidRPr="007E6266" w:rsidRDefault="007E6266" w:rsidP="007E6266">
      <w:pPr>
        <w:spacing w:before="100" w:beforeAutospacing="1" w:after="100" w:afterAutospacing="1" w:line="360" w:lineRule="auto"/>
      </w:pPr>
      <w:r w:rsidRPr="007E6266">
        <w:rPr>
          <w:b/>
          <w:bCs/>
        </w:rPr>
        <w:t>8. Technological Failures (Low Risk)</w:t>
      </w:r>
      <w:r w:rsidRPr="007E6266">
        <w:br/>
        <w:t>The project incorporates smart monitoring and sensor technology, which may malfunction or require specialised maintenance.</w:t>
      </w:r>
      <w:r w:rsidRPr="007E6266">
        <w:br/>
      </w:r>
      <w:r w:rsidRPr="007E6266">
        <w:rPr>
          <w:b/>
          <w:bCs/>
        </w:rPr>
        <w:t>Mitigation:</w:t>
      </w:r>
      <w:r w:rsidRPr="007E6266">
        <w:t xml:space="preserve"> System testing, redundancy planning, and vendor maintenance contracts will be established to ensure reliable operation.</w:t>
      </w:r>
    </w:p>
    <w:p w14:paraId="0C7E7F21" w14:textId="77777777" w:rsidR="007E6266" w:rsidRPr="007E6266" w:rsidRDefault="007E6266" w:rsidP="007E6266">
      <w:pPr>
        <w:spacing w:before="100" w:beforeAutospacing="1" w:after="100" w:afterAutospacing="1" w:line="360" w:lineRule="auto"/>
      </w:pPr>
      <w:r w:rsidRPr="007E6266">
        <w:t>Overall, this risk analysis reinforces a proactive approach that integrates contingency planning, stakeholder collaboration, and rigorous project governance. By adopting these measures, the project enhances its ability to remain on schedule, within budget, and resilient in the face of technical and environmental uncertainties.</w:t>
      </w:r>
    </w:p>
    <w:p w14:paraId="6BDFCC5C" w14:textId="77777777" w:rsidR="007E6266" w:rsidRPr="007E6266" w:rsidRDefault="007E6266" w:rsidP="007E6266">
      <w:pPr>
        <w:pStyle w:val="Heading2"/>
      </w:pPr>
      <w:bookmarkStart w:id="26" w:name="_Toc214308093"/>
      <w:r w:rsidRPr="007E6266">
        <w:t>10. Conclus</w:t>
      </w:r>
      <w:r>
        <w:t>i</w:t>
      </w:r>
      <w:r w:rsidRPr="007E6266">
        <w:t>on</w:t>
      </w:r>
      <w:bookmarkEnd w:id="26"/>
    </w:p>
    <w:p w14:paraId="03AFC82E" w14:textId="77777777" w:rsidR="007E6266" w:rsidRPr="007E6266" w:rsidRDefault="007E6266" w:rsidP="007E6266">
      <w:pPr>
        <w:spacing w:before="100" w:beforeAutospacing="1" w:after="100" w:afterAutospacing="1" w:line="360" w:lineRule="auto"/>
      </w:pPr>
      <w:r w:rsidRPr="007E6266">
        <w:t>The catastrophic flooding of 2022 revealed significant vulnerabilities in British Columbia’s transportation infrastructure. The Coquihalla Corridor is a critical economic and social lifeline for the province and the country, and its reconstruction is essential for restoring mobility, protecting supply chains, and supporting community recovery. This Project Management Plan demonstrates a structured, evidence-based approach to rebuilding Highway 5 using robust project management methodologies, climate-resilient engineering, and collaborative stakeholder engagement.</w:t>
      </w:r>
    </w:p>
    <w:p w14:paraId="099F4FC7" w14:textId="77777777" w:rsidR="007E6266" w:rsidRPr="007E6266" w:rsidRDefault="007E6266" w:rsidP="007E6266">
      <w:pPr>
        <w:spacing w:before="100" w:beforeAutospacing="1" w:after="100" w:afterAutospacing="1" w:line="360" w:lineRule="auto"/>
      </w:pPr>
      <w:r w:rsidRPr="007E6266">
        <w:t xml:space="preserve">Through clear scope definition, structured work breakdown, effective risk governance, and responsible resource allocation, this project ensures value for money, long-term </w:t>
      </w:r>
      <w:r w:rsidRPr="007E6266">
        <w:lastRenderedPageBreak/>
        <w:t>sustainability, and enhanced resilience. Stakeholder support is crucial for enabling timely delivery and ensuring that BC emerges stronger, safer, and better prepared for future climate challenges. Investment in this project is an investment in national security, economic stability, and climate adaptation.</w:t>
      </w:r>
    </w:p>
    <w:p w14:paraId="3FC42836" w14:textId="77777777" w:rsidR="007E6266" w:rsidRDefault="007E6266" w:rsidP="007E6266"/>
    <w:p w14:paraId="41221AFE" w14:textId="2D0514E9" w:rsidR="007E6266" w:rsidRPr="007E6266" w:rsidRDefault="007E6266" w:rsidP="007E6266">
      <w:pPr>
        <w:sectPr w:rsidR="007E6266" w:rsidRPr="007E6266" w:rsidSect="007E6266">
          <w:pgSz w:w="11906" w:h="16838"/>
          <w:pgMar w:top="1440" w:right="1440" w:bottom="1440" w:left="1440" w:header="708" w:footer="708" w:gutter="0"/>
          <w:cols w:space="708"/>
          <w:docGrid w:linePitch="360"/>
        </w:sectPr>
      </w:pPr>
    </w:p>
    <w:p w14:paraId="00C1333F" w14:textId="2EDA56FF" w:rsidR="007E6266" w:rsidRDefault="007E6266" w:rsidP="007E6266">
      <w:pPr>
        <w:pStyle w:val="Heading1"/>
      </w:pPr>
      <w:bookmarkStart w:id="27" w:name="_Toc214308094"/>
      <w:r>
        <w:lastRenderedPageBreak/>
        <w:t>References List</w:t>
      </w:r>
      <w:bookmarkEnd w:id="27"/>
    </w:p>
    <w:p w14:paraId="72675750" w14:textId="77777777" w:rsidR="007E6266" w:rsidRPr="007E6266" w:rsidRDefault="007E6266" w:rsidP="007E6266">
      <w:pPr>
        <w:spacing w:before="100" w:beforeAutospacing="1" w:after="100" w:afterAutospacing="1"/>
      </w:pPr>
      <w:r w:rsidRPr="007E6266">
        <w:t xml:space="preserve">BC Ministry of Transportation (2023) </w:t>
      </w:r>
      <w:r w:rsidRPr="007E6266">
        <w:rPr>
          <w:i/>
          <w:iCs/>
        </w:rPr>
        <w:t>Highway Infrastructure Status Report</w:t>
      </w:r>
      <w:r w:rsidRPr="007E6266">
        <w:t>. Government of British Columbia.</w:t>
      </w:r>
    </w:p>
    <w:p w14:paraId="018D8E9A" w14:textId="77777777" w:rsidR="007E6266" w:rsidRPr="007E6266" w:rsidRDefault="007E6266" w:rsidP="007E6266">
      <w:pPr>
        <w:spacing w:before="100" w:beforeAutospacing="1" w:after="100" w:afterAutospacing="1"/>
      </w:pPr>
      <w:r w:rsidRPr="007E6266">
        <w:t xml:space="preserve">Environment Canada (2023) </w:t>
      </w:r>
      <w:r w:rsidRPr="007E6266">
        <w:rPr>
          <w:i/>
          <w:iCs/>
        </w:rPr>
        <w:t>Atmospheric Rivers and Extreme Weather Events in British Columbia</w:t>
      </w:r>
      <w:r w:rsidRPr="007E6266">
        <w:t>. Ottawa: Government of Canada.</w:t>
      </w:r>
    </w:p>
    <w:p w14:paraId="2EA46B36" w14:textId="77777777" w:rsidR="007E6266" w:rsidRPr="007E6266" w:rsidRDefault="007E6266" w:rsidP="007E6266">
      <w:pPr>
        <w:spacing w:before="100" w:beforeAutospacing="1" w:after="100" w:afterAutospacing="1"/>
      </w:pPr>
      <w:proofErr w:type="spellStart"/>
      <w:r w:rsidRPr="007E6266">
        <w:t>Flyvbjerg</w:t>
      </w:r>
      <w:proofErr w:type="spellEnd"/>
      <w:r w:rsidRPr="007E6266">
        <w:t xml:space="preserve">, B. (2021) </w:t>
      </w:r>
      <w:r w:rsidRPr="007E6266">
        <w:rPr>
          <w:i/>
          <w:iCs/>
        </w:rPr>
        <w:t>How Big Things Get Done: The Surprising Factors Behind Every Successful Project</w:t>
      </w:r>
      <w:r w:rsidRPr="007E6266">
        <w:t>. Penguin Press.</w:t>
      </w:r>
    </w:p>
    <w:p w14:paraId="74B1B21C" w14:textId="77777777" w:rsidR="007E6266" w:rsidRPr="007E6266" w:rsidRDefault="007E6266" w:rsidP="007E6266">
      <w:pPr>
        <w:spacing w:before="100" w:beforeAutospacing="1" w:after="100" w:afterAutospacing="1"/>
      </w:pPr>
      <w:proofErr w:type="spellStart"/>
      <w:r w:rsidRPr="007E6266">
        <w:t>Flyvbjerg</w:t>
      </w:r>
      <w:proofErr w:type="spellEnd"/>
      <w:r w:rsidRPr="007E6266">
        <w:t xml:space="preserve">, B. and </w:t>
      </w:r>
      <w:proofErr w:type="spellStart"/>
      <w:r w:rsidRPr="007E6266">
        <w:t>Budzier</w:t>
      </w:r>
      <w:proofErr w:type="spellEnd"/>
      <w:r w:rsidRPr="007E6266">
        <w:t xml:space="preserve">, A. (2018) ‘Megaprojects and risk: An overview’, </w:t>
      </w:r>
      <w:r w:rsidRPr="007E6266">
        <w:rPr>
          <w:i/>
          <w:iCs/>
        </w:rPr>
        <w:t>Oxford Review of Economic Policy</w:t>
      </w:r>
      <w:r w:rsidRPr="007E6266">
        <w:t>, 34(3), pp. 1–22.</w:t>
      </w:r>
    </w:p>
    <w:p w14:paraId="600ACA0D" w14:textId="77777777" w:rsidR="007E6266" w:rsidRPr="007E6266" w:rsidRDefault="007E6266" w:rsidP="007E6266">
      <w:pPr>
        <w:spacing w:before="100" w:beforeAutospacing="1" w:after="100" w:afterAutospacing="1"/>
      </w:pPr>
      <w:r w:rsidRPr="007E6266">
        <w:t xml:space="preserve">Freeman, R. (2010) </w:t>
      </w:r>
      <w:r w:rsidRPr="007E6266">
        <w:rPr>
          <w:i/>
          <w:iCs/>
        </w:rPr>
        <w:t>Strategic Management: A Stakeholder Approach</w:t>
      </w:r>
      <w:r w:rsidRPr="007E6266">
        <w:t>. Cambridge: Cambridge University Press.</w:t>
      </w:r>
    </w:p>
    <w:p w14:paraId="18F65048" w14:textId="77777777" w:rsidR="007E6266" w:rsidRPr="007E6266" w:rsidRDefault="007E6266" w:rsidP="007E6266">
      <w:pPr>
        <w:spacing w:before="100" w:beforeAutospacing="1" w:after="100" w:afterAutospacing="1"/>
      </w:pPr>
      <w:r w:rsidRPr="007E6266">
        <w:t xml:space="preserve">Government of British Columbia (2022) </w:t>
      </w:r>
      <w:r w:rsidRPr="007E6266">
        <w:rPr>
          <w:i/>
          <w:iCs/>
        </w:rPr>
        <w:t>BC Flood Response and Recovery Strategy</w:t>
      </w:r>
      <w:r w:rsidRPr="007E6266">
        <w:t>. Victoria: Government of BC.</w:t>
      </w:r>
    </w:p>
    <w:p w14:paraId="3C72A1CA" w14:textId="77777777" w:rsidR="007E6266" w:rsidRPr="007E6266" w:rsidRDefault="007E6266" w:rsidP="007E6266">
      <w:pPr>
        <w:spacing w:before="100" w:beforeAutospacing="1" w:after="100" w:afterAutospacing="1"/>
      </w:pPr>
      <w:r w:rsidRPr="007E6266">
        <w:t xml:space="preserve">Infrastructure Canada (2023) </w:t>
      </w:r>
      <w:r w:rsidRPr="007E6266">
        <w:rPr>
          <w:i/>
          <w:iCs/>
        </w:rPr>
        <w:t>Disaster Mitigation and Adaptation Fund (DMAF): Funding Overview</w:t>
      </w:r>
      <w:r w:rsidRPr="007E6266">
        <w:t>. Government of Canada.</w:t>
      </w:r>
    </w:p>
    <w:p w14:paraId="14B58EBD" w14:textId="77777777" w:rsidR="007E6266" w:rsidRPr="007E6266" w:rsidRDefault="007E6266" w:rsidP="007E6266">
      <w:pPr>
        <w:spacing w:before="100" w:beforeAutospacing="1" w:after="100" w:afterAutospacing="1"/>
      </w:pPr>
      <w:r w:rsidRPr="007E6266">
        <w:t xml:space="preserve">Office of the Auditor General of Canada (2022) </w:t>
      </w:r>
      <w:r w:rsidRPr="007E6266">
        <w:rPr>
          <w:i/>
          <w:iCs/>
        </w:rPr>
        <w:t>Report on Climate Resilience, Disaster Management, and Infrastructure Risk</w:t>
      </w:r>
      <w:r w:rsidRPr="007E6266">
        <w:t>. Ottawa: OAG.</w:t>
      </w:r>
    </w:p>
    <w:p w14:paraId="14319FA9" w14:textId="77777777" w:rsidR="007E6266" w:rsidRPr="007E6266" w:rsidRDefault="007E6266" w:rsidP="007E6266">
      <w:pPr>
        <w:spacing w:before="100" w:beforeAutospacing="1" w:after="100" w:afterAutospacing="1"/>
      </w:pPr>
      <w:r w:rsidRPr="007E6266">
        <w:t xml:space="preserve">PMI – Project Management Institute (2021) </w:t>
      </w:r>
      <w:r w:rsidRPr="007E6266">
        <w:rPr>
          <w:i/>
          <w:iCs/>
        </w:rPr>
        <w:t>A Guide to the Project Management Body of Knowledge (PMBOK® Guide)</w:t>
      </w:r>
      <w:r w:rsidRPr="007E6266">
        <w:t>, 7th ed. Pennsylvania: PMI.</w:t>
      </w:r>
    </w:p>
    <w:p w14:paraId="4EC6D64F" w14:textId="77777777" w:rsidR="007E6266" w:rsidRPr="007E6266" w:rsidRDefault="007E6266" w:rsidP="007E6266">
      <w:pPr>
        <w:spacing w:before="100" w:beforeAutospacing="1" w:after="100" w:afterAutospacing="1"/>
      </w:pPr>
      <w:r w:rsidRPr="007E6266">
        <w:t xml:space="preserve">Public Safety Canada (2023) </w:t>
      </w:r>
      <w:r w:rsidRPr="007E6266">
        <w:rPr>
          <w:i/>
          <w:iCs/>
        </w:rPr>
        <w:t>National Risk Profile: Flooding, Hazard Assessment, and Infrastructure Vulnerability</w:t>
      </w:r>
      <w:r w:rsidRPr="007E6266">
        <w:t>. Ottawa: Government of Canada.</w:t>
      </w:r>
    </w:p>
    <w:p w14:paraId="3D186C37" w14:textId="77777777" w:rsidR="007E6266" w:rsidRPr="007E6266" w:rsidRDefault="007E6266" w:rsidP="007E6266">
      <w:pPr>
        <w:spacing w:before="100" w:beforeAutospacing="1" w:after="100" w:afterAutospacing="1"/>
      </w:pPr>
      <w:r w:rsidRPr="007E6266">
        <w:t xml:space="preserve">Schön, D. (1983) </w:t>
      </w:r>
      <w:r w:rsidRPr="007E6266">
        <w:rPr>
          <w:i/>
          <w:iCs/>
        </w:rPr>
        <w:t>The Reflective Practitioner: How Professionals Think in Action</w:t>
      </w:r>
      <w:r w:rsidRPr="007E6266">
        <w:t>. Basic Books.</w:t>
      </w:r>
    </w:p>
    <w:p w14:paraId="6CFC59D0" w14:textId="77777777" w:rsidR="007E6266" w:rsidRPr="007E6266" w:rsidRDefault="007E6266" w:rsidP="007E6266">
      <w:pPr>
        <w:spacing w:before="100" w:beforeAutospacing="1" w:after="100" w:afterAutospacing="1"/>
      </w:pPr>
      <w:r w:rsidRPr="007E6266">
        <w:t xml:space="preserve">Williams, T. (2016) ‘Identifying and Managing Project Complexity in Infrastructure Projects’, </w:t>
      </w:r>
      <w:r w:rsidRPr="007E6266">
        <w:rPr>
          <w:i/>
          <w:iCs/>
        </w:rPr>
        <w:t>International Journal of Project Management</w:t>
      </w:r>
      <w:r w:rsidRPr="007E6266">
        <w:t>, 34(6), pp. 1023–1036.</w:t>
      </w:r>
    </w:p>
    <w:p w14:paraId="280E669E" w14:textId="77777777" w:rsidR="007E6266" w:rsidRPr="007E6266" w:rsidRDefault="007E6266" w:rsidP="007E6266">
      <w:pPr>
        <w:spacing w:before="100" w:beforeAutospacing="1" w:after="100" w:afterAutospacing="1"/>
      </w:pPr>
      <w:r w:rsidRPr="007E6266">
        <w:t xml:space="preserve">Transport Canada (2023) </w:t>
      </w:r>
      <w:r w:rsidRPr="007E6266">
        <w:rPr>
          <w:i/>
          <w:iCs/>
        </w:rPr>
        <w:t>Economic Impact Assessment of Highway Disruptions in British Columbia</w:t>
      </w:r>
      <w:r w:rsidRPr="007E6266">
        <w:t>. Government of Canada.</w:t>
      </w:r>
    </w:p>
    <w:p w14:paraId="4B837E29" w14:textId="77777777" w:rsidR="007E6266" w:rsidRPr="007E6266" w:rsidRDefault="007E6266" w:rsidP="007E6266">
      <w:pPr>
        <w:spacing w:before="100" w:beforeAutospacing="1" w:after="100" w:afterAutospacing="1"/>
      </w:pPr>
      <w:r w:rsidRPr="007E6266">
        <w:t xml:space="preserve">Kolb, D. (1984) </w:t>
      </w:r>
      <w:r w:rsidRPr="007E6266">
        <w:rPr>
          <w:i/>
          <w:iCs/>
        </w:rPr>
        <w:t>Experiential Learning: Experience as the Source of Learning and Development</w:t>
      </w:r>
      <w:r w:rsidRPr="007E6266">
        <w:t>. Englewood Cliffs: Prentice Hall.</w:t>
      </w:r>
    </w:p>
    <w:p w14:paraId="0E8BBEAB" w14:textId="77777777" w:rsidR="007E6266" w:rsidRPr="007E6266" w:rsidRDefault="007E6266" w:rsidP="007E6266">
      <w:pPr>
        <w:spacing w:before="100" w:beforeAutospacing="1" w:after="100" w:afterAutospacing="1"/>
      </w:pPr>
      <w:r w:rsidRPr="007E6266">
        <w:t xml:space="preserve">Prince2 UK (2020) </w:t>
      </w:r>
      <w:r w:rsidRPr="007E6266">
        <w:rPr>
          <w:i/>
          <w:iCs/>
        </w:rPr>
        <w:t>Managing Successful Projects with PRINCE2</w:t>
      </w:r>
      <w:r w:rsidRPr="007E6266">
        <w:t>. Axelos Publishing.</w:t>
      </w:r>
    </w:p>
    <w:p w14:paraId="221E5C72" w14:textId="77777777" w:rsidR="007E6266" w:rsidRPr="007E6266" w:rsidRDefault="007E6266" w:rsidP="007E6266">
      <w:pPr>
        <w:spacing w:before="100" w:beforeAutospacing="1" w:after="100" w:afterAutospacing="1"/>
      </w:pPr>
      <w:r w:rsidRPr="007E6266">
        <w:t xml:space="preserve">Canadian Climate Institute (2022) </w:t>
      </w:r>
      <w:r w:rsidRPr="007E6266">
        <w:rPr>
          <w:i/>
          <w:iCs/>
        </w:rPr>
        <w:t>Under Water: The Costs of Climate Change-Driven Flooding in Canada</w:t>
      </w:r>
      <w:r w:rsidRPr="007E6266">
        <w:t>. Ottawa: CCI.</w:t>
      </w:r>
    </w:p>
    <w:p w14:paraId="01CD4F58" w14:textId="77777777" w:rsidR="007E6266" w:rsidRPr="007E6266" w:rsidRDefault="007E6266" w:rsidP="007E6266">
      <w:pPr>
        <w:spacing w:before="100" w:beforeAutospacing="1" w:after="100" w:afterAutospacing="1"/>
      </w:pPr>
      <w:r w:rsidRPr="007E6266">
        <w:lastRenderedPageBreak/>
        <w:t xml:space="preserve">Merritt, G. and Leduc, S. (2022) ‘Infrastructure Resilience in Flood-Prone Regions’, </w:t>
      </w:r>
      <w:r w:rsidRPr="007E6266">
        <w:rPr>
          <w:i/>
          <w:iCs/>
        </w:rPr>
        <w:t>Canadian Journal of Civil Engineering</w:t>
      </w:r>
      <w:r w:rsidRPr="007E6266">
        <w:t>, 49(4), pp. 455–470.</w:t>
      </w:r>
    </w:p>
    <w:p w14:paraId="3C6992D9" w14:textId="77777777" w:rsidR="007E6266" w:rsidRPr="007E6266" w:rsidRDefault="007E6266" w:rsidP="007E6266">
      <w:pPr>
        <w:spacing w:before="100" w:beforeAutospacing="1" w:after="100" w:afterAutospacing="1"/>
      </w:pPr>
      <w:r w:rsidRPr="007E6266">
        <w:t xml:space="preserve">National Research Council Canada (2021) </w:t>
      </w:r>
      <w:r w:rsidRPr="007E6266">
        <w:rPr>
          <w:i/>
          <w:iCs/>
        </w:rPr>
        <w:t>Climate-Resilient Infrastructure Guidelines</w:t>
      </w:r>
      <w:r w:rsidRPr="007E6266">
        <w:t>.</w:t>
      </w:r>
    </w:p>
    <w:p w14:paraId="50765464" w14:textId="77777777" w:rsidR="007E6266" w:rsidRDefault="007E6266" w:rsidP="007E6266"/>
    <w:p w14:paraId="4D7C5E31" w14:textId="77777777" w:rsidR="007E6266" w:rsidRDefault="007E6266" w:rsidP="007E6266"/>
    <w:p w14:paraId="616911B5" w14:textId="66906B97" w:rsidR="007E6266" w:rsidRPr="007E6266" w:rsidRDefault="007E6266" w:rsidP="007E6266">
      <w:pPr>
        <w:sectPr w:rsidR="007E6266" w:rsidRPr="007E6266" w:rsidSect="007E6266">
          <w:pgSz w:w="11906" w:h="16838"/>
          <w:pgMar w:top="1440" w:right="1440" w:bottom="1440" w:left="1440" w:header="708" w:footer="708" w:gutter="0"/>
          <w:cols w:space="708"/>
          <w:docGrid w:linePitch="360"/>
        </w:sectPr>
      </w:pPr>
    </w:p>
    <w:p w14:paraId="5ECC3C1A" w14:textId="54724A21" w:rsidR="007E6266" w:rsidRDefault="007E6266" w:rsidP="007E6266">
      <w:pPr>
        <w:spacing w:line="360" w:lineRule="auto"/>
      </w:pPr>
    </w:p>
    <w:sectPr w:rsidR="007E6266" w:rsidSect="007E626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CB8C56D" w14:textId="77777777" w:rsidR="00EC1442" w:rsidRDefault="00EC1442" w:rsidP="007E6266">
      <w:r>
        <w:separator/>
      </w:r>
    </w:p>
  </w:endnote>
  <w:endnote w:type="continuationSeparator" w:id="0">
    <w:p w14:paraId="5AD39EC1" w14:textId="77777777" w:rsidR="00EC1442" w:rsidRDefault="00EC1442" w:rsidP="007E6266">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709796302"/>
      <w:docPartObj>
        <w:docPartGallery w:val="Page Numbers (Bottom of Page)"/>
        <w:docPartUnique/>
      </w:docPartObj>
    </w:sdtPr>
    <w:sdtContent>
      <w:p w14:paraId="4E390F47" w14:textId="29917A3E" w:rsidR="007E6266" w:rsidRDefault="007E6266" w:rsidP="00C631C1">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124A7A0D" w14:textId="77777777" w:rsidR="007E6266" w:rsidRDefault="007E6266">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687199223"/>
      <w:docPartObj>
        <w:docPartGallery w:val="Page Numbers (Bottom of Page)"/>
        <w:docPartUnique/>
      </w:docPartObj>
    </w:sdtPr>
    <w:sdtContent>
      <w:p w14:paraId="73312A45" w14:textId="7E5FCAD6" w:rsidR="007E6266" w:rsidRDefault="007E6266" w:rsidP="00C631C1">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47CF3500" w14:textId="77777777" w:rsidR="007E6266" w:rsidRDefault="007E626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A458C63" w14:textId="77777777" w:rsidR="00EC1442" w:rsidRDefault="00EC1442" w:rsidP="007E6266">
      <w:r>
        <w:separator/>
      </w:r>
    </w:p>
  </w:footnote>
  <w:footnote w:type="continuationSeparator" w:id="0">
    <w:p w14:paraId="4DFD0611" w14:textId="77777777" w:rsidR="00EC1442" w:rsidRDefault="00EC1442" w:rsidP="007E6266">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E44C54"/>
    <w:multiLevelType w:val="multilevel"/>
    <w:tmpl w:val="34D2EEA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5C57A8E"/>
    <w:multiLevelType w:val="multilevel"/>
    <w:tmpl w:val="34D2EEA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6454681"/>
    <w:multiLevelType w:val="multilevel"/>
    <w:tmpl w:val="34D2EEA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068F50F9"/>
    <w:multiLevelType w:val="multilevel"/>
    <w:tmpl w:val="34D2EEA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07410ADD"/>
    <w:multiLevelType w:val="multilevel"/>
    <w:tmpl w:val="34D2EEA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11842200"/>
    <w:multiLevelType w:val="multilevel"/>
    <w:tmpl w:val="34D2EEA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1B961321"/>
    <w:multiLevelType w:val="multilevel"/>
    <w:tmpl w:val="34D2EEA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1D36546E"/>
    <w:multiLevelType w:val="multilevel"/>
    <w:tmpl w:val="34D2EEA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21D405A1"/>
    <w:multiLevelType w:val="multilevel"/>
    <w:tmpl w:val="34D2EEA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235E73C4"/>
    <w:multiLevelType w:val="multilevel"/>
    <w:tmpl w:val="34D2EEA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28C67D5F"/>
    <w:multiLevelType w:val="multilevel"/>
    <w:tmpl w:val="F840330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29BD6855"/>
    <w:multiLevelType w:val="multilevel"/>
    <w:tmpl w:val="34D2EEA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2E5C3630"/>
    <w:multiLevelType w:val="multilevel"/>
    <w:tmpl w:val="34D2EEA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32175B03"/>
    <w:multiLevelType w:val="multilevel"/>
    <w:tmpl w:val="34D2EEA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348E5EC6"/>
    <w:multiLevelType w:val="multilevel"/>
    <w:tmpl w:val="34D2EEA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3A5B77AE"/>
    <w:multiLevelType w:val="multilevel"/>
    <w:tmpl w:val="34D2EEA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3FC65858"/>
    <w:multiLevelType w:val="multilevel"/>
    <w:tmpl w:val="34D2EEA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42C1254D"/>
    <w:multiLevelType w:val="multilevel"/>
    <w:tmpl w:val="34D2EEA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443C7249"/>
    <w:multiLevelType w:val="multilevel"/>
    <w:tmpl w:val="34D2EEA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50F17BE4"/>
    <w:multiLevelType w:val="multilevel"/>
    <w:tmpl w:val="34D2EEA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552951AA"/>
    <w:multiLevelType w:val="multilevel"/>
    <w:tmpl w:val="34D2EEA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578C698A"/>
    <w:multiLevelType w:val="multilevel"/>
    <w:tmpl w:val="34D2EEA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5B3971E4"/>
    <w:multiLevelType w:val="multilevel"/>
    <w:tmpl w:val="34D2EEA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6A5331A9"/>
    <w:multiLevelType w:val="multilevel"/>
    <w:tmpl w:val="34D2EEA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6EB90D7E"/>
    <w:multiLevelType w:val="multilevel"/>
    <w:tmpl w:val="34D2EEA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6FE45BB5"/>
    <w:multiLevelType w:val="multilevel"/>
    <w:tmpl w:val="34D2EEA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775539C5"/>
    <w:multiLevelType w:val="hybridMultilevel"/>
    <w:tmpl w:val="DB841B0A"/>
    <w:lvl w:ilvl="0" w:tplc="379E1AE4">
      <w:start w:val="10"/>
      <w:numFmt w:val="bullet"/>
      <w:lvlText w:val="-"/>
      <w:lvlJc w:val="left"/>
      <w:pPr>
        <w:ind w:left="720" w:hanging="360"/>
      </w:pPr>
      <w:rPr>
        <w:rFonts w:ascii="Times New Roman" w:eastAsia="Times New Roman"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77E147B7"/>
    <w:multiLevelType w:val="multilevel"/>
    <w:tmpl w:val="34D2EEA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8" w15:restartNumberingAfterBreak="0">
    <w:nsid w:val="7AB41528"/>
    <w:multiLevelType w:val="multilevel"/>
    <w:tmpl w:val="34D2EEA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9" w15:restartNumberingAfterBreak="0">
    <w:nsid w:val="7E9F75C1"/>
    <w:multiLevelType w:val="multilevel"/>
    <w:tmpl w:val="34D2EEA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19"/>
  </w:num>
  <w:num w:numId="2">
    <w:abstractNumId w:val="10"/>
  </w:num>
  <w:num w:numId="3">
    <w:abstractNumId w:val="13"/>
  </w:num>
  <w:num w:numId="4">
    <w:abstractNumId w:val="20"/>
  </w:num>
  <w:num w:numId="5">
    <w:abstractNumId w:val="6"/>
  </w:num>
  <w:num w:numId="6">
    <w:abstractNumId w:val="28"/>
  </w:num>
  <w:num w:numId="7">
    <w:abstractNumId w:val="17"/>
  </w:num>
  <w:num w:numId="8">
    <w:abstractNumId w:val="18"/>
  </w:num>
  <w:num w:numId="9">
    <w:abstractNumId w:val="8"/>
  </w:num>
  <w:num w:numId="10">
    <w:abstractNumId w:val="11"/>
  </w:num>
  <w:num w:numId="11">
    <w:abstractNumId w:val="21"/>
  </w:num>
  <w:num w:numId="12">
    <w:abstractNumId w:val="25"/>
  </w:num>
  <w:num w:numId="13">
    <w:abstractNumId w:val="3"/>
  </w:num>
  <w:num w:numId="14">
    <w:abstractNumId w:val="9"/>
  </w:num>
  <w:num w:numId="15">
    <w:abstractNumId w:val="1"/>
  </w:num>
  <w:num w:numId="16">
    <w:abstractNumId w:val="27"/>
  </w:num>
  <w:num w:numId="17">
    <w:abstractNumId w:val="2"/>
  </w:num>
  <w:num w:numId="18">
    <w:abstractNumId w:val="4"/>
  </w:num>
  <w:num w:numId="19">
    <w:abstractNumId w:val="23"/>
  </w:num>
  <w:num w:numId="20">
    <w:abstractNumId w:val="22"/>
  </w:num>
  <w:num w:numId="21">
    <w:abstractNumId w:val="29"/>
  </w:num>
  <w:num w:numId="22">
    <w:abstractNumId w:val="12"/>
  </w:num>
  <w:num w:numId="23">
    <w:abstractNumId w:val="0"/>
  </w:num>
  <w:num w:numId="24">
    <w:abstractNumId w:val="24"/>
  </w:num>
  <w:num w:numId="25">
    <w:abstractNumId w:val="16"/>
  </w:num>
  <w:num w:numId="26">
    <w:abstractNumId w:val="15"/>
  </w:num>
  <w:num w:numId="27">
    <w:abstractNumId w:val="5"/>
  </w:num>
  <w:num w:numId="28">
    <w:abstractNumId w:val="7"/>
  </w:num>
  <w:num w:numId="29">
    <w:abstractNumId w:val="14"/>
  </w:num>
  <w:num w:numId="30">
    <w:abstractNumId w:val="2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53"/>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E6266"/>
    <w:rsid w:val="007E6266"/>
    <w:rsid w:val="00EC144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53407E9"/>
  <w15:chartTrackingRefBased/>
  <w15:docId w15:val="{37BDFF8A-7D8C-734E-ADF0-D9908C73F9D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E6266"/>
    <w:rPr>
      <w:rFonts w:ascii="Times New Roman" w:eastAsia="Times New Roman" w:hAnsi="Times New Roman" w:cs="Times New Roman"/>
      <w:lang w:eastAsia="en-GB"/>
    </w:rPr>
  </w:style>
  <w:style w:type="paragraph" w:styleId="Heading1">
    <w:name w:val="heading 1"/>
    <w:basedOn w:val="Normal"/>
    <w:link w:val="Heading1Char"/>
    <w:uiPriority w:val="9"/>
    <w:qFormat/>
    <w:rsid w:val="007E6266"/>
    <w:pPr>
      <w:spacing w:before="100" w:beforeAutospacing="1" w:after="100" w:afterAutospacing="1"/>
      <w:outlineLvl w:val="0"/>
    </w:pPr>
    <w:rPr>
      <w:b/>
      <w:bCs/>
      <w:color w:val="2F5496" w:themeColor="accent1" w:themeShade="BF"/>
      <w:kern w:val="36"/>
      <w:sz w:val="32"/>
      <w:szCs w:val="48"/>
    </w:rPr>
  </w:style>
  <w:style w:type="paragraph" w:styleId="Heading2">
    <w:name w:val="heading 2"/>
    <w:basedOn w:val="Normal"/>
    <w:link w:val="Heading2Char"/>
    <w:uiPriority w:val="9"/>
    <w:qFormat/>
    <w:rsid w:val="007E6266"/>
    <w:pPr>
      <w:spacing w:before="100" w:beforeAutospacing="1" w:after="100" w:afterAutospacing="1"/>
      <w:outlineLvl w:val="1"/>
    </w:pPr>
    <w:rPr>
      <w:b/>
      <w:bCs/>
      <w:sz w:val="28"/>
      <w:szCs w:val="36"/>
    </w:rPr>
  </w:style>
  <w:style w:type="paragraph" w:styleId="Heading3">
    <w:name w:val="heading 3"/>
    <w:basedOn w:val="Normal"/>
    <w:link w:val="Heading3Char"/>
    <w:uiPriority w:val="9"/>
    <w:qFormat/>
    <w:rsid w:val="007E6266"/>
    <w:pPr>
      <w:spacing w:before="100" w:beforeAutospacing="1" w:after="100" w:afterAutospacing="1"/>
      <w:outlineLvl w:val="2"/>
    </w:pPr>
    <w:rPr>
      <w:b/>
      <w:bCs/>
      <w:sz w:val="27"/>
      <w:szCs w:val="27"/>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E6266"/>
    <w:rPr>
      <w:rFonts w:ascii="Times New Roman" w:eastAsia="Times New Roman" w:hAnsi="Times New Roman" w:cs="Times New Roman"/>
      <w:b/>
      <w:bCs/>
      <w:color w:val="2F5496" w:themeColor="accent1" w:themeShade="BF"/>
      <w:kern w:val="36"/>
      <w:sz w:val="32"/>
      <w:szCs w:val="48"/>
      <w:lang w:eastAsia="en-GB"/>
    </w:rPr>
  </w:style>
  <w:style w:type="character" w:customStyle="1" w:styleId="Heading2Char">
    <w:name w:val="Heading 2 Char"/>
    <w:basedOn w:val="DefaultParagraphFont"/>
    <w:link w:val="Heading2"/>
    <w:uiPriority w:val="9"/>
    <w:rsid w:val="007E6266"/>
    <w:rPr>
      <w:rFonts w:ascii="Times New Roman" w:eastAsia="Times New Roman" w:hAnsi="Times New Roman" w:cs="Times New Roman"/>
      <w:b/>
      <w:bCs/>
      <w:sz w:val="28"/>
      <w:szCs w:val="36"/>
      <w:lang w:eastAsia="en-GB"/>
    </w:rPr>
  </w:style>
  <w:style w:type="character" w:customStyle="1" w:styleId="Heading3Char">
    <w:name w:val="Heading 3 Char"/>
    <w:basedOn w:val="DefaultParagraphFont"/>
    <w:link w:val="Heading3"/>
    <w:uiPriority w:val="9"/>
    <w:rsid w:val="007E6266"/>
    <w:rPr>
      <w:rFonts w:ascii="Times New Roman" w:eastAsia="Times New Roman" w:hAnsi="Times New Roman" w:cs="Times New Roman"/>
      <w:b/>
      <w:bCs/>
      <w:sz w:val="27"/>
      <w:szCs w:val="27"/>
      <w:lang w:eastAsia="en-GB"/>
    </w:rPr>
  </w:style>
  <w:style w:type="character" w:styleId="Strong">
    <w:name w:val="Strong"/>
    <w:basedOn w:val="DefaultParagraphFont"/>
    <w:uiPriority w:val="22"/>
    <w:qFormat/>
    <w:rsid w:val="007E6266"/>
    <w:rPr>
      <w:b/>
      <w:bCs/>
    </w:rPr>
  </w:style>
  <w:style w:type="paragraph" w:styleId="NormalWeb">
    <w:name w:val="Normal (Web)"/>
    <w:basedOn w:val="Normal"/>
    <w:uiPriority w:val="99"/>
    <w:semiHidden/>
    <w:unhideWhenUsed/>
    <w:rsid w:val="007E6266"/>
    <w:pPr>
      <w:spacing w:before="100" w:beforeAutospacing="1" w:after="100" w:afterAutospacing="1"/>
    </w:pPr>
  </w:style>
  <w:style w:type="character" w:styleId="Emphasis">
    <w:name w:val="Emphasis"/>
    <w:basedOn w:val="DefaultParagraphFont"/>
    <w:uiPriority w:val="20"/>
    <w:qFormat/>
    <w:rsid w:val="007E6266"/>
    <w:rPr>
      <w:i/>
      <w:iCs/>
    </w:rPr>
  </w:style>
  <w:style w:type="table" w:styleId="TableGrid">
    <w:name w:val="Table Grid"/>
    <w:basedOn w:val="TableNormal"/>
    <w:uiPriority w:val="39"/>
    <w:rsid w:val="007E6266"/>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Heading">
    <w:name w:val="TOC Heading"/>
    <w:basedOn w:val="Heading1"/>
    <w:next w:val="Normal"/>
    <w:uiPriority w:val="39"/>
    <w:unhideWhenUsed/>
    <w:qFormat/>
    <w:rsid w:val="007E6266"/>
    <w:pPr>
      <w:keepNext/>
      <w:keepLines/>
      <w:spacing w:before="480" w:beforeAutospacing="0" w:after="0" w:afterAutospacing="0" w:line="276" w:lineRule="auto"/>
      <w:outlineLvl w:val="9"/>
    </w:pPr>
    <w:rPr>
      <w:rFonts w:asciiTheme="majorHAnsi" w:eastAsiaTheme="majorEastAsia" w:hAnsiTheme="majorHAnsi" w:cstheme="majorBidi"/>
      <w:kern w:val="0"/>
      <w:sz w:val="28"/>
      <w:szCs w:val="28"/>
      <w:lang w:val="en-US" w:eastAsia="en-US"/>
    </w:rPr>
  </w:style>
  <w:style w:type="paragraph" w:styleId="TOC1">
    <w:name w:val="toc 1"/>
    <w:basedOn w:val="Normal"/>
    <w:next w:val="Normal"/>
    <w:autoRedefine/>
    <w:uiPriority w:val="39"/>
    <w:unhideWhenUsed/>
    <w:rsid w:val="007E6266"/>
    <w:pPr>
      <w:spacing w:before="120"/>
    </w:pPr>
    <w:rPr>
      <w:rFonts w:asciiTheme="minorHAnsi" w:hAnsiTheme="minorHAnsi" w:cstheme="minorHAnsi"/>
      <w:b/>
      <w:bCs/>
      <w:i/>
      <w:iCs/>
    </w:rPr>
  </w:style>
  <w:style w:type="paragraph" w:styleId="TOC2">
    <w:name w:val="toc 2"/>
    <w:basedOn w:val="Normal"/>
    <w:next w:val="Normal"/>
    <w:autoRedefine/>
    <w:uiPriority w:val="39"/>
    <w:unhideWhenUsed/>
    <w:rsid w:val="007E6266"/>
    <w:pPr>
      <w:spacing w:before="120"/>
      <w:ind w:left="240"/>
    </w:pPr>
    <w:rPr>
      <w:rFonts w:asciiTheme="minorHAnsi" w:hAnsiTheme="minorHAnsi" w:cstheme="minorHAnsi"/>
      <w:b/>
      <w:bCs/>
      <w:sz w:val="22"/>
      <w:szCs w:val="22"/>
    </w:rPr>
  </w:style>
  <w:style w:type="paragraph" w:styleId="TOC3">
    <w:name w:val="toc 3"/>
    <w:basedOn w:val="Normal"/>
    <w:next w:val="Normal"/>
    <w:autoRedefine/>
    <w:uiPriority w:val="39"/>
    <w:unhideWhenUsed/>
    <w:rsid w:val="007E6266"/>
    <w:pPr>
      <w:ind w:left="480"/>
    </w:pPr>
    <w:rPr>
      <w:rFonts w:asciiTheme="minorHAnsi" w:hAnsiTheme="minorHAnsi" w:cstheme="minorHAnsi"/>
      <w:sz w:val="20"/>
      <w:szCs w:val="20"/>
    </w:rPr>
  </w:style>
  <w:style w:type="character" w:styleId="Hyperlink">
    <w:name w:val="Hyperlink"/>
    <w:basedOn w:val="DefaultParagraphFont"/>
    <w:uiPriority w:val="99"/>
    <w:unhideWhenUsed/>
    <w:rsid w:val="007E6266"/>
    <w:rPr>
      <w:color w:val="0563C1" w:themeColor="hyperlink"/>
      <w:u w:val="single"/>
    </w:rPr>
  </w:style>
  <w:style w:type="paragraph" w:styleId="TOC4">
    <w:name w:val="toc 4"/>
    <w:basedOn w:val="Normal"/>
    <w:next w:val="Normal"/>
    <w:autoRedefine/>
    <w:uiPriority w:val="39"/>
    <w:semiHidden/>
    <w:unhideWhenUsed/>
    <w:rsid w:val="007E6266"/>
    <w:pPr>
      <w:ind w:left="720"/>
    </w:pPr>
    <w:rPr>
      <w:rFonts w:asciiTheme="minorHAnsi" w:hAnsiTheme="minorHAnsi" w:cstheme="minorHAnsi"/>
      <w:sz w:val="20"/>
      <w:szCs w:val="20"/>
    </w:rPr>
  </w:style>
  <w:style w:type="paragraph" w:styleId="TOC5">
    <w:name w:val="toc 5"/>
    <w:basedOn w:val="Normal"/>
    <w:next w:val="Normal"/>
    <w:autoRedefine/>
    <w:uiPriority w:val="39"/>
    <w:semiHidden/>
    <w:unhideWhenUsed/>
    <w:rsid w:val="007E6266"/>
    <w:pPr>
      <w:ind w:left="960"/>
    </w:pPr>
    <w:rPr>
      <w:rFonts w:asciiTheme="minorHAnsi" w:hAnsiTheme="minorHAnsi" w:cstheme="minorHAnsi"/>
      <w:sz w:val="20"/>
      <w:szCs w:val="20"/>
    </w:rPr>
  </w:style>
  <w:style w:type="paragraph" w:styleId="TOC6">
    <w:name w:val="toc 6"/>
    <w:basedOn w:val="Normal"/>
    <w:next w:val="Normal"/>
    <w:autoRedefine/>
    <w:uiPriority w:val="39"/>
    <w:semiHidden/>
    <w:unhideWhenUsed/>
    <w:rsid w:val="007E6266"/>
    <w:pPr>
      <w:ind w:left="1200"/>
    </w:pPr>
    <w:rPr>
      <w:rFonts w:asciiTheme="minorHAnsi" w:hAnsiTheme="minorHAnsi" w:cstheme="minorHAnsi"/>
      <w:sz w:val="20"/>
      <w:szCs w:val="20"/>
    </w:rPr>
  </w:style>
  <w:style w:type="paragraph" w:styleId="TOC7">
    <w:name w:val="toc 7"/>
    <w:basedOn w:val="Normal"/>
    <w:next w:val="Normal"/>
    <w:autoRedefine/>
    <w:uiPriority w:val="39"/>
    <w:semiHidden/>
    <w:unhideWhenUsed/>
    <w:rsid w:val="007E6266"/>
    <w:pPr>
      <w:ind w:left="1440"/>
    </w:pPr>
    <w:rPr>
      <w:rFonts w:asciiTheme="minorHAnsi" w:hAnsiTheme="minorHAnsi" w:cstheme="minorHAnsi"/>
      <w:sz w:val="20"/>
      <w:szCs w:val="20"/>
    </w:rPr>
  </w:style>
  <w:style w:type="paragraph" w:styleId="TOC8">
    <w:name w:val="toc 8"/>
    <w:basedOn w:val="Normal"/>
    <w:next w:val="Normal"/>
    <w:autoRedefine/>
    <w:uiPriority w:val="39"/>
    <w:semiHidden/>
    <w:unhideWhenUsed/>
    <w:rsid w:val="007E6266"/>
    <w:pPr>
      <w:ind w:left="1680"/>
    </w:pPr>
    <w:rPr>
      <w:rFonts w:asciiTheme="minorHAnsi" w:hAnsiTheme="minorHAnsi" w:cstheme="minorHAnsi"/>
      <w:sz w:val="20"/>
      <w:szCs w:val="20"/>
    </w:rPr>
  </w:style>
  <w:style w:type="paragraph" w:styleId="TOC9">
    <w:name w:val="toc 9"/>
    <w:basedOn w:val="Normal"/>
    <w:next w:val="Normal"/>
    <w:autoRedefine/>
    <w:uiPriority w:val="39"/>
    <w:semiHidden/>
    <w:unhideWhenUsed/>
    <w:rsid w:val="007E6266"/>
    <w:pPr>
      <w:ind w:left="1920"/>
    </w:pPr>
    <w:rPr>
      <w:rFonts w:asciiTheme="minorHAnsi" w:hAnsiTheme="minorHAnsi" w:cstheme="minorHAnsi"/>
      <w:sz w:val="20"/>
      <w:szCs w:val="20"/>
    </w:rPr>
  </w:style>
  <w:style w:type="paragraph" w:styleId="Header">
    <w:name w:val="header"/>
    <w:basedOn w:val="Normal"/>
    <w:link w:val="HeaderChar"/>
    <w:uiPriority w:val="99"/>
    <w:unhideWhenUsed/>
    <w:rsid w:val="007E6266"/>
    <w:pPr>
      <w:tabs>
        <w:tab w:val="center" w:pos="4513"/>
        <w:tab w:val="right" w:pos="9026"/>
      </w:tabs>
    </w:pPr>
  </w:style>
  <w:style w:type="character" w:customStyle="1" w:styleId="HeaderChar">
    <w:name w:val="Header Char"/>
    <w:basedOn w:val="DefaultParagraphFont"/>
    <w:link w:val="Header"/>
    <w:uiPriority w:val="99"/>
    <w:rsid w:val="007E6266"/>
    <w:rPr>
      <w:rFonts w:ascii="Times New Roman" w:eastAsia="Times New Roman" w:hAnsi="Times New Roman" w:cs="Times New Roman"/>
      <w:lang w:eastAsia="en-GB"/>
    </w:rPr>
  </w:style>
  <w:style w:type="paragraph" w:styleId="Footer">
    <w:name w:val="footer"/>
    <w:basedOn w:val="Normal"/>
    <w:link w:val="FooterChar"/>
    <w:uiPriority w:val="99"/>
    <w:unhideWhenUsed/>
    <w:rsid w:val="007E6266"/>
    <w:pPr>
      <w:tabs>
        <w:tab w:val="center" w:pos="4513"/>
        <w:tab w:val="right" w:pos="9026"/>
      </w:tabs>
    </w:pPr>
  </w:style>
  <w:style w:type="character" w:customStyle="1" w:styleId="FooterChar">
    <w:name w:val="Footer Char"/>
    <w:basedOn w:val="DefaultParagraphFont"/>
    <w:link w:val="Footer"/>
    <w:uiPriority w:val="99"/>
    <w:rsid w:val="007E6266"/>
    <w:rPr>
      <w:rFonts w:ascii="Times New Roman" w:eastAsia="Times New Roman" w:hAnsi="Times New Roman" w:cs="Times New Roman"/>
      <w:lang w:eastAsia="en-GB"/>
    </w:rPr>
  </w:style>
  <w:style w:type="paragraph" w:styleId="ListParagraph">
    <w:name w:val="List Paragraph"/>
    <w:basedOn w:val="Normal"/>
    <w:uiPriority w:val="34"/>
    <w:qFormat/>
    <w:rsid w:val="007E6266"/>
    <w:pPr>
      <w:ind w:left="720"/>
      <w:contextualSpacing/>
    </w:pPr>
  </w:style>
  <w:style w:type="character" w:styleId="PageNumber">
    <w:name w:val="page number"/>
    <w:basedOn w:val="DefaultParagraphFont"/>
    <w:uiPriority w:val="99"/>
    <w:semiHidden/>
    <w:unhideWhenUsed/>
    <w:rsid w:val="007E626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89151203">
      <w:bodyDiv w:val="1"/>
      <w:marLeft w:val="0"/>
      <w:marRight w:val="0"/>
      <w:marTop w:val="0"/>
      <w:marBottom w:val="0"/>
      <w:divBdr>
        <w:top w:val="none" w:sz="0" w:space="0" w:color="auto"/>
        <w:left w:val="none" w:sz="0" w:space="0" w:color="auto"/>
        <w:bottom w:val="none" w:sz="0" w:space="0" w:color="auto"/>
        <w:right w:val="none" w:sz="0" w:space="0" w:color="auto"/>
      </w:divBdr>
    </w:div>
    <w:div w:id="372466879">
      <w:bodyDiv w:val="1"/>
      <w:marLeft w:val="0"/>
      <w:marRight w:val="0"/>
      <w:marTop w:val="0"/>
      <w:marBottom w:val="0"/>
      <w:divBdr>
        <w:top w:val="none" w:sz="0" w:space="0" w:color="auto"/>
        <w:left w:val="none" w:sz="0" w:space="0" w:color="auto"/>
        <w:bottom w:val="none" w:sz="0" w:space="0" w:color="auto"/>
        <w:right w:val="none" w:sz="0" w:space="0" w:color="auto"/>
      </w:divBdr>
    </w:div>
    <w:div w:id="400716086">
      <w:bodyDiv w:val="1"/>
      <w:marLeft w:val="0"/>
      <w:marRight w:val="0"/>
      <w:marTop w:val="0"/>
      <w:marBottom w:val="0"/>
      <w:divBdr>
        <w:top w:val="none" w:sz="0" w:space="0" w:color="auto"/>
        <w:left w:val="none" w:sz="0" w:space="0" w:color="auto"/>
        <w:bottom w:val="none" w:sz="0" w:space="0" w:color="auto"/>
        <w:right w:val="none" w:sz="0" w:space="0" w:color="auto"/>
      </w:divBdr>
    </w:div>
    <w:div w:id="1577131901">
      <w:bodyDiv w:val="1"/>
      <w:marLeft w:val="0"/>
      <w:marRight w:val="0"/>
      <w:marTop w:val="0"/>
      <w:marBottom w:val="0"/>
      <w:divBdr>
        <w:top w:val="none" w:sz="0" w:space="0" w:color="auto"/>
        <w:left w:val="none" w:sz="0" w:space="0" w:color="auto"/>
        <w:bottom w:val="none" w:sz="0" w:space="0" w:color="auto"/>
        <w:right w:val="none" w:sz="0" w:space="0" w:color="auto"/>
      </w:divBdr>
    </w:div>
    <w:div w:id="1846437945">
      <w:bodyDiv w:val="1"/>
      <w:marLeft w:val="0"/>
      <w:marRight w:val="0"/>
      <w:marTop w:val="0"/>
      <w:marBottom w:val="0"/>
      <w:divBdr>
        <w:top w:val="none" w:sz="0" w:space="0" w:color="auto"/>
        <w:left w:val="none" w:sz="0" w:space="0" w:color="auto"/>
        <w:bottom w:val="none" w:sz="0" w:space="0" w:color="auto"/>
        <w:right w:val="none" w:sz="0" w:space="0" w:color="auto"/>
      </w:divBdr>
    </w:div>
    <w:div w:id="1987464170">
      <w:bodyDiv w:val="1"/>
      <w:marLeft w:val="0"/>
      <w:marRight w:val="0"/>
      <w:marTop w:val="0"/>
      <w:marBottom w:val="0"/>
      <w:divBdr>
        <w:top w:val="none" w:sz="0" w:space="0" w:color="auto"/>
        <w:left w:val="none" w:sz="0" w:space="0" w:color="auto"/>
        <w:bottom w:val="none" w:sz="0" w:space="0" w:color="auto"/>
        <w:right w:val="none" w:sz="0" w:space="0" w:color="auto"/>
      </w:divBdr>
    </w:div>
    <w:div w:id="2036147315">
      <w:bodyDiv w:val="1"/>
      <w:marLeft w:val="0"/>
      <w:marRight w:val="0"/>
      <w:marTop w:val="0"/>
      <w:marBottom w:val="0"/>
      <w:divBdr>
        <w:top w:val="none" w:sz="0" w:space="0" w:color="auto"/>
        <w:left w:val="none" w:sz="0" w:space="0" w:color="auto"/>
        <w:bottom w:val="none" w:sz="0" w:space="0" w:color="auto"/>
        <w:right w:val="none" w:sz="0" w:space="0" w:color="auto"/>
      </w:divBdr>
      <w:divsChild>
        <w:div w:id="851990207">
          <w:marLeft w:val="0"/>
          <w:marRight w:val="0"/>
          <w:marTop w:val="0"/>
          <w:marBottom w:val="0"/>
          <w:divBdr>
            <w:top w:val="none" w:sz="0" w:space="0" w:color="auto"/>
            <w:left w:val="none" w:sz="0" w:space="0" w:color="auto"/>
            <w:bottom w:val="none" w:sz="0" w:space="0" w:color="auto"/>
            <w:right w:val="none" w:sz="0" w:space="0" w:color="auto"/>
          </w:divBdr>
          <w:divsChild>
            <w:div w:id="16836287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3772826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diagramData" Target="diagrams/data1.xml"/><Relationship Id="rId18" Type="http://schemas.openxmlformats.org/officeDocument/2006/relationships/diagramData" Target="diagrams/data2.xml"/><Relationship Id="rId3" Type="http://schemas.openxmlformats.org/officeDocument/2006/relationships/styles" Target="styles.xml"/><Relationship Id="rId21" Type="http://schemas.openxmlformats.org/officeDocument/2006/relationships/diagramColors" Target="diagrams/colors2.xml"/><Relationship Id="rId7" Type="http://schemas.openxmlformats.org/officeDocument/2006/relationships/endnotes" Target="endnotes.xml"/><Relationship Id="rId12" Type="http://schemas.openxmlformats.org/officeDocument/2006/relationships/footer" Target="footer2.xml"/><Relationship Id="rId17" Type="http://schemas.microsoft.com/office/2007/relationships/diagramDrawing" Target="diagrams/drawing1.xml"/><Relationship Id="rId25"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diagramColors" Target="diagrams/colors1.xml"/><Relationship Id="rId20" Type="http://schemas.openxmlformats.org/officeDocument/2006/relationships/diagramQuickStyle" Target="diagrams/quickStyle2.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24"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diagramQuickStyle" Target="diagrams/quickStyle1.xml"/><Relationship Id="rId23" Type="http://schemas.openxmlformats.org/officeDocument/2006/relationships/image" Target="media/image3.png"/><Relationship Id="rId10" Type="http://schemas.openxmlformats.org/officeDocument/2006/relationships/image" Target="media/image2.emf"/><Relationship Id="rId19" Type="http://schemas.openxmlformats.org/officeDocument/2006/relationships/diagramLayout" Target="diagrams/layout2.xml"/><Relationship Id="rId4" Type="http://schemas.openxmlformats.org/officeDocument/2006/relationships/settings" Target="settings.xml"/><Relationship Id="rId9" Type="http://schemas.openxmlformats.org/officeDocument/2006/relationships/image" Target="cid:image001.png@01D0EA4A.2BD679A0" TargetMode="External"/><Relationship Id="rId14" Type="http://schemas.openxmlformats.org/officeDocument/2006/relationships/diagramLayout" Target="diagrams/layout1.xml"/><Relationship Id="rId22" Type="http://schemas.microsoft.com/office/2007/relationships/diagramDrawing" Target="diagrams/drawing2.xml"/></Relationships>
</file>

<file path=word/diagrams/colors1.xml><?xml version="1.0" encoding="utf-8"?>
<dgm:colorsDef xmlns:dgm="http://schemas.openxmlformats.org/drawingml/2006/diagram" xmlns:a="http://schemas.openxmlformats.org/drawingml/2006/main" uniqueId="urn:microsoft.com/office/officeart/2005/8/colors/colorful1">
  <dgm:title val=""/>
  <dgm:desc val=""/>
  <dgm:catLst>
    <dgm:cat type="colorful" pri="10100"/>
  </dgm:catLst>
  <dgm:styleLbl name="node0">
    <dgm:fillClrLst meth="repeat">
      <a:schemeClr val="accent1"/>
    </dgm:fillClrLst>
    <dgm:linClrLst meth="repeat">
      <a:schemeClr val="lt1"/>
    </dgm:linClrLst>
    <dgm:effectClrLst/>
    <dgm:txLinClrLst/>
    <dgm:txFillClrLst/>
    <dgm:txEffectClrLst/>
  </dgm:styleLbl>
  <dgm:styleLbl name="node1">
    <dgm:fillClrLst meth="repeat">
      <a:schemeClr val="accent2"/>
      <a:schemeClr val="accent3"/>
      <a:schemeClr val="accent4"/>
      <a:schemeClr val="accent5"/>
      <a:schemeClr val="accent6"/>
    </dgm:fillClrLst>
    <dgm:linClrLst meth="repeat">
      <a:schemeClr val="lt1"/>
    </dgm:linClrLst>
    <dgm:effectClrLst/>
    <dgm:txLinClrLst/>
    <dgm:txFillClrLst/>
    <dgm:txEffectClrLst/>
  </dgm:styleLbl>
  <dgm:styleLbl name="alignNode1">
    <dgm:fillClrLst meth="repeat">
      <a:schemeClr val="accent2"/>
      <a:schemeClr val="accent3"/>
      <a:schemeClr val="accent4"/>
      <a:schemeClr val="accent5"/>
      <a:schemeClr val="accent6"/>
    </dgm:fillClrLst>
    <dgm:linClrLst meth="repeat">
      <a:schemeClr val="accent2"/>
      <a:schemeClr val="accent3"/>
      <a:schemeClr val="accent4"/>
      <a:schemeClr val="accent5"/>
      <a:schemeClr val="accent6"/>
    </dgm:linClrLst>
    <dgm:effectClrLst/>
    <dgm:txLinClrLst/>
    <dgm:txFillClrLst/>
    <dgm:txEffectClrLst/>
  </dgm:styleLbl>
  <dgm:styleLbl name="lnNode1">
    <dgm:fillClrLst meth="repeat">
      <a:schemeClr val="accent2"/>
      <a:schemeClr val="accent3"/>
      <a:schemeClr val="accent4"/>
      <a:schemeClr val="accent5"/>
      <a:schemeClr val="accent6"/>
    </dgm:fillClrLst>
    <dgm:linClrLst meth="repeat">
      <a:schemeClr val="lt1"/>
    </dgm:linClrLst>
    <dgm:effectClrLst/>
    <dgm:txLinClrLst/>
    <dgm:txFillClrLst/>
    <dgm:txEffectClrLst/>
  </dgm:styleLbl>
  <dgm:styleLbl name="vennNode1">
    <dgm:fillClrLst meth="repeat">
      <a:schemeClr val="accent2">
        <a:alpha val="50000"/>
      </a:schemeClr>
      <a:schemeClr val="accent3">
        <a:alpha val="50000"/>
      </a:schemeClr>
      <a:schemeClr val="accent4">
        <a:alpha val="50000"/>
      </a:schemeClr>
      <a:schemeClr val="accent5">
        <a:alpha val="50000"/>
      </a:schemeClr>
      <a:schemeClr val="accent6">
        <a:alpha val="50000"/>
      </a:schemeClr>
    </dgm:fillClrLst>
    <dgm:linClrLst meth="repeat">
      <a:schemeClr val="lt1"/>
    </dgm:linClrLst>
    <dgm:effectClrLst/>
    <dgm:txLinClrLst/>
    <dgm:txFillClrLst/>
    <dgm:txEffectClrLst/>
  </dgm:styleLbl>
  <dgm:styleLbl name="node2">
    <dgm:fillClrLst>
      <a:schemeClr val="accent2"/>
    </dgm:fillClrLst>
    <dgm:linClrLst meth="repeat">
      <a:schemeClr val="lt1"/>
    </dgm:linClrLst>
    <dgm:effectClrLst/>
    <dgm:txLinClrLst/>
    <dgm:txFillClrLst/>
    <dgm:txEffectClrLst/>
  </dgm:styleLbl>
  <dgm:styleLbl name="node3">
    <dgm:fillClrLst>
      <a:schemeClr val="accent3"/>
    </dgm:fillClrLst>
    <dgm:linClrLst meth="repeat">
      <a:schemeClr val="lt1"/>
    </dgm:linClrLst>
    <dgm:effectClrLst/>
    <dgm:txLinClrLst/>
    <dgm:txFillClrLst/>
    <dgm:txEffectClrLst/>
  </dgm:styleLbl>
  <dgm:styleLbl name="node4">
    <dgm:fillClrLst>
      <a:schemeClr val="accent4"/>
    </dgm:fillClrLst>
    <dgm:linClrLst meth="repeat">
      <a:schemeClr val="lt1"/>
    </dgm:linClrLst>
    <dgm:effectClrLst/>
    <dgm:txLinClrLst/>
    <dgm:txFillClrLst/>
    <dgm:txEffectClrLst/>
  </dgm:styleLbl>
  <dgm:styleLbl name="fgImgPlace1">
    <dgm:fillClrLst meth="repeat">
      <a:schemeClr val="accent2">
        <a:tint val="50000"/>
      </a:schemeClr>
      <a:schemeClr val="accent3">
        <a:tint val="50000"/>
      </a:schemeClr>
      <a:schemeClr val="accent4">
        <a:tint val="50000"/>
      </a:schemeClr>
      <a:schemeClr val="accent5">
        <a:tint val="50000"/>
      </a:schemeClr>
      <a:schemeClr val="accent6">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1">
        <a:tint val="50000"/>
      </a:schemeClr>
      <a:schemeClr val="accent2">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1">
        <a:tint val="50000"/>
      </a:schemeClr>
      <a:schemeClr val="accent2">
        <a:tint val="2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2"/>
      <a:schemeClr val="accent3"/>
      <a:schemeClr val="accent4"/>
      <a:schemeClr val="accent5"/>
      <a:schemeClr val="accent6"/>
    </dgm:fillClrLst>
    <dgm:linClrLst meth="cycle">
      <a:schemeClr val="lt1"/>
    </dgm:linClrLst>
    <dgm:effectClrLst/>
    <dgm:txLinClrLst/>
    <dgm:txFillClrLst/>
    <dgm:txEffectClrLst/>
  </dgm:styleLbl>
  <dgm:styleLbl name="fgSibTrans2D1">
    <dgm:fillClrLst meth="repeat">
      <a:schemeClr val="accent2"/>
      <a:schemeClr val="accent3"/>
      <a:schemeClr val="accent4"/>
      <a:schemeClr val="accent5"/>
      <a:schemeClr val="accent6"/>
    </dgm:fillClrLst>
    <dgm:linClrLst meth="cycle">
      <a:schemeClr val="lt1"/>
    </dgm:linClrLst>
    <dgm:effectClrLst/>
    <dgm:txLinClrLst/>
    <dgm:txFillClrLst meth="repeat">
      <a:schemeClr val="lt1"/>
    </dgm:txFillClrLst>
    <dgm:txEffectClrLst/>
  </dgm:styleLbl>
  <dgm:styleLbl name="bgSibTrans2D1">
    <dgm:fillClrLst meth="repeat">
      <a:schemeClr val="accent2"/>
      <a:schemeClr val="accent3"/>
      <a:schemeClr val="accent4"/>
      <a:schemeClr val="accent5"/>
      <a:schemeClr val="accent6"/>
    </dgm:fillClrLst>
    <dgm:linClrLst meth="cycle">
      <a:schemeClr val="lt1"/>
    </dgm:linClrLst>
    <dgm:effectClrLst/>
    <dgm:txLinClrLst/>
    <dgm:txFillClrLst meth="repeat">
      <a:schemeClr val="lt1"/>
    </dgm:txFillClrLst>
    <dgm:txEffectClrLst/>
  </dgm:styleLbl>
  <dgm:styleLbl name="sibTrans1D1">
    <dgm:fillClrLst meth="repeat">
      <a:schemeClr val="accent2"/>
      <a:schemeClr val="accent3"/>
      <a:schemeClr val="accent4"/>
      <a:schemeClr val="accent5"/>
      <a:schemeClr val="accent6"/>
    </dgm:fillClrLst>
    <dgm:linClrLst meth="repeat">
      <a:schemeClr val="accent2"/>
      <a:schemeClr val="accent3"/>
      <a:schemeClr val="accent4"/>
      <a:schemeClr val="accent5"/>
      <a:schemeClr val="accent6"/>
    </dgm:linClrLst>
    <dgm:effectClrLst/>
    <dgm:txLinClrLst/>
    <dgm:txFillClrLst meth="repeat">
      <a:schemeClr val="tx1"/>
    </dgm:txFillClrLst>
    <dgm:txEffectClrLst/>
  </dgm:styleLbl>
  <dgm:styleLbl name="callout">
    <dgm:fillClrLst meth="repeat">
      <a:schemeClr val="accent2"/>
    </dgm:fillClrLst>
    <dgm:linClrLst meth="repeat">
      <a:schemeClr val="accent2">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2"/>
    </dgm:fillClrLst>
    <dgm:linClrLst meth="repeat">
      <a:schemeClr val="lt1"/>
    </dgm:linClrLst>
    <dgm:effectClrLst/>
    <dgm:txLinClrLst/>
    <dgm:txFillClrLst/>
    <dgm:txEffectClrLst/>
  </dgm:styleLbl>
  <dgm:styleLbl name="asst2">
    <dgm:fillClrLst>
      <a:schemeClr val="accent3"/>
    </dgm:fillClrLst>
    <dgm:linClrLst meth="repeat">
      <a:schemeClr val="lt1"/>
    </dgm:linClrLst>
    <dgm:effectClrLst/>
    <dgm:txLinClrLst/>
    <dgm:txFillClrLst/>
    <dgm:txEffectClrLst/>
  </dgm:styleLbl>
  <dgm:styleLbl name="asst3">
    <dgm:fillClrLst>
      <a:schemeClr val="accent4"/>
    </dgm:fillClrLst>
    <dgm:linClrLst meth="repeat">
      <a:schemeClr val="lt1"/>
    </dgm:linClrLst>
    <dgm:effectClrLst/>
    <dgm:txLinClrLst/>
    <dgm:txFillClrLst/>
    <dgm:txEffectClrLst/>
  </dgm:styleLbl>
  <dgm:styleLbl name="asst4">
    <dgm:fillClrLst>
      <a:schemeClr val="accent5"/>
    </dgm:fillClrLst>
    <dgm:linClrLst meth="repeat">
      <a:schemeClr val="lt1"/>
    </dgm:linClrLst>
    <dgm:effectClrLst/>
    <dgm:txLinClrLst/>
    <dgm:txFillClrLst/>
    <dgm:txEffectClrLst/>
  </dgm:styleLbl>
  <dgm:styleLbl name="parChTrans2D1">
    <dgm:fillClrLst meth="repeat">
      <a:schemeClr val="accent2"/>
    </dgm:fillClrLst>
    <dgm:linClrLst meth="repeat">
      <a:schemeClr val="lt1"/>
    </dgm:linClrLst>
    <dgm:effectClrLst/>
    <dgm:txLinClrLst/>
    <dgm:txFillClrLst meth="repeat">
      <a:schemeClr val="lt1"/>
    </dgm:txFillClrLst>
    <dgm:txEffectClrLst/>
  </dgm:styleLbl>
  <dgm:styleLbl name="parChTrans2D2">
    <dgm:fillClrLst meth="repeat">
      <a:schemeClr val="accent3"/>
    </dgm:fillClrLst>
    <dgm:linClrLst meth="repeat">
      <a:schemeClr val="lt1"/>
    </dgm:linClrLst>
    <dgm:effectClrLst/>
    <dgm:txLinClrLst/>
    <dgm:txFillClrLst/>
    <dgm:txEffectClrLst/>
  </dgm:styleLbl>
  <dgm:styleLbl name="parChTrans2D3">
    <dgm:fillClrLst meth="repeat">
      <a:schemeClr val="accent4"/>
    </dgm:fillClrLst>
    <dgm:linClrLst meth="repeat">
      <a:schemeClr val="lt1"/>
    </dgm:linClrLst>
    <dgm:effectClrLst/>
    <dgm:txLinClrLst/>
    <dgm:txFillClrLst/>
    <dgm:txEffectClrLst/>
  </dgm:styleLbl>
  <dgm:styleLbl name="parChTrans2D4">
    <dgm:fillClrLst meth="repeat">
      <a:schemeClr val="accent5"/>
    </dgm:fillClrLst>
    <dgm:linClrLst meth="repeat">
      <a:schemeClr val="lt1"/>
    </dgm:linClrLst>
    <dgm:effectClrLst/>
    <dgm:txLinClrLst/>
    <dgm:txFillClrLst meth="repeat">
      <a:schemeClr val="lt1"/>
    </dgm:txFillClrLst>
    <dgm:txEffectClrLst/>
  </dgm:styleLbl>
  <dgm:styleLbl name="parChTrans1D1">
    <dgm:fillClrLst meth="repeat">
      <a:schemeClr val="accent2"/>
    </dgm:fillClrLst>
    <dgm:linClrLst meth="repeat">
      <a:schemeClr val="accent1"/>
    </dgm:linClrLst>
    <dgm:effectClrLst/>
    <dgm:txLinClrLst/>
    <dgm:txFillClrLst meth="repeat">
      <a:schemeClr val="tx1"/>
    </dgm:txFillClrLst>
    <dgm:txEffectClrLst/>
  </dgm:styleLbl>
  <dgm:styleLbl name="parChTrans1D2">
    <dgm:fillClrLst meth="repeat">
      <a:schemeClr val="accent3">
        <a:tint val="90000"/>
      </a:schemeClr>
    </dgm:fillClrLst>
    <dgm:linClrLst meth="repeat">
      <a:schemeClr val="accent2"/>
    </dgm:linClrLst>
    <dgm:effectClrLst/>
    <dgm:txLinClrLst/>
    <dgm:txFillClrLst meth="repeat">
      <a:schemeClr val="tx1"/>
    </dgm:txFillClrLst>
    <dgm:txEffectClrLst/>
  </dgm:styleLbl>
  <dgm:styleLbl name="parChTrans1D3">
    <dgm:fillClrLst meth="repeat">
      <a:schemeClr val="accent4">
        <a:tint val="70000"/>
      </a:schemeClr>
    </dgm:fillClrLst>
    <dgm:linClrLst meth="repeat">
      <a:schemeClr val="accent3"/>
    </dgm:linClrLst>
    <dgm:effectClrLst/>
    <dgm:txLinClrLst/>
    <dgm:txFillClrLst meth="repeat">
      <a:schemeClr val="tx1"/>
    </dgm:txFillClrLst>
    <dgm:txEffectClrLst/>
  </dgm:styleLbl>
  <dgm:styleLbl name="parChTrans1D4">
    <dgm:fillClrLst meth="repeat">
      <a:schemeClr val="accent5">
        <a:tint val="50000"/>
      </a:schemeClr>
    </dgm:fillClrLst>
    <dgm:linClrLst meth="repeat">
      <a:schemeClr val="accent4"/>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Fg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Align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Bg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fg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align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bg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1"/>
    </dgm:linClrLst>
    <dgm:effectClrLst/>
    <dgm:txLinClrLst/>
    <dgm:txFillClrLst meth="repeat">
      <a:schemeClr val="dk1"/>
    </dgm:txFillClrLst>
    <dgm:txEffectClrLst/>
  </dgm:styleLbl>
  <dgm:styleLbl name="fgAcc2">
    <dgm:fillClrLst meth="repeat">
      <a:schemeClr val="lt1">
        <a:alpha val="90000"/>
      </a:schemeClr>
    </dgm:fillClrLst>
    <dgm:linClrLst>
      <a:schemeClr val="accent2"/>
    </dgm:linClrLst>
    <dgm:effectClrLst/>
    <dgm:txLinClrLst/>
    <dgm:txFillClrLst meth="repeat">
      <a:schemeClr val="dk1"/>
    </dgm:txFillClrLst>
    <dgm:txEffectClrLst/>
  </dgm:styleLbl>
  <dgm:styleLbl name="fgAcc3">
    <dgm:fillClrLst meth="repeat">
      <a:schemeClr val="lt1">
        <a:alpha val="90000"/>
      </a:schemeClr>
    </dgm:fillClrLst>
    <dgm:linClrLst>
      <a:schemeClr val="accent3"/>
    </dgm:linClrLst>
    <dgm:effectClrLst/>
    <dgm:txLinClrLst/>
    <dgm:txFillClrLst meth="repeat">
      <a:schemeClr val="dk1"/>
    </dgm:txFillClrLst>
    <dgm:txEffectClrLst/>
  </dgm:styleLbl>
  <dgm:styleLbl name="fgAcc4">
    <dgm:fillClrLst meth="repeat">
      <a:schemeClr val="lt1">
        <a:alpha val="90000"/>
      </a:schemeClr>
    </dgm:fillClrLst>
    <dgm:linClrLst>
      <a:schemeClr val="accent4"/>
    </dgm:linClrLst>
    <dgm:effectClrLst/>
    <dgm:txLinClrLst/>
    <dgm:txFillClrLst meth="repeat">
      <a:schemeClr val="dk1"/>
    </dgm:txFillClrLst>
    <dgm:txEffectClrLst/>
  </dgm:styleLbl>
  <dgm:styleLbl name="bgShp">
    <dgm:fillClrLst meth="repeat">
      <a:schemeClr val="accent2">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2">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2"/>
    </dgm:linClrLst>
    <dgm:effectClrLst/>
    <dgm:txLinClrLst/>
    <dgm:txFillClrLst meth="repeat">
      <a:schemeClr val="lt1"/>
    </dgm:txFillClrLst>
    <dgm:txEffectClrLst/>
  </dgm:styleLbl>
  <dgm:styleLbl name="fgShp">
    <dgm:fillClrLst meth="repeat">
      <a:schemeClr val="accent2">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2.xml><?xml version="1.0" encoding="utf-8"?>
<dgm:colorsDef xmlns:dgm="http://schemas.openxmlformats.org/drawingml/2006/diagram" xmlns:a="http://schemas.openxmlformats.org/drawingml/2006/main" uniqueId="urn:microsoft.com/office/officeart/2005/8/colors/colorful5">
  <dgm:title val=""/>
  <dgm:desc val=""/>
  <dgm:catLst>
    <dgm:cat type="colorful" pri="10500"/>
  </dgm:catLst>
  <dgm:styleLbl name="node0">
    <dgm:fillClrLst meth="repeat">
      <a:schemeClr val="accent4"/>
    </dgm:fillClrLst>
    <dgm:linClrLst meth="repeat">
      <a:schemeClr val="lt1"/>
    </dgm:linClrLst>
    <dgm:effectClrLst/>
    <dgm:txLinClrLst/>
    <dgm:txFillClrLst/>
    <dgm:txEffectClrLst/>
  </dgm:styleLbl>
  <dgm:styleLbl name="node1">
    <dgm:fillClrLst>
      <a:schemeClr val="accent5"/>
      <a:schemeClr val="accent6"/>
    </dgm:fillClrLst>
    <dgm:linClrLst meth="repeat">
      <a:schemeClr val="lt1"/>
    </dgm:linClrLst>
    <dgm:effectClrLst/>
    <dgm:txLinClrLst/>
    <dgm:txFillClrLst/>
    <dgm:txEffectClrLst/>
  </dgm:styleLbl>
  <dgm:styleLbl name="alignNode1">
    <dgm:fillClrLst>
      <a:schemeClr val="accent5"/>
      <a:schemeClr val="accent6"/>
    </dgm:fillClrLst>
    <dgm:linClrLst>
      <a:schemeClr val="accent5"/>
      <a:schemeClr val="accent6"/>
    </dgm:linClrLst>
    <dgm:effectClrLst/>
    <dgm:txLinClrLst/>
    <dgm:txFillClrLst/>
    <dgm:txEffectClrLst/>
  </dgm:styleLbl>
  <dgm:styleLbl name="lnNode1">
    <dgm:fillClrLst>
      <a:schemeClr val="accent5"/>
      <a:schemeClr val="accent6"/>
    </dgm:fillClrLst>
    <dgm:linClrLst meth="repeat">
      <a:schemeClr val="lt1"/>
    </dgm:linClrLst>
    <dgm:effectClrLst/>
    <dgm:txLinClrLst/>
    <dgm:txFillClrLst/>
    <dgm:txEffectClrLst/>
  </dgm:styleLbl>
  <dgm:styleLbl name="vennNode1">
    <dgm:fillClrLst>
      <a:schemeClr val="accent5">
        <a:alpha val="50000"/>
      </a:schemeClr>
      <a:schemeClr val="accent6">
        <a:alpha val="50000"/>
      </a:schemeClr>
    </dgm:fillClrLst>
    <dgm:linClrLst meth="repeat">
      <a:schemeClr val="lt1"/>
    </dgm:linClrLst>
    <dgm:effectClrLst/>
    <dgm:txLinClrLst/>
    <dgm:txFillClrLst/>
    <dgm:txEffectClrLst/>
  </dgm:styleLbl>
  <dgm:styleLbl name="node2">
    <dgm:fillClrLst>
      <a:schemeClr val="accent6"/>
    </dgm:fillClrLst>
    <dgm:linClrLst meth="repeat">
      <a:schemeClr val="lt1"/>
    </dgm:linClrLst>
    <dgm:effectClrLst/>
    <dgm:txLinClrLst/>
    <dgm:txFillClrLst/>
    <dgm:txEffectClrLst/>
  </dgm:styleLbl>
  <dgm:styleLbl name="node3">
    <dgm:fillClrLst>
      <a:schemeClr val="accent1"/>
    </dgm:fillClrLst>
    <dgm:linClrLst meth="repeat">
      <a:schemeClr val="lt1"/>
    </dgm:linClrLst>
    <dgm:effectClrLst/>
    <dgm:txLinClrLst/>
    <dgm:txFillClrLst/>
    <dgm:txEffectClrLst/>
  </dgm:styleLbl>
  <dgm:styleLbl name="node4">
    <dgm:fillClrLst>
      <a:schemeClr val="accent2"/>
    </dgm:fillClrLst>
    <dgm:linClrLst meth="repeat">
      <a:schemeClr val="lt1"/>
    </dgm:linClrLst>
    <dgm:effectClrLst/>
    <dgm:txLinClrLst/>
    <dgm:txFillClrLst/>
    <dgm:txEffectClrLst/>
  </dgm:styleLbl>
  <dgm:styleLbl name="fgImgPlace1">
    <dgm:fillClrLst>
      <a:schemeClr val="accent5">
        <a:tint val="50000"/>
      </a:schemeClr>
      <a:schemeClr val="accent6">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5">
        <a:tint val="50000"/>
      </a:schemeClr>
      <a:schemeClr val="accent6">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5">
        <a:tint val="50000"/>
      </a:schemeClr>
      <a:schemeClr val="accent6">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5"/>
      <a:schemeClr val="accent6"/>
    </dgm:fillClrLst>
    <dgm:linClrLst meth="repeat">
      <a:schemeClr val="lt1"/>
    </dgm:linClrLst>
    <dgm:effectClrLst/>
    <dgm:txLinClrLst/>
    <dgm:txFillClrLst/>
    <dgm:txEffectClrLst/>
  </dgm:styleLbl>
  <dgm:styleLbl name="fgSibTrans2D1">
    <dgm:fillClrLst>
      <a:schemeClr val="accent5"/>
      <a:schemeClr val="accent6"/>
    </dgm:fillClrLst>
    <dgm:linClrLst meth="repeat">
      <a:schemeClr val="lt1"/>
    </dgm:linClrLst>
    <dgm:effectClrLst/>
    <dgm:txLinClrLst/>
    <dgm:txFillClrLst meth="repeat">
      <a:schemeClr val="lt1"/>
    </dgm:txFillClrLst>
    <dgm:txEffectClrLst/>
  </dgm:styleLbl>
  <dgm:styleLbl name="bgSibTrans2D1">
    <dgm:fillClrLst>
      <a:schemeClr val="accent5"/>
      <a:schemeClr val="accent6"/>
    </dgm:fillClrLst>
    <dgm:linClrLst meth="repeat">
      <a:schemeClr val="lt1"/>
    </dgm:linClrLst>
    <dgm:effectClrLst/>
    <dgm:txLinClrLst/>
    <dgm:txFillClrLst meth="repeat">
      <a:schemeClr val="lt1"/>
    </dgm:txFillClrLst>
    <dgm:txEffectClrLst/>
  </dgm:styleLbl>
  <dgm:styleLbl name="sibTrans1D1">
    <dgm:fillClrLst/>
    <dgm:linClrLst>
      <a:schemeClr val="accent5"/>
      <a:schemeClr val="accent6"/>
    </dgm:linClrLst>
    <dgm:effectClrLst/>
    <dgm:txLinClrLst/>
    <dgm:txFillClrLst meth="repeat">
      <a:schemeClr val="tx1"/>
    </dgm:txFillClrLst>
    <dgm:txEffectClrLst/>
  </dgm:styleLbl>
  <dgm:styleLbl name="callout">
    <dgm:fillClrLst meth="repeat">
      <a:schemeClr val="accent5"/>
    </dgm:fillClrLst>
    <dgm:linClrLst meth="repeat">
      <a:schemeClr val="accent5">
        <a:tint val="50000"/>
      </a:schemeClr>
    </dgm:linClrLst>
    <dgm:effectClrLst/>
    <dgm:txLinClrLst/>
    <dgm:txFillClrLst meth="repeat">
      <a:schemeClr val="tx1"/>
    </dgm:txFillClrLst>
    <dgm:txEffectClrLst/>
  </dgm:styleLbl>
  <dgm:styleLbl name="asst0">
    <dgm:fillClrLst meth="repeat">
      <a:schemeClr val="accent5"/>
    </dgm:fillClrLst>
    <dgm:linClrLst meth="repeat">
      <a:schemeClr val="lt1">
        <a:shade val="80000"/>
      </a:schemeClr>
    </dgm:linClrLst>
    <dgm:effectClrLst/>
    <dgm:txLinClrLst/>
    <dgm:txFillClrLst/>
    <dgm:txEffectClrLst/>
  </dgm:styleLbl>
  <dgm:styleLbl name="asst1">
    <dgm:fillClrLst meth="repeat">
      <a:schemeClr val="accent6"/>
    </dgm:fillClrLst>
    <dgm:linClrLst meth="repeat">
      <a:schemeClr val="lt1">
        <a:shade val="80000"/>
      </a:schemeClr>
    </dgm:linClrLst>
    <dgm:effectClrLst/>
    <dgm:txLinClrLst/>
    <dgm:txFillClrLst/>
    <dgm:txEffectClrLst/>
  </dgm:styleLbl>
  <dgm:styleLbl name="asst2">
    <dgm:fillClrLst>
      <a:schemeClr val="accent1"/>
    </dgm:fillClrLst>
    <dgm:linClrLst meth="repeat">
      <a:schemeClr val="lt1"/>
    </dgm:linClrLst>
    <dgm:effectClrLst/>
    <dgm:txLinClrLst/>
    <dgm:txFillClrLst/>
    <dgm:txEffectClrLst/>
  </dgm:styleLbl>
  <dgm:styleLbl name="asst3">
    <dgm:fillClrLst>
      <a:schemeClr val="accent2"/>
    </dgm:fillClrLst>
    <dgm:linClrLst meth="repeat">
      <a:schemeClr val="lt1"/>
    </dgm:linClrLst>
    <dgm:effectClrLst/>
    <dgm:txLinClrLst/>
    <dgm:txFillClrLst/>
    <dgm:txEffectClrLst/>
  </dgm:styleLbl>
  <dgm:styleLbl name="asst4">
    <dgm:fillClrLst>
      <a:schemeClr val="accent3"/>
    </dgm:fillClrLst>
    <dgm:linClrLst meth="repeat">
      <a:schemeClr val="lt1"/>
    </dgm:linClrLst>
    <dgm:effectClrLst/>
    <dgm:txLinClrLst/>
    <dgm:txFillClrLst/>
    <dgm:txEffectClrLst/>
  </dgm:styleLbl>
  <dgm:styleLbl name="parChTrans2D1">
    <dgm:fillClrLst meth="repeat">
      <a:schemeClr val="accent5"/>
    </dgm:fillClrLst>
    <dgm:linClrLst meth="repeat">
      <a:schemeClr val="lt1"/>
    </dgm:linClrLst>
    <dgm:effectClrLst/>
    <dgm:txLinClrLst/>
    <dgm:txFillClrLst meth="repeat">
      <a:schemeClr val="lt1"/>
    </dgm:txFillClrLst>
    <dgm:txEffectClrLst/>
  </dgm:styleLbl>
  <dgm:styleLbl name="parChTrans2D2">
    <dgm:fillClrLst meth="repeat">
      <a:schemeClr val="accent6"/>
    </dgm:fillClrLst>
    <dgm:linClrLst meth="repeat">
      <a:schemeClr val="lt1"/>
    </dgm:linClrLst>
    <dgm:effectClrLst/>
    <dgm:txLinClrLst/>
    <dgm:txFillClrLst/>
    <dgm:txEffectClrLst/>
  </dgm:styleLbl>
  <dgm:styleLbl name="parChTrans2D3">
    <dgm:fillClrLst meth="repeat">
      <a:schemeClr val="accent6"/>
    </dgm:fillClrLst>
    <dgm:linClrLst meth="repeat">
      <a:schemeClr val="lt1"/>
    </dgm:linClrLst>
    <dgm:effectClrLst/>
    <dgm:txLinClrLst/>
    <dgm:txFillClrLst/>
    <dgm:txEffectClrLst/>
  </dgm:styleLbl>
  <dgm:styleLbl name="parChTrans2D4">
    <dgm:fillClrLst meth="repeat">
      <a:schemeClr val="accent1"/>
    </dgm:fillClrLst>
    <dgm:linClrLst meth="repeat">
      <a:schemeClr val="lt1"/>
    </dgm:linClrLst>
    <dgm:effectClrLst/>
    <dgm:txLinClrLst/>
    <dgm:txFillClrLst meth="repeat">
      <a:schemeClr val="lt1"/>
    </dgm:txFillClrLst>
    <dgm:txEffectClrLst/>
  </dgm:styleLbl>
  <dgm:styleLbl name="parChTrans1D1">
    <dgm:fillClrLst meth="repeat">
      <a:schemeClr val="accent5"/>
    </dgm:fillClrLst>
    <dgm:linClrLst meth="repeat">
      <a:schemeClr val="accent5"/>
    </dgm:linClrLst>
    <dgm:effectClrLst/>
    <dgm:txLinClrLst/>
    <dgm:txFillClrLst meth="repeat">
      <a:schemeClr val="tx1"/>
    </dgm:txFillClrLst>
    <dgm:txEffectClrLst/>
  </dgm:styleLbl>
  <dgm:styleLbl name="parChTrans1D2">
    <dgm:fillClrLst meth="repeat">
      <a:schemeClr val="accent6">
        <a:tint val="90000"/>
      </a:schemeClr>
    </dgm:fillClrLst>
    <dgm:linClrLst meth="repeat">
      <a:schemeClr val="accent6"/>
    </dgm:linClrLst>
    <dgm:effectClrLst/>
    <dgm:txLinClrLst/>
    <dgm:txFillClrLst meth="repeat">
      <a:schemeClr val="tx1"/>
    </dgm:txFillClrLst>
    <dgm:txEffectClrLst/>
  </dgm:styleLbl>
  <dgm:styleLbl name="parChTrans1D3">
    <dgm:fillClrLst meth="repeat">
      <a:schemeClr val="accent6">
        <a:tint val="70000"/>
      </a:schemeClr>
    </dgm:fillClrLst>
    <dgm:linClrLst meth="repeat">
      <a:schemeClr val="accent1"/>
    </dgm:linClrLst>
    <dgm:effectClrLst/>
    <dgm:txLinClrLst/>
    <dgm:txFillClrLst meth="repeat">
      <a:schemeClr val="tx1"/>
    </dgm:txFillClrLst>
    <dgm:txEffectClrLst/>
  </dgm:styleLbl>
  <dgm:styleLbl name="parChTrans1D4">
    <dgm:fillClrLst meth="repeat">
      <a:schemeClr val="accent6">
        <a:tint val="50000"/>
      </a:schemeClr>
    </dgm:fillClrLst>
    <dgm:linClrLst meth="repeat">
      <a:schemeClr val="accent2"/>
    </dgm:linClrLst>
    <dgm:effectClrLst/>
    <dgm:txLinClrLst/>
    <dgm:txFillClrLst meth="repeat">
      <a:schemeClr val="tx1"/>
    </dgm:txFillClrLst>
    <dgm:txEffectClrLst/>
  </dgm:styleLbl>
  <dgm:styleLbl name="fg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conFg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align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5"/>
    </dgm:linClrLst>
    <dgm:effectClrLst/>
    <dgm:txLinClrLst/>
    <dgm:txFillClrLst meth="repeat">
      <a:schemeClr val="dk1"/>
    </dgm:txFillClrLst>
    <dgm:txEffectClrLst/>
  </dgm:styleLbl>
  <dgm:styleLbl name="bg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solidFgAcc1">
    <dgm:fillClrLst meth="repeat">
      <a:schemeClr val="lt1"/>
    </dgm:fillClrLst>
    <dgm:linClrLst>
      <a:schemeClr val="accent5"/>
      <a:schemeClr val="accent6"/>
    </dgm:linClrLst>
    <dgm:effectClrLst/>
    <dgm:txLinClrLst/>
    <dgm:txFillClrLst meth="repeat">
      <a:schemeClr val="dk1"/>
    </dgm:txFillClrLst>
    <dgm:txEffectClrLst/>
  </dgm:styleLbl>
  <dgm:styleLbl name="solidAlignAcc1">
    <dgm:fillClrLst meth="repeat">
      <a:schemeClr val="lt1"/>
    </dgm:fillClrLst>
    <dgm:linClrLst>
      <a:schemeClr val="accent5"/>
      <a:schemeClr val="accent6"/>
    </dgm:linClrLst>
    <dgm:effectClrLst/>
    <dgm:txLinClrLst/>
    <dgm:txFillClrLst meth="repeat">
      <a:schemeClr val="dk1"/>
    </dgm:txFillClrLst>
    <dgm:txEffectClrLst/>
  </dgm:styleLbl>
  <dgm:styleLbl name="solidBgAcc1">
    <dgm:fillClrLst meth="repeat">
      <a:schemeClr val="lt1"/>
    </dgm:fillClrLst>
    <dgm:linClrLst>
      <a:schemeClr val="accent5"/>
      <a:schemeClr val="accent6"/>
    </dgm:linClrLst>
    <dgm:effectClrLst/>
    <dgm:txLinClrLst/>
    <dgm:txFillClrLst meth="repeat">
      <a:schemeClr val="dk1"/>
    </dgm:txFillClrLst>
    <dgm:txEffectClrLst/>
  </dgm:styleLbl>
  <dgm:styleLbl name="fgAccFollowNode1">
    <dgm:fillClrLst>
      <a:schemeClr val="accent5">
        <a:tint val="40000"/>
        <a:alpha val="90000"/>
      </a:schemeClr>
      <a:schemeClr val="accent6">
        <a:tint val="40000"/>
        <a:alpha val="90000"/>
      </a:schemeClr>
    </dgm:fillClrLst>
    <dgm:linClrLst>
      <a:schemeClr val="accent5">
        <a:tint val="40000"/>
        <a:alpha val="90000"/>
      </a:schemeClr>
      <a:schemeClr val="accent5">
        <a:tint val="40000"/>
        <a:alpha val="90000"/>
      </a:schemeClr>
    </dgm:linClrLst>
    <dgm:effectClrLst/>
    <dgm:txLinClrLst/>
    <dgm:txFillClrLst meth="repeat">
      <a:schemeClr val="dk1"/>
    </dgm:txFillClrLst>
    <dgm:txEffectClrLst/>
  </dgm:styleLbl>
  <dgm:styleLbl name="alignAccFollowNode1">
    <dgm:fillClrLst>
      <a:schemeClr val="accent5">
        <a:tint val="40000"/>
        <a:alpha val="90000"/>
      </a:schemeClr>
      <a:schemeClr val="accent6">
        <a:tint val="40000"/>
        <a:alpha val="90000"/>
      </a:schemeClr>
    </dgm:fillClrLst>
    <dgm:linClrLst>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bgAccFollowNode1">
    <dgm:fillClrLst>
      <a:schemeClr val="accent5">
        <a:tint val="40000"/>
        <a:alpha val="90000"/>
      </a:schemeClr>
      <a:schemeClr val="accent6">
        <a:tint val="40000"/>
        <a:alpha val="90000"/>
      </a:schemeClr>
    </dgm:fillClrLst>
    <dgm:linClrLst>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4"/>
    </dgm:linClrLst>
    <dgm:effectClrLst/>
    <dgm:txLinClrLst/>
    <dgm:txFillClrLst meth="repeat">
      <a:schemeClr val="dk1"/>
    </dgm:txFillClrLst>
    <dgm:txEffectClrLst/>
  </dgm:styleLbl>
  <dgm:styleLbl name="fgAcc2">
    <dgm:fillClrLst meth="repeat">
      <a:schemeClr val="lt1">
        <a:alpha val="90000"/>
      </a:schemeClr>
    </dgm:fillClrLst>
    <dgm:linClrLst>
      <a:schemeClr val="accent6"/>
    </dgm:linClrLst>
    <dgm:effectClrLst/>
    <dgm:txLinClrLst/>
    <dgm:txFillClrLst meth="repeat">
      <a:schemeClr val="dk1"/>
    </dgm:txFillClrLst>
    <dgm:txEffectClrLst/>
  </dgm:styleLbl>
  <dgm:styleLbl name="fgAcc3">
    <dgm:fillClrLst meth="repeat">
      <a:schemeClr val="lt1">
        <a:alpha val="90000"/>
      </a:schemeClr>
    </dgm:fillClrLst>
    <dgm:linClrLst>
      <a:schemeClr val="accent1"/>
    </dgm:linClrLst>
    <dgm:effectClrLst/>
    <dgm:txLinClrLst/>
    <dgm:txFillClrLst meth="repeat">
      <a:schemeClr val="dk1"/>
    </dgm:txFillClrLst>
    <dgm:txEffectClrLst/>
  </dgm:styleLbl>
  <dgm:styleLbl name="fgAcc4">
    <dgm:fillClrLst meth="repeat">
      <a:schemeClr val="lt1">
        <a:alpha val="90000"/>
      </a:schemeClr>
    </dgm:fillClrLst>
    <dgm:linClrLst>
      <a:schemeClr val="accent2"/>
    </dgm:linClrLst>
    <dgm:effectClrLst/>
    <dgm:txLinClrLst/>
    <dgm:txFillClrLst meth="repeat">
      <a:schemeClr val="dk1"/>
    </dgm:txFillClrLst>
    <dgm:txEffectClrLst/>
  </dgm:styleLbl>
  <dgm:styleLbl name="bgShp">
    <dgm:fillClrLst meth="repeat">
      <a:schemeClr val="accent5">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5">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5">
        <a:tint val="50000"/>
        <a:alpha val="40000"/>
      </a:schemeClr>
    </dgm:fillClrLst>
    <dgm:linClrLst meth="repeat">
      <a:schemeClr val="accent5"/>
    </dgm:linClrLst>
    <dgm:effectClrLst/>
    <dgm:txLinClrLst/>
    <dgm:txFillClrLst meth="repeat">
      <a:schemeClr val="lt1"/>
    </dgm:txFillClrLst>
    <dgm:txEffectClrLst/>
  </dgm:styleLbl>
  <dgm:styleLbl name="fgShp">
    <dgm:fillClrLst meth="repeat">
      <a:schemeClr val="accent5">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CFC8FAFB-3946-864E-85FA-9F6FF456E02B}" type="doc">
      <dgm:prSet loTypeId="urn:microsoft.com/office/officeart/2005/8/layout/hierarchy1" loCatId="hierarchy" qsTypeId="urn:microsoft.com/office/officeart/2005/8/quickstyle/simple1" qsCatId="simple" csTypeId="urn:microsoft.com/office/officeart/2005/8/colors/colorful1" csCatId="colorful" phldr="1"/>
      <dgm:spPr/>
      <dgm:t>
        <a:bodyPr/>
        <a:lstStyle/>
        <a:p>
          <a:endParaRPr lang="en-GB"/>
        </a:p>
      </dgm:t>
    </dgm:pt>
    <dgm:pt modelId="{7BDFFA44-B17E-504F-A865-60178A014E0B}">
      <dgm:prSet custT="1"/>
      <dgm:spPr/>
      <dgm:t>
        <a:bodyPr/>
        <a:lstStyle/>
        <a:p>
          <a:r>
            <a:rPr lang="en-GB" sz="800" b="1"/>
            <a:t>Level 1 – Project: Coquihalla Corridor Reconstruction</a:t>
          </a:r>
          <a:endParaRPr lang="en-GB" sz="800"/>
        </a:p>
      </dgm:t>
    </dgm:pt>
    <dgm:pt modelId="{76135521-8F07-134F-B13E-CC02F86711B8}" type="parTrans" cxnId="{4A34F235-79F2-F94C-B069-1C3D34C389D1}">
      <dgm:prSet/>
      <dgm:spPr/>
      <dgm:t>
        <a:bodyPr/>
        <a:lstStyle/>
        <a:p>
          <a:endParaRPr lang="en-GB"/>
        </a:p>
      </dgm:t>
    </dgm:pt>
    <dgm:pt modelId="{93DD4F23-9285-8447-BD2D-BFF4423F6716}" type="sibTrans" cxnId="{4A34F235-79F2-F94C-B069-1C3D34C389D1}">
      <dgm:prSet/>
      <dgm:spPr/>
      <dgm:t>
        <a:bodyPr/>
        <a:lstStyle/>
        <a:p>
          <a:endParaRPr lang="en-GB"/>
        </a:p>
      </dgm:t>
    </dgm:pt>
    <dgm:pt modelId="{0AF4517A-5F57-4D44-8F06-0C2D853A6717}">
      <dgm:prSet custT="1"/>
      <dgm:spPr/>
      <dgm:t>
        <a:bodyPr/>
        <a:lstStyle/>
        <a:p>
          <a:r>
            <a:rPr lang="en-GB" sz="800" b="1" dirty="0"/>
            <a:t>1. Initiation &amp; Feasibility (Q1–Q2 2025)</a:t>
          </a:r>
          <a:br>
            <a:rPr lang="en-GB" sz="800" dirty="0"/>
          </a:br>
          <a:r>
            <a:rPr lang="en-GB" sz="800" dirty="0"/>
            <a:t> </a:t>
          </a:r>
        </a:p>
      </dgm:t>
    </dgm:pt>
    <dgm:pt modelId="{5CEC55A7-245E-1846-B5B9-7AC6DBA715FA}" type="parTrans" cxnId="{4F53BD38-DA5F-B44F-83D9-30E2A6224B0D}">
      <dgm:prSet/>
      <dgm:spPr/>
      <dgm:t>
        <a:bodyPr/>
        <a:lstStyle/>
        <a:p>
          <a:endParaRPr lang="en-GB"/>
        </a:p>
      </dgm:t>
    </dgm:pt>
    <dgm:pt modelId="{6C664A8F-6E68-6546-85E1-91B7FCB2A87C}" type="sibTrans" cxnId="{4F53BD38-DA5F-B44F-83D9-30E2A6224B0D}">
      <dgm:prSet/>
      <dgm:spPr/>
      <dgm:t>
        <a:bodyPr/>
        <a:lstStyle/>
        <a:p>
          <a:endParaRPr lang="en-GB"/>
        </a:p>
      </dgm:t>
    </dgm:pt>
    <dgm:pt modelId="{EA74BCE8-8286-F54F-A412-F361803E3D1D}">
      <dgm:prSet custT="1"/>
      <dgm:spPr/>
      <dgm:t>
        <a:bodyPr/>
        <a:lstStyle/>
        <a:p>
          <a:r>
            <a:rPr lang="en-GB" sz="800" b="1" dirty="0"/>
            <a:t>2. Design &amp; Procurement (Q3–Q4 2025)</a:t>
          </a:r>
          <a:br>
            <a:rPr lang="en-GB" sz="800" dirty="0"/>
          </a:br>
          <a:r>
            <a:rPr lang="en-GB" sz="800" dirty="0"/>
            <a:t> </a:t>
          </a:r>
        </a:p>
      </dgm:t>
    </dgm:pt>
    <dgm:pt modelId="{DB8FB3FB-6F55-9949-B483-A2B0BCC1FEAD}" type="parTrans" cxnId="{15C4FC4D-0D0A-9240-BB2B-83B8B8D93B9E}">
      <dgm:prSet/>
      <dgm:spPr/>
      <dgm:t>
        <a:bodyPr/>
        <a:lstStyle/>
        <a:p>
          <a:endParaRPr lang="en-GB"/>
        </a:p>
      </dgm:t>
    </dgm:pt>
    <dgm:pt modelId="{00BFDD58-D441-6241-8869-77A51CD6F796}" type="sibTrans" cxnId="{15C4FC4D-0D0A-9240-BB2B-83B8B8D93B9E}">
      <dgm:prSet/>
      <dgm:spPr/>
      <dgm:t>
        <a:bodyPr/>
        <a:lstStyle/>
        <a:p>
          <a:endParaRPr lang="en-GB"/>
        </a:p>
      </dgm:t>
    </dgm:pt>
    <dgm:pt modelId="{7AFA7C4C-B519-C043-9F64-4FBA6E65D65D}">
      <dgm:prSet custT="1"/>
      <dgm:spPr/>
      <dgm:t>
        <a:bodyPr/>
        <a:lstStyle/>
        <a:p>
          <a:r>
            <a:rPr lang="en-GB" sz="800" b="1" dirty="0"/>
            <a:t>3. Construction Phase (2026)</a:t>
          </a:r>
          <a:br>
            <a:rPr lang="en-GB" sz="800" dirty="0"/>
          </a:br>
          <a:r>
            <a:rPr lang="en-GB" sz="800" dirty="0"/>
            <a:t> </a:t>
          </a:r>
        </a:p>
      </dgm:t>
    </dgm:pt>
    <dgm:pt modelId="{687F9266-0608-424F-9BCE-08B9288B52DB}" type="parTrans" cxnId="{C5576667-54A9-E944-8F9B-4DC7869CA20B}">
      <dgm:prSet/>
      <dgm:spPr/>
      <dgm:t>
        <a:bodyPr/>
        <a:lstStyle/>
        <a:p>
          <a:endParaRPr lang="en-GB"/>
        </a:p>
      </dgm:t>
    </dgm:pt>
    <dgm:pt modelId="{76535812-0948-EA4A-9BC8-FDEC62F479FF}" type="sibTrans" cxnId="{C5576667-54A9-E944-8F9B-4DC7869CA20B}">
      <dgm:prSet/>
      <dgm:spPr/>
      <dgm:t>
        <a:bodyPr/>
        <a:lstStyle/>
        <a:p>
          <a:endParaRPr lang="en-GB"/>
        </a:p>
      </dgm:t>
    </dgm:pt>
    <dgm:pt modelId="{B90EAF5F-9E20-8A4C-A1FA-0A8D086C8777}">
      <dgm:prSet custT="1"/>
      <dgm:spPr/>
      <dgm:t>
        <a:bodyPr/>
        <a:lstStyle/>
        <a:p>
          <a:r>
            <a:rPr lang="en-GB" sz="800" b="1" dirty="0"/>
            <a:t>4. Testing &amp; Handover (Early 2027)</a:t>
          </a:r>
          <a:br>
            <a:rPr lang="en-GB" sz="800" dirty="0"/>
          </a:br>
          <a:r>
            <a:rPr lang="en-GB" sz="800" dirty="0"/>
            <a:t> </a:t>
          </a:r>
        </a:p>
      </dgm:t>
    </dgm:pt>
    <dgm:pt modelId="{B058ED62-2A47-4346-ADD8-7A17841B018D}" type="parTrans" cxnId="{50E92E7F-34AD-FD41-8DC1-AAFBC51673FE}">
      <dgm:prSet/>
      <dgm:spPr/>
      <dgm:t>
        <a:bodyPr/>
        <a:lstStyle/>
        <a:p>
          <a:endParaRPr lang="en-GB"/>
        </a:p>
      </dgm:t>
    </dgm:pt>
    <dgm:pt modelId="{798CB4F7-BC44-9E40-821E-612F9843197F}" type="sibTrans" cxnId="{50E92E7F-34AD-FD41-8DC1-AAFBC51673FE}">
      <dgm:prSet/>
      <dgm:spPr/>
      <dgm:t>
        <a:bodyPr/>
        <a:lstStyle/>
        <a:p>
          <a:endParaRPr lang="en-GB"/>
        </a:p>
      </dgm:t>
    </dgm:pt>
    <dgm:pt modelId="{83D85010-A3E0-734A-96A0-50B6BFBDC5BB}">
      <dgm:prSet custT="1"/>
      <dgm:spPr/>
      <dgm:t>
        <a:bodyPr/>
        <a:lstStyle/>
        <a:p>
          <a:r>
            <a:rPr lang="en-GB" sz="800" dirty="0"/>
            <a:t>1.1 Feasibility and cost-benefit analysis</a:t>
          </a:r>
          <a:br>
            <a:rPr lang="en-GB" sz="800" dirty="0"/>
          </a:br>
          <a:endParaRPr lang="en-GB" sz="800" dirty="0"/>
        </a:p>
      </dgm:t>
    </dgm:pt>
    <dgm:pt modelId="{504A0A4D-45B4-A246-BD7E-F72036E76184}" type="parTrans" cxnId="{413A39F8-DA6A-BE45-B7A5-97E74BF24922}">
      <dgm:prSet/>
      <dgm:spPr/>
      <dgm:t>
        <a:bodyPr/>
        <a:lstStyle/>
        <a:p>
          <a:endParaRPr lang="en-GB"/>
        </a:p>
      </dgm:t>
    </dgm:pt>
    <dgm:pt modelId="{C3B26470-9A8B-7649-8F13-4A979A359A15}" type="sibTrans" cxnId="{413A39F8-DA6A-BE45-B7A5-97E74BF24922}">
      <dgm:prSet/>
      <dgm:spPr/>
      <dgm:t>
        <a:bodyPr/>
        <a:lstStyle/>
        <a:p>
          <a:endParaRPr lang="en-GB"/>
        </a:p>
      </dgm:t>
    </dgm:pt>
    <dgm:pt modelId="{E8D6546F-EAF5-4D48-8B9E-F90BD7487A9B}">
      <dgm:prSet custT="1"/>
      <dgm:spPr/>
      <dgm:t>
        <a:bodyPr/>
        <a:lstStyle/>
        <a:p>
          <a:r>
            <a:rPr lang="en-GB" sz="800" dirty="0"/>
            <a:t> 1.2 Environmental impact assessment</a:t>
          </a:r>
          <a:br>
            <a:rPr lang="en-GB" sz="800" dirty="0"/>
          </a:br>
          <a:endParaRPr lang="en-GB" sz="800" dirty="0"/>
        </a:p>
      </dgm:t>
    </dgm:pt>
    <dgm:pt modelId="{757A7381-2710-3141-9D20-105AE9170639}" type="parTrans" cxnId="{3CE4B2D9-D5DF-144A-A01F-E930FA4497FA}">
      <dgm:prSet/>
      <dgm:spPr/>
      <dgm:t>
        <a:bodyPr/>
        <a:lstStyle/>
        <a:p>
          <a:endParaRPr lang="en-GB"/>
        </a:p>
      </dgm:t>
    </dgm:pt>
    <dgm:pt modelId="{217226CD-5A37-3549-99D4-6FD04DB50A95}" type="sibTrans" cxnId="{3CE4B2D9-D5DF-144A-A01F-E930FA4497FA}">
      <dgm:prSet/>
      <dgm:spPr/>
      <dgm:t>
        <a:bodyPr/>
        <a:lstStyle/>
        <a:p>
          <a:endParaRPr lang="en-GB"/>
        </a:p>
      </dgm:t>
    </dgm:pt>
    <dgm:pt modelId="{9F7D49B2-F3F1-B348-A134-961E584B6D40}">
      <dgm:prSet custT="1"/>
      <dgm:spPr/>
      <dgm:t>
        <a:bodyPr/>
        <a:lstStyle/>
        <a:p>
          <a:r>
            <a:rPr lang="en-GB" sz="800" dirty="0"/>
            <a:t> 1.3 Funding and stakeholder approval</a:t>
          </a:r>
        </a:p>
      </dgm:t>
    </dgm:pt>
    <dgm:pt modelId="{7093AA7E-BB38-E847-A7C7-A35E80D83353}" type="parTrans" cxnId="{B8641E1B-5F25-7C47-9FDA-5EF017F282FB}">
      <dgm:prSet/>
      <dgm:spPr/>
      <dgm:t>
        <a:bodyPr/>
        <a:lstStyle/>
        <a:p>
          <a:endParaRPr lang="en-GB"/>
        </a:p>
      </dgm:t>
    </dgm:pt>
    <dgm:pt modelId="{0B3B4D07-01EA-7D48-ABE8-AF345084ABA8}" type="sibTrans" cxnId="{B8641E1B-5F25-7C47-9FDA-5EF017F282FB}">
      <dgm:prSet/>
      <dgm:spPr/>
      <dgm:t>
        <a:bodyPr/>
        <a:lstStyle/>
        <a:p>
          <a:endParaRPr lang="en-GB"/>
        </a:p>
      </dgm:t>
    </dgm:pt>
    <dgm:pt modelId="{46DA1F51-0A71-4C4B-B84E-517CE7C07DF3}">
      <dgm:prSet custT="1"/>
      <dgm:spPr/>
      <dgm:t>
        <a:bodyPr/>
        <a:lstStyle/>
        <a:p>
          <a:r>
            <a:rPr lang="en-GB" sz="800" dirty="0"/>
            <a:t>2.1 Bridge and road engineering design</a:t>
          </a:r>
          <a:br>
            <a:rPr lang="en-GB" sz="800" dirty="0"/>
          </a:br>
          <a:r>
            <a:rPr lang="en-GB" sz="800" dirty="0"/>
            <a:t> </a:t>
          </a:r>
        </a:p>
      </dgm:t>
    </dgm:pt>
    <dgm:pt modelId="{850C2292-012E-624F-B158-464FE97F83E7}" type="parTrans" cxnId="{95D792A7-A3D3-F742-996C-2FBF43D767FD}">
      <dgm:prSet/>
      <dgm:spPr/>
      <dgm:t>
        <a:bodyPr/>
        <a:lstStyle/>
        <a:p>
          <a:endParaRPr lang="en-GB"/>
        </a:p>
      </dgm:t>
    </dgm:pt>
    <dgm:pt modelId="{38189558-D43A-7F4F-BE98-BAF1C3FE2AE9}" type="sibTrans" cxnId="{95D792A7-A3D3-F742-996C-2FBF43D767FD}">
      <dgm:prSet/>
      <dgm:spPr/>
      <dgm:t>
        <a:bodyPr/>
        <a:lstStyle/>
        <a:p>
          <a:endParaRPr lang="en-GB"/>
        </a:p>
      </dgm:t>
    </dgm:pt>
    <dgm:pt modelId="{D1C17F47-1012-D648-8E95-49FDF6781DE6}">
      <dgm:prSet custT="1"/>
      <dgm:spPr/>
      <dgm:t>
        <a:bodyPr/>
        <a:lstStyle/>
        <a:p>
          <a:r>
            <a:rPr lang="en-GB" sz="800" dirty="0"/>
            <a:t>2.2 Tender documentation and contractor selection</a:t>
          </a:r>
          <a:br>
            <a:rPr lang="en-GB" sz="800" dirty="0"/>
          </a:br>
          <a:endParaRPr lang="en-GB" sz="800" dirty="0"/>
        </a:p>
      </dgm:t>
    </dgm:pt>
    <dgm:pt modelId="{026BB5C1-C890-CD47-8D4D-59E4DD4950B9}" type="parTrans" cxnId="{6F2B4A2A-5D77-6340-B81A-B0287447B127}">
      <dgm:prSet/>
      <dgm:spPr/>
      <dgm:t>
        <a:bodyPr/>
        <a:lstStyle/>
        <a:p>
          <a:endParaRPr lang="en-GB"/>
        </a:p>
      </dgm:t>
    </dgm:pt>
    <dgm:pt modelId="{75202DD5-E7AE-054D-B86A-A32CF8D116D6}" type="sibTrans" cxnId="{6F2B4A2A-5D77-6340-B81A-B0287447B127}">
      <dgm:prSet/>
      <dgm:spPr/>
      <dgm:t>
        <a:bodyPr/>
        <a:lstStyle/>
        <a:p>
          <a:endParaRPr lang="en-GB"/>
        </a:p>
      </dgm:t>
    </dgm:pt>
    <dgm:pt modelId="{66E2B51F-EF4C-724A-975F-62DF07134C61}">
      <dgm:prSet custT="1"/>
      <dgm:spPr/>
      <dgm:t>
        <a:bodyPr/>
        <a:lstStyle/>
        <a:p>
          <a:r>
            <a:rPr lang="en-GB" sz="800" dirty="0"/>
            <a:t> 2.3 Material and equipment procurement</a:t>
          </a:r>
        </a:p>
      </dgm:t>
    </dgm:pt>
    <dgm:pt modelId="{E00AA3CF-349F-A64E-8780-18F82CF38F6B}" type="parTrans" cxnId="{848473E2-7A0C-EB45-8566-75AB0EE74515}">
      <dgm:prSet/>
      <dgm:spPr/>
      <dgm:t>
        <a:bodyPr/>
        <a:lstStyle/>
        <a:p>
          <a:endParaRPr lang="en-GB"/>
        </a:p>
      </dgm:t>
    </dgm:pt>
    <dgm:pt modelId="{6B276E1E-7922-7F42-A1B7-0584F3A0DBFA}" type="sibTrans" cxnId="{848473E2-7A0C-EB45-8566-75AB0EE74515}">
      <dgm:prSet/>
      <dgm:spPr/>
      <dgm:t>
        <a:bodyPr/>
        <a:lstStyle/>
        <a:p>
          <a:endParaRPr lang="en-GB"/>
        </a:p>
      </dgm:t>
    </dgm:pt>
    <dgm:pt modelId="{896B75CD-E6F8-954B-8B02-3EEF7EF4049D}">
      <dgm:prSet custT="1"/>
      <dgm:spPr/>
      <dgm:t>
        <a:bodyPr/>
        <a:lstStyle/>
        <a:p>
          <a:r>
            <a:rPr lang="en-GB" sz="800" dirty="0"/>
            <a:t>3.1 Site preparation and temporary access roads</a:t>
          </a:r>
          <a:br>
            <a:rPr lang="en-GB" sz="800" dirty="0"/>
          </a:br>
          <a:r>
            <a:rPr lang="en-GB" sz="800" dirty="0"/>
            <a:t> </a:t>
          </a:r>
        </a:p>
      </dgm:t>
    </dgm:pt>
    <dgm:pt modelId="{08A9B950-3D6E-AE4C-9FDF-1B1E083FD18F}" type="parTrans" cxnId="{DA8B61F8-164E-B64F-B32A-903E82D95A11}">
      <dgm:prSet/>
      <dgm:spPr/>
      <dgm:t>
        <a:bodyPr/>
        <a:lstStyle/>
        <a:p>
          <a:endParaRPr lang="en-GB"/>
        </a:p>
      </dgm:t>
    </dgm:pt>
    <dgm:pt modelId="{F7BA1DF8-54D2-6240-A652-7AC5FAD415DE}" type="sibTrans" cxnId="{DA8B61F8-164E-B64F-B32A-903E82D95A11}">
      <dgm:prSet/>
      <dgm:spPr/>
      <dgm:t>
        <a:bodyPr/>
        <a:lstStyle/>
        <a:p>
          <a:endParaRPr lang="en-GB"/>
        </a:p>
      </dgm:t>
    </dgm:pt>
    <dgm:pt modelId="{EDF82C6D-DD08-584F-B79C-A410BA304451}">
      <dgm:prSet custT="1"/>
      <dgm:spPr/>
      <dgm:t>
        <a:bodyPr/>
        <a:lstStyle/>
        <a:p>
          <a:r>
            <a:rPr lang="en-GB" sz="800" dirty="0"/>
            <a:t>3.2 Bridge foundation and superstructure works</a:t>
          </a:r>
          <a:br>
            <a:rPr lang="en-GB" sz="800" dirty="0"/>
          </a:br>
          <a:endParaRPr lang="en-GB" sz="800" dirty="0"/>
        </a:p>
      </dgm:t>
    </dgm:pt>
    <dgm:pt modelId="{29B3CDA9-8635-6D46-BF2C-00BF3AE801AC}" type="parTrans" cxnId="{416697C1-72C8-524B-94C6-DFCB01128176}">
      <dgm:prSet/>
      <dgm:spPr/>
      <dgm:t>
        <a:bodyPr/>
        <a:lstStyle/>
        <a:p>
          <a:endParaRPr lang="en-GB"/>
        </a:p>
      </dgm:t>
    </dgm:pt>
    <dgm:pt modelId="{8DB997DD-0FEF-4A47-A603-7A247DD592C1}" type="sibTrans" cxnId="{416697C1-72C8-524B-94C6-DFCB01128176}">
      <dgm:prSet/>
      <dgm:spPr/>
      <dgm:t>
        <a:bodyPr/>
        <a:lstStyle/>
        <a:p>
          <a:endParaRPr lang="en-GB"/>
        </a:p>
      </dgm:t>
    </dgm:pt>
    <dgm:pt modelId="{D4009FDA-4DCA-104C-B2B8-EA925EF42E10}">
      <dgm:prSet custT="1"/>
      <dgm:spPr/>
      <dgm:t>
        <a:bodyPr/>
        <a:lstStyle/>
        <a:p>
          <a:r>
            <a:rPr lang="en-GB" sz="800" dirty="0"/>
            <a:t> 3.3 Drainage and slope-stabilisation systems</a:t>
          </a:r>
          <a:br>
            <a:rPr lang="en-GB" sz="800" dirty="0"/>
          </a:br>
          <a:endParaRPr lang="en-GB" sz="800" dirty="0"/>
        </a:p>
      </dgm:t>
    </dgm:pt>
    <dgm:pt modelId="{39E852DD-855F-A54B-B95E-44EB617901CC}" type="parTrans" cxnId="{BEF9BEC5-CCDE-DD41-81F3-CBA1C362AED5}">
      <dgm:prSet/>
      <dgm:spPr/>
      <dgm:t>
        <a:bodyPr/>
        <a:lstStyle/>
        <a:p>
          <a:endParaRPr lang="en-GB"/>
        </a:p>
      </dgm:t>
    </dgm:pt>
    <dgm:pt modelId="{5CE1638E-7927-DA4E-8F23-B70F5AC91758}" type="sibTrans" cxnId="{BEF9BEC5-CCDE-DD41-81F3-CBA1C362AED5}">
      <dgm:prSet/>
      <dgm:spPr/>
      <dgm:t>
        <a:bodyPr/>
        <a:lstStyle/>
        <a:p>
          <a:endParaRPr lang="en-GB"/>
        </a:p>
      </dgm:t>
    </dgm:pt>
    <dgm:pt modelId="{EB55B8F7-78A3-2C44-8BFB-F21BC9513EC7}">
      <dgm:prSet custT="1"/>
      <dgm:spPr/>
      <dgm:t>
        <a:bodyPr/>
        <a:lstStyle/>
        <a:p>
          <a:r>
            <a:rPr lang="en-GB" sz="800" dirty="0"/>
            <a:t> 3.4 Smart monitoring installation</a:t>
          </a:r>
        </a:p>
      </dgm:t>
    </dgm:pt>
    <dgm:pt modelId="{1DE2BD8F-FB43-104F-8452-28BF82FF125E}" type="parTrans" cxnId="{FF484A76-E848-6348-8412-33282B3254C9}">
      <dgm:prSet/>
      <dgm:spPr/>
      <dgm:t>
        <a:bodyPr/>
        <a:lstStyle/>
        <a:p>
          <a:endParaRPr lang="en-GB"/>
        </a:p>
      </dgm:t>
    </dgm:pt>
    <dgm:pt modelId="{F93B6F6A-E403-A94E-9F01-AD426D2EC562}" type="sibTrans" cxnId="{FF484A76-E848-6348-8412-33282B3254C9}">
      <dgm:prSet/>
      <dgm:spPr/>
      <dgm:t>
        <a:bodyPr/>
        <a:lstStyle/>
        <a:p>
          <a:endParaRPr lang="en-GB"/>
        </a:p>
      </dgm:t>
    </dgm:pt>
    <dgm:pt modelId="{F27724E7-C581-3340-B814-B3B6D7002B4D}">
      <dgm:prSet custT="1"/>
      <dgm:spPr/>
      <dgm:t>
        <a:bodyPr/>
        <a:lstStyle/>
        <a:p>
          <a:r>
            <a:rPr lang="en-GB" sz="800" dirty="0"/>
            <a:t>4.1 Structural load testing and safety audits</a:t>
          </a:r>
          <a:br>
            <a:rPr lang="en-GB" sz="800" dirty="0"/>
          </a:br>
          <a:r>
            <a:rPr lang="en-GB" sz="800" dirty="0"/>
            <a:t> </a:t>
          </a:r>
        </a:p>
      </dgm:t>
    </dgm:pt>
    <dgm:pt modelId="{B231A65F-3FE6-D146-A48D-D5AECA273577}" type="parTrans" cxnId="{CC6C12C7-5F28-FF4D-8D47-2316DC4FE200}">
      <dgm:prSet/>
      <dgm:spPr/>
      <dgm:t>
        <a:bodyPr/>
        <a:lstStyle/>
        <a:p>
          <a:endParaRPr lang="en-GB"/>
        </a:p>
      </dgm:t>
    </dgm:pt>
    <dgm:pt modelId="{935FB2A0-F94E-7D4D-8CC6-FAE6D7532945}" type="sibTrans" cxnId="{CC6C12C7-5F28-FF4D-8D47-2316DC4FE200}">
      <dgm:prSet/>
      <dgm:spPr/>
      <dgm:t>
        <a:bodyPr/>
        <a:lstStyle/>
        <a:p>
          <a:endParaRPr lang="en-GB"/>
        </a:p>
      </dgm:t>
    </dgm:pt>
    <dgm:pt modelId="{83C7DD87-481B-8842-B45D-8C19C060E2CE}">
      <dgm:prSet custT="1"/>
      <dgm:spPr/>
      <dgm:t>
        <a:bodyPr/>
        <a:lstStyle/>
        <a:p>
          <a:r>
            <a:rPr lang="en-GB" sz="800" dirty="0"/>
            <a:t>4.2 Training for maintenance teams</a:t>
          </a:r>
          <a:br>
            <a:rPr lang="en-GB" sz="800" dirty="0"/>
          </a:br>
          <a:endParaRPr lang="en-GB" sz="800" dirty="0"/>
        </a:p>
      </dgm:t>
    </dgm:pt>
    <dgm:pt modelId="{BF228F23-CCD5-EF4F-8CB9-2216B251CA1E}" type="parTrans" cxnId="{E76E2F43-E426-3844-97CC-540CEF1248C6}">
      <dgm:prSet/>
      <dgm:spPr/>
      <dgm:t>
        <a:bodyPr/>
        <a:lstStyle/>
        <a:p>
          <a:endParaRPr lang="en-GB"/>
        </a:p>
      </dgm:t>
    </dgm:pt>
    <dgm:pt modelId="{BDC81A4B-920A-9E42-AF9F-FEDA983E9B7B}" type="sibTrans" cxnId="{E76E2F43-E426-3844-97CC-540CEF1248C6}">
      <dgm:prSet/>
      <dgm:spPr/>
      <dgm:t>
        <a:bodyPr/>
        <a:lstStyle/>
        <a:p>
          <a:endParaRPr lang="en-GB"/>
        </a:p>
      </dgm:t>
    </dgm:pt>
    <dgm:pt modelId="{E39F897C-1211-5B47-8EB2-12070F86DF4C}">
      <dgm:prSet custT="1"/>
      <dgm:spPr/>
      <dgm:t>
        <a:bodyPr/>
        <a:lstStyle/>
        <a:p>
          <a:r>
            <a:rPr lang="en-GB" sz="800" dirty="0"/>
            <a:t> 4.3 Final environmental remediation</a:t>
          </a:r>
          <a:endParaRPr lang="en-GB" sz="500" dirty="0"/>
        </a:p>
      </dgm:t>
    </dgm:pt>
    <dgm:pt modelId="{B3142B07-0A56-8A40-BCD3-356A162DE8D4}" type="parTrans" cxnId="{205DBF7E-5B46-C84B-BDDF-6DE00F62E2E4}">
      <dgm:prSet/>
      <dgm:spPr/>
      <dgm:t>
        <a:bodyPr/>
        <a:lstStyle/>
        <a:p>
          <a:endParaRPr lang="en-GB"/>
        </a:p>
      </dgm:t>
    </dgm:pt>
    <dgm:pt modelId="{2542ACFF-860A-3F43-B92B-FD07EA127B09}" type="sibTrans" cxnId="{205DBF7E-5B46-C84B-BDDF-6DE00F62E2E4}">
      <dgm:prSet/>
      <dgm:spPr/>
      <dgm:t>
        <a:bodyPr/>
        <a:lstStyle/>
        <a:p>
          <a:endParaRPr lang="en-GB"/>
        </a:p>
      </dgm:t>
    </dgm:pt>
    <dgm:pt modelId="{CFD82EBA-8FFA-5047-A70C-3790031357F4}" type="pres">
      <dgm:prSet presAssocID="{CFC8FAFB-3946-864E-85FA-9F6FF456E02B}" presName="hierChild1" presStyleCnt="0">
        <dgm:presLayoutVars>
          <dgm:chPref val="1"/>
          <dgm:dir/>
          <dgm:animOne val="branch"/>
          <dgm:animLvl val="lvl"/>
          <dgm:resizeHandles/>
        </dgm:presLayoutVars>
      </dgm:prSet>
      <dgm:spPr/>
    </dgm:pt>
    <dgm:pt modelId="{94ED71A5-00B9-1249-A55C-2348314F8963}" type="pres">
      <dgm:prSet presAssocID="{7BDFFA44-B17E-504F-A865-60178A014E0B}" presName="hierRoot1" presStyleCnt="0"/>
      <dgm:spPr/>
    </dgm:pt>
    <dgm:pt modelId="{9E45A12D-A36C-EA4C-9374-01B0D6123738}" type="pres">
      <dgm:prSet presAssocID="{7BDFFA44-B17E-504F-A865-60178A014E0B}" presName="composite" presStyleCnt="0"/>
      <dgm:spPr/>
    </dgm:pt>
    <dgm:pt modelId="{95A32E90-8499-1E4E-9645-AE17840D4FD6}" type="pres">
      <dgm:prSet presAssocID="{7BDFFA44-B17E-504F-A865-60178A014E0B}" presName="background" presStyleLbl="node0" presStyleIdx="0" presStyleCnt="2"/>
      <dgm:spPr/>
    </dgm:pt>
    <dgm:pt modelId="{60467AE4-C14E-7D40-8528-6C758A53AA29}" type="pres">
      <dgm:prSet presAssocID="{7BDFFA44-B17E-504F-A865-60178A014E0B}" presName="text" presStyleLbl="fgAcc0" presStyleIdx="0" presStyleCnt="2">
        <dgm:presLayoutVars>
          <dgm:chPref val="3"/>
        </dgm:presLayoutVars>
      </dgm:prSet>
      <dgm:spPr/>
    </dgm:pt>
    <dgm:pt modelId="{0E79DC46-E977-D144-B8C0-A30C6212B7E2}" type="pres">
      <dgm:prSet presAssocID="{7BDFFA44-B17E-504F-A865-60178A014E0B}" presName="hierChild2" presStyleCnt="0"/>
      <dgm:spPr/>
    </dgm:pt>
    <dgm:pt modelId="{01881E9D-2E18-D14E-84DA-889562DD0DEE}" type="pres">
      <dgm:prSet presAssocID="{5CEC55A7-245E-1846-B5B9-7AC6DBA715FA}" presName="Name10" presStyleLbl="parChTrans1D2" presStyleIdx="0" presStyleCnt="9"/>
      <dgm:spPr/>
    </dgm:pt>
    <dgm:pt modelId="{1B6A409D-1F08-E848-BDD3-C0E42FBD2A9E}" type="pres">
      <dgm:prSet presAssocID="{0AF4517A-5F57-4D44-8F06-0C2D853A6717}" presName="hierRoot2" presStyleCnt="0"/>
      <dgm:spPr/>
    </dgm:pt>
    <dgm:pt modelId="{CC6C3303-C163-354C-BFF9-05AFE2FBABF4}" type="pres">
      <dgm:prSet presAssocID="{0AF4517A-5F57-4D44-8F06-0C2D853A6717}" presName="composite2" presStyleCnt="0"/>
      <dgm:spPr/>
    </dgm:pt>
    <dgm:pt modelId="{15DEF942-DDAD-6F45-855F-0CE1D4BFFE95}" type="pres">
      <dgm:prSet presAssocID="{0AF4517A-5F57-4D44-8F06-0C2D853A6717}" presName="background2" presStyleLbl="node2" presStyleIdx="0" presStyleCnt="9"/>
      <dgm:spPr/>
    </dgm:pt>
    <dgm:pt modelId="{C66F35B1-1574-6E4F-B8D2-8403B521738F}" type="pres">
      <dgm:prSet presAssocID="{0AF4517A-5F57-4D44-8F06-0C2D853A6717}" presName="text2" presStyleLbl="fgAcc2" presStyleIdx="0" presStyleCnt="9">
        <dgm:presLayoutVars>
          <dgm:chPref val="3"/>
        </dgm:presLayoutVars>
      </dgm:prSet>
      <dgm:spPr/>
    </dgm:pt>
    <dgm:pt modelId="{8AB67A6C-701C-A148-985C-BC510421638C}" type="pres">
      <dgm:prSet presAssocID="{0AF4517A-5F57-4D44-8F06-0C2D853A6717}" presName="hierChild3" presStyleCnt="0"/>
      <dgm:spPr/>
    </dgm:pt>
    <dgm:pt modelId="{D9FE1A9A-9A38-E64A-9C85-8294095D4D70}" type="pres">
      <dgm:prSet presAssocID="{504A0A4D-45B4-A246-BD7E-F72036E76184}" presName="Name10" presStyleLbl="parChTrans1D2" presStyleIdx="1" presStyleCnt="9"/>
      <dgm:spPr/>
    </dgm:pt>
    <dgm:pt modelId="{56090C2A-53E2-FC41-823A-34D1C13BFFA0}" type="pres">
      <dgm:prSet presAssocID="{83D85010-A3E0-734A-96A0-50B6BFBDC5BB}" presName="hierRoot2" presStyleCnt="0"/>
      <dgm:spPr/>
    </dgm:pt>
    <dgm:pt modelId="{ABD2C4EB-A64B-A247-923A-80404F2E9456}" type="pres">
      <dgm:prSet presAssocID="{83D85010-A3E0-734A-96A0-50B6BFBDC5BB}" presName="composite2" presStyleCnt="0"/>
      <dgm:spPr/>
    </dgm:pt>
    <dgm:pt modelId="{C9AA6C58-406B-C24C-A406-A4AD523F5736}" type="pres">
      <dgm:prSet presAssocID="{83D85010-A3E0-734A-96A0-50B6BFBDC5BB}" presName="background2" presStyleLbl="node2" presStyleIdx="1" presStyleCnt="9"/>
      <dgm:spPr/>
    </dgm:pt>
    <dgm:pt modelId="{9FA492B0-1639-5042-BAE6-19B65EADDFA9}" type="pres">
      <dgm:prSet presAssocID="{83D85010-A3E0-734A-96A0-50B6BFBDC5BB}" presName="text2" presStyleLbl="fgAcc2" presStyleIdx="1" presStyleCnt="9">
        <dgm:presLayoutVars>
          <dgm:chPref val="3"/>
        </dgm:presLayoutVars>
      </dgm:prSet>
      <dgm:spPr/>
    </dgm:pt>
    <dgm:pt modelId="{913CE247-9F19-2643-86E9-1A99540507AA}" type="pres">
      <dgm:prSet presAssocID="{83D85010-A3E0-734A-96A0-50B6BFBDC5BB}" presName="hierChild3" presStyleCnt="0"/>
      <dgm:spPr/>
    </dgm:pt>
    <dgm:pt modelId="{16F4145A-7B31-464D-998A-2FE3F23374D2}" type="pres">
      <dgm:prSet presAssocID="{757A7381-2710-3141-9D20-105AE9170639}" presName="Name10" presStyleLbl="parChTrans1D2" presStyleIdx="2" presStyleCnt="9"/>
      <dgm:spPr/>
    </dgm:pt>
    <dgm:pt modelId="{A5B1AAC9-F4CE-8E42-A961-FEA62DD68E14}" type="pres">
      <dgm:prSet presAssocID="{E8D6546F-EAF5-4D48-8B9E-F90BD7487A9B}" presName="hierRoot2" presStyleCnt="0"/>
      <dgm:spPr/>
    </dgm:pt>
    <dgm:pt modelId="{8EC05062-5F19-AE44-AA9E-46F8226B1FD5}" type="pres">
      <dgm:prSet presAssocID="{E8D6546F-EAF5-4D48-8B9E-F90BD7487A9B}" presName="composite2" presStyleCnt="0"/>
      <dgm:spPr/>
    </dgm:pt>
    <dgm:pt modelId="{327E5678-6B20-AC48-B5F0-49D6B3AECBA3}" type="pres">
      <dgm:prSet presAssocID="{E8D6546F-EAF5-4D48-8B9E-F90BD7487A9B}" presName="background2" presStyleLbl="node2" presStyleIdx="2" presStyleCnt="9"/>
      <dgm:spPr/>
    </dgm:pt>
    <dgm:pt modelId="{58AEE22D-B454-3845-B1EA-2235BF5C6ED7}" type="pres">
      <dgm:prSet presAssocID="{E8D6546F-EAF5-4D48-8B9E-F90BD7487A9B}" presName="text2" presStyleLbl="fgAcc2" presStyleIdx="2" presStyleCnt="9">
        <dgm:presLayoutVars>
          <dgm:chPref val="3"/>
        </dgm:presLayoutVars>
      </dgm:prSet>
      <dgm:spPr/>
    </dgm:pt>
    <dgm:pt modelId="{75EB124F-0907-2F44-844D-E1D6372BC23B}" type="pres">
      <dgm:prSet presAssocID="{E8D6546F-EAF5-4D48-8B9E-F90BD7487A9B}" presName="hierChild3" presStyleCnt="0"/>
      <dgm:spPr/>
    </dgm:pt>
    <dgm:pt modelId="{1CEA797F-FFD6-AD46-929F-BD85D2FF1829}" type="pres">
      <dgm:prSet presAssocID="{7093AA7E-BB38-E847-A7C7-A35E80D83353}" presName="Name10" presStyleLbl="parChTrans1D2" presStyleIdx="3" presStyleCnt="9"/>
      <dgm:spPr/>
    </dgm:pt>
    <dgm:pt modelId="{DE0239C6-0D51-B541-BA99-49A73301D6B1}" type="pres">
      <dgm:prSet presAssocID="{9F7D49B2-F3F1-B348-A134-961E584B6D40}" presName="hierRoot2" presStyleCnt="0"/>
      <dgm:spPr/>
    </dgm:pt>
    <dgm:pt modelId="{532F7335-3A5B-974E-BF21-BE233B7DE7B5}" type="pres">
      <dgm:prSet presAssocID="{9F7D49B2-F3F1-B348-A134-961E584B6D40}" presName="composite2" presStyleCnt="0"/>
      <dgm:spPr/>
    </dgm:pt>
    <dgm:pt modelId="{F7427187-A941-1C46-B13C-3D9C31953472}" type="pres">
      <dgm:prSet presAssocID="{9F7D49B2-F3F1-B348-A134-961E584B6D40}" presName="background2" presStyleLbl="node2" presStyleIdx="3" presStyleCnt="9"/>
      <dgm:spPr/>
    </dgm:pt>
    <dgm:pt modelId="{C5957A8D-4382-704C-BD4E-53D605A5B3FC}" type="pres">
      <dgm:prSet presAssocID="{9F7D49B2-F3F1-B348-A134-961E584B6D40}" presName="text2" presStyleLbl="fgAcc2" presStyleIdx="3" presStyleCnt="9">
        <dgm:presLayoutVars>
          <dgm:chPref val="3"/>
        </dgm:presLayoutVars>
      </dgm:prSet>
      <dgm:spPr/>
    </dgm:pt>
    <dgm:pt modelId="{E479EC05-EAA3-B047-BF7D-44F508CD5F42}" type="pres">
      <dgm:prSet presAssocID="{9F7D49B2-F3F1-B348-A134-961E584B6D40}" presName="hierChild3" presStyleCnt="0"/>
      <dgm:spPr/>
    </dgm:pt>
    <dgm:pt modelId="{4CC6DAC1-CC3F-1641-A552-279793D06E7F}" type="pres">
      <dgm:prSet presAssocID="{EA74BCE8-8286-F54F-A412-F361803E3D1D}" presName="hierRoot1" presStyleCnt="0"/>
      <dgm:spPr/>
    </dgm:pt>
    <dgm:pt modelId="{D96DDF1F-2207-AE4D-84DB-B17F67D670A4}" type="pres">
      <dgm:prSet presAssocID="{EA74BCE8-8286-F54F-A412-F361803E3D1D}" presName="composite" presStyleCnt="0"/>
      <dgm:spPr/>
    </dgm:pt>
    <dgm:pt modelId="{F63FD2C0-EB26-3841-BB87-8F70EFC7CBCA}" type="pres">
      <dgm:prSet presAssocID="{EA74BCE8-8286-F54F-A412-F361803E3D1D}" presName="background" presStyleLbl="node0" presStyleIdx="1" presStyleCnt="2"/>
      <dgm:spPr/>
    </dgm:pt>
    <dgm:pt modelId="{DF39AE88-71D5-4D40-AD8F-7D6D9133C6B7}" type="pres">
      <dgm:prSet presAssocID="{EA74BCE8-8286-F54F-A412-F361803E3D1D}" presName="text" presStyleLbl="fgAcc0" presStyleIdx="1" presStyleCnt="2">
        <dgm:presLayoutVars>
          <dgm:chPref val="3"/>
        </dgm:presLayoutVars>
      </dgm:prSet>
      <dgm:spPr/>
    </dgm:pt>
    <dgm:pt modelId="{D0F716F6-51BB-F844-AC5B-501FDCDD41D0}" type="pres">
      <dgm:prSet presAssocID="{EA74BCE8-8286-F54F-A412-F361803E3D1D}" presName="hierChild2" presStyleCnt="0"/>
      <dgm:spPr/>
    </dgm:pt>
    <dgm:pt modelId="{D4EF7CF9-E31B-C346-812C-E62D4B8F70BF}" type="pres">
      <dgm:prSet presAssocID="{850C2292-012E-624F-B158-464FE97F83E7}" presName="Name10" presStyleLbl="parChTrans1D2" presStyleIdx="4" presStyleCnt="9"/>
      <dgm:spPr/>
    </dgm:pt>
    <dgm:pt modelId="{31305CB5-5760-6B4F-BB97-B9AB0F817837}" type="pres">
      <dgm:prSet presAssocID="{46DA1F51-0A71-4C4B-B84E-517CE7C07DF3}" presName="hierRoot2" presStyleCnt="0"/>
      <dgm:spPr/>
    </dgm:pt>
    <dgm:pt modelId="{A631BBAE-0FD7-3A41-8258-D6EE7D54DD6C}" type="pres">
      <dgm:prSet presAssocID="{46DA1F51-0A71-4C4B-B84E-517CE7C07DF3}" presName="composite2" presStyleCnt="0"/>
      <dgm:spPr/>
    </dgm:pt>
    <dgm:pt modelId="{80F831EB-6A46-AA4C-87C3-70D01E69E434}" type="pres">
      <dgm:prSet presAssocID="{46DA1F51-0A71-4C4B-B84E-517CE7C07DF3}" presName="background2" presStyleLbl="node2" presStyleIdx="4" presStyleCnt="9"/>
      <dgm:spPr/>
    </dgm:pt>
    <dgm:pt modelId="{AB5E76D9-E75F-7841-A9C9-86F5CB72068C}" type="pres">
      <dgm:prSet presAssocID="{46DA1F51-0A71-4C4B-B84E-517CE7C07DF3}" presName="text2" presStyleLbl="fgAcc2" presStyleIdx="4" presStyleCnt="9">
        <dgm:presLayoutVars>
          <dgm:chPref val="3"/>
        </dgm:presLayoutVars>
      </dgm:prSet>
      <dgm:spPr/>
    </dgm:pt>
    <dgm:pt modelId="{7D05631B-102B-AE4E-81A6-9A1D99271066}" type="pres">
      <dgm:prSet presAssocID="{46DA1F51-0A71-4C4B-B84E-517CE7C07DF3}" presName="hierChild3" presStyleCnt="0"/>
      <dgm:spPr/>
    </dgm:pt>
    <dgm:pt modelId="{DAE847A0-C9A9-5643-B8F6-06D8460FB4E1}" type="pres">
      <dgm:prSet presAssocID="{026BB5C1-C890-CD47-8D4D-59E4DD4950B9}" presName="Name10" presStyleLbl="parChTrans1D2" presStyleIdx="5" presStyleCnt="9"/>
      <dgm:spPr/>
    </dgm:pt>
    <dgm:pt modelId="{F96F1815-68D5-EE41-BCD8-A32DFC823912}" type="pres">
      <dgm:prSet presAssocID="{D1C17F47-1012-D648-8E95-49FDF6781DE6}" presName="hierRoot2" presStyleCnt="0"/>
      <dgm:spPr/>
    </dgm:pt>
    <dgm:pt modelId="{DE30F467-3DAD-7A40-9640-FA8CD41EF489}" type="pres">
      <dgm:prSet presAssocID="{D1C17F47-1012-D648-8E95-49FDF6781DE6}" presName="composite2" presStyleCnt="0"/>
      <dgm:spPr/>
    </dgm:pt>
    <dgm:pt modelId="{51D20668-9A2E-294E-AB36-8EA27ED043C5}" type="pres">
      <dgm:prSet presAssocID="{D1C17F47-1012-D648-8E95-49FDF6781DE6}" presName="background2" presStyleLbl="node2" presStyleIdx="5" presStyleCnt="9"/>
      <dgm:spPr/>
    </dgm:pt>
    <dgm:pt modelId="{4E36ED78-809B-3B41-8A92-C100781B81B4}" type="pres">
      <dgm:prSet presAssocID="{D1C17F47-1012-D648-8E95-49FDF6781DE6}" presName="text2" presStyleLbl="fgAcc2" presStyleIdx="5" presStyleCnt="9">
        <dgm:presLayoutVars>
          <dgm:chPref val="3"/>
        </dgm:presLayoutVars>
      </dgm:prSet>
      <dgm:spPr/>
    </dgm:pt>
    <dgm:pt modelId="{4D03B418-BAA9-D54E-B36F-51ED2CF333B1}" type="pres">
      <dgm:prSet presAssocID="{D1C17F47-1012-D648-8E95-49FDF6781DE6}" presName="hierChild3" presStyleCnt="0"/>
      <dgm:spPr/>
    </dgm:pt>
    <dgm:pt modelId="{F09C74F0-AB10-7A4F-8F60-4EB4DA482FCC}" type="pres">
      <dgm:prSet presAssocID="{E00AA3CF-349F-A64E-8780-18F82CF38F6B}" presName="Name10" presStyleLbl="parChTrans1D2" presStyleIdx="6" presStyleCnt="9"/>
      <dgm:spPr/>
    </dgm:pt>
    <dgm:pt modelId="{1207A0DC-09E9-F847-986C-82170750A295}" type="pres">
      <dgm:prSet presAssocID="{66E2B51F-EF4C-724A-975F-62DF07134C61}" presName="hierRoot2" presStyleCnt="0"/>
      <dgm:spPr/>
    </dgm:pt>
    <dgm:pt modelId="{46795901-9F5C-5B4B-9C76-6414356696F9}" type="pres">
      <dgm:prSet presAssocID="{66E2B51F-EF4C-724A-975F-62DF07134C61}" presName="composite2" presStyleCnt="0"/>
      <dgm:spPr/>
    </dgm:pt>
    <dgm:pt modelId="{6B3D90B1-8A8D-7645-A930-48BC50EDFF15}" type="pres">
      <dgm:prSet presAssocID="{66E2B51F-EF4C-724A-975F-62DF07134C61}" presName="background2" presStyleLbl="node2" presStyleIdx="6" presStyleCnt="9"/>
      <dgm:spPr/>
    </dgm:pt>
    <dgm:pt modelId="{5ACD2AD1-8C84-8340-96E3-CB1B1E7AE03C}" type="pres">
      <dgm:prSet presAssocID="{66E2B51F-EF4C-724A-975F-62DF07134C61}" presName="text2" presStyleLbl="fgAcc2" presStyleIdx="6" presStyleCnt="9">
        <dgm:presLayoutVars>
          <dgm:chPref val="3"/>
        </dgm:presLayoutVars>
      </dgm:prSet>
      <dgm:spPr/>
    </dgm:pt>
    <dgm:pt modelId="{832537D1-657D-2846-B0D2-D25EF1AC6BBD}" type="pres">
      <dgm:prSet presAssocID="{66E2B51F-EF4C-724A-975F-62DF07134C61}" presName="hierChild3" presStyleCnt="0"/>
      <dgm:spPr/>
    </dgm:pt>
    <dgm:pt modelId="{FBE618B6-0F27-8741-ADFC-F57066B31D8E}" type="pres">
      <dgm:prSet presAssocID="{687F9266-0608-424F-9BCE-08B9288B52DB}" presName="Name10" presStyleLbl="parChTrans1D2" presStyleIdx="7" presStyleCnt="9"/>
      <dgm:spPr/>
    </dgm:pt>
    <dgm:pt modelId="{08120609-2908-C448-BF48-34D403DF8944}" type="pres">
      <dgm:prSet presAssocID="{7AFA7C4C-B519-C043-9F64-4FBA6E65D65D}" presName="hierRoot2" presStyleCnt="0"/>
      <dgm:spPr/>
    </dgm:pt>
    <dgm:pt modelId="{D0955872-E14E-4941-AE0F-350DCB443872}" type="pres">
      <dgm:prSet presAssocID="{7AFA7C4C-B519-C043-9F64-4FBA6E65D65D}" presName="composite2" presStyleCnt="0"/>
      <dgm:spPr/>
    </dgm:pt>
    <dgm:pt modelId="{F369138D-B910-3B4E-B8D0-3878828043B7}" type="pres">
      <dgm:prSet presAssocID="{7AFA7C4C-B519-C043-9F64-4FBA6E65D65D}" presName="background2" presStyleLbl="node2" presStyleIdx="7" presStyleCnt="9"/>
      <dgm:spPr/>
    </dgm:pt>
    <dgm:pt modelId="{916927D8-9534-444A-93A6-64FD3C4A5DA7}" type="pres">
      <dgm:prSet presAssocID="{7AFA7C4C-B519-C043-9F64-4FBA6E65D65D}" presName="text2" presStyleLbl="fgAcc2" presStyleIdx="7" presStyleCnt="9">
        <dgm:presLayoutVars>
          <dgm:chPref val="3"/>
        </dgm:presLayoutVars>
      </dgm:prSet>
      <dgm:spPr/>
    </dgm:pt>
    <dgm:pt modelId="{977E19E7-66A8-C749-9303-A8D3209FEBCC}" type="pres">
      <dgm:prSet presAssocID="{7AFA7C4C-B519-C043-9F64-4FBA6E65D65D}" presName="hierChild3" presStyleCnt="0"/>
      <dgm:spPr/>
    </dgm:pt>
    <dgm:pt modelId="{1128BCB1-EBF9-F045-B28E-277D3212F52A}" type="pres">
      <dgm:prSet presAssocID="{08A9B950-3D6E-AE4C-9FDF-1B1E083FD18F}" presName="Name17" presStyleLbl="parChTrans1D3" presStyleIdx="0" presStyleCnt="7"/>
      <dgm:spPr/>
    </dgm:pt>
    <dgm:pt modelId="{A3970BC3-825C-A54D-B34B-0AE730F6DE03}" type="pres">
      <dgm:prSet presAssocID="{896B75CD-E6F8-954B-8B02-3EEF7EF4049D}" presName="hierRoot3" presStyleCnt="0"/>
      <dgm:spPr/>
    </dgm:pt>
    <dgm:pt modelId="{224CC5F0-EED1-9142-8AA0-11F806954379}" type="pres">
      <dgm:prSet presAssocID="{896B75CD-E6F8-954B-8B02-3EEF7EF4049D}" presName="composite3" presStyleCnt="0"/>
      <dgm:spPr/>
    </dgm:pt>
    <dgm:pt modelId="{57698581-91CD-6448-9F2C-279F497B98A0}" type="pres">
      <dgm:prSet presAssocID="{896B75CD-E6F8-954B-8B02-3EEF7EF4049D}" presName="background3" presStyleLbl="node3" presStyleIdx="0" presStyleCnt="7"/>
      <dgm:spPr/>
    </dgm:pt>
    <dgm:pt modelId="{79D5F13B-2219-B943-8A9E-747361CA0154}" type="pres">
      <dgm:prSet presAssocID="{896B75CD-E6F8-954B-8B02-3EEF7EF4049D}" presName="text3" presStyleLbl="fgAcc3" presStyleIdx="0" presStyleCnt="7">
        <dgm:presLayoutVars>
          <dgm:chPref val="3"/>
        </dgm:presLayoutVars>
      </dgm:prSet>
      <dgm:spPr/>
    </dgm:pt>
    <dgm:pt modelId="{3BA8CA74-42BA-C44E-891A-C4775864917D}" type="pres">
      <dgm:prSet presAssocID="{896B75CD-E6F8-954B-8B02-3EEF7EF4049D}" presName="hierChild4" presStyleCnt="0"/>
      <dgm:spPr/>
    </dgm:pt>
    <dgm:pt modelId="{113A4631-3B9C-A04F-9552-4C32384D597A}" type="pres">
      <dgm:prSet presAssocID="{29B3CDA9-8635-6D46-BF2C-00BF3AE801AC}" presName="Name17" presStyleLbl="parChTrans1D3" presStyleIdx="1" presStyleCnt="7"/>
      <dgm:spPr/>
    </dgm:pt>
    <dgm:pt modelId="{DC8911EC-2123-0948-9A0F-6F5D12E2152A}" type="pres">
      <dgm:prSet presAssocID="{EDF82C6D-DD08-584F-B79C-A410BA304451}" presName="hierRoot3" presStyleCnt="0"/>
      <dgm:spPr/>
    </dgm:pt>
    <dgm:pt modelId="{BBC59366-E61C-3E4C-918A-DAB1F9EECF54}" type="pres">
      <dgm:prSet presAssocID="{EDF82C6D-DD08-584F-B79C-A410BA304451}" presName="composite3" presStyleCnt="0"/>
      <dgm:spPr/>
    </dgm:pt>
    <dgm:pt modelId="{C2B775D7-6579-8D49-A7DF-6437C1EB6DF0}" type="pres">
      <dgm:prSet presAssocID="{EDF82C6D-DD08-584F-B79C-A410BA304451}" presName="background3" presStyleLbl="node3" presStyleIdx="1" presStyleCnt="7"/>
      <dgm:spPr/>
    </dgm:pt>
    <dgm:pt modelId="{C586D542-C223-C74F-B4DE-C0EBC3AB945E}" type="pres">
      <dgm:prSet presAssocID="{EDF82C6D-DD08-584F-B79C-A410BA304451}" presName="text3" presStyleLbl="fgAcc3" presStyleIdx="1" presStyleCnt="7">
        <dgm:presLayoutVars>
          <dgm:chPref val="3"/>
        </dgm:presLayoutVars>
      </dgm:prSet>
      <dgm:spPr/>
    </dgm:pt>
    <dgm:pt modelId="{690A733D-6E1C-4F44-A09F-0CBB978D5DE1}" type="pres">
      <dgm:prSet presAssocID="{EDF82C6D-DD08-584F-B79C-A410BA304451}" presName="hierChild4" presStyleCnt="0"/>
      <dgm:spPr/>
    </dgm:pt>
    <dgm:pt modelId="{20A8ECAF-12EF-AA46-8DAA-9D9374736F19}" type="pres">
      <dgm:prSet presAssocID="{39E852DD-855F-A54B-B95E-44EB617901CC}" presName="Name17" presStyleLbl="parChTrans1D3" presStyleIdx="2" presStyleCnt="7"/>
      <dgm:spPr/>
    </dgm:pt>
    <dgm:pt modelId="{B81442CF-1419-3B4B-A84D-EFB54E765526}" type="pres">
      <dgm:prSet presAssocID="{D4009FDA-4DCA-104C-B2B8-EA925EF42E10}" presName="hierRoot3" presStyleCnt="0"/>
      <dgm:spPr/>
    </dgm:pt>
    <dgm:pt modelId="{73C073A8-5CD0-C54E-846C-029CBD9534B8}" type="pres">
      <dgm:prSet presAssocID="{D4009FDA-4DCA-104C-B2B8-EA925EF42E10}" presName="composite3" presStyleCnt="0"/>
      <dgm:spPr/>
    </dgm:pt>
    <dgm:pt modelId="{5625FE7D-5310-674C-86E1-22ED70EBDB24}" type="pres">
      <dgm:prSet presAssocID="{D4009FDA-4DCA-104C-B2B8-EA925EF42E10}" presName="background3" presStyleLbl="node3" presStyleIdx="2" presStyleCnt="7"/>
      <dgm:spPr/>
    </dgm:pt>
    <dgm:pt modelId="{828C8C10-6842-F04C-BF35-B99548FA9C45}" type="pres">
      <dgm:prSet presAssocID="{D4009FDA-4DCA-104C-B2B8-EA925EF42E10}" presName="text3" presStyleLbl="fgAcc3" presStyleIdx="2" presStyleCnt="7">
        <dgm:presLayoutVars>
          <dgm:chPref val="3"/>
        </dgm:presLayoutVars>
      </dgm:prSet>
      <dgm:spPr/>
    </dgm:pt>
    <dgm:pt modelId="{A99B20D3-0FE0-6D41-A279-65FE35616ECB}" type="pres">
      <dgm:prSet presAssocID="{D4009FDA-4DCA-104C-B2B8-EA925EF42E10}" presName="hierChild4" presStyleCnt="0"/>
      <dgm:spPr/>
    </dgm:pt>
    <dgm:pt modelId="{391A0671-0043-C74A-AF0A-AE2DF363EEFE}" type="pres">
      <dgm:prSet presAssocID="{1DE2BD8F-FB43-104F-8452-28BF82FF125E}" presName="Name17" presStyleLbl="parChTrans1D3" presStyleIdx="3" presStyleCnt="7"/>
      <dgm:spPr/>
    </dgm:pt>
    <dgm:pt modelId="{ABE47942-AA63-0746-ABF7-5E15FC7D2B9B}" type="pres">
      <dgm:prSet presAssocID="{EB55B8F7-78A3-2C44-8BFB-F21BC9513EC7}" presName="hierRoot3" presStyleCnt="0"/>
      <dgm:spPr/>
    </dgm:pt>
    <dgm:pt modelId="{BB57C71E-B74F-B94F-AD07-CDD8092CC244}" type="pres">
      <dgm:prSet presAssocID="{EB55B8F7-78A3-2C44-8BFB-F21BC9513EC7}" presName="composite3" presStyleCnt="0"/>
      <dgm:spPr/>
    </dgm:pt>
    <dgm:pt modelId="{6BF8E45B-0E59-4C44-A862-AC556128919D}" type="pres">
      <dgm:prSet presAssocID="{EB55B8F7-78A3-2C44-8BFB-F21BC9513EC7}" presName="background3" presStyleLbl="node3" presStyleIdx="3" presStyleCnt="7"/>
      <dgm:spPr/>
    </dgm:pt>
    <dgm:pt modelId="{7C55C07C-E30B-D245-BDF9-4508CBE6DF78}" type="pres">
      <dgm:prSet presAssocID="{EB55B8F7-78A3-2C44-8BFB-F21BC9513EC7}" presName="text3" presStyleLbl="fgAcc3" presStyleIdx="3" presStyleCnt="7">
        <dgm:presLayoutVars>
          <dgm:chPref val="3"/>
        </dgm:presLayoutVars>
      </dgm:prSet>
      <dgm:spPr/>
    </dgm:pt>
    <dgm:pt modelId="{42F3965E-0F2B-7441-86FA-8978DFEC367B}" type="pres">
      <dgm:prSet presAssocID="{EB55B8F7-78A3-2C44-8BFB-F21BC9513EC7}" presName="hierChild4" presStyleCnt="0"/>
      <dgm:spPr/>
    </dgm:pt>
    <dgm:pt modelId="{41FADDEE-D9B3-6D4D-9C4E-8A1BDF4BDCFB}" type="pres">
      <dgm:prSet presAssocID="{B058ED62-2A47-4346-ADD8-7A17841B018D}" presName="Name10" presStyleLbl="parChTrans1D2" presStyleIdx="8" presStyleCnt="9"/>
      <dgm:spPr/>
    </dgm:pt>
    <dgm:pt modelId="{FCEB89CD-550B-7E45-A37B-310E498D1EDB}" type="pres">
      <dgm:prSet presAssocID="{B90EAF5F-9E20-8A4C-A1FA-0A8D086C8777}" presName="hierRoot2" presStyleCnt="0"/>
      <dgm:spPr/>
    </dgm:pt>
    <dgm:pt modelId="{D215A494-CA36-D04E-AC09-BD0404D52430}" type="pres">
      <dgm:prSet presAssocID="{B90EAF5F-9E20-8A4C-A1FA-0A8D086C8777}" presName="composite2" presStyleCnt="0"/>
      <dgm:spPr/>
    </dgm:pt>
    <dgm:pt modelId="{18BD96C3-BE39-DF42-A2E8-43533B4D1EC5}" type="pres">
      <dgm:prSet presAssocID="{B90EAF5F-9E20-8A4C-A1FA-0A8D086C8777}" presName="background2" presStyleLbl="node2" presStyleIdx="8" presStyleCnt="9"/>
      <dgm:spPr/>
    </dgm:pt>
    <dgm:pt modelId="{22F61E58-FB43-7349-9FF7-C8A07B269540}" type="pres">
      <dgm:prSet presAssocID="{B90EAF5F-9E20-8A4C-A1FA-0A8D086C8777}" presName="text2" presStyleLbl="fgAcc2" presStyleIdx="8" presStyleCnt="9">
        <dgm:presLayoutVars>
          <dgm:chPref val="3"/>
        </dgm:presLayoutVars>
      </dgm:prSet>
      <dgm:spPr/>
    </dgm:pt>
    <dgm:pt modelId="{168CDAAC-7C0C-AE44-AA44-97CB889D0C1E}" type="pres">
      <dgm:prSet presAssocID="{B90EAF5F-9E20-8A4C-A1FA-0A8D086C8777}" presName="hierChild3" presStyleCnt="0"/>
      <dgm:spPr/>
    </dgm:pt>
    <dgm:pt modelId="{C44191EA-6632-784B-9266-D608E2183141}" type="pres">
      <dgm:prSet presAssocID="{B231A65F-3FE6-D146-A48D-D5AECA273577}" presName="Name17" presStyleLbl="parChTrans1D3" presStyleIdx="4" presStyleCnt="7"/>
      <dgm:spPr/>
    </dgm:pt>
    <dgm:pt modelId="{389BB894-C2F5-EF49-A270-7C2F2F14ACC2}" type="pres">
      <dgm:prSet presAssocID="{F27724E7-C581-3340-B814-B3B6D7002B4D}" presName="hierRoot3" presStyleCnt="0"/>
      <dgm:spPr/>
    </dgm:pt>
    <dgm:pt modelId="{6E25BCB7-F9A2-1543-BD9D-60E8B43E45E2}" type="pres">
      <dgm:prSet presAssocID="{F27724E7-C581-3340-B814-B3B6D7002B4D}" presName="composite3" presStyleCnt="0"/>
      <dgm:spPr/>
    </dgm:pt>
    <dgm:pt modelId="{E121ACC2-56B1-134C-A7B5-196E98D23F22}" type="pres">
      <dgm:prSet presAssocID="{F27724E7-C581-3340-B814-B3B6D7002B4D}" presName="background3" presStyleLbl="node3" presStyleIdx="4" presStyleCnt="7"/>
      <dgm:spPr/>
    </dgm:pt>
    <dgm:pt modelId="{3D5C6C9D-489A-D344-9B7E-D7AFEF6A40B7}" type="pres">
      <dgm:prSet presAssocID="{F27724E7-C581-3340-B814-B3B6D7002B4D}" presName="text3" presStyleLbl="fgAcc3" presStyleIdx="4" presStyleCnt="7">
        <dgm:presLayoutVars>
          <dgm:chPref val="3"/>
        </dgm:presLayoutVars>
      </dgm:prSet>
      <dgm:spPr/>
    </dgm:pt>
    <dgm:pt modelId="{9AFA9C32-458D-4F43-85CA-7FCA4DDF980D}" type="pres">
      <dgm:prSet presAssocID="{F27724E7-C581-3340-B814-B3B6D7002B4D}" presName="hierChild4" presStyleCnt="0"/>
      <dgm:spPr/>
    </dgm:pt>
    <dgm:pt modelId="{A5A2A504-6CC3-2148-AD94-05EBD83A2803}" type="pres">
      <dgm:prSet presAssocID="{BF228F23-CCD5-EF4F-8CB9-2216B251CA1E}" presName="Name17" presStyleLbl="parChTrans1D3" presStyleIdx="5" presStyleCnt="7"/>
      <dgm:spPr/>
    </dgm:pt>
    <dgm:pt modelId="{571A5D1F-C0A5-1E47-8285-C6D96A00EE45}" type="pres">
      <dgm:prSet presAssocID="{83C7DD87-481B-8842-B45D-8C19C060E2CE}" presName="hierRoot3" presStyleCnt="0"/>
      <dgm:spPr/>
    </dgm:pt>
    <dgm:pt modelId="{30FDA631-6995-ED4C-8709-73583EB5CA0D}" type="pres">
      <dgm:prSet presAssocID="{83C7DD87-481B-8842-B45D-8C19C060E2CE}" presName="composite3" presStyleCnt="0"/>
      <dgm:spPr/>
    </dgm:pt>
    <dgm:pt modelId="{4C98A98D-DD01-A145-A88E-5F53D9819F28}" type="pres">
      <dgm:prSet presAssocID="{83C7DD87-481B-8842-B45D-8C19C060E2CE}" presName="background3" presStyleLbl="node3" presStyleIdx="5" presStyleCnt="7"/>
      <dgm:spPr/>
    </dgm:pt>
    <dgm:pt modelId="{9C8BF799-0592-404B-A674-688B0FFD6025}" type="pres">
      <dgm:prSet presAssocID="{83C7DD87-481B-8842-B45D-8C19C060E2CE}" presName="text3" presStyleLbl="fgAcc3" presStyleIdx="5" presStyleCnt="7">
        <dgm:presLayoutVars>
          <dgm:chPref val="3"/>
        </dgm:presLayoutVars>
      </dgm:prSet>
      <dgm:spPr/>
    </dgm:pt>
    <dgm:pt modelId="{F149D5F3-FB3F-2248-8F20-AE126C2FAD9C}" type="pres">
      <dgm:prSet presAssocID="{83C7DD87-481B-8842-B45D-8C19C060E2CE}" presName="hierChild4" presStyleCnt="0"/>
      <dgm:spPr/>
    </dgm:pt>
    <dgm:pt modelId="{35F93BAB-D9D9-3349-BBBF-507AB647DB28}" type="pres">
      <dgm:prSet presAssocID="{B3142B07-0A56-8A40-BCD3-356A162DE8D4}" presName="Name17" presStyleLbl="parChTrans1D3" presStyleIdx="6" presStyleCnt="7"/>
      <dgm:spPr/>
    </dgm:pt>
    <dgm:pt modelId="{01FBF791-0876-BB45-B263-9FC4B6918241}" type="pres">
      <dgm:prSet presAssocID="{E39F897C-1211-5B47-8EB2-12070F86DF4C}" presName="hierRoot3" presStyleCnt="0"/>
      <dgm:spPr/>
    </dgm:pt>
    <dgm:pt modelId="{927F39F6-4801-7C49-9805-422C8BA39C9D}" type="pres">
      <dgm:prSet presAssocID="{E39F897C-1211-5B47-8EB2-12070F86DF4C}" presName="composite3" presStyleCnt="0"/>
      <dgm:spPr/>
    </dgm:pt>
    <dgm:pt modelId="{023BE9EA-3B8B-B44F-A161-F91AF7924DAD}" type="pres">
      <dgm:prSet presAssocID="{E39F897C-1211-5B47-8EB2-12070F86DF4C}" presName="background3" presStyleLbl="node3" presStyleIdx="6" presStyleCnt="7"/>
      <dgm:spPr/>
    </dgm:pt>
    <dgm:pt modelId="{BACA0344-C9F8-7F45-B67E-E69A88798385}" type="pres">
      <dgm:prSet presAssocID="{E39F897C-1211-5B47-8EB2-12070F86DF4C}" presName="text3" presStyleLbl="fgAcc3" presStyleIdx="6" presStyleCnt="7">
        <dgm:presLayoutVars>
          <dgm:chPref val="3"/>
        </dgm:presLayoutVars>
      </dgm:prSet>
      <dgm:spPr/>
    </dgm:pt>
    <dgm:pt modelId="{0183F45E-7066-5A4F-8B8C-2774536F9BC0}" type="pres">
      <dgm:prSet presAssocID="{E39F897C-1211-5B47-8EB2-12070F86DF4C}" presName="hierChild4" presStyleCnt="0"/>
      <dgm:spPr/>
    </dgm:pt>
  </dgm:ptLst>
  <dgm:cxnLst>
    <dgm:cxn modelId="{BF627111-1706-9648-AC6A-1224C3DF9ED7}" type="presOf" srcId="{B058ED62-2A47-4346-ADD8-7A17841B018D}" destId="{41FADDEE-D9B3-6D4D-9C4E-8A1BDF4BDCFB}" srcOrd="0" destOrd="0" presId="urn:microsoft.com/office/officeart/2005/8/layout/hierarchy1"/>
    <dgm:cxn modelId="{29B56513-580F-D04F-B808-4C67D509B6F9}" type="presOf" srcId="{D4009FDA-4DCA-104C-B2B8-EA925EF42E10}" destId="{828C8C10-6842-F04C-BF35-B99548FA9C45}" srcOrd="0" destOrd="0" presId="urn:microsoft.com/office/officeart/2005/8/layout/hierarchy1"/>
    <dgm:cxn modelId="{38FF0C1B-C49B-C649-90FF-1A601D3F01DD}" type="presOf" srcId="{83D85010-A3E0-734A-96A0-50B6BFBDC5BB}" destId="{9FA492B0-1639-5042-BAE6-19B65EADDFA9}" srcOrd="0" destOrd="0" presId="urn:microsoft.com/office/officeart/2005/8/layout/hierarchy1"/>
    <dgm:cxn modelId="{B8641E1B-5F25-7C47-9FDA-5EF017F282FB}" srcId="{7BDFFA44-B17E-504F-A865-60178A014E0B}" destId="{9F7D49B2-F3F1-B348-A134-961E584B6D40}" srcOrd="3" destOrd="0" parTransId="{7093AA7E-BB38-E847-A7C7-A35E80D83353}" sibTransId="{0B3B4D07-01EA-7D48-ABE8-AF345084ABA8}"/>
    <dgm:cxn modelId="{FE76401C-423D-004C-9078-2606F97D7C30}" type="presOf" srcId="{E00AA3CF-349F-A64E-8780-18F82CF38F6B}" destId="{F09C74F0-AB10-7A4F-8F60-4EB4DA482FCC}" srcOrd="0" destOrd="0" presId="urn:microsoft.com/office/officeart/2005/8/layout/hierarchy1"/>
    <dgm:cxn modelId="{2DEB8D1D-F30D-6646-B579-5F0D324C83C0}" type="presOf" srcId="{66E2B51F-EF4C-724A-975F-62DF07134C61}" destId="{5ACD2AD1-8C84-8340-96E3-CB1B1E7AE03C}" srcOrd="0" destOrd="0" presId="urn:microsoft.com/office/officeart/2005/8/layout/hierarchy1"/>
    <dgm:cxn modelId="{A0AC2B1F-F601-AC4E-9E26-BF27D5FF5B06}" type="presOf" srcId="{7093AA7E-BB38-E847-A7C7-A35E80D83353}" destId="{1CEA797F-FFD6-AD46-929F-BD85D2FF1829}" srcOrd="0" destOrd="0" presId="urn:microsoft.com/office/officeart/2005/8/layout/hierarchy1"/>
    <dgm:cxn modelId="{77882B22-73B3-CE42-B7E6-01E9FD0FA4E2}" type="presOf" srcId="{B90EAF5F-9E20-8A4C-A1FA-0A8D086C8777}" destId="{22F61E58-FB43-7349-9FF7-C8A07B269540}" srcOrd="0" destOrd="0" presId="urn:microsoft.com/office/officeart/2005/8/layout/hierarchy1"/>
    <dgm:cxn modelId="{6F2B4A2A-5D77-6340-B81A-B0287447B127}" srcId="{EA74BCE8-8286-F54F-A412-F361803E3D1D}" destId="{D1C17F47-1012-D648-8E95-49FDF6781DE6}" srcOrd="1" destOrd="0" parTransId="{026BB5C1-C890-CD47-8D4D-59E4DD4950B9}" sibTransId="{75202DD5-E7AE-054D-B86A-A32CF8D116D6}"/>
    <dgm:cxn modelId="{8717382C-C95A-5148-81A3-AB028E22605E}" type="presOf" srcId="{9F7D49B2-F3F1-B348-A134-961E584B6D40}" destId="{C5957A8D-4382-704C-BD4E-53D605A5B3FC}" srcOrd="0" destOrd="0" presId="urn:microsoft.com/office/officeart/2005/8/layout/hierarchy1"/>
    <dgm:cxn modelId="{F297B933-FB01-A64D-91E9-B4E7193B9FE1}" type="presOf" srcId="{687F9266-0608-424F-9BCE-08B9288B52DB}" destId="{FBE618B6-0F27-8741-ADFC-F57066B31D8E}" srcOrd="0" destOrd="0" presId="urn:microsoft.com/office/officeart/2005/8/layout/hierarchy1"/>
    <dgm:cxn modelId="{4A34F235-79F2-F94C-B069-1C3D34C389D1}" srcId="{CFC8FAFB-3946-864E-85FA-9F6FF456E02B}" destId="{7BDFFA44-B17E-504F-A865-60178A014E0B}" srcOrd="0" destOrd="0" parTransId="{76135521-8F07-134F-B13E-CC02F86711B8}" sibTransId="{93DD4F23-9285-8447-BD2D-BFF4423F6716}"/>
    <dgm:cxn modelId="{4F53BD38-DA5F-B44F-83D9-30E2A6224B0D}" srcId="{7BDFFA44-B17E-504F-A865-60178A014E0B}" destId="{0AF4517A-5F57-4D44-8F06-0C2D853A6717}" srcOrd="0" destOrd="0" parTransId="{5CEC55A7-245E-1846-B5B9-7AC6DBA715FA}" sibTransId="{6C664A8F-6E68-6546-85E1-91B7FCB2A87C}"/>
    <dgm:cxn modelId="{B09F9C39-773C-654C-B3E7-38794A35D020}" type="presOf" srcId="{7AFA7C4C-B519-C043-9F64-4FBA6E65D65D}" destId="{916927D8-9534-444A-93A6-64FD3C4A5DA7}" srcOrd="0" destOrd="0" presId="urn:microsoft.com/office/officeart/2005/8/layout/hierarchy1"/>
    <dgm:cxn modelId="{31CB7C3A-0CDC-1946-9B1D-36BB0D27859D}" type="presOf" srcId="{0AF4517A-5F57-4D44-8F06-0C2D853A6717}" destId="{C66F35B1-1574-6E4F-B8D2-8403B521738F}" srcOrd="0" destOrd="0" presId="urn:microsoft.com/office/officeart/2005/8/layout/hierarchy1"/>
    <dgm:cxn modelId="{E76E2F43-E426-3844-97CC-540CEF1248C6}" srcId="{B90EAF5F-9E20-8A4C-A1FA-0A8D086C8777}" destId="{83C7DD87-481B-8842-B45D-8C19C060E2CE}" srcOrd="1" destOrd="0" parTransId="{BF228F23-CCD5-EF4F-8CB9-2216B251CA1E}" sibTransId="{BDC81A4B-920A-9E42-AF9F-FEDA983E9B7B}"/>
    <dgm:cxn modelId="{38C12B46-06DE-EA43-9927-F6230C8CDE04}" type="presOf" srcId="{CFC8FAFB-3946-864E-85FA-9F6FF456E02B}" destId="{CFD82EBA-8FFA-5047-A70C-3790031357F4}" srcOrd="0" destOrd="0" presId="urn:microsoft.com/office/officeart/2005/8/layout/hierarchy1"/>
    <dgm:cxn modelId="{BA427646-1134-D646-B446-D87CEC6A6EAC}" type="presOf" srcId="{E8D6546F-EAF5-4D48-8B9E-F90BD7487A9B}" destId="{58AEE22D-B454-3845-B1EA-2235BF5C6ED7}" srcOrd="0" destOrd="0" presId="urn:microsoft.com/office/officeart/2005/8/layout/hierarchy1"/>
    <dgm:cxn modelId="{15C4FC4D-0D0A-9240-BB2B-83B8B8D93B9E}" srcId="{CFC8FAFB-3946-864E-85FA-9F6FF456E02B}" destId="{EA74BCE8-8286-F54F-A412-F361803E3D1D}" srcOrd="1" destOrd="0" parTransId="{DB8FB3FB-6F55-9949-B483-A2B0BCC1FEAD}" sibTransId="{00BFDD58-D441-6241-8869-77A51CD6F796}"/>
    <dgm:cxn modelId="{9B4A0C50-4739-D74A-867A-F7BCCDD6D45F}" type="presOf" srcId="{08A9B950-3D6E-AE4C-9FDF-1B1E083FD18F}" destId="{1128BCB1-EBF9-F045-B28E-277D3212F52A}" srcOrd="0" destOrd="0" presId="urn:microsoft.com/office/officeart/2005/8/layout/hierarchy1"/>
    <dgm:cxn modelId="{C5576667-54A9-E944-8F9B-4DC7869CA20B}" srcId="{EA74BCE8-8286-F54F-A412-F361803E3D1D}" destId="{7AFA7C4C-B519-C043-9F64-4FBA6E65D65D}" srcOrd="3" destOrd="0" parTransId="{687F9266-0608-424F-9BCE-08B9288B52DB}" sibTransId="{76535812-0948-EA4A-9BC8-FDEC62F479FF}"/>
    <dgm:cxn modelId="{EF43D968-CAFA-6B44-98C2-D5259678F601}" type="presOf" srcId="{5CEC55A7-245E-1846-B5B9-7AC6DBA715FA}" destId="{01881E9D-2E18-D14E-84DA-889562DD0DEE}" srcOrd="0" destOrd="0" presId="urn:microsoft.com/office/officeart/2005/8/layout/hierarchy1"/>
    <dgm:cxn modelId="{AD8E4470-A197-D247-88F6-D7BDE990EA86}" type="presOf" srcId="{E39F897C-1211-5B47-8EB2-12070F86DF4C}" destId="{BACA0344-C9F8-7F45-B67E-E69A88798385}" srcOrd="0" destOrd="0" presId="urn:microsoft.com/office/officeart/2005/8/layout/hierarchy1"/>
    <dgm:cxn modelId="{6CF8C774-ACBB-9B46-8F93-833CFACDD37A}" type="presOf" srcId="{504A0A4D-45B4-A246-BD7E-F72036E76184}" destId="{D9FE1A9A-9A38-E64A-9C85-8294095D4D70}" srcOrd="0" destOrd="0" presId="urn:microsoft.com/office/officeart/2005/8/layout/hierarchy1"/>
    <dgm:cxn modelId="{FF484A76-E848-6348-8412-33282B3254C9}" srcId="{7AFA7C4C-B519-C043-9F64-4FBA6E65D65D}" destId="{EB55B8F7-78A3-2C44-8BFB-F21BC9513EC7}" srcOrd="3" destOrd="0" parTransId="{1DE2BD8F-FB43-104F-8452-28BF82FF125E}" sibTransId="{F93B6F6A-E403-A94E-9F01-AD426D2EC562}"/>
    <dgm:cxn modelId="{205DBF7E-5B46-C84B-BDDF-6DE00F62E2E4}" srcId="{B90EAF5F-9E20-8A4C-A1FA-0A8D086C8777}" destId="{E39F897C-1211-5B47-8EB2-12070F86DF4C}" srcOrd="2" destOrd="0" parTransId="{B3142B07-0A56-8A40-BCD3-356A162DE8D4}" sibTransId="{2542ACFF-860A-3F43-B92B-FD07EA127B09}"/>
    <dgm:cxn modelId="{50E92E7F-34AD-FD41-8DC1-AAFBC51673FE}" srcId="{EA74BCE8-8286-F54F-A412-F361803E3D1D}" destId="{B90EAF5F-9E20-8A4C-A1FA-0A8D086C8777}" srcOrd="4" destOrd="0" parTransId="{B058ED62-2A47-4346-ADD8-7A17841B018D}" sibTransId="{798CB4F7-BC44-9E40-821E-612F9843197F}"/>
    <dgm:cxn modelId="{5CA3437F-4D26-1E48-9852-CB10511FF39E}" type="presOf" srcId="{BF228F23-CCD5-EF4F-8CB9-2216B251CA1E}" destId="{A5A2A504-6CC3-2148-AD94-05EBD83A2803}" srcOrd="0" destOrd="0" presId="urn:microsoft.com/office/officeart/2005/8/layout/hierarchy1"/>
    <dgm:cxn modelId="{6DCEA881-7C52-FE4C-9EEC-CA1BE9C6A91C}" type="presOf" srcId="{B3142B07-0A56-8A40-BCD3-356A162DE8D4}" destId="{35F93BAB-D9D9-3349-BBBF-507AB647DB28}" srcOrd="0" destOrd="0" presId="urn:microsoft.com/office/officeart/2005/8/layout/hierarchy1"/>
    <dgm:cxn modelId="{68789582-57EF-F74F-A80D-64FE9BC54C24}" type="presOf" srcId="{757A7381-2710-3141-9D20-105AE9170639}" destId="{16F4145A-7B31-464D-998A-2FE3F23374D2}" srcOrd="0" destOrd="0" presId="urn:microsoft.com/office/officeart/2005/8/layout/hierarchy1"/>
    <dgm:cxn modelId="{DFACFA87-0811-874F-835E-67BA2ED2EC06}" type="presOf" srcId="{F27724E7-C581-3340-B814-B3B6D7002B4D}" destId="{3D5C6C9D-489A-D344-9B7E-D7AFEF6A40B7}" srcOrd="0" destOrd="0" presId="urn:microsoft.com/office/officeart/2005/8/layout/hierarchy1"/>
    <dgm:cxn modelId="{6704A48F-9906-6A4E-8CAD-192984891D5A}" type="presOf" srcId="{29B3CDA9-8635-6D46-BF2C-00BF3AE801AC}" destId="{113A4631-3B9C-A04F-9552-4C32384D597A}" srcOrd="0" destOrd="0" presId="urn:microsoft.com/office/officeart/2005/8/layout/hierarchy1"/>
    <dgm:cxn modelId="{01AF8693-DFEE-7842-BE72-7C85B660E76D}" type="presOf" srcId="{896B75CD-E6F8-954B-8B02-3EEF7EF4049D}" destId="{79D5F13B-2219-B943-8A9E-747361CA0154}" srcOrd="0" destOrd="0" presId="urn:microsoft.com/office/officeart/2005/8/layout/hierarchy1"/>
    <dgm:cxn modelId="{93DABD96-2DD0-3F40-B2FA-54702A83DE24}" type="presOf" srcId="{7BDFFA44-B17E-504F-A865-60178A014E0B}" destId="{60467AE4-C14E-7D40-8528-6C758A53AA29}" srcOrd="0" destOrd="0" presId="urn:microsoft.com/office/officeart/2005/8/layout/hierarchy1"/>
    <dgm:cxn modelId="{16ACE996-68FC-BC41-B8AA-C3ACAA8B61FE}" type="presOf" srcId="{D1C17F47-1012-D648-8E95-49FDF6781DE6}" destId="{4E36ED78-809B-3B41-8A92-C100781B81B4}" srcOrd="0" destOrd="0" presId="urn:microsoft.com/office/officeart/2005/8/layout/hierarchy1"/>
    <dgm:cxn modelId="{3B5F139E-111F-C649-946F-F6D216B52B49}" type="presOf" srcId="{EA74BCE8-8286-F54F-A412-F361803E3D1D}" destId="{DF39AE88-71D5-4D40-AD8F-7D6D9133C6B7}" srcOrd="0" destOrd="0" presId="urn:microsoft.com/office/officeart/2005/8/layout/hierarchy1"/>
    <dgm:cxn modelId="{95D792A7-A3D3-F742-996C-2FBF43D767FD}" srcId="{EA74BCE8-8286-F54F-A412-F361803E3D1D}" destId="{46DA1F51-0A71-4C4B-B84E-517CE7C07DF3}" srcOrd="0" destOrd="0" parTransId="{850C2292-012E-624F-B158-464FE97F83E7}" sibTransId="{38189558-D43A-7F4F-BE98-BAF1C3FE2AE9}"/>
    <dgm:cxn modelId="{C6BE58B3-2706-A042-9509-D4229B5BFC29}" type="presOf" srcId="{39E852DD-855F-A54B-B95E-44EB617901CC}" destId="{20A8ECAF-12EF-AA46-8DAA-9D9374736F19}" srcOrd="0" destOrd="0" presId="urn:microsoft.com/office/officeart/2005/8/layout/hierarchy1"/>
    <dgm:cxn modelId="{416697C1-72C8-524B-94C6-DFCB01128176}" srcId="{7AFA7C4C-B519-C043-9F64-4FBA6E65D65D}" destId="{EDF82C6D-DD08-584F-B79C-A410BA304451}" srcOrd="1" destOrd="0" parTransId="{29B3CDA9-8635-6D46-BF2C-00BF3AE801AC}" sibTransId="{8DB997DD-0FEF-4A47-A603-7A247DD592C1}"/>
    <dgm:cxn modelId="{BEF9BEC5-CCDE-DD41-81F3-CBA1C362AED5}" srcId="{7AFA7C4C-B519-C043-9F64-4FBA6E65D65D}" destId="{D4009FDA-4DCA-104C-B2B8-EA925EF42E10}" srcOrd="2" destOrd="0" parTransId="{39E852DD-855F-A54B-B95E-44EB617901CC}" sibTransId="{5CE1638E-7927-DA4E-8F23-B70F5AC91758}"/>
    <dgm:cxn modelId="{CC6C12C7-5F28-FF4D-8D47-2316DC4FE200}" srcId="{B90EAF5F-9E20-8A4C-A1FA-0A8D086C8777}" destId="{F27724E7-C581-3340-B814-B3B6D7002B4D}" srcOrd="0" destOrd="0" parTransId="{B231A65F-3FE6-D146-A48D-D5AECA273577}" sibTransId="{935FB2A0-F94E-7D4D-8CC6-FAE6D7532945}"/>
    <dgm:cxn modelId="{6AB9CACD-EC63-4848-B0C2-B2FC276C47DD}" type="presOf" srcId="{EB55B8F7-78A3-2C44-8BFB-F21BC9513EC7}" destId="{7C55C07C-E30B-D245-BDF9-4508CBE6DF78}" srcOrd="0" destOrd="0" presId="urn:microsoft.com/office/officeart/2005/8/layout/hierarchy1"/>
    <dgm:cxn modelId="{2DAAFBD0-BB0B-CD45-AD19-EBFD6A64892F}" type="presOf" srcId="{EDF82C6D-DD08-584F-B79C-A410BA304451}" destId="{C586D542-C223-C74F-B4DE-C0EBC3AB945E}" srcOrd="0" destOrd="0" presId="urn:microsoft.com/office/officeart/2005/8/layout/hierarchy1"/>
    <dgm:cxn modelId="{237E8BD9-D489-6242-9CC3-A72BB6E27790}" type="presOf" srcId="{1DE2BD8F-FB43-104F-8452-28BF82FF125E}" destId="{391A0671-0043-C74A-AF0A-AE2DF363EEFE}" srcOrd="0" destOrd="0" presId="urn:microsoft.com/office/officeart/2005/8/layout/hierarchy1"/>
    <dgm:cxn modelId="{3CE4B2D9-D5DF-144A-A01F-E930FA4497FA}" srcId="{7BDFFA44-B17E-504F-A865-60178A014E0B}" destId="{E8D6546F-EAF5-4D48-8B9E-F90BD7487A9B}" srcOrd="2" destOrd="0" parTransId="{757A7381-2710-3141-9D20-105AE9170639}" sibTransId="{217226CD-5A37-3549-99D4-6FD04DB50A95}"/>
    <dgm:cxn modelId="{6E66D5E0-E301-834D-B92B-6E72397DDC54}" type="presOf" srcId="{46DA1F51-0A71-4C4B-B84E-517CE7C07DF3}" destId="{AB5E76D9-E75F-7841-A9C9-86F5CB72068C}" srcOrd="0" destOrd="0" presId="urn:microsoft.com/office/officeart/2005/8/layout/hierarchy1"/>
    <dgm:cxn modelId="{848473E2-7A0C-EB45-8566-75AB0EE74515}" srcId="{EA74BCE8-8286-F54F-A412-F361803E3D1D}" destId="{66E2B51F-EF4C-724A-975F-62DF07134C61}" srcOrd="2" destOrd="0" parTransId="{E00AA3CF-349F-A64E-8780-18F82CF38F6B}" sibTransId="{6B276E1E-7922-7F42-A1B7-0584F3A0DBFA}"/>
    <dgm:cxn modelId="{9DCA7AE3-2D47-D441-80BD-8FA1676D2153}" type="presOf" srcId="{850C2292-012E-624F-B158-464FE97F83E7}" destId="{D4EF7CF9-E31B-C346-812C-E62D4B8F70BF}" srcOrd="0" destOrd="0" presId="urn:microsoft.com/office/officeart/2005/8/layout/hierarchy1"/>
    <dgm:cxn modelId="{1E5E9EEA-3570-F548-BD20-7009362395BE}" type="presOf" srcId="{B231A65F-3FE6-D146-A48D-D5AECA273577}" destId="{C44191EA-6632-784B-9266-D608E2183141}" srcOrd="0" destOrd="0" presId="urn:microsoft.com/office/officeart/2005/8/layout/hierarchy1"/>
    <dgm:cxn modelId="{9D1621F8-268C-BE4A-AD99-B5B6C1948622}" type="presOf" srcId="{83C7DD87-481B-8842-B45D-8C19C060E2CE}" destId="{9C8BF799-0592-404B-A674-688B0FFD6025}" srcOrd="0" destOrd="0" presId="urn:microsoft.com/office/officeart/2005/8/layout/hierarchy1"/>
    <dgm:cxn modelId="{413A39F8-DA6A-BE45-B7A5-97E74BF24922}" srcId="{7BDFFA44-B17E-504F-A865-60178A014E0B}" destId="{83D85010-A3E0-734A-96A0-50B6BFBDC5BB}" srcOrd="1" destOrd="0" parTransId="{504A0A4D-45B4-A246-BD7E-F72036E76184}" sibTransId="{C3B26470-9A8B-7649-8F13-4A979A359A15}"/>
    <dgm:cxn modelId="{DA8B61F8-164E-B64F-B32A-903E82D95A11}" srcId="{7AFA7C4C-B519-C043-9F64-4FBA6E65D65D}" destId="{896B75CD-E6F8-954B-8B02-3EEF7EF4049D}" srcOrd="0" destOrd="0" parTransId="{08A9B950-3D6E-AE4C-9FDF-1B1E083FD18F}" sibTransId="{F7BA1DF8-54D2-6240-A652-7AC5FAD415DE}"/>
    <dgm:cxn modelId="{3A6A4FFF-0CB3-C64D-AFC4-6CB3A57F25D8}" type="presOf" srcId="{026BB5C1-C890-CD47-8D4D-59E4DD4950B9}" destId="{DAE847A0-C9A9-5643-B8F6-06D8460FB4E1}" srcOrd="0" destOrd="0" presId="urn:microsoft.com/office/officeart/2005/8/layout/hierarchy1"/>
    <dgm:cxn modelId="{21A3A6FF-6C9A-EB4E-8A5E-91DA3AF03E9B}" type="presParOf" srcId="{CFD82EBA-8FFA-5047-A70C-3790031357F4}" destId="{94ED71A5-00B9-1249-A55C-2348314F8963}" srcOrd="0" destOrd="0" presId="urn:microsoft.com/office/officeart/2005/8/layout/hierarchy1"/>
    <dgm:cxn modelId="{372933E9-2323-E948-A35E-F6B55C092FDF}" type="presParOf" srcId="{94ED71A5-00B9-1249-A55C-2348314F8963}" destId="{9E45A12D-A36C-EA4C-9374-01B0D6123738}" srcOrd="0" destOrd="0" presId="urn:microsoft.com/office/officeart/2005/8/layout/hierarchy1"/>
    <dgm:cxn modelId="{82D67EBE-44C7-8F4A-B27B-525D6E353BF0}" type="presParOf" srcId="{9E45A12D-A36C-EA4C-9374-01B0D6123738}" destId="{95A32E90-8499-1E4E-9645-AE17840D4FD6}" srcOrd="0" destOrd="0" presId="urn:microsoft.com/office/officeart/2005/8/layout/hierarchy1"/>
    <dgm:cxn modelId="{B27AABF6-C695-714F-A95D-5E28EA3E8C21}" type="presParOf" srcId="{9E45A12D-A36C-EA4C-9374-01B0D6123738}" destId="{60467AE4-C14E-7D40-8528-6C758A53AA29}" srcOrd="1" destOrd="0" presId="urn:microsoft.com/office/officeart/2005/8/layout/hierarchy1"/>
    <dgm:cxn modelId="{07737D21-B49F-044D-BFCB-1F256458405B}" type="presParOf" srcId="{94ED71A5-00B9-1249-A55C-2348314F8963}" destId="{0E79DC46-E977-D144-B8C0-A30C6212B7E2}" srcOrd="1" destOrd="0" presId="urn:microsoft.com/office/officeart/2005/8/layout/hierarchy1"/>
    <dgm:cxn modelId="{87A74FED-5396-4C40-870E-E431C238F307}" type="presParOf" srcId="{0E79DC46-E977-D144-B8C0-A30C6212B7E2}" destId="{01881E9D-2E18-D14E-84DA-889562DD0DEE}" srcOrd="0" destOrd="0" presId="urn:microsoft.com/office/officeart/2005/8/layout/hierarchy1"/>
    <dgm:cxn modelId="{C533C0AA-0CFF-0241-89AF-7165DDD4EBB5}" type="presParOf" srcId="{0E79DC46-E977-D144-B8C0-A30C6212B7E2}" destId="{1B6A409D-1F08-E848-BDD3-C0E42FBD2A9E}" srcOrd="1" destOrd="0" presId="urn:microsoft.com/office/officeart/2005/8/layout/hierarchy1"/>
    <dgm:cxn modelId="{76BE4F5D-E525-384E-8613-D0A997D1A6AD}" type="presParOf" srcId="{1B6A409D-1F08-E848-BDD3-C0E42FBD2A9E}" destId="{CC6C3303-C163-354C-BFF9-05AFE2FBABF4}" srcOrd="0" destOrd="0" presId="urn:microsoft.com/office/officeart/2005/8/layout/hierarchy1"/>
    <dgm:cxn modelId="{5A1501B1-62CB-D444-9DEA-34C34B8840D0}" type="presParOf" srcId="{CC6C3303-C163-354C-BFF9-05AFE2FBABF4}" destId="{15DEF942-DDAD-6F45-855F-0CE1D4BFFE95}" srcOrd="0" destOrd="0" presId="urn:microsoft.com/office/officeart/2005/8/layout/hierarchy1"/>
    <dgm:cxn modelId="{5EEA8785-1A28-C045-A9AC-2F12C8991F71}" type="presParOf" srcId="{CC6C3303-C163-354C-BFF9-05AFE2FBABF4}" destId="{C66F35B1-1574-6E4F-B8D2-8403B521738F}" srcOrd="1" destOrd="0" presId="urn:microsoft.com/office/officeart/2005/8/layout/hierarchy1"/>
    <dgm:cxn modelId="{0F0BFBAD-099E-DF4D-A2EB-8E65B41C7A5C}" type="presParOf" srcId="{1B6A409D-1F08-E848-BDD3-C0E42FBD2A9E}" destId="{8AB67A6C-701C-A148-985C-BC510421638C}" srcOrd="1" destOrd="0" presId="urn:microsoft.com/office/officeart/2005/8/layout/hierarchy1"/>
    <dgm:cxn modelId="{CE08A52E-919D-744E-93CE-CB84D3585D17}" type="presParOf" srcId="{0E79DC46-E977-D144-B8C0-A30C6212B7E2}" destId="{D9FE1A9A-9A38-E64A-9C85-8294095D4D70}" srcOrd="2" destOrd="0" presId="urn:microsoft.com/office/officeart/2005/8/layout/hierarchy1"/>
    <dgm:cxn modelId="{5EDC9801-D434-7447-88D7-35BD43B255BC}" type="presParOf" srcId="{0E79DC46-E977-D144-B8C0-A30C6212B7E2}" destId="{56090C2A-53E2-FC41-823A-34D1C13BFFA0}" srcOrd="3" destOrd="0" presId="urn:microsoft.com/office/officeart/2005/8/layout/hierarchy1"/>
    <dgm:cxn modelId="{AE7D36A0-81FF-6F44-9518-236356D98E35}" type="presParOf" srcId="{56090C2A-53E2-FC41-823A-34D1C13BFFA0}" destId="{ABD2C4EB-A64B-A247-923A-80404F2E9456}" srcOrd="0" destOrd="0" presId="urn:microsoft.com/office/officeart/2005/8/layout/hierarchy1"/>
    <dgm:cxn modelId="{9E3F9FD4-9D9C-1140-94A5-97182788E89D}" type="presParOf" srcId="{ABD2C4EB-A64B-A247-923A-80404F2E9456}" destId="{C9AA6C58-406B-C24C-A406-A4AD523F5736}" srcOrd="0" destOrd="0" presId="urn:microsoft.com/office/officeart/2005/8/layout/hierarchy1"/>
    <dgm:cxn modelId="{07BA54C6-D267-D24C-A400-5C20EEF11AD5}" type="presParOf" srcId="{ABD2C4EB-A64B-A247-923A-80404F2E9456}" destId="{9FA492B0-1639-5042-BAE6-19B65EADDFA9}" srcOrd="1" destOrd="0" presId="urn:microsoft.com/office/officeart/2005/8/layout/hierarchy1"/>
    <dgm:cxn modelId="{59F875F3-8593-C949-9C10-150E3C303630}" type="presParOf" srcId="{56090C2A-53E2-FC41-823A-34D1C13BFFA0}" destId="{913CE247-9F19-2643-86E9-1A99540507AA}" srcOrd="1" destOrd="0" presId="urn:microsoft.com/office/officeart/2005/8/layout/hierarchy1"/>
    <dgm:cxn modelId="{499A3B8F-F978-1947-9A0E-3B062FB43AF4}" type="presParOf" srcId="{0E79DC46-E977-D144-B8C0-A30C6212B7E2}" destId="{16F4145A-7B31-464D-998A-2FE3F23374D2}" srcOrd="4" destOrd="0" presId="urn:microsoft.com/office/officeart/2005/8/layout/hierarchy1"/>
    <dgm:cxn modelId="{70677112-BB23-1846-A1CC-0F7747214D67}" type="presParOf" srcId="{0E79DC46-E977-D144-B8C0-A30C6212B7E2}" destId="{A5B1AAC9-F4CE-8E42-A961-FEA62DD68E14}" srcOrd="5" destOrd="0" presId="urn:microsoft.com/office/officeart/2005/8/layout/hierarchy1"/>
    <dgm:cxn modelId="{4921A0D3-B602-7742-97E8-57797F8050CE}" type="presParOf" srcId="{A5B1AAC9-F4CE-8E42-A961-FEA62DD68E14}" destId="{8EC05062-5F19-AE44-AA9E-46F8226B1FD5}" srcOrd="0" destOrd="0" presId="urn:microsoft.com/office/officeart/2005/8/layout/hierarchy1"/>
    <dgm:cxn modelId="{EAEA7859-2DA3-4143-B58F-1DD7B5D6876F}" type="presParOf" srcId="{8EC05062-5F19-AE44-AA9E-46F8226B1FD5}" destId="{327E5678-6B20-AC48-B5F0-49D6B3AECBA3}" srcOrd="0" destOrd="0" presId="urn:microsoft.com/office/officeart/2005/8/layout/hierarchy1"/>
    <dgm:cxn modelId="{65479F28-7F50-D447-929D-349440E3E805}" type="presParOf" srcId="{8EC05062-5F19-AE44-AA9E-46F8226B1FD5}" destId="{58AEE22D-B454-3845-B1EA-2235BF5C6ED7}" srcOrd="1" destOrd="0" presId="urn:microsoft.com/office/officeart/2005/8/layout/hierarchy1"/>
    <dgm:cxn modelId="{74BCCB50-80AD-7741-BC43-F1C4D070D4E7}" type="presParOf" srcId="{A5B1AAC9-F4CE-8E42-A961-FEA62DD68E14}" destId="{75EB124F-0907-2F44-844D-E1D6372BC23B}" srcOrd="1" destOrd="0" presId="urn:microsoft.com/office/officeart/2005/8/layout/hierarchy1"/>
    <dgm:cxn modelId="{E407A7DC-F850-E148-A6F6-2E0BE9CAB17F}" type="presParOf" srcId="{0E79DC46-E977-D144-B8C0-A30C6212B7E2}" destId="{1CEA797F-FFD6-AD46-929F-BD85D2FF1829}" srcOrd="6" destOrd="0" presId="urn:microsoft.com/office/officeart/2005/8/layout/hierarchy1"/>
    <dgm:cxn modelId="{F9DD1D41-0AD1-CF41-B1D6-97DE2066E065}" type="presParOf" srcId="{0E79DC46-E977-D144-B8C0-A30C6212B7E2}" destId="{DE0239C6-0D51-B541-BA99-49A73301D6B1}" srcOrd="7" destOrd="0" presId="urn:microsoft.com/office/officeart/2005/8/layout/hierarchy1"/>
    <dgm:cxn modelId="{E00480E5-6FF7-634A-9462-3AF739155FDC}" type="presParOf" srcId="{DE0239C6-0D51-B541-BA99-49A73301D6B1}" destId="{532F7335-3A5B-974E-BF21-BE233B7DE7B5}" srcOrd="0" destOrd="0" presId="urn:microsoft.com/office/officeart/2005/8/layout/hierarchy1"/>
    <dgm:cxn modelId="{8A32906D-50E0-7E40-A398-5B42A12CBB39}" type="presParOf" srcId="{532F7335-3A5B-974E-BF21-BE233B7DE7B5}" destId="{F7427187-A941-1C46-B13C-3D9C31953472}" srcOrd="0" destOrd="0" presId="urn:microsoft.com/office/officeart/2005/8/layout/hierarchy1"/>
    <dgm:cxn modelId="{6A60BAC8-9F37-9B41-AA13-A4FAAAF8559F}" type="presParOf" srcId="{532F7335-3A5B-974E-BF21-BE233B7DE7B5}" destId="{C5957A8D-4382-704C-BD4E-53D605A5B3FC}" srcOrd="1" destOrd="0" presId="urn:microsoft.com/office/officeart/2005/8/layout/hierarchy1"/>
    <dgm:cxn modelId="{F2FB7C36-071B-3246-B7ED-5EC62683E396}" type="presParOf" srcId="{DE0239C6-0D51-B541-BA99-49A73301D6B1}" destId="{E479EC05-EAA3-B047-BF7D-44F508CD5F42}" srcOrd="1" destOrd="0" presId="urn:microsoft.com/office/officeart/2005/8/layout/hierarchy1"/>
    <dgm:cxn modelId="{DF4B819E-53E9-544C-A8C4-DAF26A86C23A}" type="presParOf" srcId="{CFD82EBA-8FFA-5047-A70C-3790031357F4}" destId="{4CC6DAC1-CC3F-1641-A552-279793D06E7F}" srcOrd="1" destOrd="0" presId="urn:microsoft.com/office/officeart/2005/8/layout/hierarchy1"/>
    <dgm:cxn modelId="{F7C70089-E2D8-C440-9578-1B03E07CC80B}" type="presParOf" srcId="{4CC6DAC1-CC3F-1641-A552-279793D06E7F}" destId="{D96DDF1F-2207-AE4D-84DB-B17F67D670A4}" srcOrd="0" destOrd="0" presId="urn:microsoft.com/office/officeart/2005/8/layout/hierarchy1"/>
    <dgm:cxn modelId="{EA2A169C-0749-2746-80E2-CF889A9FC195}" type="presParOf" srcId="{D96DDF1F-2207-AE4D-84DB-B17F67D670A4}" destId="{F63FD2C0-EB26-3841-BB87-8F70EFC7CBCA}" srcOrd="0" destOrd="0" presId="urn:microsoft.com/office/officeart/2005/8/layout/hierarchy1"/>
    <dgm:cxn modelId="{97A2A603-F656-BE4F-9467-9A729CA045F0}" type="presParOf" srcId="{D96DDF1F-2207-AE4D-84DB-B17F67D670A4}" destId="{DF39AE88-71D5-4D40-AD8F-7D6D9133C6B7}" srcOrd="1" destOrd="0" presId="urn:microsoft.com/office/officeart/2005/8/layout/hierarchy1"/>
    <dgm:cxn modelId="{2BE87215-98A2-8D48-A85C-21FA3C2D91DD}" type="presParOf" srcId="{4CC6DAC1-CC3F-1641-A552-279793D06E7F}" destId="{D0F716F6-51BB-F844-AC5B-501FDCDD41D0}" srcOrd="1" destOrd="0" presId="urn:microsoft.com/office/officeart/2005/8/layout/hierarchy1"/>
    <dgm:cxn modelId="{83E431B0-894D-AD49-B50A-2388E99BDD59}" type="presParOf" srcId="{D0F716F6-51BB-F844-AC5B-501FDCDD41D0}" destId="{D4EF7CF9-E31B-C346-812C-E62D4B8F70BF}" srcOrd="0" destOrd="0" presId="urn:microsoft.com/office/officeart/2005/8/layout/hierarchy1"/>
    <dgm:cxn modelId="{914FC453-A12F-124A-839A-F3B0F5EB0696}" type="presParOf" srcId="{D0F716F6-51BB-F844-AC5B-501FDCDD41D0}" destId="{31305CB5-5760-6B4F-BB97-B9AB0F817837}" srcOrd="1" destOrd="0" presId="urn:microsoft.com/office/officeart/2005/8/layout/hierarchy1"/>
    <dgm:cxn modelId="{3D7EA869-3ABF-C040-AEC4-8AE6A2B11B1D}" type="presParOf" srcId="{31305CB5-5760-6B4F-BB97-B9AB0F817837}" destId="{A631BBAE-0FD7-3A41-8258-D6EE7D54DD6C}" srcOrd="0" destOrd="0" presId="urn:microsoft.com/office/officeart/2005/8/layout/hierarchy1"/>
    <dgm:cxn modelId="{4E66DBD9-88E4-E747-9ACB-AA13BCFEB007}" type="presParOf" srcId="{A631BBAE-0FD7-3A41-8258-D6EE7D54DD6C}" destId="{80F831EB-6A46-AA4C-87C3-70D01E69E434}" srcOrd="0" destOrd="0" presId="urn:microsoft.com/office/officeart/2005/8/layout/hierarchy1"/>
    <dgm:cxn modelId="{62DC9186-CAF7-7A4B-9645-CF37D655B42B}" type="presParOf" srcId="{A631BBAE-0FD7-3A41-8258-D6EE7D54DD6C}" destId="{AB5E76D9-E75F-7841-A9C9-86F5CB72068C}" srcOrd="1" destOrd="0" presId="urn:microsoft.com/office/officeart/2005/8/layout/hierarchy1"/>
    <dgm:cxn modelId="{1748E2D2-580A-FE46-BF25-FB888523D8D4}" type="presParOf" srcId="{31305CB5-5760-6B4F-BB97-B9AB0F817837}" destId="{7D05631B-102B-AE4E-81A6-9A1D99271066}" srcOrd="1" destOrd="0" presId="urn:microsoft.com/office/officeart/2005/8/layout/hierarchy1"/>
    <dgm:cxn modelId="{EB8D9A29-279D-5E44-843D-CEFECB32E8F5}" type="presParOf" srcId="{D0F716F6-51BB-F844-AC5B-501FDCDD41D0}" destId="{DAE847A0-C9A9-5643-B8F6-06D8460FB4E1}" srcOrd="2" destOrd="0" presId="urn:microsoft.com/office/officeart/2005/8/layout/hierarchy1"/>
    <dgm:cxn modelId="{A1B2C723-33F1-B547-A9B0-BE7B17A01C43}" type="presParOf" srcId="{D0F716F6-51BB-F844-AC5B-501FDCDD41D0}" destId="{F96F1815-68D5-EE41-BCD8-A32DFC823912}" srcOrd="3" destOrd="0" presId="urn:microsoft.com/office/officeart/2005/8/layout/hierarchy1"/>
    <dgm:cxn modelId="{3C760E46-EE2E-AE4C-8FC1-A9E132DE7B8F}" type="presParOf" srcId="{F96F1815-68D5-EE41-BCD8-A32DFC823912}" destId="{DE30F467-3DAD-7A40-9640-FA8CD41EF489}" srcOrd="0" destOrd="0" presId="urn:microsoft.com/office/officeart/2005/8/layout/hierarchy1"/>
    <dgm:cxn modelId="{EE157458-99D9-B342-881F-8E4B4BA3244C}" type="presParOf" srcId="{DE30F467-3DAD-7A40-9640-FA8CD41EF489}" destId="{51D20668-9A2E-294E-AB36-8EA27ED043C5}" srcOrd="0" destOrd="0" presId="urn:microsoft.com/office/officeart/2005/8/layout/hierarchy1"/>
    <dgm:cxn modelId="{28D0099A-DBB6-4046-87D8-9F43198319D0}" type="presParOf" srcId="{DE30F467-3DAD-7A40-9640-FA8CD41EF489}" destId="{4E36ED78-809B-3B41-8A92-C100781B81B4}" srcOrd="1" destOrd="0" presId="urn:microsoft.com/office/officeart/2005/8/layout/hierarchy1"/>
    <dgm:cxn modelId="{45DCAAFE-B458-DA42-87A3-19FA89D4AC35}" type="presParOf" srcId="{F96F1815-68D5-EE41-BCD8-A32DFC823912}" destId="{4D03B418-BAA9-D54E-B36F-51ED2CF333B1}" srcOrd="1" destOrd="0" presId="urn:microsoft.com/office/officeart/2005/8/layout/hierarchy1"/>
    <dgm:cxn modelId="{56F93C37-05EF-1E4D-A008-DFB664014E1E}" type="presParOf" srcId="{D0F716F6-51BB-F844-AC5B-501FDCDD41D0}" destId="{F09C74F0-AB10-7A4F-8F60-4EB4DA482FCC}" srcOrd="4" destOrd="0" presId="urn:microsoft.com/office/officeart/2005/8/layout/hierarchy1"/>
    <dgm:cxn modelId="{F8BDF3F4-1A9E-2642-836B-9B5506BE0299}" type="presParOf" srcId="{D0F716F6-51BB-F844-AC5B-501FDCDD41D0}" destId="{1207A0DC-09E9-F847-986C-82170750A295}" srcOrd="5" destOrd="0" presId="urn:microsoft.com/office/officeart/2005/8/layout/hierarchy1"/>
    <dgm:cxn modelId="{2EA51227-171D-AF44-AA12-722A961A83EF}" type="presParOf" srcId="{1207A0DC-09E9-F847-986C-82170750A295}" destId="{46795901-9F5C-5B4B-9C76-6414356696F9}" srcOrd="0" destOrd="0" presId="urn:microsoft.com/office/officeart/2005/8/layout/hierarchy1"/>
    <dgm:cxn modelId="{C61B1970-1679-4146-9B3B-370A8B05D1A3}" type="presParOf" srcId="{46795901-9F5C-5B4B-9C76-6414356696F9}" destId="{6B3D90B1-8A8D-7645-A930-48BC50EDFF15}" srcOrd="0" destOrd="0" presId="urn:microsoft.com/office/officeart/2005/8/layout/hierarchy1"/>
    <dgm:cxn modelId="{29C0624F-7BEA-6947-B718-38379FE5CD1D}" type="presParOf" srcId="{46795901-9F5C-5B4B-9C76-6414356696F9}" destId="{5ACD2AD1-8C84-8340-96E3-CB1B1E7AE03C}" srcOrd="1" destOrd="0" presId="urn:microsoft.com/office/officeart/2005/8/layout/hierarchy1"/>
    <dgm:cxn modelId="{8BD4C568-8738-5646-B5A6-0C70B3A6B9D5}" type="presParOf" srcId="{1207A0DC-09E9-F847-986C-82170750A295}" destId="{832537D1-657D-2846-B0D2-D25EF1AC6BBD}" srcOrd="1" destOrd="0" presId="urn:microsoft.com/office/officeart/2005/8/layout/hierarchy1"/>
    <dgm:cxn modelId="{BB8925C6-04B1-2040-843B-8EF087C1DCEC}" type="presParOf" srcId="{D0F716F6-51BB-F844-AC5B-501FDCDD41D0}" destId="{FBE618B6-0F27-8741-ADFC-F57066B31D8E}" srcOrd="6" destOrd="0" presId="urn:microsoft.com/office/officeart/2005/8/layout/hierarchy1"/>
    <dgm:cxn modelId="{3DD478B6-FE1F-3048-9076-43B79108DDBF}" type="presParOf" srcId="{D0F716F6-51BB-F844-AC5B-501FDCDD41D0}" destId="{08120609-2908-C448-BF48-34D403DF8944}" srcOrd="7" destOrd="0" presId="urn:microsoft.com/office/officeart/2005/8/layout/hierarchy1"/>
    <dgm:cxn modelId="{B39C7D2C-5E5D-654F-B7CD-5951E52C582A}" type="presParOf" srcId="{08120609-2908-C448-BF48-34D403DF8944}" destId="{D0955872-E14E-4941-AE0F-350DCB443872}" srcOrd="0" destOrd="0" presId="urn:microsoft.com/office/officeart/2005/8/layout/hierarchy1"/>
    <dgm:cxn modelId="{9B596C2F-46B9-F545-BA0D-71242925E369}" type="presParOf" srcId="{D0955872-E14E-4941-AE0F-350DCB443872}" destId="{F369138D-B910-3B4E-B8D0-3878828043B7}" srcOrd="0" destOrd="0" presId="urn:microsoft.com/office/officeart/2005/8/layout/hierarchy1"/>
    <dgm:cxn modelId="{78940FA6-2535-6743-9931-7E7C02D13B0E}" type="presParOf" srcId="{D0955872-E14E-4941-AE0F-350DCB443872}" destId="{916927D8-9534-444A-93A6-64FD3C4A5DA7}" srcOrd="1" destOrd="0" presId="urn:microsoft.com/office/officeart/2005/8/layout/hierarchy1"/>
    <dgm:cxn modelId="{70009F11-D59E-2047-9817-0A7D4543D5D5}" type="presParOf" srcId="{08120609-2908-C448-BF48-34D403DF8944}" destId="{977E19E7-66A8-C749-9303-A8D3209FEBCC}" srcOrd="1" destOrd="0" presId="urn:microsoft.com/office/officeart/2005/8/layout/hierarchy1"/>
    <dgm:cxn modelId="{9A17F6A0-39E7-6F49-B8C8-D02A778D24D4}" type="presParOf" srcId="{977E19E7-66A8-C749-9303-A8D3209FEBCC}" destId="{1128BCB1-EBF9-F045-B28E-277D3212F52A}" srcOrd="0" destOrd="0" presId="urn:microsoft.com/office/officeart/2005/8/layout/hierarchy1"/>
    <dgm:cxn modelId="{C71B0C6B-62A1-C34E-B37F-C786E6AE884C}" type="presParOf" srcId="{977E19E7-66A8-C749-9303-A8D3209FEBCC}" destId="{A3970BC3-825C-A54D-B34B-0AE730F6DE03}" srcOrd="1" destOrd="0" presId="urn:microsoft.com/office/officeart/2005/8/layout/hierarchy1"/>
    <dgm:cxn modelId="{6251BFB8-1C8E-D541-BDA3-D56C1DB74420}" type="presParOf" srcId="{A3970BC3-825C-A54D-B34B-0AE730F6DE03}" destId="{224CC5F0-EED1-9142-8AA0-11F806954379}" srcOrd="0" destOrd="0" presId="urn:microsoft.com/office/officeart/2005/8/layout/hierarchy1"/>
    <dgm:cxn modelId="{2839F1A4-7CC7-D24C-8B8E-BB12C3AD6629}" type="presParOf" srcId="{224CC5F0-EED1-9142-8AA0-11F806954379}" destId="{57698581-91CD-6448-9F2C-279F497B98A0}" srcOrd="0" destOrd="0" presId="urn:microsoft.com/office/officeart/2005/8/layout/hierarchy1"/>
    <dgm:cxn modelId="{8F04D7A1-7883-394C-ADE8-D3C971EAE292}" type="presParOf" srcId="{224CC5F0-EED1-9142-8AA0-11F806954379}" destId="{79D5F13B-2219-B943-8A9E-747361CA0154}" srcOrd="1" destOrd="0" presId="urn:microsoft.com/office/officeart/2005/8/layout/hierarchy1"/>
    <dgm:cxn modelId="{225AD75A-556B-E345-AADA-7F3D6D2424E1}" type="presParOf" srcId="{A3970BC3-825C-A54D-B34B-0AE730F6DE03}" destId="{3BA8CA74-42BA-C44E-891A-C4775864917D}" srcOrd="1" destOrd="0" presId="urn:microsoft.com/office/officeart/2005/8/layout/hierarchy1"/>
    <dgm:cxn modelId="{38F6D8C0-C88B-BD46-A5E6-346E69D017CD}" type="presParOf" srcId="{977E19E7-66A8-C749-9303-A8D3209FEBCC}" destId="{113A4631-3B9C-A04F-9552-4C32384D597A}" srcOrd="2" destOrd="0" presId="urn:microsoft.com/office/officeart/2005/8/layout/hierarchy1"/>
    <dgm:cxn modelId="{A830E953-476C-D24B-8149-A77BC4CFA0E7}" type="presParOf" srcId="{977E19E7-66A8-C749-9303-A8D3209FEBCC}" destId="{DC8911EC-2123-0948-9A0F-6F5D12E2152A}" srcOrd="3" destOrd="0" presId="urn:microsoft.com/office/officeart/2005/8/layout/hierarchy1"/>
    <dgm:cxn modelId="{5A549086-CF76-FB44-9588-D23ED97C1D03}" type="presParOf" srcId="{DC8911EC-2123-0948-9A0F-6F5D12E2152A}" destId="{BBC59366-E61C-3E4C-918A-DAB1F9EECF54}" srcOrd="0" destOrd="0" presId="urn:microsoft.com/office/officeart/2005/8/layout/hierarchy1"/>
    <dgm:cxn modelId="{AB887E6C-BFAD-6141-9A7C-8E755D1AEB2F}" type="presParOf" srcId="{BBC59366-E61C-3E4C-918A-DAB1F9EECF54}" destId="{C2B775D7-6579-8D49-A7DF-6437C1EB6DF0}" srcOrd="0" destOrd="0" presId="urn:microsoft.com/office/officeart/2005/8/layout/hierarchy1"/>
    <dgm:cxn modelId="{A26A0931-8EB4-1247-AA9A-D6029FD53EEA}" type="presParOf" srcId="{BBC59366-E61C-3E4C-918A-DAB1F9EECF54}" destId="{C586D542-C223-C74F-B4DE-C0EBC3AB945E}" srcOrd="1" destOrd="0" presId="urn:microsoft.com/office/officeart/2005/8/layout/hierarchy1"/>
    <dgm:cxn modelId="{2BF59413-39DC-134B-8FE2-CB14D1CC2B9E}" type="presParOf" srcId="{DC8911EC-2123-0948-9A0F-6F5D12E2152A}" destId="{690A733D-6E1C-4F44-A09F-0CBB978D5DE1}" srcOrd="1" destOrd="0" presId="urn:microsoft.com/office/officeart/2005/8/layout/hierarchy1"/>
    <dgm:cxn modelId="{A3B24C11-8261-2A4A-8718-1D6CFEC314A8}" type="presParOf" srcId="{977E19E7-66A8-C749-9303-A8D3209FEBCC}" destId="{20A8ECAF-12EF-AA46-8DAA-9D9374736F19}" srcOrd="4" destOrd="0" presId="urn:microsoft.com/office/officeart/2005/8/layout/hierarchy1"/>
    <dgm:cxn modelId="{5A552E59-CAAC-D947-8773-991F180F61E5}" type="presParOf" srcId="{977E19E7-66A8-C749-9303-A8D3209FEBCC}" destId="{B81442CF-1419-3B4B-A84D-EFB54E765526}" srcOrd="5" destOrd="0" presId="urn:microsoft.com/office/officeart/2005/8/layout/hierarchy1"/>
    <dgm:cxn modelId="{425121F8-C978-E443-B8D7-24E364FB64B8}" type="presParOf" srcId="{B81442CF-1419-3B4B-A84D-EFB54E765526}" destId="{73C073A8-5CD0-C54E-846C-029CBD9534B8}" srcOrd="0" destOrd="0" presId="urn:microsoft.com/office/officeart/2005/8/layout/hierarchy1"/>
    <dgm:cxn modelId="{59F86DFF-17F7-0B4C-8298-7354EB38624F}" type="presParOf" srcId="{73C073A8-5CD0-C54E-846C-029CBD9534B8}" destId="{5625FE7D-5310-674C-86E1-22ED70EBDB24}" srcOrd="0" destOrd="0" presId="urn:microsoft.com/office/officeart/2005/8/layout/hierarchy1"/>
    <dgm:cxn modelId="{0BC43950-FC79-F140-B145-91E353A77C1D}" type="presParOf" srcId="{73C073A8-5CD0-C54E-846C-029CBD9534B8}" destId="{828C8C10-6842-F04C-BF35-B99548FA9C45}" srcOrd="1" destOrd="0" presId="urn:microsoft.com/office/officeart/2005/8/layout/hierarchy1"/>
    <dgm:cxn modelId="{A0DF2053-255C-9341-BBAC-EDC3E7E60A2F}" type="presParOf" srcId="{B81442CF-1419-3B4B-A84D-EFB54E765526}" destId="{A99B20D3-0FE0-6D41-A279-65FE35616ECB}" srcOrd="1" destOrd="0" presId="urn:microsoft.com/office/officeart/2005/8/layout/hierarchy1"/>
    <dgm:cxn modelId="{184F9D2E-C51D-634A-A5CC-28C9AD45D6A7}" type="presParOf" srcId="{977E19E7-66A8-C749-9303-A8D3209FEBCC}" destId="{391A0671-0043-C74A-AF0A-AE2DF363EEFE}" srcOrd="6" destOrd="0" presId="urn:microsoft.com/office/officeart/2005/8/layout/hierarchy1"/>
    <dgm:cxn modelId="{84EDA564-B51B-AD4E-9639-8B5956120A19}" type="presParOf" srcId="{977E19E7-66A8-C749-9303-A8D3209FEBCC}" destId="{ABE47942-AA63-0746-ABF7-5E15FC7D2B9B}" srcOrd="7" destOrd="0" presId="urn:microsoft.com/office/officeart/2005/8/layout/hierarchy1"/>
    <dgm:cxn modelId="{053C3168-C9EE-EE4F-AF4D-4FEB3F367021}" type="presParOf" srcId="{ABE47942-AA63-0746-ABF7-5E15FC7D2B9B}" destId="{BB57C71E-B74F-B94F-AD07-CDD8092CC244}" srcOrd="0" destOrd="0" presId="urn:microsoft.com/office/officeart/2005/8/layout/hierarchy1"/>
    <dgm:cxn modelId="{90DB43BF-B720-6A44-B21F-D3C61004BD39}" type="presParOf" srcId="{BB57C71E-B74F-B94F-AD07-CDD8092CC244}" destId="{6BF8E45B-0E59-4C44-A862-AC556128919D}" srcOrd="0" destOrd="0" presId="urn:microsoft.com/office/officeart/2005/8/layout/hierarchy1"/>
    <dgm:cxn modelId="{009267F6-8013-9B46-93DC-6CFA21B74472}" type="presParOf" srcId="{BB57C71E-B74F-B94F-AD07-CDD8092CC244}" destId="{7C55C07C-E30B-D245-BDF9-4508CBE6DF78}" srcOrd="1" destOrd="0" presId="urn:microsoft.com/office/officeart/2005/8/layout/hierarchy1"/>
    <dgm:cxn modelId="{F0CC61BA-1207-674E-B7A7-A150D95D6211}" type="presParOf" srcId="{ABE47942-AA63-0746-ABF7-5E15FC7D2B9B}" destId="{42F3965E-0F2B-7441-86FA-8978DFEC367B}" srcOrd="1" destOrd="0" presId="urn:microsoft.com/office/officeart/2005/8/layout/hierarchy1"/>
    <dgm:cxn modelId="{937A546E-DB89-0C44-9DE3-F318FC5A58C0}" type="presParOf" srcId="{D0F716F6-51BB-F844-AC5B-501FDCDD41D0}" destId="{41FADDEE-D9B3-6D4D-9C4E-8A1BDF4BDCFB}" srcOrd="8" destOrd="0" presId="urn:microsoft.com/office/officeart/2005/8/layout/hierarchy1"/>
    <dgm:cxn modelId="{E4C40853-12D8-0344-8794-A0B02F3E1FED}" type="presParOf" srcId="{D0F716F6-51BB-F844-AC5B-501FDCDD41D0}" destId="{FCEB89CD-550B-7E45-A37B-310E498D1EDB}" srcOrd="9" destOrd="0" presId="urn:microsoft.com/office/officeart/2005/8/layout/hierarchy1"/>
    <dgm:cxn modelId="{4FF813BA-D99E-D747-8FB7-D75F2614CF62}" type="presParOf" srcId="{FCEB89CD-550B-7E45-A37B-310E498D1EDB}" destId="{D215A494-CA36-D04E-AC09-BD0404D52430}" srcOrd="0" destOrd="0" presId="urn:microsoft.com/office/officeart/2005/8/layout/hierarchy1"/>
    <dgm:cxn modelId="{C81F2E13-1AF1-CA44-9268-63D479EE6D22}" type="presParOf" srcId="{D215A494-CA36-D04E-AC09-BD0404D52430}" destId="{18BD96C3-BE39-DF42-A2E8-43533B4D1EC5}" srcOrd="0" destOrd="0" presId="urn:microsoft.com/office/officeart/2005/8/layout/hierarchy1"/>
    <dgm:cxn modelId="{E86D71B8-9B2A-8747-92DF-E9744118126D}" type="presParOf" srcId="{D215A494-CA36-D04E-AC09-BD0404D52430}" destId="{22F61E58-FB43-7349-9FF7-C8A07B269540}" srcOrd="1" destOrd="0" presId="urn:microsoft.com/office/officeart/2005/8/layout/hierarchy1"/>
    <dgm:cxn modelId="{0A11E2D5-3B69-C240-A79B-D8F738406972}" type="presParOf" srcId="{FCEB89CD-550B-7E45-A37B-310E498D1EDB}" destId="{168CDAAC-7C0C-AE44-AA44-97CB889D0C1E}" srcOrd="1" destOrd="0" presId="urn:microsoft.com/office/officeart/2005/8/layout/hierarchy1"/>
    <dgm:cxn modelId="{FF87F6A6-FB4C-7140-AD4E-DC081B0FE729}" type="presParOf" srcId="{168CDAAC-7C0C-AE44-AA44-97CB889D0C1E}" destId="{C44191EA-6632-784B-9266-D608E2183141}" srcOrd="0" destOrd="0" presId="urn:microsoft.com/office/officeart/2005/8/layout/hierarchy1"/>
    <dgm:cxn modelId="{B1D91A8C-47A2-5C4B-9F60-5AF487A852B0}" type="presParOf" srcId="{168CDAAC-7C0C-AE44-AA44-97CB889D0C1E}" destId="{389BB894-C2F5-EF49-A270-7C2F2F14ACC2}" srcOrd="1" destOrd="0" presId="urn:microsoft.com/office/officeart/2005/8/layout/hierarchy1"/>
    <dgm:cxn modelId="{940D166B-AB2B-B345-8194-576105C9CF99}" type="presParOf" srcId="{389BB894-C2F5-EF49-A270-7C2F2F14ACC2}" destId="{6E25BCB7-F9A2-1543-BD9D-60E8B43E45E2}" srcOrd="0" destOrd="0" presId="urn:microsoft.com/office/officeart/2005/8/layout/hierarchy1"/>
    <dgm:cxn modelId="{05B889A0-0264-3945-9241-F2ABA767FB3C}" type="presParOf" srcId="{6E25BCB7-F9A2-1543-BD9D-60E8B43E45E2}" destId="{E121ACC2-56B1-134C-A7B5-196E98D23F22}" srcOrd="0" destOrd="0" presId="urn:microsoft.com/office/officeart/2005/8/layout/hierarchy1"/>
    <dgm:cxn modelId="{93267303-F9FC-904F-8ADD-C636A7113308}" type="presParOf" srcId="{6E25BCB7-F9A2-1543-BD9D-60E8B43E45E2}" destId="{3D5C6C9D-489A-D344-9B7E-D7AFEF6A40B7}" srcOrd="1" destOrd="0" presId="urn:microsoft.com/office/officeart/2005/8/layout/hierarchy1"/>
    <dgm:cxn modelId="{9466FE85-BA26-2C41-8F96-312274435958}" type="presParOf" srcId="{389BB894-C2F5-EF49-A270-7C2F2F14ACC2}" destId="{9AFA9C32-458D-4F43-85CA-7FCA4DDF980D}" srcOrd="1" destOrd="0" presId="urn:microsoft.com/office/officeart/2005/8/layout/hierarchy1"/>
    <dgm:cxn modelId="{C3188EF4-34CA-1847-8451-CE51A5DAB81E}" type="presParOf" srcId="{168CDAAC-7C0C-AE44-AA44-97CB889D0C1E}" destId="{A5A2A504-6CC3-2148-AD94-05EBD83A2803}" srcOrd="2" destOrd="0" presId="urn:microsoft.com/office/officeart/2005/8/layout/hierarchy1"/>
    <dgm:cxn modelId="{363E967A-DD25-984A-A983-CDE15F2A335B}" type="presParOf" srcId="{168CDAAC-7C0C-AE44-AA44-97CB889D0C1E}" destId="{571A5D1F-C0A5-1E47-8285-C6D96A00EE45}" srcOrd="3" destOrd="0" presId="urn:microsoft.com/office/officeart/2005/8/layout/hierarchy1"/>
    <dgm:cxn modelId="{CF4F1832-7487-9045-8A3C-5B335BC1B44B}" type="presParOf" srcId="{571A5D1F-C0A5-1E47-8285-C6D96A00EE45}" destId="{30FDA631-6995-ED4C-8709-73583EB5CA0D}" srcOrd="0" destOrd="0" presId="urn:microsoft.com/office/officeart/2005/8/layout/hierarchy1"/>
    <dgm:cxn modelId="{6CCCF60C-0102-CC49-9F66-FFAD4680EE73}" type="presParOf" srcId="{30FDA631-6995-ED4C-8709-73583EB5CA0D}" destId="{4C98A98D-DD01-A145-A88E-5F53D9819F28}" srcOrd="0" destOrd="0" presId="urn:microsoft.com/office/officeart/2005/8/layout/hierarchy1"/>
    <dgm:cxn modelId="{368B7810-D3F0-2349-AD71-B5EA17DF75A3}" type="presParOf" srcId="{30FDA631-6995-ED4C-8709-73583EB5CA0D}" destId="{9C8BF799-0592-404B-A674-688B0FFD6025}" srcOrd="1" destOrd="0" presId="urn:microsoft.com/office/officeart/2005/8/layout/hierarchy1"/>
    <dgm:cxn modelId="{8BBE10DC-7FED-AB44-A43F-0021D0F76DE7}" type="presParOf" srcId="{571A5D1F-C0A5-1E47-8285-C6D96A00EE45}" destId="{F149D5F3-FB3F-2248-8F20-AE126C2FAD9C}" srcOrd="1" destOrd="0" presId="urn:microsoft.com/office/officeart/2005/8/layout/hierarchy1"/>
    <dgm:cxn modelId="{476CD2BF-C521-3F4E-BD04-788043434D1B}" type="presParOf" srcId="{168CDAAC-7C0C-AE44-AA44-97CB889D0C1E}" destId="{35F93BAB-D9D9-3349-BBBF-507AB647DB28}" srcOrd="4" destOrd="0" presId="urn:microsoft.com/office/officeart/2005/8/layout/hierarchy1"/>
    <dgm:cxn modelId="{F065D570-33B2-6D43-B6DB-97F0692EEEA4}" type="presParOf" srcId="{168CDAAC-7C0C-AE44-AA44-97CB889D0C1E}" destId="{01FBF791-0876-BB45-B263-9FC4B6918241}" srcOrd="5" destOrd="0" presId="urn:microsoft.com/office/officeart/2005/8/layout/hierarchy1"/>
    <dgm:cxn modelId="{68CECA62-D94E-4A4F-9A75-4BF5547BAD24}" type="presParOf" srcId="{01FBF791-0876-BB45-B263-9FC4B6918241}" destId="{927F39F6-4801-7C49-9805-422C8BA39C9D}" srcOrd="0" destOrd="0" presId="urn:microsoft.com/office/officeart/2005/8/layout/hierarchy1"/>
    <dgm:cxn modelId="{5C034C10-C91D-FF49-8B3A-54EC5B72C6B8}" type="presParOf" srcId="{927F39F6-4801-7C49-9805-422C8BA39C9D}" destId="{023BE9EA-3B8B-B44F-A161-F91AF7924DAD}" srcOrd="0" destOrd="0" presId="urn:microsoft.com/office/officeart/2005/8/layout/hierarchy1"/>
    <dgm:cxn modelId="{31EBFB89-80D4-2241-BE96-DD36633D86AE}" type="presParOf" srcId="{927F39F6-4801-7C49-9805-422C8BA39C9D}" destId="{BACA0344-C9F8-7F45-B67E-E69A88798385}" srcOrd="1" destOrd="0" presId="urn:microsoft.com/office/officeart/2005/8/layout/hierarchy1"/>
    <dgm:cxn modelId="{AF5BAC46-85BB-444B-AECA-4A0846F9735E}" type="presParOf" srcId="{01FBF791-0876-BB45-B263-9FC4B6918241}" destId="{0183F45E-7066-5A4F-8B8C-2774536F9BC0}" srcOrd="1" destOrd="0" presId="urn:microsoft.com/office/officeart/2005/8/layout/hierarchy1"/>
  </dgm:cxnLst>
  <dgm:bg/>
  <dgm:whole/>
  <dgm:extLst>
    <a:ext uri="http://schemas.microsoft.com/office/drawing/2008/diagram">
      <dsp:dataModelExt xmlns:dsp="http://schemas.microsoft.com/office/drawing/2008/diagram" relId="rId17" minVer="http://schemas.openxmlformats.org/drawingml/2006/diagram"/>
    </a:ext>
  </dgm:extLst>
</dgm:dataModel>
</file>

<file path=word/diagrams/data2.xml><?xml version="1.0" encoding="utf-8"?>
<dgm:dataModel xmlns:dgm="http://schemas.openxmlformats.org/drawingml/2006/diagram" xmlns:a="http://schemas.openxmlformats.org/drawingml/2006/main">
  <dgm:ptLst>
    <dgm:pt modelId="{350C293B-C9A5-447E-A959-AE11C2950A4C}" type="doc">
      <dgm:prSet loTypeId="urn:microsoft.com/office/officeart/2005/8/layout/bProcess4" loCatId="process" qsTypeId="urn:microsoft.com/office/officeart/2005/8/quickstyle/simple1" qsCatId="simple" csTypeId="urn:microsoft.com/office/officeart/2005/8/colors/colorful5" csCatId="colorful"/>
      <dgm:spPr/>
      <dgm:t>
        <a:bodyPr/>
        <a:lstStyle/>
        <a:p>
          <a:endParaRPr lang="en-US"/>
        </a:p>
      </dgm:t>
    </dgm:pt>
    <dgm:pt modelId="{8C4283B1-5B7D-429B-AA56-109547867E17}">
      <dgm:prSet/>
      <dgm:spPr/>
      <dgm:t>
        <a:bodyPr/>
        <a:lstStyle/>
        <a:p>
          <a:r>
            <a:rPr lang="en-GB" b="1"/>
            <a:t>1. Project Overview</a:t>
          </a:r>
          <a:br>
            <a:rPr lang="en-GB"/>
          </a:br>
          <a:r>
            <a:rPr lang="en-GB"/>
            <a:t>Reconstruction of the Coquihalla Corridor to restore transportation access and build climate-resilient infrastructure.</a:t>
          </a:r>
          <a:endParaRPr lang="en-US"/>
        </a:p>
      </dgm:t>
    </dgm:pt>
    <dgm:pt modelId="{AB672B5B-3EFF-48E4-99CB-845C293A3B37}" type="parTrans" cxnId="{C0E13057-FC8B-4AD0-960E-9ED41426E7F7}">
      <dgm:prSet/>
      <dgm:spPr/>
      <dgm:t>
        <a:bodyPr/>
        <a:lstStyle/>
        <a:p>
          <a:endParaRPr lang="en-US"/>
        </a:p>
      </dgm:t>
    </dgm:pt>
    <dgm:pt modelId="{BE5C6DCD-A105-4AAE-BA5B-E5D1B2CF7A0F}" type="sibTrans" cxnId="{C0E13057-FC8B-4AD0-960E-9ED41426E7F7}">
      <dgm:prSet/>
      <dgm:spPr/>
      <dgm:t>
        <a:bodyPr/>
        <a:lstStyle/>
        <a:p>
          <a:endParaRPr lang="en-US"/>
        </a:p>
      </dgm:t>
    </dgm:pt>
    <dgm:pt modelId="{7831DCB8-69C5-4BD0-A9E3-68D8D347AD92}">
      <dgm:prSet/>
      <dgm:spPr/>
      <dgm:t>
        <a:bodyPr/>
        <a:lstStyle/>
        <a:p>
          <a:r>
            <a:rPr lang="en-GB" b="1"/>
            <a:t>2. Objectives &amp; Scope</a:t>
          </a:r>
          <a:endParaRPr lang="en-US"/>
        </a:p>
      </dgm:t>
    </dgm:pt>
    <dgm:pt modelId="{4598810B-0418-4004-986E-E322EDFBDB70}" type="parTrans" cxnId="{9B649CCC-C76F-4262-9C11-61CD17D19982}">
      <dgm:prSet/>
      <dgm:spPr/>
      <dgm:t>
        <a:bodyPr/>
        <a:lstStyle/>
        <a:p>
          <a:endParaRPr lang="en-US"/>
        </a:p>
      </dgm:t>
    </dgm:pt>
    <dgm:pt modelId="{1A88FACD-0C2E-46B5-8C22-6B4FDF8C260C}" type="sibTrans" cxnId="{9B649CCC-C76F-4262-9C11-61CD17D19982}">
      <dgm:prSet/>
      <dgm:spPr/>
      <dgm:t>
        <a:bodyPr/>
        <a:lstStyle/>
        <a:p>
          <a:endParaRPr lang="en-US"/>
        </a:p>
      </dgm:t>
    </dgm:pt>
    <dgm:pt modelId="{76008B5B-01FA-43FC-BF9D-464C483AE7C3}">
      <dgm:prSet/>
      <dgm:spPr/>
      <dgm:t>
        <a:bodyPr/>
        <a:lstStyle/>
        <a:p>
          <a:r>
            <a:rPr lang="en-GB"/>
            <a:t>Rebuild damaged bridges and road sections.</a:t>
          </a:r>
          <a:endParaRPr lang="en-US"/>
        </a:p>
      </dgm:t>
    </dgm:pt>
    <dgm:pt modelId="{9EE79637-4BDE-47CE-A99A-B9C4266FA64B}" type="parTrans" cxnId="{A7F7A37C-50B7-4D7F-8E03-2135A7F35CE8}">
      <dgm:prSet/>
      <dgm:spPr/>
      <dgm:t>
        <a:bodyPr/>
        <a:lstStyle/>
        <a:p>
          <a:endParaRPr lang="en-US"/>
        </a:p>
      </dgm:t>
    </dgm:pt>
    <dgm:pt modelId="{39005C22-3158-49FD-9A6D-D5A94C054F0D}" type="sibTrans" cxnId="{A7F7A37C-50B7-4D7F-8E03-2135A7F35CE8}">
      <dgm:prSet/>
      <dgm:spPr/>
      <dgm:t>
        <a:bodyPr/>
        <a:lstStyle/>
        <a:p>
          <a:endParaRPr lang="en-US"/>
        </a:p>
      </dgm:t>
    </dgm:pt>
    <dgm:pt modelId="{7630FC45-E7BA-428C-A7F3-2328E809CA73}">
      <dgm:prSet/>
      <dgm:spPr/>
      <dgm:t>
        <a:bodyPr/>
        <a:lstStyle/>
        <a:p>
          <a:r>
            <a:rPr lang="en-GB"/>
            <a:t>Implement flood mitigation and drainage upgrades.</a:t>
          </a:r>
          <a:endParaRPr lang="en-US"/>
        </a:p>
      </dgm:t>
    </dgm:pt>
    <dgm:pt modelId="{608671F5-20B8-4825-92F0-D2C10B5CAC22}" type="parTrans" cxnId="{B954924A-E429-4806-99B3-74A261176CB1}">
      <dgm:prSet/>
      <dgm:spPr/>
      <dgm:t>
        <a:bodyPr/>
        <a:lstStyle/>
        <a:p>
          <a:endParaRPr lang="en-US"/>
        </a:p>
      </dgm:t>
    </dgm:pt>
    <dgm:pt modelId="{5334C6C0-17C8-4FE5-8CF2-A29B2D0B4566}" type="sibTrans" cxnId="{B954924A-E429-4806-99B3-74A261176CB1}">
      <dgm:prSet/>
      <dgm:spPr/>
      <dgm:t>
        <a:bodyPr/>
        <a:lstStyle/>
        <a:p>
          <a:endParaRPr lang="en-US"/>
        </a:p>
      </dgm:t>
    </dgm:pt>
    <dgm:pt modelId="{29B9C749-CFC3-46A2-B390-E3E281C704DA}">
      <dgm:prSet/>
      <dgm:spPr/>
      <dgm:t>
        <a:bodyPr/>
        <a:lstStyle/>
        <a:p>
          <a:r>
            <a:rPr lang="en-GB"/>
            <a:t>Increase climate resilience and prevent future disruptions.</a:t>
          </a:r>
          <a:endParaRPr lang="en-US"/>
        </a:p>
      </dgm:t>
    </dgm:pt>
    <dgm:pt modelId="{A1DC1169-582E-4835-8AB5-8348F3ABEF3F}" type="parTrans" cxnId="{9DE0916D-5BB8-40B2-BDB7-BA968AE4458F}">
      <dgm:prSet/>
      <dgm:spPr/>
      <dgm:t>
        <a:bodyPr/>
        <a:lstStyle/>
        <a:p>
          <a:endParaRPr lang="en-US"/>
        </a:p>
      </dgm:t>
    </dgm:pt>
    <dgm:pt modelId="{CC147C68-499F-4A57-A976-916257B2634C}" type="sibTrans" cxnId="{9DE0916D-5BB8-40B2-BDB7-BA968AE4458F}">
      <dgm:prSet/>
      <dgm:spPr/>
      <dgm:t>
        <a:bodyPr/>
        <a:lstStyle/>
        <a:p>
          <a:endParaRPr lang="en-US"/>
        </a:p>
      </dgm:t>
    </dgm:pt>
    <dgm:pt modelId="{E57D7928-7D6D-482A-87C9-A8E9910D74CF}">
      <dgm:prSet/>
      <dgm:spPr/>
      <dgm:t>
        <a:bodyPr/>
        <a:lstStyle/>
        <a:p>
          <a:r>
            <a:rPr lang="en-GB"/>
            <a:t>Install smart monitoring technologies.</a:t>
          </a:r>
          <a:endParaRPr lang="en-US"/>
        </a:p>
      </dgm:t>
    </dgm:pt>
    <dgm:pt modelId="{482C4D8C-ABD3-41F1-8DC6-B7CDBB35C12B}" type="parTrans" cxnId="{BFDE946F-AC95-4D7B-BB34-D168DB2AC897}">
      <dgm:prSet/>
      <dgm:spPr/>
      <dgm:t>
        <a:bodyPr/>
        <a:lstStyle/>
        <a:p>
          <a:endParaRPr lang="en-US"/>
        </a:p>
      </dgm:t>
    </dgm:pt>
    <dgm:pt modelId="{7C7856EF-65A9-4143-A5D0-5727FD4DD1B6}" type="sibTrans" cxnId="{BFDE946F-AC95-4D7B-BB34-D168DB2AC897}">
      <dgm:prSet/>
      <dgm:spPr/>
      <dgm:t>
        <a:bodyPr/>
        <a:lstStyle/>
        <a:p>
          <a:endParaRPr lang="en-US"/>
        </a:p>
      </dgm:t>
    </dgm:pt>
    <dgm:pt modelId="{1BF0EEF4-ACEA-41DB-97DD-914EFCB46CB2}">
      <dgm:prSet/>
      <dgm:spPr/>
      <dgm:t>
        <a:bodyPr/>
        <a:lstStyle/>
        <a:p>
          <a:r>
            <a:rPr lang="en-GB" b="1"/>
            <a:t>3. Schedule &amp; Resources</a:t>
          </a:r>
          <a:endParaRPr lang="en-US"/>
        </a:p>
      </dgm:t>
    </dgm:pt>
    <dgm:pt modelId="{299F237D-FB5D-45AD-803D-6070D486CE56}" type="parTrans" cxnId="{BB3F04CD-3756-4D7D-BC9D-245D389F9750}">
      <dgm:prSet/>
      <dgm:spPr/>
      <dgm:t>
        <a:bodyPr/>
        <a:lstStyle/>
        <a:p>
          <a:endParaRPr lang="en-US"/>
        </a:p>
      </dgm:t>
    </dgm:pt>
    <dgm:pt modelId="{728BC2D5-AF6E-4A1D-82D1-2944DC8D0B2E}" type="sibTrans" cxnId="{BB3F04CD-3756-4D7D-BC9D-245D389F9750}">
      <dgm:prSet/>
      <dgm:spPr/>
      <dgm:t>
        <a:bodyPr/>
        <a:lstStyle/>
        <a:p>
          <a:endParaRPr lang="en-US"/>
        </a:p>
      </dgm:t>
    </dgm:pt>
    <dgm:pt modelId="{6263B3E3-5A63-491D-90D9-4655A33D3719}">
      <dgm:prSet/>
      <dgm:spPr/>
      <dgm:t>
        <a:bodyPr/>
        <a:lstStyle/>
        <a:p>
          <a:r>
            <a:rPr lang="en-GB"/>
            <a:t>2025–2027 delivery timeline.</a:t>
          </a:r>
          <a:endParaRPr lang="en-US"/>
        </a:p>
      </dgm:t>
    </dgm:pt>
    <dgm:pt modelId="{3F69B44A-F670-4CA3-BF76-B97281F7576B}" type="parTrans" cxnId="{E5A64A1C-EA6A-48D7-9EF7-E8638C72B08A}">
      <dgm:prSet/>
      <dgm:spPr/>
      <dgm:t>
        <a:bodyPr/>
        <a:lstStyle/>
        <a:p>
          <a:endParaRPr lang="en-US"/>
        </a:p>
      </dgm:t>
    </dgm:pt>
    <dgm:pt modelId="{7D2BD2C0-47F4-4254-9BEB-3CF2DC263574}" type="sibTrans" cxnId="{E5A64A1C-EA6A-48D7-9EF7-E8638C72B08A}">
      <dgm:prSet/>
      <dgm:spPr/>
      <dgm:t>
        <a:bodyPr/>
        <a:lstStyle/>
        <a:p>
          <a:endParaRPr lang="en-US"/>
        </a:p>
      </dgm:t>
    </dgm:pt>
    <dgm:pt modelId="{53B2FBF4-CC8F-4295-AF2C-F346DDDF57EB}">
      <dgm:prSet/>
      <dgm:spPr/>
      <dgm:t>
        <a:bodyPr/>
        <a:lstStyle/>
        <a:p>
          <a:r>
            <a:rPr lang="en-GB"/>
            <a:t>Use of federal and provincial funds.</a:t>
          </a:r>
          <a:endParaRPr lang="en-US"/>
        </a:p>
      </dgm:t>
    </dgm:pt>
    <dgm:pt modelId="{9495A197-C8C4-40F8-B467-E17F5D0C35D2}" type="parTrans" cxnId="{CF7DC772-8D93-41F0-952C-8B84F1936F8E}">
      <dgm:prSet/>
      <dgm:spPr/>
      <dgm:t>
        <a:bodyPr/>
        <a:lstStyle/>
        <a:p>
          <a:endParaRPr lang="en-US"/>
        </a:p>
      </dgm:t>
    </dgm:pt>
    <dgm:pt modelId="{EECB64D7-D133-4BE7-9985-7A4E4CE915AC}" type="sibTrans" cxnId="{CF7DC772-8D93-41F0-952C-8B84F1936F8E}">
      <dgm:prSet/>
      <dgm:spPr/>
      <dgm:t>
        <a:bodyPr/>
        <a:lstStyle/>
        <a:p>
          <a:endParaRPr lang="en-US"/>
        </a:p>
      </dgm:t>
    </dgm:pt>
    <dgm:pt modelId="{0DF2596F-3E8D-4570-8291-76AB0111BA58}">
      <dgm:prSet/>
      <dgm:spPr/>
      <dgm:t>
        <a:bodyPr/>
        <a:lstStyle/>
        <a:p>
          <a:r>
            <a:rPr lang="en-GB"/>
            <a:t>Multidisciplinary project team: engineers, environmental scientists, contractors, Indigenous partners.</a:t>
          </a:r>
          <a:endParaRPr lang="en-US"/>
        </a:p>
      </dgm:t>
    </dgm:pt>
    <dgm:pt modelId="{6E362570-95FA-4D59-BD21-CC3D05F374B3}" type="parTrans" cxnId="{C0E615BA-58BD-4C2C-BEAD-BE545C346940}">
      <dgm:prSet/>
      <dgm:spPr/>
      <dgm:t>
        <a:bodyPr/>
        <a:lstStyle/>
        <a:p>
          <a:endParaRPr lang="en-US"/>
        </a:p>
      </dgm:t>
    </dgm:pt>
    <dgm:pt modelId="{BF165123-EE6E-40A0-8AFE-7628335A0EB3}" type="sibTrans" cxnId="{C0E615BA-58BD-4C2C-BEAD-BE545C346940}">
      <dgm:prSet/>
      <dgm:spPr/>
      <dgm:t>
        <a:bodyPr/>
        <a:lstStyle/>
        <a:p>
          <a:endParaRPr lang="en-US"/>
        </a:p>
      </dgm:t>
    </dgm:pt>
    <dgm:pt modelId="{076E0DB8-39AB-495A-98CE-AF9495C1C10E}">
      <dgm:prSet/>
      <dgm:spPr/>
      <dgm:t>
        <a:bodyPr/>
        <a:lstStyle/>
        <a:p>
          <a:r>
            <a:rPr lang="en-GB" b="1"/>
            <a:t>4. Risks &amp; Stakeholders</a:t>
          </a:r>
          <a:br>
            <a:rPr lang="en-GB"/>
          </a:br>
          <a:r>
            <a:rPr lang="en-GB"/>
            <a:t>Risks: weather delays, cost escalation, engineering complexity.</a:t>
          </a:r>
          <a:br>
            <a:rPr lang="en-GB"/>
          </a:br>
          <a:r>
            <a:rPr lang="en-GB"/>
            <a:t>Stakeholders: Government of BC, Infrastructure Canada, municipalities, First Nations, supply chain industries, local communities.</a:t>
          </a:r>
          <a:endParaRPr lang="en-US"/>
        </a:p>
      </dgm:t>
    </dgm:pt>
    <dgm:pt modelId="{E4C79A34-C0D6-40AC-8742-6E6FAB3AEACC}" type="parTrans" cxnId="{FD3A1F92-F594-4AC8-9200-2B37ACB82B2A}">
      <dgm:prSet/>
      <dgm:spPr/>
      <dgm:t>
        <a:bodyPr/>
        <a:lstStyle/>
        <a:p>
          <a:endParaRPr lang="en-US"/>
        </a:p>
      </dgm:t>
    </dgm:pt>
    <dgm:pt modelId="{9E2AD3F7-8EC3-4873-BE44-0333BDA32527}" type="sibTrans" cxnId="{FD3A1F92-F594-4AC8-9200-2B37ACB82B2A}">
      <dgm:prSet/>
      <dgm:spPr/>
      <dgm:t>
        <a:bodyPr/>
        <a:lstStyle/>
        <a:p>
          <a:endParaRPr lang="en-US"/>
        </a:p>
      </dgm:t>
    </dgm:pt>
    <dgm:pt modelId="{E71F8EC8-FF1F-904C-BBE6-D97152B9157F}" type="pres">
      <dgm:prSet presAssocID="{350C293B-C9A5-447E-A959-AE11C2950A4C}" presName="Name0" presStyleCnt="0">
        <dgm:presLayoutVars>
          <dgm:dir/>
          <dgm:resizeHandles/>
        </dgm:presLayoutVars>
      </dgm:prSet>
      <dgm:spPr/>
    </dgm:pt>
    <dgm:pt modelId="{ACE3BD6B-AEED-3943-AE1F-98DBD415E0BD}" type="pres">
      <dgm:prSet presAssocID="{8C4283B1-5B7D-429B-AA56-109547867E17}" presName="compNode" presStyleCnt="0"/>
      <dgm:spPr/>
    </dgm:pt>
    <dgm:pt modelId="{DF0AAF1E-DC84-0C45-AD99-90DB334898FC}" type="pres">
      <dgm:prSet presAssocID="{8C4283B1-5B7D-429B-AA56-109547867E17}" presName="dummyConnPt" presStyleCnt="0"/>
      <dgm:spPr/>
    </dgm:pt>
    <dgm:pt modelId="{40AD3734-EB1D-9047-903E-7E021477FC80}" type="pres">
      <dgm:prSet presAssocID="{8C4283B1-5B7D-429B-AA56-109547867E17}" presName="node" presStyleLbl="node1" presStyleIdx="0" presStyleCnt="4">
        <dgm:presLayoutVars>
          <dgm:bulletEnabled val="1"/>
        </dgm:presLayoutVars>
      </dgm:prSet>
      <dgm:spPr/>
    </dgm:pt>
    <dgm:pt modelId="{90919099-5D10-9741-AE19-E46DE70125F1}" type="pres">
      <dgm:prSet presAssocID="{BE5C6DCD-A105-4AAE-BA5B-E5D1B2CF7A0F}" presName="sibTrans" presStyleLbl="bgSibTrans2D1" presStyleIdx="0" presStyleCnt="3"/>
      <dgm:spPr/>
    </dgm:pt>
    <dgm:pt modelId="{5F4A89ED-2144-B24C-AC3E-7C1F9C579051}" type="pres">
      <dgm:prSet presAssocID="{7831DCB8-69C5-4BD0-A9E3-68D8D347AD92}" presName="compNode" presStyleCnt="0"/>
      <dgm:spPr/>
    </dgm:pt>
    <dgm:pt modelId="{A12224EF-9DC5-EB4C-88E7-2EC190108534}" type="pres">
      <dgm:prSet presAssocID="{7831DCB8-69C5-4BD0-A9E3-68D8D347AD92}" presName="dummyConnPt" presStyleCnt="0"/>
      <dgm:spPr/>
    </dgm:pt>
    <dgm:pt modelId="{A594C2AC-FFC9-8440-9E52-C6EB22EAFA1A}" type="pres">
      <dgm:prSet presAssocID="{7831DCB8-69C5-4BD0-A9E3-68D8D347AD92}" presName="node" presStyleLbl="node1" presStyleIdx="1" presStyleCnt="4">
        <dgm:presLayoutVars>
          <dgm:bulletEnabled val="1"/>
        </dgm:presLayoutVars>
      </dgm:prSet>
      <dgm:spPr/>
    </dgm:pt>
    <dgm:pt modelId="{3F87F867-B961-E946-93AE-17E4BE601420}" type="pres">
      <dgm:prSet presAssocID="{1A88FACD-0C2E-46B5-8C22-6B4FDF8C260C}" presName="sibTrans" presStyleLbl="bgSibTrans2D1" presStyleIdx="1" presStyleCnt="3"/>
      <dgm:spPr/>
    </dgm:pt>
    <dgm:pt modelId="{35CCFD3C-FA42-684E-B78A-9740AA6DC606}" type="pres">
      <dgm:prSet presAssocID="{1BF0EEF4-ACEA-41DB-97DD-914EFCB46CB2}" presName="compNode" presStyleCnt="0"/>
      <dgm:spPr/>
    </dgm:pt>
    <dgm:pt modelId="{D43EB3E4-AD8B-4F46-953D-B1487925CD38}" type="pres">
      <dgm:prSet presAssocID="{1BF0EEF4-ACEA-41DB-97DD-914EFCB46CB2}" presName="dummyConnPt" presStyleCnt="0"/>
      <dgm:spPr/>
    </dgm:pt>
    <dgm:pt modelId="{39C9E75C-B58F-6B4D-A4D8-90A1CBAFEB40}" type="pres">
      <dgm:prSet presAssocID="{1BF0EEF4-ACEA-41DB-97DD-914EFCB46CB2}" presName="node" presStyleLbl="node1" presStyleIdx="2" presStyleCnt="4">
        <dgm:presLayoutVars>
          <dgm:bulletEnabled val="1"/>
        </dgm:presLayoutVars>
      </dgm:prSet>
      <dgm:spPr/>
    </dgm:pt>
    <dgm:pt modelId="{1F4E5370-4AED-6841-A762-40E4A4428437}" type="pres">
      <dgm:prSet presAssocID="{728BC2D5-AF6E-4A1D-82D1-2944DC8D0B2E}" presName="sibTrans" presStyleLbl="bgSibTrans2D1" presStyleIdx="2" presStyleCnt="3"/>
      <dgm:spPr/>
    </dgm:pt>
    <dgm:pt modelId="{EDF0D7DE-EE8D-364E-9C23-FE374B89144B}" type="pres">
      <dgm:prSet presAssocID="{076E0DB8-39AB-495A-98CE-AF9495C1C10E}" presName="compNode" presStyleCnt="0"/>
      <dgm:spPr/>
    </dgm:pt>
    <dgm:pt modelId="{AC4BB2C6-A501-A645-9CA5-A2566EFDAD4F}" type="pres">
      <dgm:prSet presAssocID="{076E0DB8-39AB-495A-98CE-AF9495C1C10E}" presName="dummyConnPt" presStyleCnt="0"/>
      <dgm:spPr/>
    </dgm:pt>
    <dgm:pt modelId="{E825E8E8-7FAC-4342-B778-1FBE4EB748D1}" type="pres">
      <dgm:prSet presAssocID="{076E0DB8-39AB-495A-98CE-AF9495C1C10E}" presName="node" presStyleLbl="node1" presStyleIdx="3" presStyleCnt="4">
        <dgm:presLayoutVars>
          <dgm:bulletEnabled val="1"/>
        </dgm:presLayoutVars>
      </dgm:prSet>
      <dgm:spPr/>
    </dgm:pt>
  </dgm:ptLst>
  <dgm:cxnLst>
    <dgm:cxn modelId="{6FA56A02-D871-D447-9A1A-B255036364D0}" type="presOf" srcId="{8C4283B1-5B7D-429B-AA56-109547867E17}" destId="{40AD3734-EB1D-9047-903E-7E021477FC80}" srcOrd="0" destOrd="0" presId="urn:microsoft.com/office/officeart/2005/8/layout/bProcess4"/>
    <dgm:cxn modelId="{E5A64A1C-EA6A-48D7-9EF7-E8638C72B08A}" srcId="{1BF0EEF4-ACEA-41DB-97DD-914EFCB46CB2}" destId="{6263B3E3-5A63-491D-90D9-4655A33D3719}" srcOrd="0" destOrd="0" parTransId="{3F69B44A-F670-4CA3-BF76-B97281F7576B}" sibTransId="{7D2BD2C0-47F4-4254-9BEB-3CF2DC263574}"/>
    <dgm:cxn modelId="{F3373B2D-293D-834B-9824-19A262F95D21}" type="presOf" srcId="{1BF0EEF4-ACEA-41DB-97DD-914EFCB46CB2}" destId="{39C9E75C-B58F-6B4D-A4D8-90A1CBAFEB40}" srcOrd="0" destOrd="0" presId="urn:microsoft.com/office/officeart/2005/8/layout/bProcess4"/>
    <dgm:cxn modelId="{152DCF2E-E3D8-A948-B4F0-523FDCC6B3C7}" type="presOf" srcId="{0DF2596F-3E8D-4570-8291-76AB0111BA58}" destId="{39C9E75C-B58F-6B4D-A4D8-90A1CBAFEB40}" srcOrd="0" destOrd="3" presId="urn:microsoft.com/office/officeart/2005/8/layout/bProcess4"/>
    <dgm:cxn modelId="{2698F633-0876-E24D-9BF3-B3EC8B47A641}" type="presOf" srcId="{076E0DB8-39AB-495A-98CE-AF9495C1C10E}" destId="{E825E8E8-7FAC-4342-B778-1FBE4EB748D1}" srcOrd="0" destOrd="0" presId="urn:microsoft.com/office/officeart/2005/8/layout/bProcess4"/>
    <dgm:cxn modelId="{9B520036-7AE9-D742-B0D3-84020ADAB908}" type="presOf" srcId="{6263B3E3-5A63-491D-90D9-4655A33D3719}" destId="{39C9E75C-B58F-6B4D-A4D8-90A1CBAFEB40}" srcOrd="0" destOrd="1" presId="urn:microsoft.com/office/officeart/2005/8/layout/bProcess4"/>
    <dgm:cxn modelId="{8D0C7336-1DD0-254C-AA39-DFFCCBB7A085}" type="presOf" srcId="{350C293B-C9A5-447E-A959-AE11C2950A4C}" destId="{E71F8EC8-FF1F-904C-BBE6-D97152B9157F}" srcOrd="0" destOrd="0" presId="urn:microsoft.com/office/officeart/2005/8/layout/bProcess4"/>
    <dgm:cxn modelId="{93978C3E-D996-4F4A-AB69-DA759C9F671F}" type="presOf" srcId="{BE5C6DCD-A105-4AAE-BA5B-E5D1B2CF7A0F}" destId="{90919099-5D10-9741-AE19-E46DE70125F1}" srcOrd="0" destOrd="0" presId="urn:microsoft.com/office/officeart/2005/8/layout/bProcess4"/>
    <dgm:cxn modelId="{13164643-A760-3E4F-AAFB-33E1FA9C5F4A}" type="presOf" srcId="{53B2FBF4-CC8F-4295-AF2C-F346DDDF57EB}" destId="{39C9E75C-B58F-6B4D-A4D8-90A1CBAFEB40}" srcOrd="0" destOrd="2" presId="urn:microsoft.com/office/officeart/2005/8/layout/bProcess4"/>
    <dgm:cxn modelId="{B954924A-E429-4806-99B3-74A261176CB1}" srcId="{7831DCB8-69C5-4BD0-A9E3-68D8D347AD92}" destId="{7630FC45-E7BA-428C-A7F3-2328E809CA73}" srcOrd="1" destOrd="0" parTransId="{608671F5-20B8-4825-92F0-D2C10B5CAC22}" sibTransId="{5334C6C0-17C8-4FE5-8CF2-A29B2D0B4566}"/>
    <dgm:cxn modelId="{C0E13057-FC8B-4AD0-960E-9ED41426E7F7}" srcId="{350C293B-C9A5-447E-A959-AE11C2950A4C}" destId="{8C4283B1-5B7D-429B-AA56-109547867E17}" srcOrd="0" destOrd="0" parTransId="{AB672B5B-3EFF-48E4-99CB-845C293A3B37}" sibTransId="{BE5C6DCD-A105-4AAE-BA5B-E5D1B2CF7A0F}"/>
    <dgm:cxn modelId="{9DE0916D-5BB8-40B2-BDB7-BA968AE4458F}" srcId="{7831DCB8-69C5-4BD0-A9E3-68D8D347AD92}" destId="{29B9C749-CFC3-46A2-B390-E3E281C704DA}" srcOrd="2" destOrd="0" parTransId="{A1DC1169-582E-4835-8AB5-8348F3ABEF3F}" sibTransId="{CC147C68-499F-4A57-A976-916257B2634C}"/>
    <dgm:cxn modelId="{BFDE946F-AC95-4D7B-BB34-D168DB2AC897}" srcId="{7831DCB8-69C5-4BD0-A9E3-68D8D347AD92}" destId="{E57D7928-7D6D-482A-87C9-A8E9910D74CF}" srcOrd="3" destOrd="0" parTransId="{482C4D8C-ABD3-41F1-8DC6-B7CDBB35C12B}" sibTransId="{7C7856EF-65A9-4143-A5D0-5727FD4DD1B6}"/>
    <dgm:cxn modelId="{CF7DC772-8D93-41F0-952C-8B84F1936F8E}" srcId="{1BF0EEF4-ACEA-41DB-97DD-914EFCB46CB2}" destId="{53B2FBF4-CC8F-4295-AF2C-F346DDDF57EB}" srcOrd="1" destOrd="0" parTransId="{9495A197-C8C4-40F8-B467-E17F5D0C35D2}" sibTransId="{EECB64D7-D133-4BE7-9985-7A4E4CE915AC}"/>
    <dgm:cxn modelId="{A7F7A37C-50B7-4D7F-8E03-2135A7F35CE8}" srcId="{7831DCB8-69C5-4BD0-A9E3-68D8D347AD92}" destId="{76008B5B-01FA-43FC-BF9D-464C483AE7C3}" srcOrd="0" destOrd="0" parTransId="{9EE79637-4BDE-47CE-A99A-B9C4266FA64B}" sibTransId="{39005C22-3158-49FD-9A6D-D5A94C054F0D}"/>
    <dgm:cxn modelId="{FD3A1F92-F594-4AC8-9200-2B37ACB82B2A}" srcId="{350C293B-C9A5-447E-A959-AE11C2950A4C}" destId="{076E0DB8-39AB-495A-98CE-AF9495C1C10E}" srcOrd="3" destOrd="0" parTransId="{E4C79A34-C0D6-40AC-8742-6E6FAB3AEACC}" sibTransId="{9E2AD3F7-8EC3-4873-BE44-0333BDA32527}"/>
    <dgm:cxn modelId="{209897AF-44F7-9446-917F-5FD9AD9CC283}" type="presOf" srcId="{7831DCB8-69C5-4BD0-A9E3-68D8D347AD92}" destId="{A594C2AC-FFC9-8440-9E52-C6EB22EAFA1A}" srcOrd="0" destOrd="0" presId="urn:microsoft.com/office/officeart/2005/8/layout/bProcess4"/>
    <dgm:cxn modelId="{C0E615BA-58BD-4C2C-BEAD-BE545C346940}" srcId="{1BF0EEF4-ACEA-41DB-97DD-914EFCB46CB2}" destId="{0DF2596F-3E8D-4570-8291-76AB0111BA58}" srcOrd="2" destOrd="0" parTransId="{6E362570-95FA-4D59-BD21-CC3D05F374B3}" sibTransId="{BF165123-EE6E-40A0-8AFE-7628335A0EB3}"/>
    <dgm:cxn modelId="{74156DC5-D99F-A64C-B774-73920C1B596B}" type="presOf" srcId="{7630FC45-E7BA-428C-A7F3-2328E809CA73}" destId="{A594C2AC-FFC9-8440-9E52-C6EB22EAFA1A}" srcOrd="0" destOrd="2" presId="urn:microsoft.com/office/officeart/2005/8/layout/bProcess4"/>
    <dgm:cxn modelId="{17E997C7-D6E5-EF4D-81F2-05DDD64AA79C}" type="presOf" srcId="{76008B5B-01FA-43FC-BF9D-464C483AE7C3}" destId="{A594C2AC-FFC9-8440-9E52-C6EB22EAFA1A}" srcOrd="0" destOrd="1" presId="urn:microsoft.com/office/officeart/2005/8/layout/bProcess4"/>
    <dgm:cxn modelId="{9B649CCC-C76F-4262-9C11-61CD17D19982}" srcId="{350C293B-C9A5-447E-A959-AE11C2950A4C}" destId="{7831DCB8-69C5-4BD0-A9E3-68D8D347AD92}" srcOrd="1" destOrd="0" parTransId="{4598810B-0418-4004-986E-E322EDFBDB70}" sibTransId="{1A88FACD-0C2E-46B5-8C22-6B4FDF8C260C}"/>
    <dgm:cxn modelId="{BB3F04CD-3756-4D7D-BC9D-245D389F9750}" srcId="{350C293B-C9A5-447E-A959-AE11C2950A4C}" destId="{1BF0EEF4-ACEA-41DB-97DD-914EFCB46CB2}" srcOrd="2" destOrd="0" parTransId="{299F237D-FB5D-45AD-803D-6070D486CE56}" sibTransId="{728BC2D5-AF6E-4A1D-82D1-2944DC8D0B2E}"/>
    <dgm:cxn modelId="{762FBED1-934A-CA44-990A-5806B7F21588}" type="presOf" srcId="{E57D7928-7D6D-482A-87C9-A8E9910D74CF}" destId="{A594C2AC-FFC9-8440-9E52-C6EB22EAFA1A}" srcOrd="0" destOrd="4" presId="urn:microsoft.com/office/officeart/2005/8/layout/bProcess4"/>
    <dgm:cxn modelId="{918BA3E6-7993-AE4A-A9B6-1F8ECA398841}" type="presOf" srcId="{728BC2D5-AF6E-4A1D-82D1-2944DC8D0B2E}" destId="{1F4E5370-4AED-6841-A762-40E4A4428437}" srcOrd="0" destOrd="0" presId="urn:microsoft.com/office/officeart/2005/8/layout/bProcess4"/>
    <dgm:cxn modelId="{37FA3EEE-32FF-B44A-B7DB-720C1B345D81}" type="presOf" srcId="{29B9C749-CFC3-46A2-B390-E3E281C704DA}" destId="{A594C2AC-FFC9-8440-9E52-C6EB22EAFA1A}" srcOrd="0" destOrd="3" presId="urn:microsoft.com/office/officeart/2005/8/layout/bProcess4"/>
    <dgm:cxn modelId="{02643DF5-DB43-444C-8D9E-D69CB32C7A22}" type="presOf" srcId="{1A88FACD-0C2E-46B5-8C22-6B4FDF8C260C}" destId="{3F87F867-B961-E946-93AE-17E4BE601420}" srcOrd="0" destOrd="0" presId="urn:microsoft.com/office/officeart/2005/8/layout/bProcess4"/>
    <dgm:cxn modelId="{029411CE-40CD-1F41-A29D-02ACC125880E}" type="presParOf" srcId="{E71F8EC8-FF1F-904C-BBE6-D97152B9157F}" destId="{ACE3BD6B-AEED-3943-AE1F-98DBD415E0BD}" srcOrd="0" destOrd="0" presId="urn:microsoft.com/office/officeart/2005/8/layout/bProcess4"/>
    <dgm:cxn modelId="{168F3676-572E-A24A-96DD-83505138A5EF}" type="presParOf" srcId="{ACE3BD6B-AEED-3943-AE1F-98DBD415E0BD}" destId="{DF0AAF1E-DC84-0C45-AD99-90DB334898FC}" srcOrd="0" destOrd="0" presId="urn:microsoft.com/office/officeart/2005/8/layout/bProcess4"/>
    <dgm:cxn modelId="{4599AB9B-8DA5-4047-A6C8-6F4F0EC48AEB}" type="presParOf" srcId="{ACE3BD6B-AEED-3943-AE1F-98DBD415E0BD}" destId="{40AD3734-EB1D-9047-903E-7E021477FC80}" srcOrd="1" destOrd="0" presId="urn:microsoft.com/office/officeart/2005/8/layout/bProcess4"/>
    <dgm:cxn modelId="{FE252494-0A3F-034F-9250-DF8A7FF3129D}" type="presParOf" srcId="{E71F8EC8-FF1F-904C-BBE6-D97152B9157F}" destId="{90919099-5D10-9741-AE19-E46DE70125F1}" srcOrd="1" destOrd="0" presId="urn:microsoft.com/office/officeart/2005/8/layout/bProcess4"/>
    <dgm:cxn modelId="{C66852C3-41D1-CD48-80B4-C0B745344788}" type="presParOf" srcId="{E71F8EC8-FF1F-904C-BBE6-D97152B9157F}" destId="{5F4A89ED-2144-B24C-AC3E-7C1F9C579051}" srcOrd="2" destOrd="0" presId="urn:microsoft.com/office/officeart/2005/8/layout/bProcess4"/>
    <dgm:cxn modelId="{0546D7CD-D6A6-1443-9D51-FD6021F27AF1}" type="presParOf" srcId="{5F4A89ED-2144-B24C-AC3E-7C1F9C579051}" destId="{A12224EF-9DC5-EB4C-88E7-2EC190108534}" srcOrd="0" destOrd="0" presId="urn:microsoft.com/office/officeart/2005/8/layout/bProcess4"/>
    <dgm:cxn modelId="{8F615131-30FC-324E-8BBD-4D777E958B43}" type="presParOf" srcId="{5F4A89ED-2144-B24C-AC3E-7C1F9C579051}" destId="{A594C2AC-FFC9-8440-9E52-C6EB22EAFA1A}" srcOrd="1" destOrd="0" presId="urn:microsoft.com/office/officeart/2005/8/layout/bProcess4"/>
    <dgm:cxn modelId="{C781B3A3-7A2A-9141-884F-A27443DE51F7}" type="presParOf" srcId="{E71F8EC8-FF1F-904C-BBE6-D97152B9157F}" destId="{3F87F867-B961-E946-93AE-17E4BE601420}" srcOrd="3" destOrd="0" presId="urn:microsoft.com/office/officeart/2005/8/layout/bProcess4"/>
    <dgm:cxn modelId="{0261EDEF-22FB-C144-AF08-4DDE6B10A8ED}" type="presParOf" srcId="{E71F8EC8-FF1F-904C-BBE6-D97152B9157F}" destId="{35CCFD3C-FA42-684E-B78A-9740AA6DC606}" srcOrd="4" destOrd="0" presId="urn:microsoft.com/office/officeart/2005/8/layout/bProcess4"/>
    <dgm:cxn modelId="{C50972DD-60D3-2243-9E89-13CF03B85348}" type="presParOf" srcId="{35CCFD3C-FA42-684E-B78A-9740AA6DC606}" destId="{D43EB3E4-AD8B-4F46-953D-B1487925CD38}" srcOrd="0" destOrd="0" presId="urn:microsoft.com/office/officeart/2005/8/layout/bProcess4"/>
    <dgm:cxn modelId="{A02CC40D-4E6F-F743-961F-9FADB0C63512}" type="presParOf" srcId="{35CCFD3C-FA42-684E-B78A-9740AA6DC606}" destId="{39C9E75C-B58F-6B4D-A4D8-90A1CBAFEB40}" srcOrd="1" destOrd="0" presId="urn:microsoft.com/office/officeart/2005/8/layout/bProcess4"/>
    <dgm:cxn modelId="{2B9C7997-906F-E640-8A42-BC4ADF31B461}" type="presParOf" srcId="{E71F8EC8-FF1F-904C-BBE6-D97152B9157F}" destId="{1F4E5370-4AED-6841-A762-40E4A4428437}" srcOrd="5" destOrd="0" presId="urn:microsoft.com/office/officeart/2005/8/layout/bProcess4"/>
    <dgm:cxn modelId="{064DC3DE-6A4E-224B-860F-34514D6F5BB4}" type="presParOf" srcId="{E71F8EC8-FF1F-904C-BBE6-D97152B9157F}" destId="{EDF0D7DE-EE8D-364E-9C23-FE374B89144B}" srcOrd="6" destOrd="0" presId="urn:microsoft.com/office/officeart/2005/8/layout/bProcess4"/>
    <dgm:cxn modelId="{5D527F93-6892-8049-A140-41F6365529E7}" type="presParOf" srcId="{EDF0D7DE-EE8D-364E-9C23-FE374B89144B}" destId="{AC4BB2C6-A501-A645-9CA5-A2566EFDAD4F}" srcOrd="0" destOrd="0" presId="urn:microsoft.com/office/officeart/2005/8/layout/bProcess4"/>
    <dgm:cxn modelId="{9B5CF176-3C31-0543-9A11-9608DCC7BE94}" type="presParOf" srcId="{EDF0D7DE-EE8D-364E-9C23-FE374B89144B}" destId="{E825E8E8-7FAC-4342-B778-1FBE4EB748D1}" srcOrd="1" destOrd="0" presId="urn:microsoft.com/office/officeart/2005/8/layout/bProcess4"/>
  </dgm:cxnLst>
  <dgm:bg/>
  <dgm:whole/>
  <dgm:extLst>
    <a:ext uri="http://schemas.microsoft.com/office/drawing/2008/diagram">
      <dsp:dataModelExt xmlns:dsp="http://schemas.microsoft.com/office/drawing/2008/diagram" relId="rId22"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35F93BAB-D9D9-3349-BBBF-507AB647DB28}">
      <dsp:nvSpPr>
        <dsp:cNvPr id="0" name=""/>
        <dsp:cNvSpPr/>
      </dsp:nvSpPr>
      <dsp:spPr>
        <a:xfrm>
          <a:off x="7755424" y="2242248"/>
          <a:ext cx="710815" cy="169141"/>
        </a:xfrm>
        <a:custGeom>
          <a:avLst/>
          <a:gdLst/>
          <a:ahLst/>
          <a:cxnLst/>
          <a:rect l="0" t="0" r="0" b="0"/>
          <a:pathLst>
            <a:path>
              <a:moveTo>
                <a:pt x="0" y="0"/>
              </a:moveTo>
              <a:lnTo>
                <a:pt x="0" y="115265"/>
              </a:lnTo>
              <a:lnTo>
                <a:pt x="710815" y="115265"/>
              </a:lnTo>
              <a:lnTo>
                <a:pt x="710815" y="169141"/>
              </a:lnTo>
            </a:path>
          </a:pathLst>
        </a:custGeom>
        <a:noFill/>
        <a:ln w="12700" cap="flat" cmpd="sng" algn="ctr">
          <a:solidFill>
            <a:schemeClr val="accent3">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A5A2A504-6CC3-2148-AD94-05EBD83A2803}">
      <dsp:nvSpPr>
        <dsp:cNvPr id="0" name=""/>
        <dsp:cNvSpPr/>
      </dsp:nvSpPr>
      <dsp:spPr>
        <a:xfrm>
          <a:off x="7709704" y="2242248"/>
          <a:ext cx="91440" cy="169141"/>
        </a:xfrm>
        <a:custGeom>
          <a:avLst/>
          <a:gdLst/>
          <a:ahLst/>
          <a:cxnLst/>
          <a:rect l="0" t="0" r="0" b="0"/>
          <a:pathLst>
            <a:path>
              <a:moveTo>
                <a:pt x="45720" y="0"/>
              </a:moveTo>
              <a:lnTo>
                <a:pt x="45720" y="169141"/>
              </a:lnTo>
            </a:path>
          </a:pathLst>
        </a:custGeom>
        <a:noFill/>
        <a:ln w="12700" cap="flat" cmpd="sng" algn="ctr">
          <a:solidFill>
            <a:schemeClr val="accent3">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C44191EA-6632-784B-9266-D608E2183141}">
      <dsp:nvSpPr>
        <dsp:cNvPr id="0" name=""/>
        <dsp:cNvSpPr/>
      </dsp:nvSpPr>
      <dsp:spPr>
        <a:xfrm>
          <a:off x="7044609" y="2242248"/>
          <a:ext cx="710815" cy="169141"/>
        </a:xfrm>
        <a:custGeom>
          <a:avLst/>
          <a:gdLst/>
          <a:ahLst/>
          <a:cxnLst/>
          <a:rect l="0" t="0" r="0" b="0"/>
          <a:pathLst>
            <a:path>
              <a:moveTo>
                <a:pt x="710815" y="0"/>
              </a:moveTo>
              <a:lnTo>
                <a:pt x="710815" y="115265"/>
              </a:lnTo>
              <a:lnTo>
                <a:pt x="0" y="115265"/>
              </a:lnTo>
              <a:lnTo>
                <a:pt x="0" y="169141"/>
              </a:lnTo>
            </a:path>
          </a:pathLst>
        </a:custGeom>
        <a:noFill/>
        <a:ln w="12700" cap="flat" cmpd="sng" algn="ctr">
          <a:solidFill>
            <a:schemeClr val="accent3">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41FADDEE-D9B3-6D4D-9C4E-8A1BDF4BDCFB}">
      <dsp:nvSpPr>
        <dsp:cNvPr id="0" name=""/>
        <dsp:cNvSpPr/>
      </dsp:nvSpPr>
      <dsp:spPr>
        <a:xfrm>
          <a:off x="5445274" y="1703805"/>
          <a:ext cx="2310149" cy="169141"/>
        </a:xfrm>
        <a:custGeom>
          <a:avLst/>
          <a:gdLst/>
          <a:ahLst/>
          <a:cxnLst/>
          <a:rect l="0" t="0" r="0" b="0"/>
          <a:pathLst>
            <a:path>
              <a:moveTo>
                <a:pt x="0" y="0"/>
              </a:moveTo>
              <a:lnTo>
                <a:pt x="0" y="115265"/>
              </a:lnTo>
              <a:lnTo>
                <a:pt x="2310149" y="115265"/>
              </a:lnTo>
              <a:lnTo>
                <a:pt x="2310149" y="169141"/>
              </a:lnTo>
            </a:path>
          </a:pathLst>
        </a:custGeom>
        <a:noFill/>
        <a:ln w="12700" cap="flat" cmpd="sng" algn="ctr">
          <a:solidFill>
            <a:schemeClr val="accent2">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391A0671-0043-C74A-AF0A-AE2DF363EEFE}">
      <dsp:nvSpPr>
        <dsp:cNvPr id="0" name=""/>
        <dsp:cNvSpPr/>
      </dsp:nvSpPr>
      <dsp:spPr>
        <a:xfrm>
          <a:off x="5267571" y="2242248"/>
          <a:ext cx="1066222" cy="169141"/>
        </a:xfrm>
        <a:custGeom>
          <a:avLst/>
          <a:gdLst/>
          <a:ahLst/>
          <a:cxnLst/>
          <a:rect l="0" t="0" r="0" b="0"/>
          <a:pathLst>
            <a:path>
              <a:moveTo>
                <a:pt x="0" y="0"/>
              </a:moveTo>
              <a:lnTo>
                <a:pt x="0" y="115265"/>
              </a:lnTo>
              <a:lnTo>
                <a:pt x="1066222" y="115265"/>
              </a:lnTo>
              <a:lnTo>
                <a:pt x="1066222" y="169141"/>
              </a:lnTo>
            </a:path>
          </a:pathLst>
        </a:custGeom>
        <a:noFill/>
        <a:ln w="12700" cap="flat" cmpd="sng" algn="ctr">
          <a:solidFill>
            <a:schemeClr val="accent3">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20A8ECAF-12EF-AA46-8DAA-9D9374736F19}">
      <dsp:nvSpPr>
        <dsp:cNvPr id="0" name=""/>
        <dsp:cNvSpPr/>
      </dsp:nvSpPr>
      <dsp:spPr>
        <a:xfrm>
          <a:off x="5267571" y="2242248"/>
          <a:ext cx="355407" cy="169141"/>
        </a:xfrm>
        <a:custGeom>
          <a:avLst/>
          <a:gdLst/>
          <a:ahLst/>
          <a:cxnLst/>
          <a:rect l="0" t="0" r="0" b="0"/>
          <a:pathLst>
            <a:path>
              <a:moveTo>
                <a:pt x="0" y="0"/>
              </a:moveTo>
              <a:lnTo>
                <a:pt x="0" y="115265"/>
              </a:lnTo>
              <a:lnTo>
                <a:pt x="355407" y="115265"/>
              </a:lnTo>
              <a:lnTo>
                <a:pt x="355407" y="169141"/>
              </a:lnTo>
            </a:path>
          </a:pathLst>
        </a:custGeom>
        <a:noFill/>
        <a:ln w="12700" cap="flat" cmpd="sng" algn="ctr">
          <a:solidFill>
            <a:schemeClr val="accent3">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113A4631-3B9C-A04F-9552-4C32384D597A}">
      <dsp:nvSpPr>
        <dsp:cNvPr id="0" name=""/>
        <dsp:cNvSpPr/>
      </dsp:nvSpPr>
      <dsp:spPr>
        <a:xfrm>
          <a:off x="4912163" y="2242248"/>
          <a:ext cx="355407" cy="169141"/>
        </a:xfrm>
        <a:custGeom>
          <a:avLst/>
          <a:gdLst/>
          <a:ahLst/>
          <a:cxnLst/>
          <a:rect l="0" t="0" r="0" b="0"/>
          <a:pathLst>
            <a:path>
              <a:moveTo>
                <a:pt x="355407" y="0"/>
              </a:moveTo>
              <a:lnTo>
                <a:pt x="355407" y="115265"/>
              </a:lnTo>
              <a:lnTo>
                <a:pt x="0" y="115265"/>
              </a:lnTo>
              <a:lnTo>
                <a:pt x="0" y="169141"/>
              </a:lnTo>
            </a:path>
          </a:pathLst>
        </a:custGeom>
        <a:noFill/>
        <a:ln w="12700" cap="flat" cmpd="sng" algn="ctr">
          <a:solidFill>
            <a:schemeClr val="accent3">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1128BCB1-EBF9-F045-B28E-277D3212F52A}">
      <dsp:nvSpPr>
        <dsp:cNvPr id="0" name=""/>
        <dsp:cNvSpPr/>
      </dsp:nvSpPr>
      <dsp:spPr>
        <a:xfrm>
          <a:off x="4201348" y="2242248"/>
          <a:ext cx="1066222" cy="169141"/>
        </a:xfrm>
        <a:custGeom>
          <a:avLst/>
          <a:gdLst/>
          <a:ahLst/>
          <a:cxnLst/>
          <a:rect l="0" t="0" r="0" b="0"/>
          <a:pathLst>
            <a:path>
              <a:moveTo>
                <a:pt x="1066222" y="0"/>
              </a:moveTo>
              <a:lnTo>
                <a:pt x="1066222" y="115265"/>
              </a:lnTo>
              <a:lnTo>
                <a:pt x="0" y="115265"/>
              </a:lnTo>
              <a:lnTo>
                <a:pt x="0" y="169141"/>
              </a:lnTo>
            </a:path>
          </a:pathLst>
        </a:custGeom>
        <a:noFill/>
        <a:ln w="12700" cap="flat" cmpd="sng" algn="ctr">
          <a:solidFill>
            <a:schemeClr val="accent3">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FBE618B6-0F27-8741-ADFC-F57066B31D8E}">
      <dsp:nvSpPr>
        <dsp:cNvPr id="0" name=""/>
        <dsp:cNvSpPr/>
      </dsp:nvSpPr>
      <dsp:spPr>
        <a:xfrm>
          <a:off x="5267571" y="1703805"/>
          <a:ext cx="177703" cy="169141"/>
        </a:xfrm>
        <a:custGeom>
          <a:avLst/>
          <a:gdLst/>
          <a:ahLst/>
          <a:cxnLst/>
          <a:rect l="0" t="0" r="0" b="0"/>
          <a:pathLst>
            <a:path>
              <a:moveTo>
                <a:pt x="177703" y="0"/>
              </a:moveTo>
              <a:lnTo>
                <a:pt x="177703" y="115265"/>
              </a:lnTo>
              <a:lnTo>
                <a:pt x="0" y="115265"/>
              </a:lnTo>
              <a:lnTo>
                <a:pt x="0" y="169141"/>
              </a:lnTo>
            </a:path>
          </a:pathLst>
        </a:custGeom>
        <a:noFill/>
        <a:ln w="12700" cap="flat" cmpd="sng" algn="ctr">
          <a:solidFill>
            <a:schemeClr val="accent2">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F09C74F0-AB10-7A4F-8F60-4EB4DA482FCC}">
      <dsp:nvSpPr>
        <dsp:cNvPr id="0" name=""/>
        <dsp:cNvSpPr/>
      </dsp:nvSpPr>
      <dsp:spPr>
        <a:xfrm>
          <a:off x="4556756" y="1703805"/>
          <a:ext cx="888518" cy="169141"/>
        </a:xfrm>
        <a:custGeom>
          <a:avLst/>
          <a:gdLst/>
          <a:ahLst/>
          <a:cxnLst/>
          <a:rect l="0" t="0" r="0" b="0"/>
          <a:pathLst>
            <a:path>
              <a:moveTo>
                <a:pt x="888518" y="0"/>
              </a:moveTo>
              <a:lnTo>
                <a:pt x="888518" y="115265"/>
              </a:lnTo>
              <a:lnTo>
                <a:pt x="0" y="115265"/>
              </a:lnTo>
              <a:lnTo>
                <a:pt x="0" y="169141"/>
              </a:lnTo>
            </a:path>
          </a:pathLst>
        </a:custGeom>
        <a:noFill/>
        <a:ln w="12700" cap="flat" cmpd="sng" algn="ctr">
          <a:solidFill>
            <a:schemeClr val="accent2">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DAE847A0-C9A9-5643-B8F6-06D8460FB4E1}">
      <dsp:nvSpPr>
        <dsp:cNvPr id="0" name=""/>
        <dsp:cNvSpPr/>
      </dsp:nvSpPr>
      <dsp:spPr>
        <a:xfrm>
          <a:off x="3845940" y="1703805"/>
          <a:ext cx="1599334" cy="169141"/>
        </a:xfrm>
        <a:custGeom>
          <a:avLst/>
          <a:gdLst/>
          <a:ahLst/>
          <a:cxnLst/>
          <a:rect l="0" t="0" r="0" b="0"/>
          <a:pathLst>
            <a:path>
              <a:moveTo>
                <a:pt x="1599334" y="0"/>
              </a:moveTo>
              <a:lnTo>
                <a:pt x="1599334" y="115265"/>
              </a:lnTo>
              <a:lnTo>
                <a:pt x="0" y="115265"/>
              </a:lnTo>
              <a:lnTo>
                <a:pt x="0" y="169141"/>
              </a:lnTo>
            </a:path>
          </a:pathLst>
        </a:custGeom>
        <a:noFill/>
        <a:ln w="12700" cap="flat" cmpd="sng" algn="ctr">
          <a:solidFill>
            <a:schemeClr val="accent2">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D4EF7CF9-E31B-C346-812C-E62D4B8F70BF}">
      <dsp:nvSpPr>
        <dsp:cNvPr id="0" name=""/>
        <dsp:cNvSpPr/>
      </dsp:nvSpPr>
      <dsp:spPr>
        <a:xfrm>
          <a:off x="3135125" y="1703805"/>
          <a:ext cx="2310149" cy="169141"/>
        </a:xfrm>
        <a:custGeom>
          <a:avLst/>
          <a:gdLst/>
          <a:ahLst/>
          <a:cxnLst/>
          <a:rect l="0" t="0" r="0" b="0"/>
          <a:pathLst>
            <a:path>
              <a:moveTo>
                <a:pt x="2310149" y="0"/>
              </a:moveTo>
              <a:lnTo>
                <a:pt x="2310149" y="115265"/>
              </a:lnTo>
              <a:lnTo>
                <a:pt x="0" y="115265"/>
              </a:lnTo>
              <a:lnTo>
                <a:pt x="0" y="169141"/>
              </a:lnTo>
            </a:path>
          </a:pathLst>
        </a:custGeom>
        <a:noFill/>
        <a:ln w="12700" cap="flat" cmpd="sng" algn="ctr">
          <a:solidFill>
            <a:schemeClr val="accent2">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1CEA797F-FFD6-AD46-929F-BD85D2FF1829}">
      <dsp:nvSpPr>
        <dsp:cNvPr id="0" name=""/>
        <dsp:cNvSpPr/>
      </dsp:nvSpPr>
      <dsp:spPr>
        <a:xfrm>
          <a:off x="1358087" y="1703805"/>
          <a:ext cx="1066222" cy="169141"/>
        </a:xfrm>
        <a:custGeom>
          <a:avLst/>
          <a:gdLst/>
          <a:ahLst/>
          <a:cxnLst/>
          <a:rect l="0" t="0" r="0" b="0"/>
          <a:pathLst>
            <a:path>
              <a:moveTo>
                <a:pt x="0" y="0"/>
              </a:moveTo>
              <a:lnTo>
                <a:pt x="0" y="115265"/>
              </a:lnTo>
              <a:lnTo>
                <a:pt x="1066222" y="115265"/>
              </a:lnTo>
              <a:lnTo>
                <a:pt x="1066222" y="169141"/>
              </a:lnTo>
            </a:path>
          </a:pathLst>
        </a:custGeom>
        <a:noFill/>
        <a:ln w="12700" cap="flat" cmpd="sng" algn="ctr">
          <a:solidFill>
            <a:schemeClr val="accent2">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16F4145A-7B31-464D-998A-2FE3F23374D2}">
      <dsp:nvSpPr>
        <dsp:cNvPr id="0" name=""/>
        <dsp:cNvSpPr/>
      </dsp:nvSpPr>
      <dsp:spPr>
        <a:xfrm>
          <a:off x="1358087" y="1703805"/>
          <a:ext cx="355407" cy="169141"/>
        </a:xfrm>
        <a:custGeom>
          <a:avLst/>
          <a:gdLst/>
          <a:ahLst/>
          <a:cxnLst/>
          <a:rect l="0" t="0" r="0" b="0"/>
          <a:pathLst>
            <a:path>
              <a:moveTo>
                <a:pt x="0" y="0"/>
              </a:moveTo>
              <a:lnTo>
                <a:pt x="0" y="115265"/>
              </a:lnTo>
              <a:lnTo>
                <a:pt x="355407" y="115265"/>
              </a:lnTo>
              <a:lnTo>
                <a:pt x="355407" y="169141"/>
              </a:lnTo>
            </a:path>
          </a:pathLst>
        </a:custGeom>
        <a:noFill/>
        <a:ln w="12700" cap="flat" cmpd="sng" algn="ctr">
          <a:solidFill>
            <a:schemeClr val="accent2">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D9FE1A9A-9A38-E64A-9C85-8294095D4D70}">
      <dsp:nvSpPr>
        <dsp:cNvPr id="0" name=""/>
        <dsp:cNvSpPr/>
      </dsp:nvSpPr>
      <dsp:spPr>
        <a:xfrm>
          <a:off x="1002680" y="1703805"/>
          <a:ext cx="355407" cy="169141"/>
        </a:xfrm>
        <a:custGeom>
          <a:avLst/>
          <a:gdLst/>
          <a:ahLst/>
          <a:cxnLst/>
          <a:rect l="0" t="0" r="0" b="0"/>
          <a:pathLst>
            <a:path>
              <a:moveTo>
                <a:pt x="355407" y="0"/>
              </a:moveTo>
              <a:lnTo>
                <a:pt x="355407" y="115265"/>
              </a:lnTo>
              <a:lnTo>
                <a:pt x="0" y="115265"/>
              </a:lnTo>
              <a:lnTo>
                <a:pt x="0" y="169141"/>
              </a:lnTo>
            </a:path>
          </a:pathLst>
        </a:custGeom>
        <a:noFill/>
        <a:ln w="12700" cap="flat" cmpd="sng" algn="ctr">
          <a:solidFill>
            <a:schemeClr val="accent2">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01881E9D-2E18-D14E-84DA-889562DD0DEE}">
      <dsp:nvSpPr>
        <dsp:cNvPr id="0" name=""/>
        <dsp:cNvSpPr/>
      </dsp:nvSpPr>
      <dsp:spPr>
        <a:xfrm>
          <a:off x="291865" y="1703805"/>
          <a:ext cx="1066222" cy="169141"/>
        </a:xfrm>
        <a:custGeom>
          <a:avLst/>
          <a:gdLst/>
          <a:ahLst/>
          <a:cxnLst/>
          <a:rect l="0" t="0" r="0" b="0"/>
          <a:pathLst>
            <a:path>
              <a:moveTo>
                <a:pt x="1066222" y="0"/>
              </a:moveTo>
              <a:lnTo>
                <a:pt x="1066222" y="115265"/>
              </a:lnTo>
              <a:lnTo>
                <a:pt x="0" y="115265"/>
              </a:lnTo>
              <a:lnTo>
                <a:pt x="0" y="169141"/>
              </a:lnTo>
            </a:path>
          </a:pathLst>
        </a:custGeom>
        <a:noFill/>
        <a:ln w="12700" cap="flat" cmpd="sng" algn="ctr">
          <a:solidFill>
            <a:schemeClr val="accent2">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95A32E90-8499-1E4E-9645-AE17840D4FD6}">
      <dsp:nvSpPr>
        <dsp:cNvPr id="0" name=""/>
        <dsp:cNvSpPr/>
      </dsp:nvSpPr>
      <dsp:spPr>
        <a:xfrm>
          <a:off x="1067299" y="1334504"/>
          <a:ext cx="581576" cy="369300"/>
        </a:xfrm>
        <a:prstGeom prst="roundRect">
          <a:avLst>
            <a:gd name="adj" fmla="val 1000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60467AE4-C14E-7D40-8528-6C758A53AA29}">
      <dsp:nvSpPr>
        <dsp:cNvPr id="0" name=""/>
        <dsp:cNvSpPr/>
      </dsp:nvSpPr>
      <dsp:spPr>
        <a:xfrm>
          <a:off x="1131919" y="1395893"/>
          <a:ext cx="581576" cy="369300"/>
        </a:xfrm>
        <a:prstGeom prst="roundRect">
          <a:avLst>
            <a:gd name="adj" fmla="val 10000"/>
          </a:avLst>
        </a:prstGeom>
        <a:solidFill>
          <a:schemeClr val="lt1">
            <a:alpha val="90000"/>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30480" tIns="30480" rIns="30480" bIns="30480" numCol="1" spcCol="1270" anchor="ctr" anchorCtr="0">
          <a:noAutofit/>
        </a:bodyPr>
        <a:lstStyle/>
        <a:p>
          <a:pPr marL="0" lvl="0" indent="0" algn="ctr" defTabSz="355600">
            <a:lnSpc>
              <a:spcPct val="90000"/>
            </a:lnSpc>
            <a:spcBef>
              <a:spcPct val="0"/>
            </a:spcBef>
            <a:spcAft>
              <a:spcPct val="35000"/>
            </a:spcAft>
            <a:buNone/>
          </a:pPr>
          <a:r>
            <a:rPr lang="en-GB" sz="800" b="1" kern="1200"/>
            <a:t>Level 1 – Project: Coquihalla Corridor Reconstruction</a:t>
          </a:r>
          <a:endParaRPr lang="en-GB" sz="800" kern="1200"/>
        </a:p>
      </dsp:txBody>
      <dsp:txXfrm>
        <a:off x="1142735" y="1406709"/>
        <a:ext cx="559944" cy="347668"/>
      </dsp:txXfrm>
    </dsp:sp>
    <dsp:sp modelId="{15DEF942-DDAD-6F45-855F-0CE1D4BFFE95}">
      <dsp:nvSpPr>
        <dsp:cNvPr id="0" name=""/>
        <dsp:cNvSpPr/>
      </dsp:nvSpPr>
      <dsp:spPr>
        <a:xfrm>
          <a:off x="1076" y="1872947"/>
          <a:ext cx="581576" cy="369300"/>
        </a:xfrm>
        <a:prstGeom prst="roundRect">
          <a:avLst>
            <a:gd name="adj" fmla="val 10000"/>
          </a:avLst>
        </a:prstGeom>
        <a:solidFill>
          <a:schemeClr val="accent2">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C66F35B1-1574-6E4F-B8D2-8403B521738F}">
      <dsp:nvSpPr>
        <dsp:cNvPr id="0" name=""/>
        <dsp:cNvSpPr/>
      </dsp:nvSpPr>
      <dsp:spPr>
        <a:xfrm>
          <a:off x="65696" y="1934335"/>
          <a:ext cx="581576" cy="369300"/>
        </a:xfrm>
        <a:prstGeom prst="roundRect">
          <a:avLst>
            <a:gd name="adj" fmla="val 10000"/>
          </a:avLst>
        </a:prstGeom>
        <a:solidFill>
          <a:schemeClr val="lt1">
            <a:alpha val="90000"/>
            <a:hueOff val="0"/>
            <a:satOff val="0"/>
            <a:lumOff val="0"/>
            <a:alphaOff val="0"/>
          </a:schemeClr>
        </a:solidFill>
        <a:ln w="12700" cap="flat" cmpd="sng" algn="ctr">
          <a:solidFill>
            <a:schemeClr val="accent2">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30480" tIns="30480" rIns="30480" bIns="30480" numCol="1" spcCol="1270" anchor="ctr" anchorCtr="0">
          <a:noAutofit/>
        </a:bodyPr>
        <a:lstStyle/>
        <a:p>
          <a:pPr marL="0" lvl="0" indent="0" algn="ctr" defTabSz="355600">
            <a:lnSpc>
              <a:spcPct val="90000"/>
            </a:lnSpc>
            <a:spcBef>
              <a:spcPct val="0"/>
            </a:spcBef>
            <a:spcAft>
              <a:spcPct val="35000"/>
            </a:spcAft>
            <a:buNone/>
          </a:pPr>
          <a:r>
            <a:rPr lang="en-GB" sz="800" b="1" kern="1200" dirty="0"/>
            <a:t>1. Initiation &amp; Feasibility (Q1–Q2 2025)</a:t>
          </a:r>
          <a:br>
            <a:rPr lang="en-GB" sz="800" kern="1200" dirty="0"/>
          </a:br>
          <a:r>
            <a:rPr lang="en-GB" sz="800" kern="1200" dirty="0"/>
            <a:t> </a:t>
          </a:r>
        </a:p>
      </dsp:txBody>
      <dsp:txXfrm>
        <a:off x="76512" y="1945151"/>
        <a:ext cx="559944" cy="347668"/>
      </dsp:txXfrm>
    </dsp:sp>
    <dsp:sp modelId="{C9AA6C58-406B-C24C-A406-A4AD523F5736}">
      <dsp:nvSpPr>
        <dsp:cNvPr id="0" name=""/>
        <dsp:cNvSpPr/>
      </dsp:nvSpPr>
      <dsp:spPr>
        <a:xfrm>
          <a:off x="711892" y="1872947"/>
          <a:ext cx="581576" cy="369300"/>
        </a:xfrm>
        <a:prstGeom prst="roundRect">
          <a:avLst>
            <a:gd name="adj" fmla="val 10000"/>
          </a:avLst>
        </a:prstGeom>
        <a:solidFill>
          <a:schemeClr val="accent2">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9FA492B0-1639-5042-BAE6-19B65EADDFA9}">
      <dsp:nvSpPr>
        <dsp:cNvPr id="0" name=""/>
        <dsp:cNvSpPr/>
      </dsp:nvSpPr>
      <dsp:spPr>
        <a:xfrm>
          <a:off x="776511" y="1934335"/>
          <a:ext cx="581576" cy="369300"/>
        </a:xfrm>
        <a:prstGeom prst="roundRect">
          <a:avLst>
            <a:gd name="adj" fmla="val 10000"/>
          </a:avLst>
        </a:prstGeom>
        <a:solidFill>
          <a:schemeClr val="lt1">
            <a:alpha val="90000"/>
            <a:hueOff val="0"/>
            <a:satOff val="0"/>
            <a:lumOff val="0"/>
            <a:alphaOff val="0"/>
          </a:schemeClr>
        </a:solidFill>
        <a:ln w="12700" cap="flat" cmpd="sng" algn="ctr">
          <a:solidFill>
            <a:schemeClr val="accent2">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30480" tIns="30480" rIns="30480" bIns="30480" numCol="1" spcCol="1270" anchor="ctr" anchorCtr="0">
          <a:noAutofit/>
        </a:bodyPr>
        <a:lstStyle/>
        <a:p>
          <a:pPr marL="0" lvl="0" indent="0" algn="ctr" defTabSz="355600">
            <a:lnSpc>
              <a:spcPct val="90000"/>
            </a:lnSpc>
            <a:spcBef>
              <a:spcPct val="0"/>
            </a:spcBef>
            <a:spcAft>
              <a:spcPct val="35000"/>
            </a:spcAft>
            <a:buNone/>
          </a:pPr>
          <a:r>
            <a:rPr lang="en-GB" sz="800" kern="1200" dirty="0"/>
            <a:t>1.1 Feasibility and cost-benefit analysis</a:t>
          </a:r>
          <a:br>
            <a:rPr lang="en-GB" sz="800" kern="1200" dirty="0"/>
          </a:br>
          <a:endParaRPr lang="en-GB" sz="800" kern="1200" dirty="0"/>
        </a:p>
      </dsp:txBody>
      <dsp:txXfrm>
        <a:off x="787327" y="1945151"/>
        <a:ext cx="559944" cy="347668"/>
      </dsp:txXfrm>
    </dsp:sp>
    <dsp:sp modelId="{327E5678-6B20-AC48-B5F0-49D6B3AECBA3}">
      <dsp:nvSpPr>
        <dsp:cNvPr id="0" name=""/>
        <dsp:cNvSpPr/>
      </dsp:nvSpPr>
      <dsp:spPr>
        <a:xfrm>
          <a:off x="1422707" y="1872947"/>
          <a:ext cx="581576" cy="369300"/>
        </a:xfrm>
        <a:prstGeom prst="roundRect">
          <a:avLst>
            <a:gd name="adj" fmla="val 10000"/>
          </a:avLst>
        </a:prstGeom>
        <a:solidFill>
          <a:schemeClr val="accent2">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58AEE22D-B454-3845-B1EA-2235BF5C6ED7}">
      <dsp:nvSpPr>
        <dsp:cNvPr id="0" name=""/>
        <dsp:cNvSpPr/>
      </dsp:nvSpPr>
      <dsp:spPr>
        <a:xfrm>
          <a:off x="1487326" y="1934335"/>
          <a:ext cx="581576" cy="369300"/>
        </a:xfrm>
        <a:prstGeom prst="roundRect">
          <a:avLst>
            <a:gd name="adj" fmla="val 10000"/>
          </a:avLst>
        </a:prstGeom>
        <a:solidFill>
          <a:schemeClr val="lt1">
            <a:alpha val="90000"/>
            <a:hueOff val="0"/>
            <a:satOff val="0"/>
            <a:lumOff val="0"/>
            <a:alphaOff val="0"/>
          </a:schemeClr>
        </a:solidFill>
        <a:ln w="12700" cap="flat" cmpd="sng" algn="ctr">
          <a:solidFill>
            <a:schemeClr val="accent2">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30480" tIns="30480" rIns="30480" bIns="30480" numCol="1" spcCol="1270" anchor="ctr" anchorCtr="0">
          <a:noAutofit/>
        </a:bodyPr>
        <a:lstStyle/>
        <a:p>
          <a:pPr marL="0" lvl="0" indent="0" algn="ctr" defTabSz="355600">
            <a:lnSpc>
              <a:spcPct val="90000"/>
            </a:lnSpc>
            <a:spcBef>
              <a:spcPct val="0"/>
            </a:spcBef>
            <a:spcAft>
              <a:spcPct val="35000"/>
            </a:spcAft>
            <a:buNone/>
          </a:pPr>
          <a:r>
            <a:rPr lang="en-GB" sz="800" kern="1200" dirty="0"/>
            <a:t> 1.2 Environmental impact assessment</a:t>
          </a:r>
          <a:br>
            <a:rPr lang="en-GB" sz="800" kern="1200" dirty="0"/>
          </a:br>
          <a:endParaRPr lang="en-GB" sz="800" kern="1200" dirty="0"/>
        </a:p>
      </dsp:txBody>
      <dsp:txXfrm>
        <a:off x="1498142" y="1945151"/>
        <a:ext cx="559944" cy="347668"/>
      </dsp:txXfrm>
    </dsp:sp>
    <dsp:sp modelId="{F7427187-A941-1C46-B13C-3D9C31953472}">
      <dsp:nvSpPr>
        <dsp:cNvPr id="0" name=""/>
        <dsp:cNvSpPr/>
      </dsp:nvSpPr>
      <dsp:spPr>
        <a:xfrm>
          <a:off x="2133522" y="1872947"/>
          <a:ext cx="581576" cy="369300"/>
        </a:xfrm>
        <a:prstGeom prst="roundRect">
          <a:avLst>
            <a:gd name="adj" fmla="val 10000"/>
          </a:avLst>
        </a:prstGeom>
        <a:solidFill>
          <a:schemeClr val="accent2">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C5957A8D-4382-704C-BD4E-53D605A5B3FC}">
      <dsp:nvSpPr>
        <dsp:cNvPr id="0" name=""/>
        <dsp:cNvSpPr/>
      </dsp:nvSpPr>
      <dsp:spPr>
        <a:xfrm>
          <a:off x="2198142" y="1934335"/>
          <a:ext cx="581576" cy="369300"/>
        </a:xfrm>
        <a:prstGeom prst="roundRect">
          <a:avLst>
            <a:gd name="adj" fmla="val 10000"/>
          </a:avLst>
        </a:prstGeom>
        <a:solidFill>
          <a:schemeClr val="lt1">
            <a:alpha val="90000"/>
            <a:hueOff val="0"/>
            <a:satOff val="0"/>
            <a:lumOff val="0"/>
            <a:alphaOff val="0"/>
          </a:schemeClr>
        </a:solidFill>
        <a:ln w="12700" cap="flat" cmpd="sng" algn="ctr">
          <a:solidFill>
            <a:schemeClr val="accent2">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30480" tIns="30480" rIns="30480" bIns="30480" numCol="1" spcCol="1270" anchor="ctr" anchorCtr="0">
          <a:noAutofit/>
        </a:bodyPr>
        <a:lstStyle/>
        <a:p>
          <a:pPr marL="0" lvl="0" indent="0" algn="ctr" defTabSz="355600">
            <a:lnSpc>
              <a:spcPct val="90000"/>
            </a:lnSpc>
            <a:spcBef>
              <a:spcPct val="0"/>
            </a:spcBef>
            <a:spcAft>
              <a:spcPct val="35000"/>
            </a:spcAft>
            <a:buNone/>
          </a:pPr>
          <a:r>
            <a:rPr lang="en-GB" sz="800" kern="1200" dirty="0"/>
            <a:t> 1.3 Funding and stakeholder approval</a:t>
          </a:r>
        </a:p>
      </dsp:txBody>
      <dsp:txXfrm>
        <a:off x="2208958" y="1945151"/>
        <a:ext cx="559944" cy="347668"/>
      </dsp:txXfrm>
    </dsp:sp>
    <dsp:sp modelId="{F63FD2C0-EB26-3841-BB87-8F70EFC7CBCA}">
      <dsp:nvSpPr>
        <dsp:cNvPr id="0" name=""/>
        <dsp:cNvSpPr/>
      </dsp:nvSpPr>
      <dsp:spPr>
        <a:xfrm>
          <a:off x="5154486" y="1334504"/>
          <a:ext cx="581576" cy="369300"/>
        </a:xfrm>
        <a:prstGeom prst="roundRect">
          <a:avLst>
            <a:gd name="adj" fmla="val 1000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DF39AE88-71D5-4D40-AD8F-7D6D9133C6B7}">
      <dsp:nvSpPr>
        <dsp:cNvPr id="0" name=""/>
        <dsp:cNvSpPr/>
      </dsp:nvSpPr>
      <dsp:spPr>
        <a:xfrm>
          <a:off x="5219106" y="1395893"/>
          <a:ext cx="581576" cy="369300"/>
        </a:xfrm>
        <a:prstGeom prst="roundRect">
          <a:avLst>
            <a:gd name="adj" fmla="val 10000"/>
          </a:avLst>
        </a:prstGeom>
        <a:solidFill>
          <a:schemeClr val="lt1">
            <a:alpha val="90000"/>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30480" tIns="30480" rIns="30480" bIns="30480" numCol="1" spcCol="1270" anchor="ctr" anchorCtr="0">
          <a:noAutofit/>
        </a:bodyPr>
        <a:lstStyle/>
        <a:p>
          <a:pPr marL="0" lvl="0" indent="0" algn="ctr" defTabSz="355600">
            <a:lnSpc>
              <a:spcPct val="90000"/>
            </a:lnSpc>
            <a:spcBef>
              <a:spcPct val="0"/>
            </a:spcBef>
            <a:spcAft>
              <a:spcPct val="35000"/>
            </a:spcAft>
            <a:buNone/>
          </a:pPr>
          <a:r>
            <a:rPr lang="en-GB" sz="800" b="1" kern="1200" dirty="0"/>
            <a:t>2. Design &amp; Procurement (Q3–Q4 2025)</a:t>
          </a:r>
          <a:br>
            <a:rPr lang="en-GB" sz="800" kern="1200" dirty="0"/>
          </a:br>
          <a:r>
            <a:rPr lang="en-GB" sz="800" kern="1200" dirty="0"/>
            <a:t> </a:t>
          </a:r>
        </a:p>
      </dsp:txBody>
      <dsp:txXfrm>
        <a:off x="5229922" y="1406709"/>
        <a:ext cx="559944" cy="347668"/>
      </dsp:txXfrm>
    </dsp:sp>
    <dsp:sp modelId="{80F831EB-6A46-AA4C-87C3-70D01E69E434}">
      <dsp:nvSpPr>
        <dsp:cNvPr id="0" name=""/>
        <dsp:cNvSpPr/>
      </dsp:nvSpPr>
      <dsp:spPr>
        <a:xfrm>
          <a:off x="2844337" y="1872947"/>
          <a:ext cx="581576" cy="369300"/>
        </a:xfrm>
        <a:prstGeom prst="roundRect">
          <a:avLst>
            <a:gd name="adj" fmla="val 10000"/>
          </a:avLst>
        </a:prstGeom>
        <a:solidFill>
          <a:schemeClr val="accent2">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AB5E76D9-E75F-7841-A9C9-86F5CB72068C}">
      <dsp:nvSpPr>
        <dsp:cNvPr id="0" name=""/>
        <dsp:cNvSpPr/>
      </dsp:nvSpPr>
      <dsp:spPr>
        <a:xfrm>
          <a:off x="2908957" y="1934335"/>
          <a:ext cx="581576" cy="369300"/>
        </a:xfrm>
        <a:prstGeom prst="roundRect">
          <a:avLst>
            <a:gd name="adj" fmla="val 10000"/>
          </a:avLst>
        </a:prstGeom>
        <a:solidFill>
          <a:schemeClr val="lt1">
            <a:alpha val="90000"/>
            <a:hueOff val="0"/>
            <a:satOff val="0"/>
            <a:lumOff val="0"/>
            <a:alphaOff val="0"/>
          </a:schemeClr>
        </a:solidFill>
        <a:ln w="12700" cap="flat" cmpd="sng" algn="ctr">
          <a:solidFill>
            <a:schemeClr val="accent2">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30480" tIns="30480" rIns="30480" bIns="30480" numCol="1" spcCol="1270" anchor="ctr" anchorCtr="0">
          <a:noAutofit/>
        </a:bodyPr>
        <a:lstStyle/>
        <a:p>
          <a:pPr marL="0" lvl="0" indent="0" algn="ctr" defTabSz="355600">
            <a:lnSpc>
              <a:spcPct val="90000"/>
            </a:lnSpc>
            <a:spcBef>
              <a:spcPct val="0"/>
            </a:spcBef>
            <a:spcAft>
              <a:spcPct val="35000"/>
            </a:spcAft>
            <a:buNone/>
          </a:pPr>
          <a:r>
            <a:rPr lang="en-GB" sz="800" kern="1200" dirty="0"/>
            <a:t>2.1 Bridge and road engineering design</a:t>
          </a:r>
          <a:br>
            <a:rPr lang="en-GB" sz="800" kern="1200" dirty="0"/>
          </a:br>
          <a:r>
            <a:rPr lang="en-GB" sz="800" kern="1200" dirty="0"/>
            <a:t> </a:t>
          </a:r>
        </a:p>
      </dsp:txBody>
      <dsp:txXfrm>
        <a:off x="2919773" y="1945151"/>
        <a:ext cx="559944" cy="347668"/>
      </dsp:txXfrm>
    </dsp:sp>
    <dsp:sp modelId="{51D20668-9A2E-294E-AB36-8EA27ED043C5}">
      <dsp:nvSpPr>
        <dsp:cNvPr id="0" name=""/>
        <dsp:cNvSpPr/>
      </dsp:nvSpPr>
      <dsp:spPr>
        <a:xfrm>
          <a:off x="3555152" y="1872947"/>
          <a:ext cx="581576" cy="369300"/>
        </a:xfrm>
        <a:prstGeom prst="roundRect">
          <a:avLst>
            <a:gd name="adj" fmla="val 10000"/>
          </a:avLst>
        </a:prstGeom>
        <a:solidFill>
          <a:schemeClr val="accent2">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4E36ED78-809B-3B41-8A92-C100781B81B4}">
      <dsp:nvSpPr>
        <dsp:cNvPr id="0" name=""/>
        <dsp:cNvSpPr/>
      </dsp:nvSpPr>
      <dsp:spPr>
        <a:xfrm>
          <a:off x="3619772" y="1934335"/>
          <a:ext cx="581576" cy="369300"/>
        </a:xfrm>
        <a:prstGeom prst="roundRect">
          <a:avLst>
            <a:gd name="adj" fmla="val 10000"/>
          </a:avLst>
        </a:prstGeom>
        <a:solidFill>
          <a:schemeClr val="lt1">
            <a:alpha val="90000"/>
            <a:hueOff val="0"/>
            <a:satOff val="0"/>
            <a:lumOff val="0"/>
            <a:alphaOff val="0"/>
          </a:schemeClr>
        </a:solidFill>
        <a:ln w="12700" cap="flat" cmpd="sng" algn="ctr">
          <a:solidFill>
            <a:schemeClr val="accent2">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30480" tIns="30480" rIns="30480" bIns="30480" numCol="1" spcCol="1270" anchor="ctr" anchorCtr="0">
          <a:noAutofit/>
        </a:bodyPr>
        <a:lstStyle/>
        <a:p>
          <a:pPr marL="0" lvl="0" indent="0" algn="ctr" defTabSz="355600">
            <a:lnSpc>
              <a:spcPct val="90000"/>
            </a:lnSpc>
            <a:spcBef>
              <a:spcPct val="0"/>
            </a:spcBef>
            <a:spcAft>
              <a:spcPct val="35000"/>
            </a:spcAft>
            <a:buNone/>
          </a:pPr>
          <a:r>
            <a:rPr lang="en-GB" sz="800" kern="1200" dirty="0"/>
            <a:t>2.2 Tender documentation and contractor selection</a:t>
          </a:r>
          <a:br>
            <a:rPr lang="en-GB" sz="800" kern="1200" dirty="0"/>
          </a:br>
          <a:endParaRPr lang="en-GB" sz="800" kern="1200" dirty="0"/>
        </a:p>
      </dsp:txBody>
      <dsp:txXfrm>
        <a:off x="3630588" y="1945151"/>
        <a:ext cx="559944" cy="347668"/>
      </dsp:txXfrm>
    </dsp:sp>
    <dsp:sp modelId="{6B3D90B1-8A8D-7645-A930-48BC50EDFF15}">
      <dsp:nvSpPr>
        <dsp:cNvPr id="0" name=""/>
        <dsp:cNvSpPr/>
      </dsp:nvSpPr>
      <dsp:spPr>
        <a:xfrm>
          <a:off x="4265967" y="1872947"/>
          <a:ext cx="581576" cy="369300"/>
        </a:xfrm>
        <a:prstGeom prst="roundRect">
          <a:avLst>
            <a:gd name="adj" fmla="val 10000"/>
          </a:avLst>
        </a:prstGeom>
        <a:solidFill>
          <a:schemeClr val="accent2">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5ACD2AD1-8C84-8340-96E3-CB1B1E7AE03C}">
      <dsp:nvSpPr>
        <dsp:cNvPr id="0" name=""/>
        <dsp:cNvSpPr/>
      </dsp:nvSpPr>
      <dsp:spPr>
        <a:xfrm>
          <a:off x="4330587" y="1934335"/>
          <a:ext cx="581576" cy="369300"/>
        </a:xfrm>
        <a:prstGeom prst="roundRect">
          <a:avLst>
            <a:gd name="adj" fmla="val 10000"/>
          </a:avLst>
        </a:prstGeom>
        <a:solidFill>
          <a:schemeClr val="lt1">
            <a:alpha val="90000"/>
            <a:hueOff val="0"/>
            <a:satOff val="0"/>
            <a:lumOff val="0"/>
            <a:alphaOff val="0"/>
          </a:schemeClr>
        </a:solidFill>
        <a:ln w="12700" cap="flat" cmpd="sng" algn="ctr">
          <a:solidFill>
            <a:schemeClr val="accent2">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30480" tIns="30480" rIns="30480" bIns="30480" numCol="1" spcCol="1270" anchor="ctr" anchorCtr="0">
          <a:noAutofit/>
        </a:bodyPr>
        <a:lstStyle/>
        <a:p>
          <a:pPr marL="0" lvl="0" indent="0" algn="ctr" defTabSz="355600">
            <a:lnSpc>
              <a:spcPct val="90000"/>
            </a:lnSpc>
            <a:spcBef>
              <a:spcPct val="0"/>
            </a:spcBef>
            <a:spcAft>
              <a:spcPct val="35000"/>
            </a:spcAft>
            <a:buNone/>
          </a:pPr>
          <a:r>
            <a:rPr lang="en-GB" sz="800" kern="1200" dirty="0"/>
            <a:t> 2.3 Material and equipment procurement</a:t>
          </a:r>
        </a:p>
      </dsp:txBody>
      <dsp:txXfrm>
        <a:off x="4341403" y="1945151"/>
        <a:ext cx="559944" cy="347668"/>
      </dsp:txXfrm>
    </dsp:sp>
    <dsp:sp modelId="{F369138D-B910-3B4E-B8D0-3878828043B7}">
      <dsp:nvSpPr>
        <dsp:cNvPr id="0" name=""/>
        <dsp:cNvSpPr/>
      </dsp:nvSpPr>
      <dsp:spPr>
        <a:xfrm>
          <a:off x="4976783" y="1872947"/>
          <a:ext cx="581576" cy="369300"/>
        </a:xfrm>
        <a:prstGeom prst="roundRect">
          <a:avLst>
            <a:gd name="adj" fmla="val 10000"/>
          </a:avLst>
        </a:prstGeom>
        <a:solidFill>
          <a:schemeClr val="accent2">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916927D8-9534-444A-93A6-64FD3C4A5DA7}">
      <dsp:nvSpPr>
        <dsp:cNvPr id="0" name=""/>
        <dsp:cNvSpPr/>
      </dsp:nvSpPr>
      <dsp:spPr>
        <a:xfrm>
          <a:off x="5041402" y="1934335"/>
          <a:ext cx="581576" cy="369300"/>
        </a:xfrm>
        <a:prstGeom prst="roundRect">
          <a:avLst>
            <a:gd name="adj" fmla="val 10000"/>
          </a:avLst>
        </a:prstGeom>
        <a:solidFill>
          <a:schemeClr val="lt1">
            <a:alpha val="90000"/>
            <a:hueOff val="0"/>
            <a:satOff val="0"/>
            <a:lumOff val="0"/>
            <a:alphaOff val="0"/>
          </a:schemeClr>
        </a:solidFill>
        <a:ln w="12700" cap="flat" cmpd="sng" algn="ctr">
          <a:solidFill>
            <a:schemeClr val="accent2">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30480" tIns="30480" rIns="30480" bIns="30480" numCol="1" spcCol="1270" anchor="ctr" anchorCtr="0">
          <a:noAutofit/>
        </a:bodyPr>
        <a:lstStyle/>
        <a:p>
          <a:pPr marL="0" lvl="0" indent="0" algn="ctr" defTabSz="355600">
            <a:lnSpc>
              <a:spcPct val="90000"/>
            </a:lnSpc>
            <a:spcBef>
              <a:spcPct val="0"/>
            </a:spcBef>
            <a:spcAft>
              <a:spcPct val="35000"/>
            </a:spcAft>
            <a:buNone/>
          </a:pPr>
          <a:r>
            <a:rPr lang="en-GB" sz="800" b="1" kern="1200" dirty="0"/>
            <a:t>3. Construction Phase (2026)</a:t>
          </a:r>
          <a:br>
            <a:rPr lang="en-GB" sz="800" kern="1200" dirty="0"/>
          </a:br>
          <a:r>
            <a:rPr lang="en-GB" sz="800" kern="1200" dirty="0"/>
            <a:t> </a:t>
          </a:r>
        </a:p>
      </dsp:txBody>
      <dsp:txXfrm>
        <a:off x="5052218" y="1945151"/>
        <a:ext cx="559944" cy="347668"/>
      </dsp:txXfrm>
    </dsp:sp>
    <dsp:sp modelId="{57698581-91CD-6448-9F2C-279F497B98A0}">
      <dsp:nvSpPr>
        <dsp:cNvPr id="0" name=""/>
        <dsp:cNvSpPr/>
      </dsp:nvSpPr>
      <dsp:spPr>
        <a:xfrm>
          <a:off x="3910560" y="2411389"/>
          <a:ext cx="581576" cy="369300"/>
        </a:xfrm>
        <a:prstGeom prst="roundRect">
          <a:avLst>
            <a:gd name="adj" fmla="val 10000"/>
          </a:avLst>
        </a:prstGeom>
        <a:solidFill>
          <a:schemeClr val="accent3">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79D5F13B-2219-B943-8A9E-747361CA0154}">
      <dsp:nvSpPr>
        <dsp:cNvPr id="0" name=""/>
        <dsp:cNvSpPr/>
      </dsp:nvSpPr>
      <dsp:spPr>
        <a:xfrm>
          <a:off x="3975179" y="2472778"/>
          <a:ext cx="581576" cy="369300"/>
        </a:xfrm>
        <a:prstGeom prst="roundRect">
          <a:avLst>
            <a:gd name="adj" fmla="val 10000"/>
          </a:avLst>
        </a:prstGeom>
        <a:solidFill>
          <a:schemeClr val="lt1">
            <a:alpha val="90000"/>
            <a:hueOff val="0"/>
            <a:satOff val="0"/>
            <a:lumOff val="0"/>
            <a:alphaOff val="0"/>
          </a:schemeClr>
        </a:solidFill>
        <a:ln w="12700" cap="flat" cmpd="sng" algn="ctr">
          <a:solidFill>
            <a:schemeClr val="accent3">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30480" tIns="30480" rIns="30480" bIns="30480" numCol="1" spcCol="1270" anchor="ctr" anchorCtr="0">
          <a:noAutofit/>
        </a:bodyPr>
        <a:lstStyle/>
        <a:p>
          <a:pPr marL="0" lvl="0" indent="0" algn="ctr" defTabSz="355600">
            <a:lnSpc>
              <a:spcPct val="90000"/>
            </a:lnSpc>
            <a:spcBef>
              <a:spcPct val="0"/>
            </a:spcBef>
            <a:spcAft>
              <a:spcPct val="35000"/>
            </a:spcAft>
            <a:buNone/>
          </a:pPr>
          <a:r>
            <a:rPr lang="en-GB" sz="800" kern="1200" dirty="0"/>
            <a:t>3.1 Site preparation and temporary access roads</a:t>
          </a:r>
          <a:br>
            <a:rPr lang="en-GB" sz="800" kern="1200" dirty="0"/>
          </a:br>
          <a:r>
            <a:rPr lang="en-GB" sz="800" kern="1200" dirty="0"/>
            <a:t> </a:t>
          </a:r>
        </a:p>
      </dsp:txBody>
      <dsp:txXfrm>
        <a:off x="3985995" y="2483594"/>
        <a:ext cx="559944" cy="347668"/>
      </dsp:txXfrm>
    </dsp:sp>
    <dsp:sp modelId="{C2B775D7-6579-8D49-A7DF-6437C1EB6DF0}">
      <dsp:nvSpPr>
        <dsp:cNvPr id="0" name=""/>
        <dsp:cNvSpPr/>
      </dsp:nvSpPr>
      <dsp:spPr>
        <a:xfrm>
          <a:off x="4621375" y="2411389"/>
          <a:ext cx="581576" cy="369300"/>
        </a:xfrm>
        <a:prstGeom prst="roundRect">
          <a:avLst>
            <a:gd name="adj" fmla="val 10000"/>
          </a:avLst>
        </a:prstGeom>
        <a:solidFill>
          <a:schemeClr val="accent3">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C586D542-C223-C74F-B4DE-C0EBC3AB945E}">
      <dsp:nvSpPr>
        <dsp:cNvPr id="0" name=""/>
        <dsp:cNvSpPr/>
      </dsp:nvSpPr>
      <dsp:spPr>
        <a:xfrm>
          <a:off x="4685995" y="2472778"/>
          <a:ext cx="581576" cy="369300"/>
        </a:xfrm>
        <a:prstGeom prst="roundRect">
          <a:avLst>
            <a:gd name="adj" fmla="val 10000"/>
          </a:avLst>
        </a:prstGeom>
        <a:solidFill>
          <a:schemeClr val="lt1">
            <a:alpha val="90000"/>
            <a:hueOff val="0"/>
            <a:satOff val="0"/>
            <a:lumOff val="0"/>
            <a:alphaOff val="0"/>
          </a:schemeClr>
        </a:solidFill>
        <a:ln w="12700" cap="flat" cmpd="sng" algn="ctr">
          <a:solidFill>
            <a:schemeClr val="accent3">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30480" tIns="30480" rIns="30480" bIns="30480" numCol="1" spcCol="1270" anchor="ctr" anchorCtr="0">
          <a:noAutofit/>
        </a:bodyPr>
        <a:lstStyle/>
        <a:p>
          <a:pPr marL="0" lvl="0" indent="0" algn="ctr" defTabSz="355600">
            <a:lnSpc>
              <a:spcPct val="90000"/>
            </a:lnSpc>
            <a:spcBef>
              <a:spcPct val="0"/>
            </a:spcBef>
            <a:spcAft>
              <a:spcPct val="35000"/>
            </a:spcAft>
            <a:buNone/>
          </a:pPr>
          <a:r>
            <a:rPr lang="en-GB" sz="800" kern="1200" dirty="0"/>
            <a:t>3.2 Bridge foundation and superstructure works</a:t>
          </a:r>
          <a:br>
            <a:rPr lang="en-GB" sz="800" kern="1200" dirty="0"/>
          </a:br>
          <a:endParaRPr lang="en-GB" sz="800" kern="1200" dirty="0"/>
        </a:p>
      </dsp:txBody>
      <dsp:txXfrm>
        <a:off x="4696811" y="2483594"/>
        <a:ext cx="559944" cy="347668"/>
      </dsp:txXfrm>
    </dsp:sp>
    <dsp:sp modelId="{5625FE7D-5310-674C-86E1-22ED70EBDB24}">
      <dsp:nvSpPr>
        <dsp:cNvPr id="0" name=""/>
        <dsp:cNvSpPr/>
      </dsp:nvSpPr>
      <dsp:spPr>
        <a:xfrm>
          <a:off x="5332190" y="2411389"/>
          <a:ext cx="581576" cy="369300"/>
        </a:xfrm>
        <a:prstGeom prst="roundRect">
          <a:avLst>
            <a:gd name="adj" fmla="val 10000"/>
          </a:avLst>
        </a:prstGeom>
        <a:solidFill>
          <a:schemeClr val="accent3">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828C8C10-6842-F04C-BF35-B99548FA9C45}">
      <dsp:nvSpPr>
        <dsp:cNvPr id="0" name=""/>
        <dsp:cNvSpPr/>
      </dsp:nvSpPr>
      <dsp:spPr>
        <a:xfrm>
          <a:off x="5396810" y="2472778"/>
          <a:ext cx="581576" cy="369300"/>
        </a:xfrm>
        <a:prstGeom prst="roundRect">
          <a:avLst>
            <a:gd name="adj" fmla="val 10000"/>
          </a:avLst>
        </a:prstGeom>
        <a:solidFill>
          <a:schemeClr val="lt1">
            <a:alpha val="90000"/>
            <a:hueOff val="0"/>
            <a:satOff val="0"/>
            <a:lumOff val="0"/>
            <a:alphaOff val="0"/>
          </a:schemeClr>
        </a:solidFill>
        <a:ln w="12700" cap="flat" cmpd="sng" algn="ctr">
          <a:solidFill>
            <a:schemeClr val="accent3">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30480" tIns="30480" rIns="30480" bIns="30480" numCol="1" spcCol="1270" anchor="ctr" anchorCtr="0">
          <a:noAutofit/>
        </a:bodyPr>
        <a:lstStyle/>
        <a:p>
          <a:pPr marL="0" lvl="0" indent="0" algn="ctr" defTabSz="355600">
            <a:lnSpc>
              <a:spcPct val="90000"/>
            </a:lnSpc>
            <a:spcBef>
              <a:spcPct val="0"/>
            </a:spcBef>
            <a:spcAft>
              <a:spcPct val="35000"/>
            </a:spcAft>
            <a:buNone/>
          </a:pPr>
          <a:r>
            <a:rPr lang="en-GB" sz="800" kern="1200" dirty="0"/>
            <a:t> 3.3 Drainage and slope-stabilisation systems</a:t>
          </a:r>
          <a:br>
            <a:rPr lang="en-GB" sz="800" kern="1200" dirty="0"/>
          </a:br>
          <a:endParaRPr lang="en-GB" sz="800" kern="1200" dirty="0"/>
        </a:p>
      </dsp:txBody>
      <dsp:txXfrm>
        <a:off x="5407626" y="2483594"/>
        <a:ext cx="559944" cy="347668"/>
      </dsp:txXfrm>
    </dsp:sp>
    <dsp:sp modelId="{6BF8E45B-0E59-4C44-A862-AC556128919D}">
      <dsp:nvSpPr>
        <dsp:cNvPr id="0" name=""/>
        <dsp:cNvSpPr/>
      </dsp:nvSpPr>
      <dsp:spPr>
        <a:xfrm>
          <a:off x="6043005" y="2411389"/>
          <a:ext cx="581576" cy="369300"/>
        </a:xfrm>
        <a:prstGeom prst="roundRect">
          <a:avLst>
            <a:gd name="adj" fmla="val 10000"/>
          </a:avLst>
        </a:prstGeom>
        <a:solidFill>
          <a:schemeClr val="accent3">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7C55C07C-E30B-D245-BDF9-4508CBE6DF78}">
      <dsp:nvSpPr>
        <dsp:cNvPr id="0" name=""/>
        <dsp:cNvSpPr/>
      </dsp:nvSpPr>
      <dsp:spPr>
        <a:xfrm>
          <a:off x="6107625" y="2472778"/>
          <a:ext cx="581576" cy="369300"/>
        </a:xfrm>
        <a:prstGeom prst="roundRect">
          <a:avLst>
            <a:gd name="adj" fmla="val 10000"/>
          </a:avLst>
        </a:prstGeom>
        <a:solidFill>
          <a:schemeClr val="lt1">
            <a:alpha val="90000"/>
            <a:hueOff val="0"/>
            <a:satOff val="0"/>
            <a:lumOff val="0"/>
            <a:alphaOff val="0"/>
          </a:schemeClr>
        </a:solidFill>
        <a:ln w="12700" cap="flat" cmpd="sng" algn="ctr">
          <a:solidFill>
            <a:schemeClr val="accent3">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30480" tIns="30480" rIns="30480" bIns="30480" numCol="1" spcCol="1270" anchor="ctr" anchorCtr="0">
          <a:noAutofit/>
        </a:bodyPr>
        <a:lstStyle/>
        <a:p>
          <a:pPr marL="0" lvl="0" indent="0" algn="ctr" defTabSz="355600">
            <a:lnSpc>
              <a:spcPct val="90000"/>
            </a:lnSpc>
            <a:spcBef>
              <a:spcPct val="0"/>
            </a:spcBef>
            <a:spcAft>
              <a:spcPct val="35000"/>
            </a:spcAft>
            <a:buNone/>
          </a:pPr>
          <a:r>
            <a:rPr lang="en-GB" sz="800" kern="1200" dirty="0"/>
            <a:t> 3.4 Smart monitoring installation</a:t>
          </a:r>
        </a:p>
      </dsp:txBody>
      <dsp:txXfrm>
        <a:off x="6118441" y="2483594"/>
        <a:ext cx="559944" cy="347668"/>
      </dsp:txXfrm>
    </dsp:sp>
    <dsp:sp modelId="{18BD96C3-BE39-DF42-A2E8-43533B4D1EC5}">
      <dsp:nvSpPr>
        <dsp:cNvPr id="0" name=""/>
        <dsp:cNvSpPr/>
      </dsp:nvSpPr>
      <dsp:spPr>
        <a:xfrm>
          <a:off x="7464636" y="1872947"/>
          <a:ext cx="581576" cy="369300"/>
        </a:xfrm>
        <a:prstGeom prst="roundRect">
          <a:avLst>
            <a:gd name="adj" fmla="val 10000"/>
          </a:avLst>
        </a:prstGeom>
        <a:solidFill>
          <a:schemeClr val="accent2">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22F61E58-FB43-7349-9FF7-C8A07B269540}">
      <dsp:nvSpPr>
        <dsp:cNvPr id="0" name=""/>
        <dsp:cNvSpPr/>
      </dsp:nvSpPr>
      <dsp:spPr>
        <a:xfrm>
          <a:off x="7529255" y="1934335"/>
          <a:ext cx="581576" cy="369300"/>
        </a:xfrm>
        <a:prstGeom prst="roundRect">
          <a:avLst>
            <a:gd name="adj" fmla="val 10000"/>
          </a:avLst>
        </a:prstGeom>
        <a:solidFill>
          <a:schemeClr val="lt1">
            <a:alpha val="90000"/>
            <a:hueOff val="0"/>
            <a:satOff val="0"/>
            <a:lumOff val="0"/>
            <a:alphaOff val="0"/>
          </a:schemeClr>
        </a:solidFill>
        <a:ln w="12700" cap="flat" cmpd="sng" algn="ctr">
          <a:solidFill>
            <a:schemeClr val="accent2">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30480" tIns="30480" rIns="30480" bIns="30480" numCol="1" spcCol="1270" anchor="ctr" anchorCtr="0">
          <a:noAutofit/>
        </a:bodyPr>
        <a:lstStyle/>
        <a:p>
          <a:pPr marL="0" lvl="0" indent="0" algn="ctr" defTabSz="355600">
            <a:lnSpc>
              <a:spcPct val="90000"/>
            </a:lnSpc>
            <a:spcBef>
              <a:spcPct val="0"/>
            </a:spcBef>
            <a:spcAft>
              <a:spcPct val="35000"/>
            </a:spcAft>
            <a:buNone/>
          </a:pPr>
          <a:r>
            <a:rPr lang="en-GB" sz="800" b="1" kern="1200" dirty="0"/>
            <a:t>4. Testing &amp; Handover (Early 2027)</a:t>
          </a:r>
          <a:br>
            <a:rPr lang="en-GB" sz="800" kern="1200" dirty="0"/>
          </a:br>
          <a:r>
            <a:rPr lang="en-GB" sz="800" kern="1200" dirty="0"/>
            <a:t> </a:t>
          </a:r>
        </a:p>
      </dsp:txBody>
      <dsp:txXfrm>
        <a:off x="7540071" y="1945151"/>
        <a:ext cx="559944" cy="347668"/>
      </dsp:txXfrm>
    </dsp:sp>
    <dsp:sp modelId="{E121ACC2-56B1-134C-A7B5-196E98D23F22}">
      <dsp:nvSpPr>
        <dsp:cNvPr id="0" name=""/>
        <dsp:cNvSpPr/>
      </dsp:nvSpPr>
      <dsp:spPr>
        <a:xfrm>
          <a:off x="6753821" y="2411389"/>
          <a:ext cx="581576" cy="369300"/>
        </a:xfrm>
        <a:prstGeom prst="roundRect">
          <a:avLst>
            <a:gd name="adj" fmla="val 10000"/>
          </a:avLst>
        </a:prstGeom>
        <a:solidFill>
          <a:schemeClr val="accent3">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3D5C6C9D-489A-D344-9B7E-D7AFEF6A40B7}">
      <dsp:nvSpPr>
        <dsp:cNvPr id="0" name=""/>
        <dsp:cNvSpPr/>
      </dsp:nvSpPr>
      <dsp:spPr>
        <a:xfrm>
          <a:off x="6818440" y="2472778"/>
          <a:ext cx="581576" cy="369300"/>
        </a:xfrm>
        <a:prstGeom prst="roundRect">
          <a:avLst>
            <a:gd name="adj" fmla="val 10000"/>
          </a:avLst>
        </a:prstGeom>
        <a:solidFill>
          <a:schemeClr val="lt1">
            <a:alpha val="90000"/>
            <a:hueOff val="0"/>
            <a:satOff val="0"/>
            <a:lumOff val="0"/>
            <a:alphaOff val="0"/>
          </a:schemeClr>
        </a:solidFill>
        <a:ln w="12700" cap="flat" cmpd="sng" algn="ctr">
          <a:solidFill>
            <a:schemeClr val="accent3">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30480" tIns="30480" rIns="30480" bIns="30480" numCol="1" spcCol="1270" anchor="ctr" anchorCtr="0">
          <a:noAutofit/>
        </a:bodyPr>
        <a:lstStyle/>
        <a:p>
          <a:pPr marL="0" lvl="0" indent="0" algn="ctr" defTabSz="355600">
            <a:lnSpc>
              <a:spcPct val="90000"/>
            </a:lnSpc>
            <a:spcBef>
              <a:spcPct val="0"/>
            </a:spcBef>
            <a:spcAft>
              <a:spcPct val="35000"/>
            </a:spcAft>
            <a:buNone/>
          </a:pPr>
          <a:r>
            <a:rPr lang="en-GB" sz="800" kern="1200" dirty="0"/>
            <a:t>4.1 Structural load testing and safety audits</a:t>
          </a:r>
          <a:br>
            <a:rPr lang="en-GB" sz="800" kern="1200" dirty="0"/>
          </a:br>
          <a:r>
            <a:rPr lang="en-GB" sz="800" kern="1200" dirty="0"/>
            <a:t> </a:t>
          </a:r>
        </a:p>
      </dsp:txBody>
      <dsp:txXfrm>
        <a:off x="6829256" y="2483594"/>
        <a:ext cx="559944" cy="347668"/>
      </dsp:txXfrm>
    </dsp:sp>
    <dsp:sp modelId="{4C98A98D-DD01-A145-A88E-5F53D9819F28}">
      <dsp:nvSpPr>
        <dsp:cNvPr id="0" name=""/>
        <dsp:cNvSpPr/>
      </dsp:nvSpPr>
      <dsp:spPr>
        <a:xfrm>
          <a:off x="7464636" y="2411389"/>
          <a:ext cx="581576" cy="369300"/>
        </a:xfrm>
        <a:prstGeom prst="roundRect">
          <a:avLst>
            <a:gd name="adj" fmla="val 10000"/>
          </a:avLst>
        </a:prstGeom>
        <a:solidFill>
          <a:schemeClr val="accent3">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9C8BF799-0592-404B-A674-688B0FFD6025}">
      <dsp:nvSpPr>
        <dsp:cNvPr id="0" name=""/>
        <dsp:cNvSpPr/>
      </dsp:nvSpPr>
      <dsp:spPr>
        <a:xfrm>
          <a:off x="7529255" y="2472778"/>
          <a:ext cx="581576" cy="369300"/>
        </a:xfrm>
        <a:prstGeom prst="roundRect">
          <a:avLst>
            <a:gd name="adj" fmla="val 10000"/>
          </a:avLst>
        </a:prstGeom>
        <a:solidFill>
          <a:schemeClr val="lt1">
            <a:alpha val="90000"/>
            <a:hueOff val="0"/>
            <a:satOff val="0"/>
            <a:lumOff val="0"/>
            <a:alphaOff val="0"/>
          </a:schemeClr>
        </a:solidFill>
        <a:ln w="12700" cap="flat" cmpd="sng" algn="ctr">
          <a:solidFill>
            <a:schemeClr val="accent3">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30480" tIns="30480" rIns="30480" bIns="30480" numCol="1" spcCol="1270" anchor="ctr" anchorCtr="0">
          <a:noAutofit/>
        </a:bodyPr>
        <a:lstStyle/>
        <a:p>
          <a:pPr marL="0" lvl="0" indent="0" algn="ctr" defTabSz="355600">
            <a:lnSpc>
              <a:spcPct val="90000"/>
            </a:lnSpc>
            <a:spcBef>
              <a:spcPct val="0"/>
            </a:spcBef>
            <a:spcAft>
              <a:spcPct val="35000"/>
            </a:spcAft>
            <a:buNone/>
          </a:pPr>
          <a:r>
            <a:rPr lang="en-GB" sz="800" kern="1200" dirty="0"/>
            <a:t>4.2 Training for maintenance teams</a:t>
          </a:r>
          <a:br>
            <a:rPr lang="en-GB" sz="800" kern="1200" dirty="0"/>
          </a:br>
          <a:endParaRPr lang="en-GB" sz="800" kern="1200" dirty="0"/>
        </a:p>
      </dsp:txBody>
      <dsp:txXfrm>
        <a:off x="7540071" y="2483594"/>
        <a:ext cx="559944" cy="347668"/>
      </dsp:txXfrm>
    </dsp:sp>
    <dsp:sp modelId="{023BE9EA-3B8B-B44F-A161-F91AF7924DAD}">
      <dsp:nvSpPr>
        <dsp:cNvPr id="0" name=""/>
        <dsp:cNvSpPr/>
      </dsp:nvSpPr>
      <dsp:spPr>
        <a:xfrm>
          <a:off x="8175451" y="2411389"/>
          <a:ext cx="581576" cy="369300"/>
        </a:xfrm>
        <a:prstGeom prst="roundRect">
          <a:avLst>
            <a:gd name="adj" fmla="val 10000"/>
          </a:avLst>
        </a:prstGeom>
        <a:solidFill>
          <a:schemeClr val="accent3">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BACA0344-C9F8-7F45-B67E-E69A88798385}">
      <dsp:nvSpPr>
        <dsp:cNvPr id="0" name=""/>
        <dsp:cNvSpPr/>
      </dsp:nvSpPr>
      <dsp:spPr>
        <a:xfrm>
          <a:off x="8240070" y="2472778"/>
          <a:ext cx="581576" cy="369300"/>
        </a:xfrm>
        <a:prstGeom prst="roundRect">
          <a:avLst>
            <a:gd name="adj" fmla="val 10000"/>
          </a:avLst>
        </a:prstGeom>
        <a:solidFill>
          <a:schemeClr val="lt1">
            <a:alpha val="90000"/>
            <a:hueOff val="0"/>
            <a:satOff val="0"/>
            <a:lumOff val="0"/>
            <a:alphaOff val="0"/>
          </a:schemeClr>
        </a:solidFill>
        <a:ln w="12700" cap="flat" cmpd="sng" algn="ctr">
          <a:solidFill>
            <a:schemeClr val="accent3">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30480" tIns="30480" rIns="30480" bIns="30480" numCol="1" spcCol="1270" anchor="ctr" anchorCtr="0">
          <a:noAutofit/>
        </a:bodyPr>
        <a:lstStyle/>
        <a:p>
          <a:pPr marL="0" lvl="0" indent="0" algn="ctr" defTabSz="355600">
            <a:lnSpc>
              <a:spcPct val="90000"/>
            </a:lnSpc>
            <a:spcBef>
              <a:spcPct val="0"/>
            </a:spcBef>
            <a:spcAft>
              <a:spcPct val="35000"/>
            </a:spcAft>
            <a:buNone/>
          </a:pPr>
          <a:r>
            <a:rPr lang="en-GB" sz="800" kern="1200" dirty="0"/>
            <a:t> 4.3 Final environmental remediation</a:t>
          </a:r>
          <a:endParaRPr lang="en-GB" sz="500" kern="1200" dirty="0"/>
        </a:p>
      </dsp:txBody>
      <dsp:txXfrm>
        <a:off x="8250886" y="2483594"/>
        <a:ext cx="559944" cy="347668"/>
      </dsp:txXfrm>
    </dsp:sp>
  </dsp:spTree>
</dsp:drawing>
</file>

<file path=word/diagrams/drawing2.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90919099-5D10-9741-AE19-E46DE70125F1}">
      <dsp:nvSpPr>
        <dsp:cNvPr id="0" name=""/>
        <dsp:cNvSpPr/>
      </dsp:nvSpPr>
      <dsp:spPr>
        <a:xfrm rot="5400000">
          <a:off x="693421" y="778861"/>
          <a:ext cx="1211353" cy="146590"/>
        </a:xfrm>
        <a:prstGeom prst="rect">
          <a:avLst/>
        </a:prstGeom>
        <a:solidFill>
          <a:schemeClr val="accent5">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sp>
    <dsp:sp modelId="{40AD3734-EB1D-9047-903E-7E021477FC80}">
      <dsp:nvSpPr>
        <dsp:cNvPr id="0" name=""/>
        <dsp:cNvSpPr/>
      </dsp:nvSpPr>
      <dsp:spPr>
        <a:xfrm>
          <a:off x="968227" y="76"/>
          <a:ext cx="1628778" cy="977267"/>
        </a:xfrm>
        <a:prstGeom prst="roundRect">
          <a:avLst>
            <a:gd name="adj" fmla="val 10000"/>
          </a:avLst>
        </a:prstGeom>
        <a:solidFill>
          <a:schemeClr val="accent5">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0480" tIns="30480" rIns="30480" bIns="30480" numCol="1" spcCol="1270" anchor="ctr" anchorCtr="0">
          <a:noAutofit/>
        </a:bodyPr>
        <a:lstStyle/>
        <a:p>
          <a:pPr marL="0" lvl="0" indent="0" algn="ctr" defTabSz="355600">
            <a:lnSpc>
              <a:spcPct val="90000"/>
            </a:lnSpc>
            <a:spcBef>
              <a:spcPct val="0"/>
            </a:spcBef>
            <a:spcAft>
              <a:spcPct val="35000"/>
            </a:spcAft>
            <a:buNone/>
          </a:pPr>
          <a:r>
            <a:rPr lang="en-GB" sz="800" b="1" kern="1200"/>
            <a:t>1. Project Overview</a:t>
          </a:r>
          <a:br>
            <a:rPr lang="en-GB" sz="800" kern="1200"/>
          </a:br>
          <a:r>
            <a:rPr lang="en-GB" sz="800" kern="1200"/>
            <a:t>Reconstruction of the Coquihalla Corridor to restore transportation access and build climate-resilient infrastructure.</a:t>
          </a:r>
          <a:endParaRPr lang="en-US" sz="800" kern="1200"/>
        </a:p>
      </dsp:txBody>
      <dsp:txXfrm>
        <a:off x="996850" y="28699"/>
        <a:ext cx="1571532" cy="920021"/>
      </dsp:txXfrm>
    </dsp:sp>
    <dsp:sp modelId="{3F87F867-B961-E946-93AE-17E4BE601420}">
      <dsp:nvSpPr>
        <dsp:cNvPr id="0" name=""/>
        <dsp:cNvSpPr/>
      </dsp:nvSpPr>
      <dsp:spPr>
        <a:xfrm>
          <a:off x="1304214" y="1389654"/>
          <a:ext cx="2156045" cy="146590"/>
        </a:xfrm>
        <a:prstGeom prst="rect">
          <a:avLst/>
        </a:prstGeom>
        <a:solidFill>
          <a:schemeClr val="accent5">
            <a:hueOff val="-3379271"/>
            <a:satOff val="-8710"/>
            <a:lumOff val="-5883"/>
            <a:alphaOff val="0"/>
          </a:schemeClr>
        </a:solidFill>
        <a:ln>
          <a:noFill/>
        </a:ln>
        <a:effectLst/>
      </dsp:spPr>
      <dsp:style>
        <a:lnRef idx="0">
          <a:scrgbClr r="0" g="0" b="0"/>
        </a:lnRef>
        <a:fillRef idx="1">
          <a:scrgbClr r="0" g="0" b="0"/>
        </a:fillRef>
        <a:effectRef idx="0">
          <a:scrgbClr r="0" g="0" b="0"/>
        </a:effectRef>
        <a:fontRef idx="minor">
          <a:schemeClr val="lt1"/>
        </a:fontRef>
      </dsp:style>
    </dsp:sp>
    <dsp:sp modelId="{A594C2AC-FFC9-8440-9E52-C6EB22EAFA1A}">
      <dsp:nvSpPr>
        <dsp:cNvPr id="0" name=""/>
        <dsp:cNvSpPr/>
      </dsp:nvSpPr>
      <dsp:spPr>
        <a:xfrm>
          <a:off x="968227" y="1221660"/>
          <a:ext cx="1628778" cy="977267"/>
        </a:xfrm>
        <a:prstGeom prst="roundRect">
          <a:avLst>
            <a:gd name="adj" fmla="val 10000"/>
          </a:avLst>
        </a:prstGeom>
        <a:solidFill>
          <a:schemeClr val="accent5">
            <a:hueOff val="-2252848"/>
            <a:satOff val="-5806"/>
            <a:lumOff val="-3922"/>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0480" tIns="30480" rIns="30480" bIns="30480" numCol="1" spcCol="1270" anchor="t" anchorCtr="0">
          <a:noAutofit/>
        </a:bodyPr>
        <a:lstStyle/>
        <a:p>
          <a:pPr marL="0" lvl="0" indent="0" algn="l" defTabSz="355600">
            <a:lnSpc>
              <a:spcPct val="90000"/>
            </a:lnSpc>
            <a:spcBef>
              <a:spcPct val="0"/>
            </a:spcBef>
            <a:spcAft>
              <a:spcPct val="35000"/>
            </a:spcAft>
            <a:buNone/>
          </a:pPr>
          <a:r>
            <a:rPr lang="en-GB" sz="800" b="1" kern="1200"/>
            <a:t>2. Objectives &amp; Scope</a:t>
          </a:r>
          <a:endParaRPr lang="en-US" sz="800" kern="1200"/>
        </a:p>
        <a:p>
          <a:pPr marL="57150" lvl="1" indent="-57150" algn="l" defTabSz="266700">
            <a:lnSpc>
              <a:spcPct val="90000"/>
            </a:lnSpc>
            <a:spcBef>
              <a:spcPct val="0"/>
            </a:spcBef>
            <a:spcAft>
              <a:spcPct val="15000"/>
            </a:spcAft>
            <a:buChar char="•"/>
          </a:pPr>
          <a:r>
            <a:rPr lang="en-GB" sz="600" kern="1200"/>
            <a:t>Rebuild damaged bridges and road sections.</a:t>
          </a:r>
          <a:endParaRPr lang="en-US" sz="600" kern="1200"/>
        </a:p>
        <a:p>
          <a:pPr marL="57150" lvl="1" indent="-57150" algn="l" defTabSz="266700">
            <a:lnSpc>
              <a:spcPct val="90000"/>
            </a:lnSpc>
            <a:spcBef>
              <a:spcPct val="0"/>
            </a:spcBef>
            <a:spcAft>
              <a:spcPct val="15000"/>
            </a:spcAft>
            <a:buChar char="•"/>
          </a:pPr>
          <a:r>
            <a:rPr lang="en-GB" sz="600" kern="1200"/>
            <a:t>Implement flood mitigation and drainage upgrades.</a:t>
          </a:r>
          <a:endParaRPr lang="en-US" sz="600" kern="1200"/>
        </a:p>
        <a:p>
          <a:pPr marL="57150" lvl="1" indent="-57150" algn="l" defTabSz="266700">
            <a:lnSpc>
              <a:spcPct val="90000"/>
            </a:lnSpc>
            <a:spcBef>
              <a:spcPct val="0"/>
            </a:spcBef>
            <a:spcAft>
              <a:spcPct val="15000"/>
            </a:spcAft>
            <a:buChar char="•"/>
          </a:pPr>
          <a:r>
            <a:rPr lang="en-GB" sz="600" kern="1200"/>
            <a:t>Increase climate resilience and prevent future disruptions.</a:t>
          </a:r>
          <a:endParaRPr lang="en-US" sz="600" kern="1200"/>
        </a:p>
        <a:p>
          <a:pPr marL="57150" lvl="1" indent="-57150" algn="l" defTabSz="266700">
            <a:lnSpc>
              <a:spcPct val="90000"/>
            </a:lnSpc>
            <a:spcBef>
              <a:spcPct val="0"/>
            </a:spcBef>
            <a:spcAft>
              <a:spcPct val="15000"/>
            </a:spcAft>
            <a:buChar char="•"/>
          </a:pPr>
          <a:r>
            <a:rPr lang="en-GB" sz="600" kern="1200"/>
            <a:t>Install smart monitoring technologies.</a:t>
          </a:r>
          <a:endParaRPr lang="en-US" sz="600" kern="1200"/>
        </a:p>
      </dsp:txBody>
      <dsp:txXfrm>
        <a:off x="996850" y="1250283"/>
        <a:ext cx="1571532" cy="920021"/>
      </dsp:txXfrm>
    </dsp:sp>
    <dsp:sp modelId="{1F4E5370-4AED-6841-A762-40E4A4428437}">
      <dsp:nvSpPr>
        <dsp:cNvPr id="0" name=""/>
        <dsp:cNvSpPr/>
      </dsp:nvSpPr>
      <dsp:spPr>
        <a:xfrm rot="16200000">
          <a:off x="2859697" y="778861"/>
          <a:ext cx="1211353" cy="146590"/>
        </a:xfrm>
        <a:prstGeom prst="rect">
          <a:avLst/>
        </a:prstGeom>
        <a:solidFill>
          <a:schemeClr val="accent5">
            <a:hueOff val="-6758543"/>
            <a:satOff val="-17419"/>
            <a:lumOff val="-11765"/>
            <a:alphaOff val="0"/>
          </a:schemeClr>
        </a:solidFill>
        <a:ln>
          <a:noFill/>
        </a:ln>
        <a:effectLst/>
      </dsp:spPr>
      <dsp:style>
        <a:lnRef idx="0">
          <a:scrgbClr r="0" g="0" b="0"/>
        </a:lnRef>
        <a:fillRef idx="1">
          <a:scrgbClr r="0" g="0" b="0"/>
        </a:fillRef>
        <a:effectRef idx="0">
          <a:scrgbClr r="0" g="0" b="0"/>
        </a:effectRef>
        <a:fontRef idx="minor">
          <a:schemeClr val="lt1"/>
        </a:fontRef>
      </dsp:style>
    </dsp:sp>
    <dsp:sp modelId="{39C9E75C-B58F-6B4D-A4D8-90A1CBAFEB40}">
      <dsp:nvSpPr>
        <dsp:cNvPr id="0" name=""/>
        <dsp:cNvSpPr/>
      </dsp:nvSpPr>
      <dsp:spPr>
        <a:xfrm>
          <a:off x="3134503" y="1221660"/>
          <a:ext cx="1628778" cy="977267"/>
        </a:xfrm>
        <a:prstGeom prst="roundRect">
          <a:avLst>
            <a:gd name="adj" fmla="val 10000"/>
          </a:avLst>
        </a:prstGeom>
        <a:solidFill>
          <a:schemeClr val="accent5">
            <a:hueOff val="-4505695"/>
            <a:satOff val="-11613"/>
            <a:lumOff val="-7843"/>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0480" tIns="30480" rIns="30480" bIns="30480" numCol="1" spcCol="1270" anchor="t" anchorCtr="0">
          <a:noAutofit/>
        </a:bodyPr>
        <a:lstStyle/>
        <a:p>
          <a:pPr marL="0" lvl="0" indent="0" algn="l" defTabSz="355600">
            <a:lnSpc>
              <a:spcPct val="90000"/>
            </a:lnSpc>
            <a:spcBef>
              <a:spcPct val="0"/>
            </a:spcBef>
            <a:spcAft>
              <a:spcPct val="35000"/>
            </a:spcAft>
            <a:buNone/>
          </a:pPr>
          <a:r>
            <a:rPr lang="en-GB" sz="800" b="1" kern="1200"/>
            <a:t>3. Schedule &amp; Resources</a:t>
          </a:r>
          <a:endParaRPr lang="en-US" sz="800" kern="1200"/>
        </a:p>
        <a:p>
          <a:pPr marL="57150" lvl="1" indent="-57150" algn="l" defTabSz="266700">
            <a:lnSpc>
              <a:spcPct val="90000"/>
            </a:lnSpc>
            <a:spcBef>
              <a:spcPct val="0"/>
            </a:spcBef>
            <a:spcAft>
              <a:spcPct val="15000"/>
            </a:spcAft>
            <a:buChar char="•"/>
          </a:pPr>
          <a:r>
            <a:rPr lang="en-GB" sz="600" kern="1200"/>
            <a:t>2025–2027 delivery timeline.</a:t>
          </a:r>
          <a:endParaRPr lang="en-US" sz="600" kern="1200"/>
        </a:p>
        <a:p>
          <a:pPr marL="57150" lvl="1" indent="-57150" algn="l" defTabSz="266700">
            <a:lnSpc>
              <a:spcPct val="90000"/>
            </a:lnSpc>
            <a:spcBef>
              <a:spcPct val="0"/>
            </a:spcBef>
            <a:spcAft>
              <a:spcPct val="15000"/>
            </a:spcAft>
            <a:buChar char="•"/>
          </a:pPr>
          <a:r>
            <a:rPr lang="en-GB" sz="600" kern="1200"/>
            <a:t>Use of federal and provincial funds.</a:t>
          </a:r>
          <a:endParaRPr lang="en-US" sz="600" kern="1200"/>
        </a:p>
        <a:p>
          <a:pPr marL="57150" lvl="1" indent="-57150" algn="l" defTabSz="266700">
            <a:lnSpc>
              <a:spcPct val="90000"/>
            </a:lnSpc>
            <a:spcBef>
              <a:spcPct val="0"/>
            </a:spcBef>
            <a:spcAft>
              <a:spcPct val="15000"/>
            </a:spcAft>
            <a:buChar char="•"/>
          </a:pPr>
          <a:r>
            <a:rPr lang="en-GB" sz="600" kern="1200"/>
            <a:t>Multidisciplinary project team: engineers, environmental scientists, contractors, Indigenous partners.</a:t>
          </a:r>
          <a:endParaRPr lang="en-US" sz="600" kern="1200"/>
        </a:p>
      </dsp:txBody>
      <dsp:txXfrm>
        <a:off x="3163126" y="1250283"/>
        <a:ext cx="1571532" cy="920021"/>
      </dsp:txXfrm>
    </dsp:sp>
    <dsp:sp modelId="{E825E8E8-7FAC-4342-B778-1FBE4EB748D1}">
      <dsp:nvSpPr>
        <dsp:cNvPr id="0" name=""/>
        <dsp:cNvSpPr/>
      </dsp:nvSpPr>
      <dsp:spPr>
        <a:xfrm>
          <a:off x="3134503" y="76"/>
          <a:ext cx="1628778" cy="977267"/>
        </a:xfrm>
        <a:prstGeom prst="roundRect">
          <a:avLst>
            <a:gd name="adj" fmla="val 10000"/>
          </a:avLst>
        </a:prstGeom>
        <a:solidFill>
          <a:schemeClr val="accent5">
            <a:hueOff val="-6758543"/>
            <a:satOff val="-17419"/>
            <a:lumOff val="-11765"/>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0480" tIns="30480" rIns="30480" bIns="30480" numCol="1" spcCol="1270" anchor="ctr" anchorCtr="0">
          <a:noAutofit/>
        </a:bodyPr>
        <a:lstStyle/>
        <a:p>
          <a:pPr marL="0" lvl="0" indent="0" algn="ctr" defTabSz="355600">
            <a:lnSpc>
              <a:spcPct val="90000"/>
            </a:lnSpc>
            <a:spcBef>
              <a:spcPct val="0"/>
            </a:spcBef>
            <a:spcAft>
              <a:spcPct val="35000"/>
            </a:spcAft>
            <a:buNone/>
          </a:pPr>
          <a:r>
            <a:rPr lang="en-GB" sz="800" b="1" kern="1200"/>
            <a:t>4. Risks &amp; Stakeholders</a:t>
          </a:r>
          <a:br>
            <a:rPr lang="en-GB" sz="800" kern="1200"/>
          </a:br>
          <a:r>
            <a:rPr lang="en-GB" sz="800" kern="1200"/>
            <a:t>Risks: weather delays, cost escalation, engineering complexity.</a:t>
          </a:r>
          <a:br>
            <a:rPr lang="en-GB" sz="800" kern="1200"/>
          </a:br>
          <a:r>
            <a:rPr lang="en-GB" sz="800" kern="1200"/>
            <a:t>Stakeholders: Government of BC, Infrastructure Canada, municipalities, First Nations, supply chain industries, local communities.</a:t>
          </a:r>
          <a:endParaRPr lang="en-US" sz="800" kern="1200"/>
        </a:p>
      </dsp:txBody>
      <dsp:txXfrm>
        <a:off x="3163126" y="28699"/>
        <a:ext cx="1571532" cy="920021"/>
      </dsp:txXfrm>
    </dsp:sp>
  </dsp:spTree>
</dsp:drawing>
</file>

<file path=word/diagrams/layout1.xml><?xml version="1.0" encoding="utf-8"?>
<dgm:layoutDef xmlns:dgm="http://schemas.openxmlformats.org/drawingml/2006/diagram" xmlns:a="http://schemas.openxmlformats.org/drawingml/2006/main" uniqueId="urn:microsoft.com/office/officeart/2005/8/layout/hierarchy1">
  <dgm:title val=""/>
  <dgm:desc val=""/>
  <dgm:catLst>
    <dgm:cat type="hierarchy" pri="2000"/>
  </dgm:catLst>
  <dgm:sampData>
    <dgm:dataModel>
      <dgm:ptLst>
        <dgm:pt modelId="0" type="doc"/>
        <dgm:pt modelId="1">
          <dgm:prSet phldr="1"/>
        </dgm:pt>
        <dgm:pt modelId="2">
          <dgm:prSet phldr="1"/>
        </dgm:pt>
        <dgm:pt modelId="21">
          <dgm:prSet phldr="1"/>
        </dgm:pt>
        <dgm:pt modelId="22">
          <dgm:prSet phldr="1"/>
        </dgm:pt>
        <dgm:pt modelId="3">
          <dgm:prSet phldr="1"/>
        </dgm:pt>
        <dgm:pt modelId="31">
          <dgm:prSet phldr="1"/>
        </dgm:pt>
      </dgm:ptLst>
      <dgm:cxnLst>
        <dgm:cxn modelId="4" srcId="0" destId="1" srcOrd="0" destOrd="0"/>
        <dgm:cxn modelId="5" srcId="1" destId="2" srcOrd="0" destOrd="0"/>
        <dgm:cxn modelId="6" srcId="1" destId="3" srcOrd="1" destOrd="0"/>
        <dgm:cxn modelId="23" srcId="2" destId="21" srcOrd="0" destOrd="0"/>
        <dgm:cxn modelId="24" srcId="2" destId="22" srcOrd="1" destOrd="0"/>
        <dgm:cxn modelId="33" srcId="3" destId="31" srcOrd="0" destOrd="0"/>
      </dgm:cxnLst>
      <dgm:bg/>
      <dgm:whole/>
    </dgm:dataModel>
  </dgm:sampData>
  <dgm:styleData>
    <dgm:dataModel>
      <dgm:ptLst>
        <dgm:pt modelId="0" type="doc"/>
        <dgm:pt modelId="1"/>
        <dgm:pt modelId="11"/>
        <dgm:pt modelId="12"/>
      </dgm:ptLst>
      <dgm:cxnLst>
        <dgm:cxn modelId="2" srcId="0" destId="1" srcOrd="0" destOrd="0"/>
        <dgm:cxn modelId="13" srcId="1" destId="11" srcOrd="0" destOrd="0"/>
        <dgm:cxn modelId="14" srcId="1" destId="12" srcOrd="1" destOrd="0"/>
      </dgm:cxnLst>
      <dgm:bg/>
      <dgm:whole/>
    </dgm:dataModel>
  </dgm:styleData>
  <dgm:clrData>
    <dgm:dataModel>
      <dgm:ptLst>
        <dgm:pt modelId="0" type="doc"/>
        <dgm:pt modelId="1"/>
        <dgm:pt modelId="2"/>
        <dgm:pt modelId="21"/>
        <dgm:pt modelId="211"/>
        <dgm:pt modelId="3"/>
        <dgm:pt modelId="31"/>
        <dgm:pt modelId="311"/>
      </dgm:ptLst>
      <dgm:cxnLst>
        <dgm:cxn modelId="4" srcId="0" destId="1" srcOrd="0" destOrd="0"/>
        <dgm:cxn modelId="5" srcId="1" destId="2" srcOrd="0" destOrd="0"/>
        <dgm:cxn modelId="6" srcId="1" destId="3" srcOrd="1" destOrd="0"/>
        <dgm:cxn modelId="23" srcId="2" destId="21" srcOrd="0" destOrd="0"/>
        <dgm:cxn modelId="24" srcId="21" destId="211" srcOrd="0" destOrd="0"/>
        <dgm:cxn modelId="33" srcId="3" destId="31" srcOrd="0" destOrd="0"/>
        <dgm:cxn modelId="34" srcId="31" destId="311" srcOrd="0" destOrd="0"/>
      </dgm:cxnLst>
      <dgm:bg/>
      <dgm:whole/>
    </dgm:dataModel>
  </dgm:clrData>
  <dgm:layoutNode name="hierChild1">
    <dgm:varLst>
      <dgm:chPref val="1"/>
      <dgm:dir/>
      <dgm:animOne val="branch"/>
      <dgm:animLvl val="lvl"/>
      <dgm:resizeHandles/>
    </dgm:varLst>
    <dgm:choose name="Name0">
      <dgm:if name="Name1" func="var" arg="dir" op="equ" val="norm">
        <dgm:alg type="hierChild">
          <dgm:param type="linDir" val="fromL"/>
        </dgm:alg>
      </dgm:if>
      <dgm:else name="Name2">
        <dgm:alg type="hierChild">
          <dgm:param type="linDir" val="fromR"/>
        </dgm:alg>
      </dgm:else>
    </dgm:choose>
    <dgm:shape xmlns:r="http://schemas.openxmlformats.org/officeDocument/2006/relationships" r:blip="">
      <dgm:adjLst/>
    </dgm:shape>
    <dgm:presOf/>
    <dgm:constrLst>
      <dgm:constr type="primFontSz" for="des" ptType="node" op="equ" val="65"/>
      <dgm:constr type="w" for="des" forName="composite" refType="w"/>
      <dgm:constr type="h" for="des" forName="composite" refType="w" refFor="des" refForName="composite" fact="0.667"/>
      <dgm:constr type="w" for="des" forName="composite2" refType="w" refFor="des" refForName="composite"/>
      <dgm:constr type="h" for="des" forName="composite2" refType="h" refFor="des" refForName="composite"/>
      <dgm:constr type="w" for="des" forName="composite3" refType="w" refFor="des" refForName="composite"/>
      <dgm:constr type="h" for="des" forName="composite3" refType="h" refFor="des" refForName="composite"/>
      <dgm:constr type="w" for="des" forName="composite4" refType="w" refFor="des" refForName="composite"/>
      <dgm:constr type="h" for="des" forName="composite4" refType="h" refFor="des" refForName="composite"/>
      <dgm:constr type="w" for="des" forName="composite5" refType="w" refFor="des" refForName="composite"/>
      <dgm:constr type="h" for="des" forName="composite5" refType="h" refFor="des" refForName="composite"/>
      <dgm:constr type="sibSp" refType="w" refFor="des" refForName="composite" fact="0.1"/>
      <dgm:constr type="sibSp" for="des" forName="hierChild2" refType="sibSp"/>
      <dgm:constr type="sibSp" for="des" forName="hierChild3" refType="sibSp"/>
      <dgm:constr type="sibSp" for="des" forName="hierChild4" refType="sibSp"/>
      <dgm:constr type="sibSp" for="des" forName="hierChild5" refType="sibSp"/>
      <dgm:constr type="sibSp" for="des" forName="hierChild6" refType="sibSp"/>
      <dgm:constr type="sp" for="des" forName="hierRoot1" refType="h" refFor="des" refForName="composite" fact="0.25"/>
      <dgm:constr type="sp" for="des" forName="hierRoot2" refType="sp" refFor="des" refForName="hierRoot1"/>
      <dgm:constr type="sp" for="des" forName="hierRoot3" refType="sp" refFor="des" refForName="hierRoot1"/>
      <dgm:constr type="sp" for="des" forName="hierRoot4" refType="sp" refFor="des" refForName="hierRoot1"/>
      <dgm:constr type="sp" for="des" forName="hierRoot5" refType="sp" refFor="des" refForName="hierRoot1"/>
    </dgm:constrLst>
    <dgm:ruleLst/>
    <dgm:forEach name="Name3" axis="ch">
      <dgm:forEach name="Name4" axis="self" ptType="node">
        <dgm:layoutNode name="hierRoot1">
          <dgm:alg type="hierRoot"/>
          <dgm:shape xmlns:r="http://schemas.openxmlformats.org/officeDocument/2006/relationships" r:blip="">
            <dgm:adjLst/>
          </dgm:shape>
          <dgm:presOf/>
          <dgm:constrLst>
            <dgm:constr type="bendDist" for="des" ptType="parTrans" refType="sp" fact="0.5"/>
          </dgm:constrLst>
          <dgm:ruleLst/>
          <dgm:layoutNode name="composite">
            <dgm:alg type="composite"/>
            <dgm:shape xmlns:r="http://schemas.openxmlformats.org/officeDocument/2006/relationships" r:blip="">
              <dgm:adjLst/>
            </dgm:shape>
            <dgm:presOf/>
            <dgm:constrLst>
              <dgm:constr type="w" for="ch" forName="background" refType="w" fact="0.9"/>
              <dgm:constr type="h" for="ch" forName="background" refType="w" refFor="ch" refForName="background" fact="0.635"/>
              <dgm:constr type="t" for="ch" forName="background"/>
              <dgm:constr type="l" for="ch" forName="background"/>
              <dgm:constr type="w" for="ch" forName="text" refType="w" fact="0.9"/>
              <dgm:constr type="h" for="ch" forName="text" refType="w" refFor="ch" refForName="text" fact="0.635"/>
              <dgm:constr type="t" for="ch" forName="text" refType="w" fact="0.095"/>
              <dgm:constr type="l" for="ch" forName="text" refType="w" fact="0.1"/>
            </dgm:constrLst>
            <dgm:ruleLst/>
            <dgm:layoutNode name="background" styleLbl="node0" moveWith="text">
              <dgm:alg type="sp"/>
              <dgm:shape xmlns:r="http://schemas.openxmlformats.org/officeDocument/2006/relationships" type="roundRect" r:blip="">
                <dgm:adjLst>
                  <dgm:adj idx="1" val="0.1"/>
                </dgm:adjLst>
              </dgm:shape>
              <dgm:presOf/>
              <dgm:constrLst/>
              <dgm:ruleLst/>
            </dgm:layoutNode>
            <dgm:layoutNode name="text" styleLbl="fgAcc0">
              <dgm:varLst>
                <dgm:chPref val="3"/>
              </dgm:varLst>
              <dgm:alg type="tx"/>
              <dgm:shape xmlns:r="http://schemas.openxmlformats.org/officeDocument/2006/relationships" type="roundRect" r:blip="">
                <dgm:adjLst>
                  <dgm:adj idx="1" val="0.1"/>
                </dgm:adjLst>
              </dgm:shape>
              <dgm:presOf axis="self"/>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dgm:layoutNode name="hierChild2">
            <dgm:choose name="Name5">
              <dgm:if name="Name6" func="var" arg="dir" op="equ" val="norm">
                <dgm:alg type="hierChild">
                  <dgm:param type="linDir" val="fromL"/>
                </dgm:alg>
              </dgm:if>
              <dgm:else name="Name7">
                <dgm:alg type="hierChild">
                  <dgm:param type="linDir" val="fromR"/>
                </dgm:alg>
              </dgm:else>
            </dgm:choose>
            <dgm:shape xmlns:r="http://schemas.openxmlformats.org/officeDocument/2006/relationships" r:blip="">
              <dgm:adjLst/>
            </dgm:shape>
            <dgm:presOf/>
            <dgm:constrLst/>
            <dgm:ruleLst/>
            <dgm:forEach name="Name8" axis="ch">
              <dgm:forEach name="Name9" axis="self" ptType="parTrans" cnt="1">
                <dgm:layoutNode name="Name10">
                  <dgm:alg type="conn">
                    <dgm:param type="dim" val="1D"/>
                    <dgm:param type="endSty" val="noArr"/>
                    <dgm:param type="connRout" val="bend"/>
                    <dgm:param type="bendPt" val="end"/>
                    <dgm:param type="begPts" val="bCtr"/>
                    <dgm:param type="endPts" val="tCtr"/>
                    <dgm:param type="srcNode" val="background"/>
                    <dgm:param type="dstNode" val="background2"/>
                  </dgm:alg>
                  <dgm:shape xmlns:r="http://schemas.openxmlformats.org/officeDocument/2006/relationships" type="conn" r:blip="" zOrderOff="-999">
                    <dgm:adjLst/>
                  </dgm:shape>
                  <dgm:presOf axis="self"/>
                  <dgm:constrLst>
                    <dgm:constr type="begPad"/>
                    <dgm:constr type="endPad"/>
                  </dgm:constrLst>
                  <dgm:ruleLst/>
                </dgm:layoutNode>
              </dgm:forEach>
              <dgm:forEach name="Name11" axis="self" ptType="node">
                <dgm:layoutNode name="hierRoot2">
                  <dgm:alg type="hierRoot"/>
                  <dgm:shape xmlns:r="http://schemas.openxmlformats.org/officeDocument/2006/relationships" r:blip="">
                    <dgm:adjLst/>
                  </dgm:shape>
                  <dgm:presOf/>
                  <dgm:constrLst>
                    <dgm:constr type="bendDist" for="des" ptType="parTrans" refType="sp" fact="0.5"/>
                  </dgm:constrLst>
                  <dgm:ruleLst/>
                  <dgm:layoutNode name="composite2">
                    <dgm:alg type="composite"/>
                    <dgm:shape xmlns:r="http://schemas.openxmlformats.org/officeDocument/2006/relationships" r:blip="">
                      <dgm:adjLst/>
                    </dgm:shape>
                    <dgm:presOf/>
                    <dgm:constrLst>
                      <dgm:constr type="w" for="ch" forName="background2" refType="w" fact="0.9"/>
                      <dgm:constr type="h" for="ch" forName="background2" refType="w" refFor="ch" refForName="background2" fact="0.635"/>
                      <dgm:constr type="t" for="ch" forName="background2"/>
                      <dgm:constr type="l" for="ch" forName="background2"/>
                      <dgm:constr type="w" for="ch" forName="text2" refType="w" fact="0.9"/>
                      <dgm:constr type="h" for="ch" forName="text2" refType="w" refFor="ch" refForName="text2" fact="0.635"/>
                      <dgm:constr type="t" for="ch" forName="text2" refType="w" fact="0.095"/>
                      <dgm:constr type="l" for="ch" forName="text2" refType="w" fact="0.1"/>
                    </dgm:constrLst>
                    <dgm:ruleLst/>
                    <dgm:layoutNode name="background2" moveWith="text2">
                      <dgm:alg type="sp"/>
                      <dgm:shape xmlns:r="http://schemas.openxmlformats.org/officeDocument/2006/relationships" type="roundRect" r:blip="">
                        <dgm:adjLst>
                          <dgm:adj idx="1" val="0.1"/>
                        </dgm:adjLst>
                      </dgm:shape>
                      <dgm:presOf/>
                      <dgm:constrLst/>
                      <dgm:ruleLst/>
                    </dgm:layoutNode>
                    <dgm:layoutNode name="text2" styleLbl="fgAcc2">
                      <dgm:varLst>
                        <dgm:chPref val="3"/>
                      </dgm:varLst>
                      <dgm:alg type="tx"/>
                      <dgm:shape xmlns:r="http://schemas.openxmlformats.org/officeDocument/2006/relationships" type="roundRect" r:blip="">
                        <dgm:adjLst>
                          <dgm:adj idx="1" val="0.1"/>
                        </dgm:adjLst>
                      </dgm:shape>
                      <dgm:presOf axis="self"/>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dgm:layoutNode name="hierChild3">
                    <dgm:choose name="Name12">
                      <dgm:if name="Name13" func="var" arg="dir" op="equ" val="norm">
                        <dgm:alg type="hierChild">
                          <dgm:param type="linDir" val="fromL"/>
                        </dgm:alg>
                      </dgm:if>
                      <dgm:else name="Name14">
                        <dgm:alg type="hierChild">
                          <dgm:param type="linDir" val="fromR"/>
                        </dgm:alg>
                      </dgm:else>
                    </dgm:choose>
                    <dgm:shape xmlns:r="http://schemas.openxmlformats.org/officeDocument/2006/relationships" r:blip="">
                      <dgm:adjLst/>
                    </dgm:shape>
                    <dgm:presOf/>
                    <dgm:constrLst/>
                    <dgm:ruleLst/>
                    <dgm:forEach name="Name15" axis="ch">
                      <dgm:forEach name="Name16" axis="self" ptType="parTrans" cnt="1">
                        <dgm:layoutNode name="Name17">
                          <dgm:alg type="conn">
                            <dgm:param type="dim" val="1D"/>
                            <dgm:param type="endSty" val="noArr"/>
                            <dgm:param type="connRout" val="bend"/>
                            <dgm:param type="bendPt" val="end"/>
                            <dgm:param type="begPts" val="bCtr"/>
                            <dgm:param type="endPts" val="tCtr"/>
                            <dgm:param type="srcNode" val="background2"/>
                            <dgm:param type="dstNode" val="background3"/>
                          </dgm:alg>
                          <dgm:shape xmlns:r="http://schemas.openxmlformats.org/officeDocument/2006/relationships" type="conn" r:blip="" zOrderOff="-999">
                            <dgm:adjLst/>
                          </dgm:shape>
                          <dgm:presOf axis="self"/>
                          <dgm:constrLst>
                            <dgm:constr type="begPad"/>
                            <dgm:constr type="endPad"/>
                          </dgm:constrLst>
                          <dgm:ruleLst/>
                        </dgm:layoutNode>
                      </dgm:forEach>
                      <dgm:forEach name="Name18" axis="self" ptType="node">
                        <dgm:layoutNode name="hierRoot3">
                          <dgm:alg type="hierRoot"/>
                          <dgm:shape xmlns:r="http://schemas.openxmlformats.org/officeDocument/2006/relationships" r:blip="">
                            <dgm:adjLst/>
                          </dgm:shape>
                          <dgm:presOf/>
                          <dgm:constrLst>
                            <dgm:constr type="bendDist" for="des" ptType="parTrans" refType="sp" fact="0.5"/>
                          </dgm:constrLst>
                          <dgm:ruleLst/>
                          <dgm:layoutNode name="composite3">
                            <dgm:alg type="composite"/>
                            <dgm:shape xmlns:r="http://schemas.openxmlformats.org/officeDocument/2006/relationships" r:blip="">
                              <dgm:adjLst/>
                            </dgm:shape>
                            <dgm:presOf/>
                            <dgm:constrLst>
                              <dgm:constr type="w" for="ch" forName="background3" refType="w" fact="0.9"/>
                              <dgm:constr type="h" for="ch" forName="background3" refType="w" refFor="ch" refForName="background3" fact="0.635"/>
                              <dgm:constr type="t" for="ch" forName="background3"/>
                              <dgm:constr type="l" for="ch" forName="background3"/>
                              <dgm:constr type="w" for="ch" forName="text3" refType="w" fact="0.9"/>
                              <dgm:constr type="h" for="ch" forName="text3" refType="w" refFor="ch" refForName="text3" fact="0.635"/>
                              <dgm:constr type="t" for="ch" forName="text3" refType="w" fact="0.095"/>
                              <dgm:constr type="l" for="ch" forName="text3" refType="w" fact="0.1"/>
                            </dgm:constrLst>
                            <dgm:ruleLst/>
                            <dgm:layoutNode name="background3" moveWith="text3">
                              <dgm:alg type="sp"/>
                              <dgm:shape xmlns:r="http://schemas.openxmlformats.org/officeDocument/2006/relationships" type="roundRect" r:blip="">
                                <dgm:adjLst>
                                  <dgm:adj idx="1" val="0.1"/>
                                </dgm:adjLst>
                              </dgm:shape>
                              <dgm:presOf/>
                              <dgm:constrLst/>
                              <dgm:ruleLst/>
                            </dgm:layoutNode>
                            <dgm:layoutNode name="text3" styleLbl="fgAcc3">
                              <dgm:varLst>
                                <dgm:chPref val="3"/>
                              </dgm:varLst>
                              <dgm:alg type="tx"/>
                              <dgm:shape xmlns:r="http://schemas.openxmlformats.org/officeDocument/2006/relationships" type="roundRect" r:blip="">
                                <dgm:adjLst>
                                  <dgm:adj idx="1" val="0.1"/>
                                </dgm:adjLst>
                              </dgm:shape>
                              <dgm:presOf axis="self"/>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dgm:layoutNode name="hierChild4">
                            <dgm:choose name="Name19">
                              <dgm:if name="Name20" func="var" arg="dir" op="equ" val="norm">
                                <dgm:alg type="hierChild">
                                  <dgm:param type="linDir" val="fromL"/>
                                </dgm:alg>
                              </dgm:if>
                              <dgm:else name="Name21">
                                <dgm:alg type="hierChild">
                                  <dgm:param type="linDir" val="fromR"/>
                                </dgm:alg>
                              </dgm:else>
                            </dgm:choose>
                            <dgm:shape xmlns:r="http://schemas.openxmlformats.org/officeDocument/2006/relationships" r:blip="">
                              <dgm:adjLst/>
                            </dgm:shape>
                            <dgm:presOf/>
                            <dgm:constrLst/>
                            <dgm:ruleLst/>
                            <dgm:forEach name="repeat" axis="ch">
                              <dgm:forEach name="Name22" axis="self" ptType="parTrans" cnt="1">
                                <dgm:layoutNode name="Name23">
                                  <dgm:choose name="Name24">
                                    <dgm:if name="Name25" axis="self" func="depth" op="lte" val="4">
                                      <dgm:alg type="conn">
                                        <dgm:param type="dim" val="1D"/>
                                        <dgm:param type="endSty" val="noArr"/>
                                        <dgm:param type="connRout" val="bend"/>
                                        <dgm:param type="bendPt" val="end"/>
                                        <dgm:param type="begPts" val="bCtr"/>
                                        <dgm:param type="endPts" val="tCtr"/>
                                        <dgm:param type="srcNode" val="background3"/>
                                        <dgm:param type="dstNode" val="background4"/>
                                      </dgm:alg>
                                    </dgm:if>
                                    <dgm:else name="Name26">
                                      <dgm:alg type="conn">
                                        <dgm:param type="dim" val="1D"/>
                                        <dgm:param type="endSty" val="noArr"/>
                                        <dgm:param type="connRout" val="bend"/>
                                        <dgm:param type="bendPt" val="end"/>
                                        <dgm:param type="begPts" val="bCtr"/>
                                        <dgm:param type="endPts" val="tCtr"/>
                                        <dgm:param type="srcNode" val="background4"/>
                                        <dgm:param type="dstNode" val="background4"/>
                                      </dgm:alg>
                                    </dgm:else>
                                  </dgm:choose>
                                  <dgm:shape xmlns:r="http://schemas.openxmlformats.org/officeDocument/2006/relationships" type="conn" r:blip="" zOrderOff="-999">
                                    <dgm:adjLst/>
                                  </dgm:shape>
                                  <dgm:presOf axis="self"/>
                                  <dgm:constrLst>
                                    <dgm:constr type="begPad"/>
                                    <dgm:constr type="endPad"/>
                                  </dgm:constrLst>
                                  <dgm:ruleLst/>
                                </dgm:layoutNode>
                              </dgm:forEach>
                              <dgm:forEach name="Name27" axis="self" ptType="node">
                                <dgm:layoutNode name="hierRoot4">
                                  <dgm:alg type="hierRoot"/>
                                  <dgm:shape xmlns:r="http://schemas.openxmlformats.org/officeDocument/2006/relationships" r:blip="">
                                    <dgm:adjLst/>
                                  </dgm:shape>
                                  <dgm:presOf/>
                                  <dgm:constrLst>
                                    <dgm:constr type="bendDist" for="des" ptType="parTrans" refType="sp" fact="0.5"/>
                                  </dgm:constrLst>
                                  <dgm:ruleLst/>
                                  <dgm:layoutNode name="composite4">
                                    <dgm:alg type="composite"/>
                                    <dgm:shape xmlns:r="http://schemas.openxmlformats.org/officeDocument/2006/relationships" r:blip="">
                                      <dgm:adjLst/>
                                    </dgm:shape>
                                    <dgm:presOf/>
                                    <dgm:constrLst>
                                      <dgm:constr type="w" for="ch" forName="background4" refType="w" fact="0.9"/>
                                      <dgm:constr type="h" for="ch" forName="background4" refType="w" refFor="ch" refForName="background4" fact="0.635"/>
                                      <dgm:constr type="t" for="ch" forName="background4"/>
                                      <dgm:constr type="l" for="ch" forName="background4"/>
                                      <dgm:constr type="w" for="ch" forName="text4" refType="w" fact="0.9"/>
                                      <dgm:constr type="h" for="ch" forName="text4" refType="w" refFor="ch" refForName="text4" fact="0.635"/>
                                      <dgm:constr type="t" for="ch" forName="text4" refType="w" fact="0.095"/>
                                      <dgm:constr type="l" for="ch" forName="text4" refType="w" fact="0.1"/>
                                    </dgm:constrLst>
                                    <dgm:ruleLst/>
                                    <dgm:layoutNode name="background4" moveWith="text4">
                                      <dgm:alg type="sp"/>
                                      <dgm:shape xmlns:r="http://schemas.openxmlformats.org/officeDocument/2006/relationships" type="roundRect" r:blip="">
                                        <dgm:adjLst>
                                          <dgm:adj idx="1" val="0.1"/>
                                        </dgm:adjLst>
                                      </dgm:shape>
                                      <dgm:presOf/>
                                      <dgm:constrLst/>
                                      <dgm:ruleLst/>
                                    </dgm:layoutNode>
                                    <dgm:layoutNode name="text4" styleLbl="fgAcc4">
                                      <dgm:varLst>
                                        <dgm:chPref val="3"/>
                                      </dgm:varLst>
                                      <dgm:alg type="tx"/>
                                      <dgm:shape xmlns:r="http://schemas.openxmlformats.org/officeDocument/2006/relationships" type="roundRect" r:blip="">
                                        <dgm:adjLst>
                                          <dgm:adj idx="1" val="0.1"/>
                                        </dgm:adjLst>
                                      </dgm:shape>
                                      <dgm:presOf axis="self"/>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dgm:layoutNode name="hierChild5">
                                    <dgm:choose name="Name28">
                                      <dgm:if name="Name29" func="var" arg="dir" op="equ" val="norm">
                                        <dgm:alg type="hierChild">
                                          <dgm:param type="linDir" val="fromL"/>
                                        </dgm:alg>
                                      </dgm:if>
                                      <dgm:else name="Name30">
                                        <dgm:alg type="hierChild">
                                          <dgm:param type="linDir" val="fromR"/>
                                        </dgm:alg>
                                      </dgm:else>
                                    </dgm:choose>
                                    <dgm:shape xmlns:r="http://schemas.openxmlformats.org/officeDocument/2006/relationships" r:blip="">
                                      <dgm:adjLst/>
                                    </dgm:shape>
                                    <dgm:presOf/>
                                    <dgm:constrLst/>
                                    <dgm:ruleLst/>
                                    <dgm:forEach name="Name31" ref="repeat"/>
                                  </dgm:layoutNode>
                                </dgm:layoutNode>
                              </dgm:forEach>
                            </dgm:forEach>
                          </dgm:layoutNode>
                        </dgm:layoutNode>
                      </dgm:forEach>
                    </dgm:forEach>
                  </dgm:layoutNode>
                </dgm:layoutNode>
              </dgm:forEach>
            </dgm:forEach>
          </dgm:layoutNode>
        </dgm:layoutNode>
      </dgm:forEach>
    </dgm:forEach>
  </dgm:layoutNode>
</dgm:layoutDef>
</file>

<file path=word/diagrams/layout2.xml><?xml version="1.0" encoding="utf-8"?>
<dgm:layoutDef xmlns:dgm="http://schemas.openxmlformats.org/drawingml/2006/diagram" xmlns:a="http://schemas.openxmlformats.org/drawingml/2006/main" uniqueId="urn:microsoft.com/office/officeart/2005/8/layout/bProcess4">
  <dgm:title val=""/>
  <dgm:desc val=""/>
  <dgm:catLst>
    <dgm:cat type="process" pri="19000"/>
  </dgm:catLst>
  <dgm:sampData>
    <dgm:dataModel>
      <dgm:ptLst>
        <dgm:pt modelId="0" type="doc"/>
        <dgm:pt modelId="1">
          <dgm:prSet phldr="1"/>
        </dgm:pt>
        <dgm:pt modelId="2">
          <dgm:prSet phldr="1"/>
        </dgm:pt>
        <dgm:pt modelId="3">
          <dgm:prSet phldr="1"/>
        </dgm:pt>
        <dgm:pt modelId="4">
          <dgm:prSet phldr="1"/>
        </dgm:pt>
        <dgm:pt modelId="5">
          <dgm:prSet phldr="1"/>
        </dgm:pt>
        <dgm:pt modelId="6">
          <dgm:prSet phldr="1"/>
        </dgm:pt>
        <dgm:pt modelId="7">
          <dgm:prSet phldr="1"/>
        </dgm:pt>
        <dgm:pt modelId="8">
          <dgm:prSet phldr="1"/>
        </dgm:pt>
        <dgm:pt modelId="9">
          <dgm:prSet phldr="1"/>
        </dgm:pt>
      </dgm:ptLst>
      <dgm:cxnLst>
        <dgm:cxn modelId="10" srcId="0" destId="1" srcOrd="0" destOrd="0"/>
        <dgm:cxn modelId="11" srcId="0" destId="2" srcOrd="1" destOrd="0"/>
        <dgm:cxn modelId="12" srcId="0" destId="3" srcOrd="2" destOrd="0"/>
        <dgm:cxn modelId="13" srcId="0" destId="4" srcOrd="3" destOrd="0"/>
        <dgm:cxn modelId="14" srcId="0" destId="5" srcOrd="4" destOrd="0"/>
        <dgm:cxn modelId="15" srcId="0" destId="6" srcOrd="5" destOrd="0"/>
        <dgm:cxn modelId="16" srcId="0" destId="7" srcOrd="6" destOrd="0"/>
        <dgm:cxn modelId="17" srcId="0" destId="8" srcOrd="7" destOrd="0"/>
        <dgm:cxn modelId="18" srcId="0" destId="9" srcOrd="8" destOrd="0"/>
      </dgm:cxnLst>
      <dgm:bg/>
      <dgm:whole/>
    </dgm:dataModel>
  </dgm:sampData>
  <dgm:styleData>
    <dgm:dataModel>
      <dgm:ptLst>
        <dgm:pt modelId="0" type="doc"/>
        <dgm:pt modelId="1"/>
        <dgm:pt modelId="2"/>
      </dgm:ptLst>
      <dgm:cxnLst>
        <dgm:cxn modelId="3" srcId="0" destId="1" srcOrd="0" destOrd="0"/>
        <dgm:cxn modelId="4" srcId="0" destId="2" srcOrd="1" destOrd="0"/>
      </dgm:cxnLst>
      <dgm:bg/>
      <dgm:whole/>
    </dgm:dataModel>
  </dgm:styleData>
  <dgm:clrData>
    <dgm:dataModel>
      <dgm:ptLst>
        <dgm:pt modelId="0" type="doc"/>
        <dgm:pt modelId="1"/>
        <dgm:pt modelId="2"/>
        <dgm:pt modelId="3"/>
        <dgm:pt modelId="4"/>
        <dgm:pt modelId="5"/>
        <dgm:pt modelId="6"/>
      </dgm:ptLst>
      <dgm:cxnLst>
        <dgm:cxn modelId="7" srcId="0" destId="1" srcOrd="0" destOrd="0"/>
        <dgm:cxn modelId="8" srcId="0" destId="2" srcOrd="1" destOrd="0"/>
        <dgm:cxn modelId="9" srcId="0" destId="3" srcOrd="2" destOrd="0"/>
        <dgm:cxn modelId="10" srcId="0" destId="4" srcOrd="3" destOrd="0"/>
        <dgm:cxn modelId="11" srcId="0" destId="5" srcOrd="4" destOrd="0"/>
        <dgm:cxn modelId="12" srcId="0" destId="6" srcOrd="5" destOrd="0"/>
      </dgm:cxnLst>
      <dgm:bg/>
      <dgm:whole/>
    </dgm:dataModel>
  </dgm:clrData>
  <dgm:layoutNode name="Name0">
    <dgm:varLst>
      <dgm:dir/>
      <dgm:resizeHandles/>
    </dgm:varLst>
    <dgm:choose name="Name1">
      <dgm:if name="Name2" func="var" arg="dir" op="equ" val="norm">
        <dgm:alg type="snake">
          <dgm:param type="grDir" val="tL"/>
          <dgm:param type="flowDir" val="col"/>
          <dgm:param type="contDir" val="revDir"/>
          <dgm:param type="bkpt" val="bal"/>
        </dgm:alg>
      </dgm:if>
      <dgm:else name="Name3">
        <dgm:alg type="snake">
          <dgm:param type="grDir" val="tR"/>
          <dgm:param type="flowDir" val="col"/>
          <dgm:param type="contDir" val="revDir"/>
          <dgm:param type="bkpt" val="bal"/>
        </dgm:alg>
      </dgm:else>
    </dgm:choose>
    <dgm:shape xmlns:r="http://schemas.openxmlformats.org/officeDocument/2006/relationships" r:blip="">
      <dgm:adjLst/>
    </dgm:shape>
    <dgm:presOf/>
    <dgm:constrLst>
      <dgm:constr type="w" for="ch" forName="compNode" refType="w"/>
      <dgm:constr type="h" for="ch" forName="compNode" refType="w" fact="0.6"/>
      <dgm:constr type="h" for="ch" forName="sibTrans" refType="h" refFor="ch" refForName="compNode" op="equ" fact="0.25"/>
      <dgm:constr type="sp" refType="w" fact="0.33"/>
      <dgm:constr type="primFontSz" for="des" forName="node" op="equ" val="65"/>
    </dgm:constrLst>
    <dgm:ruleLst/>
    <dgm:forEach name="nodesForEach" axis="ch" ptType="node">
      <dgm:layoutNode name="compNode">
        <dgm:alg type="composite"/>
        <dgm:shape xmlns:r="http://schemas.openxmlformats.org/officeDocument/2006/relationships" r:blip="">
          <dgm:adjLst/>
        </dgm:shape>
        <dgm:presOf/>
        <dgm:choose name="Name4">
          <dgm:if name="Name5" axis="self" func="var" arg="dir" op="equ" val="norm">
            <dgm:constrLst>
              <dgm:constr type="l" for="ch" forName="dummyConnPt" refType="w" fact="0.2"/>
              <dgm:constr type="t" for="ch" forName="dummyConnPt" refType="w" fact="0.145"/>
              <dgm:constr type="l" for="ch" forName="node"/>
              <dgm:constr type="t" for="ch" forName="node"/>
              <dgm:constr type="h" for="ch" forName="node" refType="h"/>
              <dgm:constr type="w" for="ch" forName="node" refType="w"/>
            </dgm:constrLst>
          </dgm:if>
          <dgm:else name="Name6">
            <dgm:constrLst>
              <dgm:constr type="l" for="ch" forName="dummyConnPt" refType="w" fact="0.8"/>
              <dgm:constr type="t" for="ch" forName="dummyConnPt" refType="w" fact="0.145"/>
              <dgm:constr type="l" for="ch" forName="node"/>
              <dgm:constr type="t" for="ch" forName="node"/>
              <dgm:constr type="h" for="ch" forName="node" refType="h"/>
              <dgm:constr type="w" for="ch" forName="node" refType="w"/>
            </dgm:constrLst>
          </dgm:else>
        </dgm:choose>
        <dgm:ruleLst/>
        <dgm:layoutNode name="dummyConnPt" styleLbl="node1" moveWith="node">
          <dgm:alg type="sp"/>
          <dgm:shape xmlns:r="http://schemas.openxmlformats.org/officeDocument/2006/relationships" r:blip="">
            <dgm:adjLst/>
          </dgm:shape>
          <dgm:presOf/>
          <dgm:constrLst>
            <dgm:constr type="w" val="1"/>
            <dgm:constr type="h" val="1"/>
          </dgm:constrLst>
          <dgm:ruleLst/>
        </dgm:layoutNode>
        <dgm:layoutNode name="node">
          <dgm:varLst>
            <dgm:bulletEnabled val="1"/>
          </dgm:varLst>
          <dgm:alg type="tx"/>
          <dgm:shape xmlns:r="http://schemas.openxmlformats.org/officeDocument/2006/relationships" type="roundRect" r:blip="">
            <dgm:adjLst>
              <dgm:adj idx="1" val="0.1"/>
            </dgm:adjLst>
          </dgm:shape>
          <dgm:presOf axis="desOrSelf" ptType="node"/>
          <dgm:constrLst>
            <dgm:constr type="tMarg" refType="primFontSz" fact="0.3"/>
            <dgm:constr type="bMarg" refType="primFontSz" fact="0.3"/>
            <dgm:constr type="lMarg" refType="primFontSz" fact="0.3"/>
            <dgm:constr type="rMarg" refType="primFontSz" fact="0.3"/>
            <dgm:constr type="primFontSz" val="65"/>
          </dgm:constrLst>
          <dgm:ruleLst>
            <dgm:rule type="primFontSz" val="5" fact="NaN" max="NaN"/>
          </dgm:ruleLst>
        </dgm:layoutNode>
      </dgm:layoutNode>
      <dgm:forEach name="sibTransForEach" axis="followSib" cnt="1">
        <dgm:layoutNode name="sibTrans" styleLbl="bgSibTrans2D1">
          <dgm:choose name="Name7">
            <dgm:if name="Name8" axis="self" func="var" arg="dir" op="equ" val="norm">
              <dgm:alg type="conn">
                <dgm:param type="srcNode" val="dummyConnPt"/>
                <dgm:param type="dstNode" val="dummyConnPt"/>
                <dgm:param type="begPts" val="bCtr, midR, tCtr"/>
                <dgm:param type="endPts" val="tCtr, midL, bCtr"/>
                <dgm:param type="begSty" val="noArr"/>
                <dgm:param type="endSty" val="noArr"/>
              </dgm:alg>
            </dgm:if>
            <dgm:else name="Name9">
              <dgm:alg type="conn">
                <dgm:param type="srcNode" val="dummyConnPt"/>
                <dgm:param type="dstNode" val="dummyConnPt"/>
                <dgm:param type="begPts" val="bCtr, midL, tCtr"/>
                <dgm:param type="endPts" val="tCtr, midR, bCtr"/>
                <dgm:param type="begSty" val="noArr"/>
                <dgm:param type="endSty" val="noArr"/>
              </dgm:alg>
            </dgm:else>
          </dgm:choose>
          <dgm:shape xmlns:r="http://schemas.openxmlformats.org/officeDocument/2006/relationships" type="conn" r:blip="" zOrderOff="-2">
            <dgm:adjLst/>
          </dgm:shape>
          <dgm:presOf axis="self"/>
          <dgm:constrLst>
            <dgm:constr type="begPad"/>
            <dgm:constr type="endPad"/>
          </dgm:constrLst>
          <dgm:ruleLst/>
        </dgm:layoutNode>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2.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62F639F-AAF0-B441-85D6-5C9D9006FB0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22</TotalTime>
  <Pages>22</Pages>
  <Words>4633</Words>
  <Characters>26412</Characters>
  <Application>Microsoft Office Word</Application>
  <DocSecurity>0</DocSecurity>
  <Lines>220</Lines>
  <Paragraphs>61</Paragraphs>
  <ScaleCrop>false</ScaleCrop>
  <Company/>
  <LinksUpToDate>false</LinksUpToDate>
  <CharactersWithSpaces>30984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Paula Marcu</dc:creator>
  <cp:keywords/>
  <dc:description/>
  <cp:lastModifiedBy>Paula Marcu</cp:lastModifiedBy>
  <cp:revision>1</cp:revision>
  <dcterms:created xsi:type="dcterms:W3CDTF">2025-11-17T06:44:00Z</dcterms:created>
  <dcterms:modified xsi:type="dcterms:W3CDTF">2025-11-17T21:42:00Z</dcterms:modified>
</cp:coreProperties>
</file>