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8B0CCF" w14:textId="7E27E167" w:rsidR="00FD29DE" w:rsidRPr="007E7910" w:rsidRDefault="00CA090F" w:rsidP="000B5DD3">
      <w:pPr>
        <w:jc w:val="center"/>
        <w:rPr>
          <w:b/>
        </w:rPr>
      </w:pPr>
      <w:r w:rsidRPr="00816BA0">
        <w:rPr>
          <w:noProof/>
        </w:rPr>
        <w:drawing>
          <wp:inline distT="0" distB="0" distL="0" distR="0" wp14:anchorId="5AFF1B03" wp14:editId="07BC1FD4">
            <wp:extent cx="3405116" cy="1426802"/>
            <wp:effectExtent l="0" t="0" r="5080" b="2540"/>
            <wp:docPr id="671515993"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10130" cy="1428903"/>
                    </a:xfrm>
                    <a:prstGeom prst="rect">
                      <a:avLst/>
                    </a:prstGeom>
                    <a:noFill/>
                    <a:ln>
                      <a:noFill/>
                    </a:ln>
                  </pic:spPr>
                </pic:pic>
              </a:graphicData>
            </a:graphic>
          </wp:inline>
        </w:drawing>
      </w:r>
    </w:p>
    <w:p w14:paraId="637720E3" w14:textId="53E00B5A" w:rsidR="00357B5E" w:rsidRDefault="00357B5E" w:rsidP="000B5DD3">
      <w:pPr>
        <w:jc w:val="center"/>
        <w:rPr>
          <w:b/>
        </w:rPr>
      </w:pPr>
      <w:r w:rsidRPr="007E7910">
        <w:rPr>
          <w:b/>
        </w:rPr>
        <w:t>Programme Name</w:t>
      </w:r>
      <w:r w:rsidR="006A1D96" w:rsidRPr="007E7910">
        <w:rPr>
          <w:b/>
        </w:rPr>
        <w:t>: Master of Business Administration</w:t>
      </w:r>
    </w:p>
    <w:p w14:paraId="5D77315F" w14:textId="77777777" w:rsidR="00064F36" w:rsidRPr="007E7910" w:rsidRDefault="00064F36" w:rsidP="000B5DD3">
      <w:pPr>
        <w:jc w:val="center"/>
        <w:rPr>
          <w:b/>
        </w:rPr>
      </w:pPr>
    </w:p>
    <w:p w14:paraId="6C358D70" w14:textId="77777777" w:rsidR="00357B5E" w:rsidRDefault="00357B5E" w:rsidP="000B5DD3">
      <w:pPr>
        <w:jc w:val="center"/>
        <w:rPr>
          <w:b/>
        </w:rPr>
      </w:pPr>
      <w:r w:rsidRPr="007E7910">
        <w:rPr>
          <w:b/>
        </w:rPr>
        <w:t>Module Name</w:t>
      </w:r>
      <w:r w:rsidR="006A1D96" w:rsidRPr="007E7910">
        <w:rPr>
          <w:b/>
        </w:rPr>
        <w:t>: Human Capital Management</w:t>
      </w:r>
    </w:p>
    <w:p w14:paraId="4879967A" w14:textId="77777777" w:rsidR="00064F36" w:rsidRPr="007E7910" w:rsidRDefault="00064F36" w:rsidP="000B5DD3">
      <w:pPr>
        <w:jc w:val="center"/>
        <w:rPr>
          <w:b/>
        </w:rPr>
      </w:pPr>
    </w:p>
    <w:p w14:paraId="5D7FEDE2" w14:textId="77777777" w:rsidR="00357B5E" w:rsidRDefault="00357B5E" w:rsidP="000B5DD3">
      <w:pPr>
        <w:jc w:val="center"/>
        <w:rPr>
          <w:b/>
        </w:rPr>
      </w:pPr>
      <w:r w:rsidRPr="007E7910">
        <w:rPr>
          <w:b/>
        </w:rPr>
        <w:t>Module Code</w:t>
      </w:r>
      <w:r w:rsidR="006A1D96" w:rsidRPr="007E7910">
        <w:rPr>
          <w:b/>
        </w:rPr>
        <w:t xml:space="preserve">: </w:t>
      </w:r>
      <w:r w:rsidR="000B5DD3" w:rsidRPr="007E7910">
        <w:rPr>
          <w:b/>
        </w:rPr>
        <w:t>LCMB7023</w:t>
      </w:r>
    </w:p>
    <w:p w14:paraId="2752F136" w14:textId="77777777" w:rsidR="00064F36" w:rsidRPr="007E7910" w:rsidRDefault="00064F36" w:rsidP="000B5DD3">
      <w:pPr>
        <w:jc w:val="center"/>
        <w:rPr>
          <w:b/>
        </w:rPr>
      </w:pPr>
    </w:p>
    <w:p w14:paraId="0FD5DC09" w14:textId="77777777" w:rsidR="00357B5E" w:rsidRDefault="00357B5E" w:rsidP="000B5DD3">
      <w:pPr>
        <w:jc w:val="center"/>
        <w:rPr>
          <w:b/>
        </w:rPr>
      </w:pPr>
      <w:r w:rsidRPr="007E7910">
        <w:rPr>
          <w:b/>
        </w:rPr>
        <w:t>T</w:t>
      </w:r>
      <w:r w:rsidR="009E5DBE" w:rsidRPr="007E7910">
        <w:rPr>
          <w:b/>
        </w:rPr>
        <w:t>itle</w:t>
      </w:r>
      <w:r w:rsidR="000B5DD3" w:rsidRPr="007E7910">
        <w:rPr>
          <w:b/>
        </w:rPr>
        <w:t>: Assessment component 1: Individual report</w:t>
      </w:r>
    </w:p>
    <w:p w14:paraId="7378DAA1" w14:textId="77777777" w:rsidR="00064F36" w:rsidRPr="007E7910" w:rsidRDefault="00064F36" w:rsidP="000B5DD3">
      <w:pPr>
        <w:jc w:val="center"/>
        <w:rPr>
          <w:b/>
        </w:rPr>
      </w:pPr>
    </w:p>
    <w:p w14:paraId="1A66EC16" w14:textId="2BEE1C91" w:rsidR="00357B5E" w:rsidRDefault="00357B5E" w:rsidP="000B5DD3">
      <w:pPr>
        <w:jc w:val="center"/>
        <w:rPr>
          <w:b/>
        </w:rPr>
      </w:pPr>
      <w:r w:rsidRPr="007E7910">
        <w:rPr>
          <w:b/>
        </w:rPr>
        <w:t>Lecturer’s Name</w:t>
      </w:r>
      <w:r w:rsidR="000B5DD3" w:rsidRPr="007E7910">
        <w:rPr>
          <w:b/>
        </w:rPr>
        <w:t xml:space="preserve">: </w:t>
      </w:r>
      <w:r w:rsidR="00064F36">
        <w:rPr>
          <w:b/>
        </w:rPr>
        <w:t>NERYS DOSSEH</w:t>
      </w:r>
    </w:p>
    <w:p w14:paraId="00988050" w14:textId="77777777" w:rsidR="00064F36" w:rsidRPr="007E7910" w:rsidRDefault="00064F36" w:rsidP="000B5DD3">
      <w:pPr>
        <w:jc w:val="center"/>
        <w:rPr>
          <w:b/>
        </w:rPr>
      </w:pPr>
    </w:p>
    <w:p w14:paraId="797BBEE9" w14:textId="2E2258F1" w:rsidR="00357B5E" w:rsidRDefault="00357B5E" w:rsidP="000B5DD3">
      <w:pPr>
        <w:jc w:val="center"/>
        <w:rPr>
          <w:b/>
        </w:rPr>
      </w:pPr>
      <w:r w:rsidRPr="007E7910">
        <w:rPr>
          <w:b/>
        </w:rPr>
        <w:t>Student Name</w:t>
      </w:r>
      <w:r w:rsidR="000B5DD3" w:rsidRPr="007E7910">
        <w:rPr>
          <w:b/>
        </w:rPr>
        <w:t>:</w:t>
      </w:r>
      <w:r w:rsidR="00064F36">
        <w:rPr>
          <w:b/>
        </w:rPr>
        <w:t xml:space="preserve"> PATEL RIYAKUMARI ROSHANBHAI</w:t>
      </w:r>
    </w:p>
    <w:p w14:paraId="793FE65F" w14:textId="77777777" w:rsidR="00064F36" w:rsidRPr="007E7910" w:rsidRDefault="00064F36" w:rsidP="000B5DD3">
      <w:pPr>
        <w:jc w:val="center"/>
        <w:rPr>
          <w:b/>
        </w:rPr>
      </w:pPr>
    </w:p>
    <w:p w14:paraId="1B57F652" w14:textId="08D73031" w:rsidR="00357B5E" w:rsidRDefault="00357B5E" w:rsidP="000B5DD3">
      <w:pPr>
        <w:jc w:val="center"/>
        <w:rPr>
          <w:b/>
        </w:rPr>
      </w:pPr>
      <w:r w:rsidRPr="007E7910">
        <w:rPr>
          <w:b/>
        </w:rPr>
        <w:t>Student ID</w:t>
      </w:r>
      <w:r w:rsidR="000B5DD3" w:rsidRPr="007E7910">
        <w:rPr>
          <w:b/>
        </w:rPr>
        <w:t>:</w:t>
      </w:r>
      <w:r w:rsidR="00064F36">
        <w:rPr>
          <w:b/>
        </w:rPr>
        <w:t xml:space="preserve"> 2544711</w:t>
      </w:r>
    </w:p>
    <w:p w14:paraId="103325B9" w14:textId="77777777" w:rsidR="00064F36" w:rsidRDefault="00064F36" w:rsidP="000B5DD3">
      <w:pPr>
        <w:jc w:val="center"/>
        <w:rPr>
          <w:b/>
        </w:rPr>
      </w:pPr>
    </w:p>
    <w:p w14:paraId="18915D11" w14:textId="38C59D5F" w:rsidR="00357B5E" w:rsidRDefault="00357B5E" w:rsidP="000B5DD3">
      <w:pPr>
        <w:jc w:val="center"/>
        <w:rPr>
          <w:b/>
        </w:rPr>
      </w:pPr>
      <w:r w:rsidRPr="007E7910">
        <w:rPr>
          <w:b/>
        </w:rPr>
        <w:t>Word Count</w:t>
      </w:r>
      <w:r w:rsidR="000B5DD3" w:rsidRPr="007E7910">
        <w:rPr>
          <w:b/>
        </w:rPr>
        <w:t>:</w:t>
      </w:r>
      <w:r w:rsidR="00994A03">
        <w:rPr>
          <w:b/>
        </w:rPr>
        <w:t xml:space="preserve"> 2663</w:t>
      </w:r>
    </w:p>
    <w:p w14:paraId="0FA4C53F" w14:textId="77777777" w:rsidR="00064F36" w:rsidRPr="007E7910" w:rsidRDefault="00064F36" w:rsidP="000B5DD3">
      <w:pPr>
        <w:jc w:val="center"/>
        <w:rPr>
          <w:b/>
        </w:rPr>
      </w:pPr>
    </w:p>
    <w:p w14:paraId="1BAC0E46" w14:textId="3922AE37" w:rsidR="00357B5E" w:rsidRPr="007E7910" w:rsidRDefault="00357B5E" w:rsidP="000B5DD3">
      <w:pPr>
        <w:jc w:val="center"/>
        <w:rPr>
          <w:b/>
        </w:rPr>
      </w:pPr>
      <w:r w:rsidRPr="007E7910">
        <w:rPr>
          <w:b/>
        </w:rPr>
        <w:t>Submission Date</w:t>
      </w:r>
      <w:r w:rsidR="00C11A2A" w:rsidRPr="007E7910">
        <w:rPr>
          <w:b/>
        </w:rPr>
        <w:t xml:space="preserve">: </w:t>
      </w:r>
      <w:r w:rsidR="00064F36">
        <w:rPr>
          <w:b/>
        </w:rPr>
        <w:t>17 JULY 2026</w:t>
      </w:r>
    </w:p>
    <w:p w14:paraId="32AC56A4" w14:textId="77777777" w:rsidR="00335869" w:rsidRPr="007E7910" w:rsidRDefault="009E5DBE">
      <w:r w:rsidRPr="007E7910">
        <w:br w:type="page"/>
      </w:r>
    </w:p>
    <w:sdt>
      <w:sdtPr>
        <w:rPr>
          <w:rFonts w:ascii="Arial" w:eastAsia="Arial" w:hAnsi="Arial" w:cs="Arial"/>
          <w:color w:val="auto"/>
          <w:sz w:val="24"/>
          <w:szCs w:val="24"/>
          <w:lang w:val="en" w:eastAsia="en-GB"/>
        </w:rPr>
        <w:id w:val="-1189516225"/>
        <w:docPartObj>
          <w:docPartGallery w:val="Table of Contents"/>
          <w:docPartUnique/>
        </w:docPartObj>
      </w:sdtPr>
      <w:sdtEndPr>
        <w:rPr>
          <w:b/>
          <w:bCs/>
          <w:noProof/>
          <w:lang w:val="en-GB"/>
        </w:rPr>
      </w:sdtEndPr>
      <w:sdtContent>
        <w:p w14:paraId="1884A8CC" w14:textId="77777777" w:rsidR="00C11A2A" w:rsidRPr="007E7910" w:rsidRDefault="00C11A2A" w:rsidP="007E7910">
          <w:pPr>
            <w:pStyle w:val="TOCHeading"/>
            <w:jc w:val="center"/>
            <w:rPr>
              <w:rFonts w:ascii="Arial" w:hAnsi="Arial" w:cs="Arial"/>
              <w:b/>
              <w:color w:val="auto"/>
              <w:sz w:val="24"/>
              <w:szCs w:val="24"/>
            </w:rPr>
          </w:pPr>
          <w:r w:rsidRPr="007E7910">
            <w:rPr>
              <w:rFonts w:ascii="Arial" w:hAnsi="Arial" w:cs="Arial"/>
              <w:b/>
              <w:color w:val="auto"/>
              <w:sz w:val="24"/>
              <w:szCs w:val="24"/>
            </w:rPr>
            <w:t>Table of Contents</w:t>
          </w:r>
        </w:p>
        <w:p w14:paraId="344C5E12" w14:textId="77777777" w:rsidR="00994A03" w:rsidRDefault="00C11A2A">
          <w:pPr>
            <w:pStyle w:val="TOC1"/>
            <w:tabs>
              <w:tab w:val="right" w:leader="dot" w:pos="9350"/>
            </w:tabs>
            <w:rPr>
              <w:rFonts w:asciiTheme="minorHAnsi" w:eastAsiaTheme="minorEastAsia" w:hAnsiTheme="minorHAnsi" w:cstheme="minorBidi"/>
              <w:noProof/>
              <w:sz w:val="22"/>
              <w:szCs w:val="22"/>
            </w:rPr>
          </w:pPr>
          <w:r w:rsidRPr="007E7910">
            <w:rPr>
              <w:b/>
              <w:bCs/>
              <w:noProof/>
            </w:rPr>
            <w:fldChar w:fldCharType="begin"/>
          </w:r>
          <w:r w:rsidRPr="007E7910">
            <w:rPr>
              <w:b/>
              <w:bCs/>
              <w:noProof/>
            </w:rPr>
            <w:instrText xml:space="preserve"> TOC \o "1-3" \h \z \u </w:instrText>
          </w:r>
          <w:r w:rsidRPr="007E7910">
            <w:rPr>
              <w:b/>
              <w:bCs/>
              <w:noProof/>
            </w:rPr>
            <w:fldChar w:fldCharType="separate"/>
          </w:r>
          <w:hyperlink w:anchor="_Toc234591378" w:history="1">
            <w:r w:rsidR="00994A03" w:rsidRPr="00710FF5">
              <w:rPr>
                <w:rStyle w:val="Hyperlink"/>
                <w:noProof/>
              </w:rPr>
              <w:t>Introduction</w:t>
            </w:r>
            <w:r w:rsidR="00994A03">
              <w:rPr>
                <w:noProof/>
                <w:webHidden/>
              </w:rPr>
              <w:tab/>
            </w:r>
            <w:r w:rsidR="00994A03">
              <w:rPr>
                <w:noProof/>
                <w:webHidden/>
              </w:rPr>
              <w:fldChar w:fldCharType="begin"/>
            </w:r>
            <w:r w:rsidR="00994A03">
              <w:rPr>
                <w:noProof/>
                <w:webHidden/>
              </w:rPr>
              <w:instrText xml:space="preserve"> PAGEREF _Toc234591378 \h </w:instrText>
            </w:r>
            <w:r w:rsidR="00994A03">
              <w:rPr>
                <w:noProof/>
                <w:webHidden/>
              </w:rPr>
            </w:r>
            <w:r w:rsidR="00994A03">
              <w:rPr>
                <w:noProof/>
                <w:webHidden/>
              </w:rPr>
              <w:fldChar w:fldCharType="separate"/>
            </w:r>
            <w:r w:rsidR="00994A03">
              <w:rPr>
                <w:noProof/>
                <w:webHidden/>
              </w:rPr>
              <w:t>2</w:t>
            </w:r>
            <w:r w:rsidR="00994A03">
              <w:rPr>
                <w:noProof/>
                <w:webHidden/>
              </w:rPr>
              <w:fldChar w:fldCharType="end"/>
            </w:r>
          </w:hyperlink>
        </w:p>
        <w:p w14:paraId="70C1A8B6" w14:textId="77777777" w:rsidR="00994A03" w:rsidRDefault="00994A03">
          <w:pPr>
            <w:pStyle w:val="TOC1"/>
            <w:tabs>
              <w:tab w:val="right" w:leader="dot" w:pos="9350"/>
            </w:tabs>
            <w:rPr>
              <w:rFonts w:asciiTheme="minorHAnsi" w:eastAsiaTheme="minorEastAsia" w:hAnsiTheme="minorHAnsi" w:cstheme="minorBidi"/>
              <w:noProof/>
              <w:sz w:val="22"/>
              <w:szCs w:val="22"/>
            </w:rPr>
          </w:pPr>
          <w:hyperlink w:anchor="_Toc234591379" w:history="1">
            <w:r w:rsidRPr="00710FF5">
              <w:rPr>
                <w:rStyle w:val="Hyperlink"/>
                <w:noProof/>
              </w:rPr>
              <w:t>TASK A: Socialisation, Identity &amp; Business Activism</w:t>
            </w:r>
            <w:r>
              <w:rPr>
                <w:noProof/>
                <w:webHidden/>
              </w:rPr>
              <w:tab/>
            </w:r>
            <w:r>
              <w:rPr>
                <w:noProof/>
                <w:webHidden/>
              </w:rPr>
              <w:fldChar w:fldCharType="begin"/>
            </w:r>
            <w:r>
              <w:rPr>
                <w:noProof/>
                <w:webHidden/>
              </w:rPr>
              <w:instrText xml:space="preserve"> PAGEREF _Toc234591379 \h </w:instrText>
            </w:r>
            <w:r>
              <w:rPr>
                <w:noProof/>
                <w:webHidden/>
              </w:rPr>
            </w:r>
            <w:r>
              <w:rPr>
                <w:noProof/>
                <w:webHidden/>
              </w:rPr>
              <w:fldChar w:fldCharType="separate"/>
            </w:r>
            <w:r>
              <w:rPr>
                <w:noProof/>
                <w:webHidden/>
              </w:rPr>
              <w:t>2</w:t>
            </w:r>
            <w:r>
              <w:rPr>
                <w:noProof/>
                <w:webHidden/>
              </w:rPr>
              <w:fldChar w:fldCharType="end"/>
            </w:r>
          </w:hyperlink>
        </w:p>
        <w:p w14:paraId="50723598" w14:textId="77777777" w:rsidR="00994A03" w:rsidRDefault="00994A03">
          <w:pPr>
            <w:pStyle w:val="TOC2"/>
            <w:tabs>
              <w:tab w:val="right" w:leader="dot" w:pos="9350"/>
            </w:tabs>
            <w:rPr>
              <w:rFonts w:asciiTheme="minorHAnsi" w:eastAsiaTheme="minorEastAsia" w:hAnsiTheme="minorHAnsi" w:cstheme="minorBidi"/>
              <w:noProof/>
              <w:sz w:val="22"/>
              <w:szCs w:val="22"/>
            </w:rPr>
          </w:pPr>
          <w:hyperlink w:anchor="_Toc234591380" w:history="1">
            <w:r w:rsidRPr="00710FF5">
              <w:rPr>
                <w:rStyle w:val="Hyperlink"/>
                <w:noProof/>
              </w:rPr>
              <w:t>Traditional Onboarding versus Strategic Organisational Socialisation</w:t>
            </w:r>
            <w:r>
              <w:rPr>
                <w:noProof/>
                <w:webHidden/>
              </w:rPr>
              <w:tab/>
            </w:r>
            <w:r>
              <w:rPr>
                <w:noProof/>
                <w:webHidden/>
              </w:rPr>
              <w:fldChar w:fldCharType="begin"/>
            </w:r>
            <w:r>
              <w:rPr>
                <w:noProof/>
                <w:webHidden/>
              </w:rPr>
              <w:instrText xml:space="preserve"> PAGEREF _Toc234591380 \h </w:instrText>
            </w:r>
            <w:r>
              <w:rPr>
                <w:noProof/>
                <w:webHidden/>
              </w:rPr>
            </w:r>
            <w:r>
              <w:rPr>
                <w:noProof/>
                <w:webHidden/>
              </w:rPr>
              <w:fldChar w:fldCharType="separate"/>
            </w:r>
            <w:r>
              <w:rPr>
                <w:noProof/>
                <w:webHidden/>
              </w:rPr>
              <w:t>2</w:t>
            </w:r>
            <w:r>
              <w:rPr>
                <w:noProof/>
                <w:webHidden/>
              </w:rPr>
              <w:fldChar w:fldCharType="end"/>
            </w:r>
          </w:hyperlink>
        </w:p>
        <w:p w14:paraId="487EDC37" w14:textId="77777777" w:rsidR="00994A03" w:rsidRDefault="00994A03">
          <w:pPr>
            <w:pStyle w:val="TOC2"/>
            <w:tabs>
              <w:tab w:val="right" w:leader="dot" w:pos="9350"/>
            </w:tabs>
            <w:rPr>
              <w:rFonts w:asciiTheme="minorHAnsi" w:eastAsiaTheme="minorEastAsia" w:hAnsiTheme="minorHAnsi" w:cstheme="minorBidi"/>
              <w:noProof/>
              <w:sz w:val="22"/>
              <w:szCs w:val="22"/>
            </w:rPr>
          </w:pPr>
          <w:hyperlink w:anchor="_Toc234591381" w:history="1">
            <w:r w:rsidRPr="00710FF5">
              <w:rPr>
                <w:rStyle w:val="Hyperlink"/>
                <w:noProof/>
              </w:rPr>
              <w:t>Structured Socialisation Framework for Helios</w:t>
            </w:r>
            <w:r>
              <w:rPr>
                <w:noProof/>
                <w:webHidden/>
              </w:rPr>
              <w:tab/>
            </w:r>
            <w:r>
              <w:rPr>
                <w:noProof/>
                <w:webHidden/>
              </w:rPr>
              <w:fldChar w:fldCharType="begin"/>
            </w:r>
            <w:r>
              <w:rPr>
                <w:noProof/>
                <w:webHidden/>
              </w:rPr>
              <w:instrText xml:space="preserve"> PAGEREF _Toc234591381 \h </w:instrText>
            </w:r>
            <w:r>
              <w:rPr>
                <w:noProof/>
                <w:webHidden/>
              </w:rPr>
            </w:r>
            <w:r>
              <w:rPr>
                <w:noProof/>
                <w:webHidden/>
              </w:rPr>
              <w:fldChar w:fldCharType="separate"/>
            </w:r>
            <w:r>
              <w:rPr>
                <w:noProof/>
                <w:webHidden/>
              </w:rPr>
              <w:t>3</w:t>
            </w:r>
            <w:r>
              <w:rPr>
                <w:noProof/>
                <w:webHidden/>
              </w:rPr>
              <w:fldChar w:fldCharType="end"/>
            </w:r>
          </w:hyperlink>
        </w:p>
        <w:p w14:paraId="45D2F535" w14:textId="77777777" w:rsidR="00994A03" w:rsidRDefault="00994A03">
          <w:pPr>
            <w:pStyle w:val="TOC2"/>
            <w:tabs>
              <w:tab w:val="right" w:leader="dot" w:pos="9350"/>
            </w:tabs>
            <w:rPr>
              <w:rFonts w:asciiTheme="minorHAnsi" w:eastAsiaTheme="minorEastAsia" w:hAnsiTheme="minorHAnsi" w:cstheme="minorBidi"/>
              <w:noProof/>
              <w:sz w:val="22"/>
              <w:szCs w:val="22"/>
            </w:rPr>
          </w:pPr>
          <w:hyperlink w:anchor="_Toc234591382" w:history="1">
            <w:r w:rsidRPr="00710FF5">
              <w:rPr>
                <w:rStyle w:val="Hyperlink"/>
                <w:noProof/>
              </w:rPr>
              <w:t>Building Identity, Ethics and Business Activism</w:t>
            </w:r>
            <w:r>
              <w:rPr>
                <w:noProof/>
                <w:webHidden/>
              </w:rPr>
              <w:tab/>
            </w:r>
            <w:r>
              <w:rPr>
                <w:noProof/>
                <w:webHidden/>
              </w:rPr>
              <w:fldChar w:fldCharType="begin"/>
            </w:r>
            <w:r>
              <w:rPr>
                <w:noProof/>
                <w:webHidden/>
              </w:rPr>
              <w:instrText xml:space="preserve"> PAGEREF _Toc234591382 \h </w:instrText>
            </w:r>
            <w:r>
              <w:rPr>
                <w:noProof/>
                <w:webHidden/>
              </w:rPr>
            </w:r>
            <w:r>
              <w:rPr>
                <w:noProof/>
                <w:webHidden/>
              </w:rPr>
              <w:fldChar w:fldCharType="separate"/>
            </w:r>
            <w:r>
              <w:rPr>
                <w:noProof/>
                <w:webHidden/>
              </w:rPr>
              <w:t>6</w:t>
            </w:r>
            <w:r>
              <w:rPr>
                <w:noProof/>
                <w:webHidden/>
              </w:rPr>
              <w:fldChar w:fldCharType="end"/>
            </w:r>
          </w:hyperlink>
        </w:p>
        <w:p w14:paraId="4915DA2E" w14:textId="77777777" w:rsidR="00994A03" w:rsidRDefault="00994A03">
          <w:pPr>
            <w:pStyle w:val="TOC1"/>
            <w:tabs>
              <w:tab w:val="right" w:leader="dot" w:pos="9350"/>
            </w:tabs>
            <w:rPr>
              <w:rFonts w:asciiTheme="minorHAnsi" w:eastAsiaTheme="minorEastAsia" w:hAnsiTheme="minorHAnsi" w:cstheme="minorBidi"/>
              <w:noProof/>
              <w:sz w:val="22"/>
              <w:szCs w:val="22"/>
            </w:rPr>
          </w:pPr>
          <w:hyperlink w:anchor="_Toc234591383" w:history="1">
            <w:r w:rsidRPr="00710FF5">
              <w:rPr>
                <w:rStyle w:val="Hyperlink"/>
                <w:noProof/>
              </w:rPr>
              <w:t>TASK B: Job Design</w:t>
            </w:r>
            <w:r>
              <w:rPr>
                <w:noProof/>
                <w:webHidden/>
              </w:rPr>
              <w:tab/>
            </w:r>
            <w:r>
              <w:rPr>
                <w:noProof/>
                <w:webHidden/>
              </w:rPr>
              <w:fldChar w:fldCharType="begin"/>
            </w:r>
            <w:r>
              <w:rPr>
                <w:noProof/>
                <w:webHidden/>
              </w:rPr>
              <w:instrText xml:space="preserve"> PAGEREF _Toc234591383 \h </w:instrText>
            </w:r>
            <w:r>
              <w:rPr>
                <w:noProof/>
                <w:webHidden/>
              </w:rPr>
            </w:r>
            <w:r>
              <w:rPr>
                <w:noProof/>
                <w:webHidden/>
              </w:rPr>
              <w:fldChar w:fldCharType="separate"/>
            </w:r>
            <w:r>
              <w:rPr>
                <w:noProof/>
                <w:webHidden/>
              </w:rPr>
              <w:t>7</w:t>
            </w:r>
            <w:r>
              <w:rPr>
                <w:noProof/>
                <w:webHidden/>
              </w:rPr>
              <w:fldChar w:fldCharType="end"/>
            </w:r>
          </w:hyperlink>
        </w:p>
        <w:p w14:paraId="665FEE13" w14:textId="77777777" w:rsidR="00994A03" w:rsidRDefault="00994A03">
          <w:pPr>
            <w:pStyle w:val="TOC2"/>
            <w:tabs>
              <w:tab w:val="right" w:leader="dot" w:pos="9350"/>
            </w:tabs>
            <w:rPr>
              <w:rFonts w:asciiTheme="minorHAnsi" w:eastAsiaTheme="minorEastAsia" w:hAnsiTheme="minorHAnsi" w:cstheme="minorBidi"/>
              <w:noProof/>
              <w:sz w:val="22"/>
              <w:szCs w:val="22"/>
            </w:rPr>
          </w:pPr>
          <w:hyperlink w:anchor="_Toc234591384" w:history="1">
            <w:r w:rsidRPr="00710FF5">
              <w:rPr>
                <w:rStyle w:val="Hyperlink"/>
                <w:noProof/>
              </w:rPr>
              <w:t>Innovative Job Design Strategy</w:t>
            </w:r>
            <w:r>
              <w:rPr>
                <w:noProof/>
                <w:webHidden/>
              </w:rPr>
              <w:tab/>
            </w:r>
            <w:r>
              <w:rPr>
                <w:noProof/>
                <w:webHidden/>
              </w:rPr>
              <w:fldChar w:fldCharType="begin"/>
            </w:r>
            <w:r>
              <w:rPr>
                <w:noProof/>
                <w:webHidden/>
              </w:rPr>
              <w:instrText xml:space="preserve"> PAGEREF _Toc234591384 \h </w:instrText>
            </w:r>
            <w:r>
              <w:rPr>
                <w:noProof/>
                <w:webHidden/>
              </w:rPr>
            </w:r>
            <w:r>
              <w:rPr>
                <w:noProof/>
                <w:webHidden/>
              </w:rPr>
              <w:fldChar w:fldCharType="separate"/>
            </w:r>
            <w:r>
              <w:rPr>
                <w:noProof/>
                <w:webHidden/>
              </w:rPr>
              <w:t>7</w:t>
            </w:r>
            <w:r>
              <w:rPr>
                <w:noProof/>
                <w:webHidden/>
              </w:rPr>
              <w:fldChar w:fldCharType="end"/>
            </w:r>
          </w:hyperlink>
        </w:p>
        <w:p w14:paraId="093D472A" w14:textId="77777777" w:rsidR="00994A03" w:rsidRDefault="00994A03">
          <w:pPr>
            <w:pStyle w:val="TOC2"/>
            <w:tabs>
              <w:tab w:val="right" w:leader="dot" w:pos="9350"/>
            </w:tabs>
            <w:rPr>
              <w:rFonts w:asciiTheme="minorHAnsi" w:eastAsiaTheme="minorEastAsia" w:hAnsiTheme="minorHAnsi" w:cstheme="minorBidi"/>
              <w:noProof/>
              <w:sz w:val="22"/>
              <w:szCs w:val="22"/>
            </w:rPr>
          </w:pPr>
          <w:hyperlink w:anchor="_Toc234591385" w:history="1">
            <w:r w:rsidRPr="00710FF5">
              <w:rPr>
                <w:rStyle w:val="Hyperlink"/>
                <w:noProof/>
              </w:rPr>
              <w:t>Explanation of the Design to Stimulate Motivation and Support Innovation</w:t>
            </w:r>
            <w:r>
              <w:rPr>
                <w:noProof/>
                <w:webHidden/>
              </w:rPr>
              <w:tab/>
            </w:r>
            <w:r>
              <w:rPr>
                <w:noProof/>
                <w:webHidden/>
              </w:rPr>
              <w:fldChar w:fldCharType="begin"/>
            </w:r>
            <w:r>
              <w:rPr>
                <w:noProof/>
                <w:webHidden/>
              </w:rPr>
              <w:instrText xml:space="preserve"> PAGEREF _Toc234591385 \h </w:instrText>
            </w:r>
            <w:r>
              <w:rPr>
                <w:noProof/>
                <w:webHidden/>
              </w:rPr>
            </w:r>
            <w:r>
              <w:rPr>
                <w:noProof/>
                <w:webHidden/>
              </w:rPr>
              <w:fldChar w:fldCharType="separate"/>
            </w:r>
            <w:r>
              <w:rPr>
                <w:noProof/>
                <w:webHidden/>
              </w:rPr>
              <w:t>9</w:t>
            </w:r>
            <w:r>
              <w:rPr>
                <w:noProof/>
                <w:webHidden/>
              </w:rPr>
              <w:fldChar w:fldCharType="end"/>
            </w:r>
          </w:hyperlink>
        </w:p>
        <w:p w14:paraId="0EDFDE31" w14:textId="77777777" w:rsidR="00994A03" w:rsidRDefault="00994A03">
          <w:pPr>
            <w:pStyle w:val="TOC1"/>
            <w:tabs>
              <w:tab w:val="right" w:leader="dot" w:pos="9350"/>
            </w:tabs>
            <w:rPr>
              <w:rFonts w:asciiTheme="minorHAnsi" w:eastAsiaTheme="minorEastAsia" w:hAnsiTheme="minorHAnsi" w:cstheme="minorBidi"/>
              <w:noProof/>
              <w:sz w:val="22"/>
              <w:szCs w:val="22"/>
            </w:rPr>
          </w:pPr>
          <w:hyperlink w:anchor="_Toc234591386" w:history="1">
            <w:r w:rsidRPr="00710FF5">
              <w:rPr>
                <w:rStyle w:val="Hyperlink"/>
                <w:noProof/>
              </w:rPr>
              <w:t>TASK C: Reflective report</w:t>
            </w:r>
            <w:r>
              <w:rPr>
                <w:noProof/>
                <w:webHidden/>
              </w:rPr>
              <w:tab/>
            </w:r>
            <w:r>
              <w:rPr>
                <w:noProof/>
                <w:webHidden/>
              </w:rPr>
              <w:fldChar w:fldCharType="begin"/>
            </w:r>
            <w:r>
              <w:rPr>
                <w:noProof/>
                <w:webHidden/>
              </w:rPr>
              <w:instrText xml:space="preserve"> PAGEREF _Toc234591386 \h </w:instrText>
            </w:r>
            <w:r>
              <w:rPr>
                <w:noProof/>
                <w:webHidden/>
              </w:rPr>
            </w:r>
            <w:r>
              <w:rPr>
                <w:noProof/>
                <w:webHidden/>
              </w:rPr>
              <w:fldChar w:fldCharType="separate"/>
            </w:r>
            <w:r>
              <w:rPr>
                <w:noProof/>
                <w:webHidden/>
              </w:rPr>
              <w:t>10</w:t>
            </w:r>
            <w:r>
              <w:rPr>
                <w:noProof/>
                <w:webHidden/>
              </w:rPr>
              <w:fldChar w:fldCharType="end"/>
            </w:r>
          </w:hyperlink>
        </w:p>
        <w:p w14:paraId="3D5BBFAA" w14:textId="77777777" w:rsidR="00994A03" w:rsidRDefault="00994A03">
          <w:pPr>
            <w:pStyle w:val="TOC2"/>
            <w:tabs>
              <w:tab w:val="right" w:leader="dot" w:pos="9350"/>
            </w:tabs>
            <w:rPr>
              <w:rFonts w:asciiTheme="minorHAnsi" w:eastAsiaTheme="minorEastAsia" w:hAnsiTheme="minorHAnsi" w:cstheme="minorBidi"/>
              <w:noProof/>
              <w:sz w:val="22"/>
              <w:szCs w:val="22"/>
            </w:rPr>
          </w:pPr>
          <w:hyperlink w:anchor="_Toc234591387" w:history="1">
            <w:r w:rsidRPr="00710FF5">
              <w:rPr>
                <w:rStyle w:val="Hyperlink"/>
                <w:noProof/>
              </w:rPr>
              <w:t>AI as Decision Support</w:t>
            </w:r>
            <w:r>
              <w:rPr>
                <w:noProof/>
                <w:webHidden/>
              </w:rPr>
              <w:tab/>
            </w:r>
            <w:r>
              <w:rPr>
                <w:noProof/>
                <w:webHidden/>
              </w:rPr>
              <w:fldChar w:fldCharType="begin"/>
            </w:r>
            <w:r>
              <w:rPr>
                <w:noProof/>
                <w:webHidden/>
              </w:rPr>
              <w:instrText xml:space="preserve"> PAGEREF _Toc234591387 \h </w:instrText>
            </w:r>
            <w:r>
              <w:rPr>
                <w:noProof/>
                <w:webHidden/>
              </w:rPr>
            </w:r>
            <w:r>
              <w:rPr>
                <w:noProof/>
                <w:webHidden/>
              </w:rPr>
              <w:fldChar w:fldCharType="separate"/>
            </w:r>
            <w:r>
              <w:rPr>
                <w:noProof/>
                <w:webHidden/>
              </w:rPr>
              <w:t>10</w:t>
            </w:r>
            <w:r>
              <w:rPr>
                <w:noProof/>
                <w:webHidden/>
              </w:rPr>
              <w:fldChar w:fldCharType="end"/>
            </w:r>
          </w:hyperlink>
        </w:p>
        <w:p w14:paraId="03D4A9A3" w14:textId="77777777" w:rsidR="00994A03" w:rsidRDefault="00994A03">
          <w:pPr>
            <w:pStyle w:val="TOC2"/>
            <w:tabs>
              <w:tab w:val="right" w:leader="dot" w:pos="9350"/>
            </w:tabs>
            <w:rPr>
              <w:rFonts w:asciiTheme="minorHAnsi" w:eastAsiaTheme="minorEastAsia" w:hAnsiTheme="minorHAnsi" w:cstheme="minorBidi"/>
              <w:noProof/>
              <w:sz w:val="22"/>
              <w:szCs w:val="22"/>
            </w:rPr>
          </w:pPr>
          <w:hyperlink w:anchor="_Toc234591388" w:history="1">
            <w:r w:rsidRPr="00710FF5">
              <w:rPr>
                <w:rStyle w:val="Hyperlink"/>
                <w:noProof/>
              </w:rPr>
              <w:t>Personal Capability Development Plan</w:t>
            </w:r>
            <w:r>
              <w:rPr>
                <w:noProof/>
                <w:webHidden/>
              </w:rPr>
              <w:tab/>
            </w:r>
            <w:r>
              <w:rPr>
                <w:noProof/>
                <w:webHidden/>
              </w:rPr>
              <w:fldChar w:fldCharType="begin"/>
            </w:r>
            <w:r>
              <w:rPr>
                <w:noProof/>
                <w:webHidden/>
              </w:rPr>
              <w:instrText xml:space="preserve"> PAGEREF _Toc234591388 \h </w:instrText>
            </w:r>
            <w:r>
              <w:rPr>
                <w:noProof/>
                <w:webHidden/>
              </w:rPr>
            </w:r>
            <w:r>
              <w:rPr>
                <w:noProof/>
                <w:webHidden/>
              </w:rPr>
              <w:fldChar w:fldCharType="separate"/>
            </w:r>
            <w:r>
              <w:rPr>
                <w:noProof/>
                <w:webHidden/>
              </w:rPr>
              <w:t>10</w:t>
            </w:r>
            <w:r>
              <w:rPr>
                <w:noProof/>
                <w:webHidden/>
              </w:rPr>
              <w:fldChar w:fldCharType="end"/>
            </w:r>
          </w:hyperlink>
        </w:p>
        <w:p w14:paraId="107C93A1" w14:textId="77777777" w:rsidR="00994A03" w:rsidRDefault="00994A03">
          <w:pPr>
            <w:pStyle w:val="TOC1"/>
            <w:tabs>
              <w:tab w:val="right" w:leader="dot" w:pos="9350"/>
            </w:tabs>
            <w:rPr>
              <w:rFonts w:asciiTheme="minorHAnsi" w:eastAsiaTheme="minorEastAsia" w:hAnsiTheme="minorHAnsi" w:cstheme="minorBidi"/>
              <w:noProof/>
              <w:sz w:val="22"/>
              <w:szCs w:val="22"/>
            </w:rPr>
          </w:pPr>
          <w:hyperlink w:anchor="_Toc234591389" w:history="1">
            <w:r w:rsidRPr="00710FF5">
              <w:rPr>
                <w:rStyle w:val="Hyperlink"/>
                <w:noProof/>
              </w:rPr>
              <w:t>Conclusion</w:t>
            </w:r>
            <w:r>
              <w:rPr>
                <w:noProof/>
                <w:webHidden/>
              </w:rPr>
              <w:tab/>
            </w:r>
            <w:r>
              <w:rPr>
                <w:noProof/>
                <w:webHidden/>
              </w:rPr>
              <w:fldChar w:fldCharType="begin"/>
            </w:r>
            <w:r>
              <w:rPr>
                <w:noProof/>
                <w:webHidden/>
              </w:rPr>
              <w:instrText xml:space="preserve"> PAGEREF _Toc234591389 \h </w:instrText>
            </w:r>
            <w:r>
              <w:rPr>
                <w:noProof/>
                <w:webHidden/>
              </w:rPr>
            </w:r>
            <w:r>
              <w:rPr>
                <w:noProof/>
                <w:webHidden/>
              </w:rPr>
              <w:fldChar w:fldCharType="separate"/>
            </w:r>
            <w:r>
              <w:rPr>
                <w:noProof/>
                <w:webHidden/>
              </w:rPr>
              <w:t>12</w:t>
            </w:r>
            <w:r>
              <w:rPr>
                <w:noProof/>
                <w:webHidden/>
              </w:rPr>
              <w:fldChar w:fldCharType="end"/>
            </w:r>
          </w:hyperlink>
        </w:p>
        <w:p w14:paraId="163850EC" w14:textId="77777777" w:rsidR="00994A03" w:rsidRDefault="00994A03">
          <w:pPr>
            <w:pStyle w:val="TOC1"/>
            <w:tabs>
              <w:tab w:val="right" w:leader="dot" w:pos="9350"/>
            </w:tabs>
            <w:rPr>
              <w:rFonts w:asciiTheme="minorHAnsi" w:eastAsiaTheme="minorEastAsia" w:hAnsiTheme="minorHAnsi" w:cstheme="minorBidi"/>
              <w:noProof/>
              <w:sz w:val="22"/>
              <w:szCs w:val="22"/>
            </w:rPr>
          </w:pPr>
          <w:hyperlink w:anchor="_Toc234591390" w:history="1">
            <w:r w:rsidRPr="00710FF5">
              <w:rPr>
                <w:rStyle w:val="Hyperlink"/>
                <w:noProof/>
              </w:rPr>
              <w:t>References</w:t>
            </w:r>
            <w:r>
              <w:rPr>
                <w:noProof/>
                <w:webHidden/>
              </w:rPr>
              <w:tab/>
            </w:r>
            <w:r>
              <w:rPr>
                <w:noProof/>
                <w:webHidden/>
              </w:rPr>
              <w:fldChar w:fldCharType="begin"/>
            </w:r>
            <w:r>
              <w:rPr>
                <w:noProof/>
                <w:webHidden/>
              </w:rPr>
              <w:instrText xml:space="preserve"> PAGEREF _Toc234591390 \h </w:instrText>
            </w:r>
            <w:r>
              <w:rPr>
                <w:noProof/>
                <w:webHidden/>
              </w:rPr>
            </w:r>
            <w:r>
              <w:rPr>
                <w:noProof/>
                <w:webHidden/>
              </w:rPr>
              <w:fldChar w:fldCharType="separate"/>
            </w:r>
            <w:r>
              <w:rPr>
                <w:noProof/>
                <w:webHidden/>
              </w:rPr>
              <w:t>13</w:t>
            </w:r>
            <w:r>
              <w:rPr>
                <w:noProof/>
                <w:webHidden/>
              </w:rPr>
              <w:fldChar w:fldCharType="end"/>
            </w:r>
          </w:hyperlink>
        </w:p>
        <w:p w14:paraId="09852183" w14:textId="77777777" w:rsidR="00C11A2A" w:rsidRPr="007E7910" w:rsidRDefault="00C11A2A">
          <w:r w:rsidRPr="007E7910">
            <w:rPr>
              <w:b/>
              <w:bCs/>
              <w:noProof/>
            </w:rPr>
            <w:fldChar w:fldCharType="end"/>
          </w:r>
        </w:p>
      </w:sdtContent>
    </w:sdt>
    <w:p w14:paraId="536365C5" w14:textId="77777777" w:rsidR="00335869" w:rsidRPr="007E7910" w:rsidRDefault="009E5DBE">
      <w:r w:rsidRPr="007E7910">
        <w:br w:type="page"/>
      </w:r>
    </w:p>
    <w:p w14:paraId="274425D6" w14:textId="77777777" w:rsidR="00335869" w:rsidRPr="007E7910" w:rsidRDefault="009E5DBE">
      <w:pPr>
        <w:pStyle w:val="Heading1"/>
        <w:rPr>
          <w:sz w:val="24"/>
          <w:szCs w:val="24"/>
        </w:rPr>
      </w:pPr>
      <w:bookmarkStart w:id="0" w:name="_8ocdm8a0i0ib" w:colFirst="0" w:colLast="0"/>
      <w:bookmarkStart w:id="1" w:name="_Toc234591378"/>
      <w:bookmarkEnd w:id="0"/>
      <w:r w:rsidRPr="007E7910">
        <w:rPr>
          <w:sz w:val="24"/>
          <w:szCs w:val="24"/>
        </w:rPr>
        <w:t>Introduction</w:t>
      </w:r>
      <w:bookmarkEnd w:id="1"/>
      <w:r w:rsidRPr="007E7910">
        <w:rPr>
          <w:sz w:val="24"/>
          <w:szCs w:val="24"/>
        </w:rPr>
        <w:t xml:space="preserve"> </w:t>
      </w:r>
    </w:p>
    <w:p w14:paraId="7C6C5276" w14:textId="77777777" w:rsidR="00335869" w:rsidRPr="007E7910" w:rsidRDefault="009E5DBE">
      <w:r w:rsidRPr="007E7910">
        <w:t xml:space="preserve">Helios Urban Mobility, </w:t>
      </w:r>
      <w:r w:rsidR="000A3262" w:rsidRPr="007E7910">
        <w:t>a</w:t>
      </w:r>
      <w:r w:rsidRPr="007E7910">
        <w:t xml:space="preserve"> European smart-mobility startup operates across London, Berlin and Singapore, with 450 employees across regions. The firm caters to city governments by providing AI-enabled electric transport solutions and designing smart infrastructure to support its electric vehicles. The organisation recorded rapid growth and expansion in the first five years. However, it is facing severe organisational challenges, including weak ramp-up time, with average time for new hires to become productive being 8 months, decimating employee engagement at 54% and high attrition rate amongst high-potential graduates. The purpose of this report is to design a structured socialisation framework and propose an innovative job design strategy for Helios, followed by a reflective report.</w:t>
      </w:r>
    </w:p>
    <w:p w14:paraId="62A48342" w14:textId="77777777" w:rsidR="00335869" w:rsidRPr="007E7910" w:rsidRDefault="009E5DBE" w:rsidP="000A3262">
      <w:pPr>
        <w:pStyle w:val="Heading1"/>
        <w:rPr>
          <w:sz w:val="24"/>
          <w:szCs w:val="24"/>
        </w:rPr>
      </w:pPr>
      <w:bookmarkStart w:id="2" w:name="_1qqpgj7y28qj" w:colFirst="0" w:colLast="0"/>
      <w:bookmarkStart w:id="3" w:name="_Toc234591379"/>
      <w:bookmarkEnd w:id="2"/>
      <w:r w:rsidRPr="007E7910">
        <w:rPr>
          <w:sz w:val="24"/>
          <w:szCs w:val="24"/>
        </w:rPr>
        <w:t>TASK A: Socialisation, Identity &amp; Business Activism</w:t>
      </w:r>
      <w:bookmarkEnd w:id="3"/>
      <w:r w:rsidRPr="007E7910">
        <w:rPr>
          <w:sz w:val="24"/>
          <w:szCs w:val="24"/>
        </w:rPr>
        <w:t xml:space="preserve"> </w:t>
      </w:r>
    </w:p>
    <w:p w14:paraId="5C4C67B2" w14:textId="77777777" w:rsidR="00335869" w:rsidRPr="007E7910" w:rsidRDefault="009E5DBE">
      <w:pPr>
        <w:rPr>
          <w:b/>
          <w:bCs/>
          <w:i/>
          <w:iCs/>
        </w:rPr>
      </w:pPr>
      <w:r w:rsidRPr="007E7910">
        <w:rPr>
          <w:b/>
          <w:bCs/>
          <w:i/>
          <w:iCs/>
        </w:rPr>
        <w:t xml:space="preserve">Current Challenges at Helios </w:t>
      </w:r>
    </w:p>
    <w:p w14:paraId="7A330701" w14:textId="77777777" w:rsidR="00335869" w:rsidRPr="007E7910" w:rsidRDefault="009E5DBE">
      <w:r w:rsidRPr="007E7910">
        <w:t>The challenges that Helios is experiencing are related to poor engagement, longer ramp-up time for new hires and inability to retain high-potential graduates, indicating a strategic human capital failure as these outcomes reveal weaknesses in talent development, engagement and retention.</w:t>
      </w:r>
    </w:p>
    <w:p w14:paraId="12A0AE6C" w14:textId="77777777" w:rsidR="00335869" w:rsidRPr="007E7910" w:rsidRDefault="009E5DBE">
      <w:pPr>
        <w:pStyle w:val="Heading2"/>
      </w:pPr>
      <w:bookmarkStart w:id="4" w:name="_c0jf895wssfd" w:colFirst="0" w:colLast="0"/>
      <w:bookmarkStart w:id="5" w:name="_Toc234591380"/>
      <w:bookmarkEnd w:id="4"/>
      <w:r w:rsidRPr="007E7910">
        <w:t>Traditional On</w:t>
      </w:r>
      <w:r w:rsidR="00E809F6">
        <w:t>-</w:t>
      </w:r>
      <w:r w:rsidRPr="007E7910">
        <w:t>boarding versus Strategic Organisational Socialisation</w:t>
      </w:r>
      <w:bookmarkEnd w:id="5"/>
      <w:r w:rsidRPr="007E7910">
        <w:t xml:space="preserve"> </w:t>
      </w:r>
    </w:p>
    <w:p w14:paraId="39501EDB" w14:textId="77777777" w:rsidR="00335869" w:rsidRPr="007E7910" w:rsidRDefault="009E5DBE">
      <w:r w:rsidRPr="007E7910">
        <w:t>On</w:t>
      </w:r>
      <w:r w:rsidR="00E809F6">
        <w:t>-</w:t>
      </w:r>
      <w:r w:rsidRPr="007E7910">
        <w:t>boarding is a critical organisational process to ensure human resource retention, under which, new hires are incorporated within the organisational culture and ambience (</w:t>
      </w:r>
      <w:r w:rsidR="00E809F6">
        <w:t>Rani et al., 2024). There exist</w:t>
      </w:r>
      <w:r w:rsidRPr="007E7910">
        <w:t xml:space="preserve"> traditional and strategic organisational socialisation processes with distinct features, discussed and evaluated below. According to Van Maanen and Schein’s theory (1977), organisational socialisation depend</w:t>
      </w:r>
      <w:r w:rsidR="00E809F6">
        <w:t>s</w:t>
      </w:r>
      <w:r w:rsidRPr="007E7910">
        <w:t xml:space="preserve"> on six opposing socialisation strategies: “formal vs informal,” “sequential vs random,” “collective vs individual,” “fixed vs variable,” “serial vs disjunctive,” and “investiture vs divestiture” (Ricciardelli, 2022). Traditional on</w:t>
      </w:r>
      <w:r w:rsidR="00E809F6">
        <w:t>-</w:t>
      </w:r>
      <w:r w:rsidRPr="007E7910">
        <w:t xml:space="preserve">boarding, evident within Helios’ current approach, primarily focuses on formal, sequential and fixed socialisation tactics (Peltokorpi </w:t>
      </w:r>
      <w:r w:rsidRPr="007E7910">
        <w:rPr>
          <w:i/>
          <w:iCs/>
        </w:rPr>
        <w:t>et al.</w:t>
      </w:r>
      <w:r w:rsidRPr="007E7910">
        <w:t>, 2020). This ensures procedural compliance but restricts employee autonomy and distinct professional identity development. Role clarity and job readiness, alongside operational consistency are achieved effectively following sequential on</w:t>
      </w:r>
      <w:r w:rsidR="00E809F6">
        <w:t>-</w:t>
      </w:r>
      <w:r w:rsidRPr="007E7910">
        <w:t xml:space="preserve">boarding. Conversely, Helios would benefit from strategic organisational socialisation, wherein investiture tactics is employed, and individual strengths and potentials are recognised. Mentoring, networking and continuous interactions encourage deeper cultural assimilation, ensuring long-term retention/commitment. Nevertheless, modern organisational socialisation that relies heavily on digital media, lacks the core positives of strategic socialisation, resulting in lesser engaged employees and high attrition. </w:t>
      </w:r>
    </w:p>
    <w:p w14:paraId="51BC852F" w14:textId="77777777" w:rsidR="00335869" w:rsidRPr="007E7910" w:rsidRDefault="009E5DBE">
      <w:r w:rsidRPr="007E7910">
        <w:t>In organisational setup, a psychological contract theory pertains to a set of personal expectations founded on unspoken exchange promises, meaning whether the employee will stay with the company will be decided by if the employer is able to fulfil the unspoken promises (e.g. appreciation, rewards, career development opportunities in exchange of long-term employee retention) (Topa et al., 2022). At Helios, the psychological contract appears largely based on pay, duties and performance expectations. For Helios, a strategic on</w:t>
      </w:r>
      <w:r w:rsidR="00E809F6">
        <w:t>-</w:t>
      </w:r>
      <w:r w:rsidRPr="007E7910">
        <w:t xml:space="preserve">boarding, wherein career development, growth opportunities, work-life balance are prioritised, </w:t>
      </w:r>
      <w:r w:rsidR="007E7910" w:rsidRPr="007E7910">
        <w:t>and failing</w:t>
      </w:r>
      <w:r w:rsidRPr="007E7910">
        <w:t xml:space="preserve"> to accommodate these would lead to high turnover. </w:t>
      </w:r>
    </w:p>
    <w:p w14:paraId="484E3CCE" w14:textId="77777777" w:rsidR="00335869" w:rsidRPr="007E7910" w:rsidRDefault="009E5DBE">
      <w:r w:rsidRPr="007E7910">
        <w:t>Identity construction theory states that an individual/organisation defines itself in a certain way and how employees tailor their professional selves within that identity (Ashforth and Schinoff, 2016). It is a continuous and evolving negotiation process between organisational culture, leadership objectives and individual employee experiences (Ashforth and Schinoff, 2016). In traditional socialisation, apparent within Helios, employees may learn predefined organisational identity and adapt them, but a strategic on</w:t>
      </w:r>
      <w:r w:rsidR="00E809F6">
        <w:t>-</w:t>
      </w:r>
      <w:r w:rsidRPr="007E7910">
        <w:t xml:space="preserve">boarding would enable Helios’ employees to actively construct their professional identity within the organisational culture. However, strategic socialisation will increase resource requirements, but can be overcome through phased implementation and manager training. </w:t>
      </w:r>
    </w:p>
    <w:p w14:paraId="7C7F97C7" w14:textId="77777777" w:rsidR="00335869" w:rsidRPr="007E7910" w:rsidRDefault="009E5DBE">
      <w:pPr>
        <w:pStyle w:val="Heading2"/>
      </w:pPr>
      <w:bookmarkStart w:id="6" w:name="_mhf0oqmhoa1" w:colFirst="0" w:colLast="0"/>
      <w:bookmarkStart w:id="7" w:name="_Toc234591381"/>
      <w:bookmarkEnd w:id="6"/>
      <w:r w:rsidRPr="007E7910">
        <w:t>Structured Socialisation Framework for Helios</w:t>
      </w:r>
      <w:bookmarkEnd w:id="7"/>
      <w:r w:rsidRPr="007E7910">
        <w:t xml:space="preserve"> </w:t>
      </w:r>
    </w:p>
    <w:p w14:paraId="45EEB18B" w14:textId="77777777" w:rsidR="00335869" w:rsidRPr="007E7910" w:rsidRDefault="009E5DBE">
      <w:r w:rsidRPr="007E7910">
        <w:t>Organisations that take proactive measures in on</w:t>
      </w:r>
      <w:r w:rsidR="00E809F6">
        <w:t>-</w:t>
      </w:r>
      <w:r w:rsidRPr="007E7910">
        <w:t xml:space="preserve">boarding stages are found to make 2.5 times as much revenue and 1.9 times as more net profit than the ones who fail to take effective measures, highlighting the importance of the phase (Frögéli et al., 2023). The following measures may help Helios to improve their process. </w:t>
      </w:r>
    </w:p>
    <w:p w14:paraId="711DEBE6" w14:textId="77777777" w:rsidR="00335869" w:rsidRPr="007E7910" w:rsidRDefault="009E5DBE">
      <w:pPr>
        <w:jc w:val="center"/>
      </w:pPr>
      <w:r w:rsidRPr="007E7910">
        <w:rPr>
          <w:noProof/>
        </w:rPr>
        <w:drawing>
          <wp:inline distT="114300" distB="114300" distL="114300" distR="114300" wp14:anchorId="68575E69" wp14:editId="7ACDD681">
            <wp:extent cx="5943600" cy="3086100"/>
            <wp:effectExtent l="12700" t="12700" r="12700" b="12700"/>
            <wp:docPr id="5"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9"/>
                    <a:srcRect/>
                    <a:stretch>
                      <a:fillRect/>
                    </a:stretch>
                  </pic:blipFill>
                  <pic:spPr>
                    <a:xfrm>
                      <a:off x="0" y="0"/>
                      <a:ext cx="5943600" cy="3086100"/>
                    </a:xfrm>
                    <a:prstGeom prst="rect">
                      <a:avLst/>
                    </a:prstGeom>
                    <a:ln w="12700">
                      <a:solidFill>
                        <a:srgbClr val="000000"/>
                      </a:solidFill>
                      <a:prstDash val="solid"/>
                    </a:ln>
                  </pic:spPr>
                </pic:pic>
              </a:graphicData>
            </a:graphic>
          </wp:inline>
        </w:drawing>
      </w:r>
    </w:p>
    <w:p w14:paraId="23EFBE8F" w14:textId="77777777" w:rsidR="00335869" w:rsidRPr="007E7910" w:rsidRDefault="009E5DBE">
      <w:pPr>
        <w:jc w:val="center"/>
      </w:pPr>
      <w:r w:rsidRPr="007E7910">
        <w:t>Figure 1: Newcomer organisational socialisation model</w:t>
      </w:r>
    </w:p>
    <w:p w14:paraId="3F6E2BEC" w14:textId="77777777" w:rsidR="00335869" w:rsidRPr="007E7910" w:rsidRDefault="009E5DBE">
      <w:pPr>
        <w:jc w:val="center"/>
      </w:pPr>
      <w:r w:rsidRPr="007E7910">
        <w:t>(Source: Bauer et al., 2025)</w:t>
      </w:r>
    </w:p>
    <w:p w14:paraId="0097CA84" w14:textId="77777777" w:rsidR="00335869" w:rsidRPr="007E7910" w:rsidRDefault="009E5DBE">
      <w:pPr>
        <w:rPr>
          <w:b/>
          <w:bCs/>
        </w:rPr>
      </w:pPr>
      <w:r w:rsidRPr="007E7910">
        <w:rPr>
          <w:b/>
          <w:bCs/>
        </w:rPr>
        <w:t>Pre-Onboarding</w:t>
      </w:r>
    </w:p>
    <w:p w14:paraId="5A40CBE5" w14:textId="77777777" w:rsidR="00335869" w:rsidRPr="007E7910" w:rsidRDefault="009E5DBE">
      <w:r w:rsidRPr="007E7910">
        <w:t>In the pre-on</w:t>
      </w:r>
      <w:r w:rsidR="00E809F6">
        <w:t>-</w:t>
      </w:r>
      <w:r w:rsidRPr="007E7910">
        <w:t xml:space="preserve">boarding phase, Helios must deploy formal, sequential and serial socialisation tactics </w:t>
      </w:r>
      <w:r w:rsidR="00E809F6">
        <w:t>by providing a structured pre-on</w:t>
      </w:r>
      <w:r w:rsidRPr="007E7910">
        <w:t xml:space="preserve">boarding roadmap (Ricciardelli, 2022). This will reduce uncertainty before entry and check initial-stage attrition. However, career maturity plays a crucial role in directing individual socialisation behaviour post-entry (Takeuchi et al., 2020). New hires must be clearly communicated on the job role, responsibilities, induction training period, career development opportunities, role expectations, organisational values, job security and flexible working conditions. These factors influence UK job seekers’ organisational preferences and expectations before entry (OECD, 2024). New hires’ job search behaviour can be analysed to understand pre-onboarding “anticipatory socialisation” (Takeuchi et al., 2020). This stage will be overseen by the HR Manager and Hiring Manager using HRIS, LMS and onboarding platforms (Handayani et al., 2025). Nevertheless, excessive pre-entry information may overwhelm newcomers, thus information must be delivered gradually. </w:t>
      </w:r>
    </w:p>
    <w:p w14:paraId="02DAF4E6" w14:textId="77777777" w:rsidR="00335869" w:rsidRPr="007E7910" w:rsidRDefault="009E5DBE">
      <w:pPr>
        <w:rPr>
          <w:b/>
          <w:bCs/>
        </w:rPr>
      </w:pPr>
      <w:r w:rsidRPr="007E7910">
        <w:rPr>
          <w:b/>
          <w:bCs/>
        </w:rPr>
        <w:t>First 90 Days</w:t>
      </w:r>
    </w:p>
    <w:p w14:paraId="24F1DF4B" w14:textId="77777777" w:rsidR="00335869" w:rsidRPr="007E7910" w:rsidRDefault="009E5DBE">
      <w:r w:rsidRPr="007E7910">
        <w:t>In the first 90 days, Helios must implement serial socialisation through mentoring, guidance and regular manager interaction to improve social acceptance and new hire adjustment (Frögéli et al., 2023). College-to-work new hires must be given special attention to reduce their stress and uncertainty. To build task mastery and strengthen role clarity, Helios</w:t>
      </w:r>
      <w:r w:rsidR="00E809F6">
        <w:t xml:space="preserve"> must conduct 30, 60 and 90 day</w:t>
      </w:r>
      <w:r w:rsidRPr="007E7910">
        <w:t xml:space="preserve"> developmental reviews using Behaviourally Anchored Rating Scales (BARS) and constructive feedback mechanisms (Bauer et al., 2025). This will support employee recognition and esteem needs as proposed by Maslow’s Hierarchy of Needs Theory (Ugoani, 2023). Individual identity construction must be facilitated through cross-functional project participation to enable new hires to develop organisational networks and distinct professional identity (Bauer et al., 2025). Additionally, mentoring and coaching programmes would foster relational psychological contract, resulting in reduced withdrawal intentions and employee wellbeing (Cai et al., 2021). Line managers and mentors will oversee this stage through LMS, performance management software and collaborative platforms. However, Helios must balance information/knowledge sharing with the new hires’ capacities. </w:t>
      </w:r>
    </w:p>
    <w:p w14:paraId="6E0FFB84" w14:textId="77777777" w:rsidR="00335869" w:rsidRPr="007E7910" w:rsidRDefault="009E5DBE">
      <w:pPr>
        <w:jc w:val="center"/>
      </w:pPr>
      <w:r w:rsidRPr="007E7910">
        <w:rPr>
          <w:noProof/>
        </w:rPr>
        <w:drawing>
          <wp:inline distT="114300" distB="114300" distL="114300" distR="114300" wp14:anchorId="45AB1670" wp14:editId="4F889F07">
            <wp:extent cx="5114925" cy="2657475"/>
            <wp:effectExtent l="12700" t="12700" r="12700" b="12700"/>
            <wp:docPr id="1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5114925" cy="2657475"/>
                    </a:xfrm>
                    <a:prstGeom prst="rect">
                      <a:avLst/>
                    </a:prstGeom>
                    <a:ln w="12700">
                      <a:solidFill>
                        <a:srgbClr val="000000"/>
                      </a:solidFill>
                      <a:prstDash val="solid"/>
                    </a:ln>
                  </pic:spPr>
                </pic:pic>
              </a:graphicData>
            </a:graphic>
          </wp:inline>
        </w:drawing>
      </w:r>
    </w:p>
    <w:p w14:paraId="7630DB6E" w14:textId="77777777" w:rsidR="00335869" w:rsidRPr="007E7910" w:rsidRDefault="009E5DBE">
      <w:pPr>
        <w:jc w:val="center"/>
      </w:pPr>
      <w:r w:rsidRPr="007E7910">
        <w:t>Figure 2: Impact of mentoring in newcomer socialisation</w:t>
      </w:r>
    </w:p>
    <w:p w14:paraId="4B5EFB21" w14:textId="77777777" w:rsidR="00335869" w:rsidRPr="007E7910" w:rsidRDefault="009E5DBE">
      <w:pPr>
        <w:jc w:val="center"/>
      </w:pPr>
      <w:r w:rsidRPr="007E7910">
        <w:t>(Source: Cai et al., 2021)</w:t>
      </w:r>
    </w:p>
    <w:p w14:paraId="15D4F7AF" w14:textId="77777777" w:rsidR="007E7910" w:rsidRDefault="007E7910">
      <w:pPr>
        <w:rPr>
          <w:b/>
          <w:bCs/>
        </w:rPr>
      </w:pPr>
    </w:p>
    <w:p w14:paraId="262EAE1F" w14:textId="77777777" w:rsidR="00335869" w:rsidRPr="007E7910" w:rsidRDefault="009E5DBE">
      <w:pPr>
        <w:rPr>
          <w:b/>
          <w:bCs/>
        </w:rPr>
      </w:pPr>
      <w:r w:rsidRPr="007E7910">
        <w:rPr>
          <w:b/>
          <w:bCs/>
        </w:rPr>
        <w:t>Year One</w:t>
      </w:r>
    </w:p>
    <w:p w14:paraId="67DAA1EB" w14:textId="77777777" w:rsidR="00335869" w:rsidRPr="007E7910" w:rsidRDefault="009E5DBE">
      <w:r w:rsidRPr="007E7910">
        <w:t xml:space="preserve">A survey conducted in 2021 found that 63% of the participants left their jobs due to lack of progression opportunities (Baskin, 2026). Helios must implement career pathways and succession planning to provide tangible progression opportunities and strengthen long-term retention (van der Baan et al., 2025). It must also nurture leadership development and cross-functional mobility through continuous learning. To evaluate organisational identification, engagement and retention outcomes, Helios must conduct a 12-month appraisal, assessment centre-based development review and socialisation review (Mosquera and Soares, 2025). This stage will be led by L&amp;D managers using LMS and talent management systems. However, career advancement expectations may not meet available opportunities, thus transparent promotion criteria should be clearly communicated. These measures may reduce ramp-up time, attrition and disengagement. </w:t>
      </w:r>
    </w:p>
    <w:p w14:paraId="49829939" w14:textId="77777777" w:rsidR="00335869" w:rsidRPr="007E7910" w:rsidRDefault="009E5DBE">
      <w:pPr>
        <w:pStyle w:val="Heading2"/>
      </w:pPr>
      <w:bookmarkStart w:id="8" w:name="_3qjnzlis45hf" w:colFirst="0" w:colLast="0"/>
      <w:bookmarkStart w:id="9" w:name="_Toc234591382"/>
      <w:bookmarkEnd w:id="8"/>
      <w:r w:rsidRPr="007E7910">
        <w:t>Building Identity, Ethics and Business Activism</w:t>
      </w:r>
      <w:bookmarkEnd w:id="9"/>
    </w:p>
    <w:p w14:paraId="323D0C47" w14:textId="77777777" w:rsidR="00335869" w:rsidRPr="007E7910" w:rsidRDefault="009E5DBE">
      <w:pPr>
        <w:rPr>
          <w:b/>
          <w:bCs/>
        </w:rPr>
      </w:pPr>
      <w:r w:rsidRPr="007E7910">
        <w:rPr>
          <w:b/>
          <w:bCs/>
        </w:rPr>
        <w:t>Organisational Identification</w:t>
      </w:r>
    </w:p>
    <w:p w14:paraId="6B0CE133" w14:textId="77777777" w:rsidR="00335869" w:rsidRPr="007E7910" w:rsidRDefault="009E5DBE">
      <w:r w:rsidRPr="007E7910">
        <w:t>To build organisational identity, Helios must align employee goals with organisational objectives. Following Ulrich’s (2017) six competencies model, Helios must develop line managers as “credible activists" to build trust, communicate purpose and strengthen employee commitment. It must apply "capability builder” competency by spearheading cross-functional collaboration to reinforce Helios’ collective identity (Ulrich, 2017).</w:t>
      </w:r>
    </w:p>
    <w:p w14:paraId="68284076" w14:textId="77777777" w:rsidR="00335869" w:rsidRPr="007E7910" w:rsidRDefault="009E5DBE">
      <w:pPr>
        <w:rPr>
          <w:b/>
          <w:bCs/>
        </w:rPr>
      </w:pPr>
      <w:r w:rsidRPr="007E7910">
        <w:rPr>
          <w:b/>
          <w:bCs/>
        </w:rPr>
        <w:t>Ethical Professionalism</w:t>
      </w:r>
    </w:p>
    <w:p w14:paraId="6B3DCE19" w14:textId="77777777" w:rsidR="00335869" w:rsidRPr="007E7910" w:rsidRDefault="009E5DBE">
      <w:r w:rsidRPr="007E7910">
        <w:t xml:space="preserve">To harbour ethical professionalism, Helios must embed visible ethical decision-making and fairness principles within onboarding, performance management and leadership practices (Armstrong, 2021). To strengthen trust and psychological contract fulfilment, it must establish transparent communication and accountability procedures (Armstrong, 2021). Employee voices must be encouraged to report unethical practices to reinforce integrity, justice and responsible professional conduct (Armstrong, 2021). </w:t>
      </w:r>
    </w:p>
    <w:p w14:paraId="3D18901D" w14:textId="77777777" w:rsidR="00335869" w:rsidRPr="007E7910" w:rsidRDefault="009E5DBE">
      <w:pPr>
        <w:rPr>
          <w:b/>
          <w:bCs/>
        </w:rPr>
      </w:pPr>
      <w:r w:rsidRPr="007E7910">
        <w:rPr>
          <w:b/>
          <w:bCs/>
        </w:rPr>
        <w:t>Business Activism</w:t>
      </w:r>
    </w:p>
    <w:p w14:paraId="725D8C43" w14:textId="77777777" w:rsidR="00335869" w:rsidRPr="007E7910" w:rsidRDefault="009E5DBE">
      <w:r w:rsidRPr="007E7910">
        <w:t xml:space="preserve">Following Ulrich’s Business Partner Model, Helios must position HR as a strategic “HR Business Partner”, instrumental in aligning people practices with organisational sustainability and stakeholder priorities rather than administrative objectives (Wach et al., 2021). It must adopt a stakeholder capitalism perspective to create values for employees, communities, customers and society alongside organisational performance (WEF, 2021). Moreover, Helios must focus on building collective organisational capabilities that promote responsible innovation, long-term value creation and social impact to integrate business activism in newcomers through organisational activities (Ulrich, 2017). </w:t>
      </w:r>
    </w:p>
    <w:p w14:paraId="09DADD7B" w14:textId="77777777" w:rsidR="00335869" w:rsidRPr="007E7910" w:rsidRDefault="009E5DBE">
      <w:r w:rsidRPr="007E7910">
        <w:t>Resistance to change may occur, and to address that, continuous communication and leadership support is essential. Overall, strategic socialisation will foster engagement, ethical professionalism and stakeholder-focused or</w:t>
      </w:r>
      <w:r w:rsidR="000A3262" w:rsidRPr="007E7910">
        <w:t>ganisational success for Helios.</w:t>
      </w:r>
    </w:p>
    <w:p w14:paraId="2C6F63F8" w14:textId="77777777" w:rsidR="00335869" w:rsidRPr="007E7910" w:rsidRDefault="009E5DBE" w:rsidP="000A3262">
      <w:pPr>
        <w:pStyle w:val="Heading1"/>
        <w:rPr>
          <w:sz w:val="24"/>
          <w:szCs w:val="24"/>
        </w:rPr>
      </w:pPr>
      <w:bookmarkStart w:id="10" w:name="_5p9g3yz8wect" w:colFirst="0" w:colLast="0"/>
      <w:bookmarkStart w:id="11" w:name="_Toc234591383"/>
      <w:bookmarkEnd w:id="10"/>
      <w:r w:rsidRPr="007E7910">
        <w:rPr>
          <w:sz w:val="24"/>
          <w:szCs w:val="24"/>
        </w:rPr>
        <w:t>TASK B: Job Design</w:t>
      </w:r>
      <w:bookmarkEnd w:id="11"/>
    </w:p>
    <w:p w14:paraId="485AE1FB" w14:textId="77777777" w:rsidR="00335869" w:rsidRPr="007E7910" w:rsidRDefault="009E5DBE">
      <w:pPr>
        <w:rPr>
          <w:b/>
          <w:bCs/>
          <w:i/>
          <w:iCs/>
        </w:rPr>
      </w:pPr>
      <w:r w:rsidRPr="007E7910">
        <w:rPr>
          <w:b/>
          <w:bCs/>
          <w:i/>
          <w:iCs/>
        </w:rPr>
        <w:t>Current Job Design Problems</w:t>
      </w:r>
    </w:p>
    <w:p w14:paraId="619C3F8F" w14:textId="77777777" w:rsidR="00335869" w:rsidRPr="007E7910" w:rsidRDefault="009E5DBE">
      <w:pPr>
        <w:rPr>
          <w:b/>
          <w:bCs/>
        </w:rPr>
      </w:pPr>
      <w:r w:rsidRPr="007E7910">
        <w:t>The job design prevalent at Helios is ineffective and flawed, resulting in failure to retain key human assets, poor engagement and a prolonged ramp-up period for new hires. This suggests misalignment between employee and organisational requirements. Therefore, the following innovative job design strategy, employing the Job Characteristics Model, the Job Crafting Theory and the Skills-Based architecture, are recommended aimed at mitigating these challenges and ensuring Helios’ sustained international growth.</w:t>
      </w:r>
    </w:p>
    <w:p w14:paraId="423F47EF" w14:textId="77777777" w:rsidR="00335869" w:rsidRPr="007E7910" w:rsidRDefault="009E5DBE">
      <w:pPr>
        <w:pStyle w:val="Heading2"/>
      </w:pPr>
      <w:bookmarkStart w:id="12" w:name="_7hjqlnyfdf06" w:colFirst="0" w:colLast="0"/>
      <w:bookmarkStart w:id="13" w:name="_Toc234591384"/>
      <w:bookmarkEnd w:id="12"/>
      <w:r w:rsidRPr="007E7910">
        <w:t>Innovative Job Design Strategy</w:t>
      </w:r>
      <w:bookmarkEnd w:id="13"/>
      <w:r w:rsidRPr="007E7910">
        <w:t xml:space="preserve"> </w:t>
      </w:r>
    </w:p>
    <w:p w14:paraId="10B786C0" w14:textId="77777777" w:rsidR="00335869" w:rsidRPr="007E7910" w:rsidRDefault="009E5DBE">
      <w:pPr>
        <w:rPr>
          <w:b/>
          <w:bCs/>
          <w:u w:val="single"/>
        </w:rPr>
      </w:pPr>
      <w:r w:rsidRPr="007E7910">
        <w:rPr>
          <w:b/>
          <w:bCs/>
          <w:u w:val="single"/>
        </w:rPr>
        <w:t>Job Characteristics Model</w:t>
      </w:r>
    </w:p>
    <w:p w14:paraId="6BB92EF1" w14:textId="77777777" w:rsidR="00335869" w:rsidRPr="007E7910" w:rsidRDefault="009E5DBE">
      <w:r w:rsidRPr="007E7910">
        <w:t xml:space="preserve">Helios must redesign its job roles using the Job Characteristics Model (Hackman and Oldham, 1976) to accelerate productivity, improve engagement and reduce high-potential graduate attrition. The model outlines five components to induce motivation, namely: “skill variety,” “task identity,” “task significance,” “autonomy” and “feedback” (Zhao et al., 2024). Under “skill variety,” Helios must expand roles beyond narrow technical tasks by involving employees in AI development and smart infrastructure projects to mitigate monotony and develop diverse competencies required in a rapidly expanding organisation. To apply “task identity,” it must assign employees ownership of entire projects to enable them to observe outcomes, strengthen accountability, engagement and commitment through greater personal responsibility (Cotič et al., 2025). “Task significance” can be achieved by communicating the overarching impact of AI-enabled transport solutions in realising urban sustainability to prompt stronger perception of societal impact, meaningfulness, satisfaction, motivation and organisational commitment (Siruri and Cheche, 2021). </w:t>
      </w:r>
    </w:p>
    <w:p w14:paraId="3A4AC06C" w14:textId="77777777" w:rsidR="00765329" w:rsidRDefault="009E5DBE">
      <w:r w:rsidRPr="007E7910">
        <w:t xml:space="preserve">Job autonomy and feedback has high motivating potential scores, with either of them compromised can lead to reduced motivation (Chen et al., 2023). Helios must impart “autonomy” to project teams over innovation decisions, project execution and problem-solving methods, particularly important to support creativity in technology-driven environments. It should also implement continuous/real-time “feedback” loops through managers, clients and project outcomes, which can lessen its current 8-month ramp-up period by augmenting learning and role adjustment. However, greater autonomy may create role ambiguity, which can be countered by regular feedback and clear performance expectations. </w:t>
      </w:r>
    </w:p>
    <w:p w14:paraId="60C4C639" w14:textId="77777777" w:rsidR="00335869" w:rsidRPr="007E7910" w:rsidRDefault="009E5DBE">
      <w:pPr>
        <w:rPr>
          <w:b/>
          <w:bCs/>
          <w:u w:val="single"/>
        </w:rPr>
      </w:pPr>
      <w:r w:rsidRPr="007E7910">
        <w:rPr>
          <w:b/>
          <w:bCs/>
          <w:u w:val="single"/>
        </w:rPr>
        <w:t>Job Crafting Theory</w:t>
      </w:r>
    </w:p>
    <w:p w14:paraId="77F5747C" w14:textId="77777777" w:rsidR="00335869" w:rsidRPr="007E7910" w:rsidRDefault="009E5DBE">
      <w:r w:rsidRPr="007E7910">
        <w:t xml:space="preserve">Job Crafting Theory, propounded by Wrzesniewski and Dutton (2001), states that employees proactively reshape tasks, relationships and work perceptions to better align their jobs with their strengths and values through three dimensions: “task crafting,” “relational crafting” and “cognitive crafting” (Geldenhuys et al., 2020). Helios should create opportunities for employees to engage in job crafting by allowing autonomy, cross-functional collaboration and role flexibility. “Task crafting” would allow employees to customise their project responsibilities based on strengths and interests; for instance, AI engineers could participate in sustainability initiatives or innovation projects beyond their core duties. This will address Helios’ low engagement level and high attrition among graduates by increasing ownership and meaningfulness of work (Nie et al., 2023). </w:t>
      </w:r>
    </w:p>
    <w:p w14:paraId="1E82BBF3" w14:textId="77777777" w:rsidR="00335869" w:rsidRPr="007E7910" w:rsidRDefault="009E5DBE">
      <w:r w:rsidRPr="007E7910">
        <w:t xml:space="preserve">“Relational crafting” can be achieved by encouraging cross-functional collaboration across engineering, infrastructure and city-government teams. This will enhance engagement, expand networking and knowledge-sharing across London, Berlin and Singapore operations (Letona-Ibañez et al., 2021). This will also promote faster organisational integration and reduce ramp-up periods. </w:t>
      </w:r>
    </w:p>
    <w:p w14:paraId="18711958" w14:textId="77777777" w:rsidR="00335869" w:rsidRPr="007E7910" w:rsidRDefault="009E5DBE">
      <w:r w:rsidRPr="007E7910">
        <w:t>To induce “cognitive crafting,” Helios must encourage employees to look at their roles as contributing to the greater good of the society through sustainable urban mobility rather than isolated technical tasks, improving performance, and strengthening organisational commitment and identification with Helios’ broader objectives (Geldenhuys et al., 2020). During rapid expansion job crafting transforms passive job roles into active role designers, prompting adaptability, engagement and retention. Conversely, excessive job crafting may trigger role inconsistency, therefore, managerial oversight must ensure alignment of crafting with organisational objectives.</w:t>
      </w:r>
    </w:p>
    <w:p w14:paraId="45E6040F" w14:textId="77777777" w:rsidR="00AB0D27" w:rsidRDefault="00AB0D27">
      <w:pPr>
        <w:rPr>
          <w:b/>
          <w:bCs/>
          <w:u w:val="single"/>
        </w:rPr>
      </w:pPr>
      <w:r>
        <w:rPr>
          <w:b/>
          <w:bCs/>
          <w:u w:val="single"/>
        </w:rPr>
        <w:br w:type="page"/>
      </w:r>
    </w:p>
    <w:p w14:paraId="24368B0B" w14:textId="77777777" w:rsidR="00335869" w:rsidRPr="007E7910" w:rsidRDefault="009E5DBE">
      <w:pPr>
        <w:rPr>
          <w:b/>
          <w:bCs/>
          <w:u w:val="single"/>
        </w:rPr>
      </w:pPr>
      <w:r w:rsidRPr="007E7910">
        <w:rPr>
          <w:b/>
          <w:bCs/>
          <w:u w:val="single"/>
        </w:rPr>
        <w:t>Skills-Based Architecture</w:t>
      </w:r>
    </w:p>
    <w:p w14:paraId="5B80E56F" w14:textId="77777777" w:rsidR="00335869" w:rsidRPr="007E7910" w:rsidRDefault="009E5DBE">
      <w:r w:rsidRPr="007E7910">
        <w:t>Skills-based architecture focuses on organising employee roles according to verified skills rather than fixed job titles (Deloitte, 2026). Helios must deploy skills-based architecture by replacing rigid job roles, wherein employees will be put in roles where their capabilities can flourish rather than sticking to job descriptions. This can be achieved through creating a central skills inventory covering AI development, data analytics, smart infrastructure, data analytics, project management and stakeholder engagement. Helios must introduce micro-credentialing programmes to continuously test emerging technical and managerial competencies (Amiri et al., 2026). Whereas job rotation and cross-training initiatives will broaden employee skill portfolios and organisational flexibility (Daher and Ziade, 2023). It must match employees to projects based on skills availability and developmental requirements and not on departmental needs, supporting objective talent deployment aligned with the Equality Act 2010 and Employment Rights Act 1996 (Deloitte, 2026; GOV UK, 2026; GOV UK, 2026). This approach suits Helios because rapid expansion requires faster talent deployment (Rothwell, 2026).</w:t>
      </w:r>
    </w:p>
    <w:p w14:paraId="7AEEB541" w14:textId="77777777" w:rsidR="00335869" w:rsidRPr="007E7910" w:rsidRDefault="009E5DBE">
      <w:r w:rsidRPr="007E7910">
        <w:t xml:space="preserve">Skills-based architecture would also enable Helios’ managers to identify skills gaps and allocate resources more effectively. Cross-functional activities will accelerate learning and reduce the current ramp-up period. However, it can introduce bias/inaccuracies, thereby evaluation criteria must be transparent. </w:t>
      </w:r>
    </w:p>
    <w:p w14:paraId="32AC67F7" w14:textId="77777777" w:rsidR="00335869" w:rsidRPr="007E7910" w:rsidRDefault="009E5DBE">
      <w:pPr>
        <w:pStyle w:val="Heading2"/>
      </w:pPr>
      <w:bookmarkStart w:id="14" w:name="_vz7lvyulki0" w:colFirst="0" w:colLast="0"/>
      <w:bookmarkStart w:id="15" w:name="_Toc234591385"/>
      <w:bookmarkEnd w:id="14"/>
      <w:r w:rsidRPr="007E7910">
        <w:t>Explanation of the Design to Stimulate Motivation and Support Innovation</w:t>
      </w:r>
      <w:bookmarkEnd w:id="15"/>
      <w:r w:rsidRPr="007E7910">
        <w:t xml:space="preserve"> </w:t>
      </w:r>
    </w:p>
    <w:p w14:paraId="1B1D3132" w14:textId="77777777" w:rsidR="00335869" w:rsidRPr="007E7910" w:rsidRDefault="009E5DBE">
      <w:r w:rsidRPr="007E7910">
        <w:t xml:space="preserve">The new innovative job design following the Job Characteristics Model would stimulate intrinsic motivation through increased variety of skills, enhanced identity and significance of tasks, autonomy and feedback mechanisms, such as 360-degree feedback by creating meaningfulness and responsibility (Zhao et al., 2024). For Helios, greater autonomy and real-time feedback supported by Management by Objectives (MBO), will augment learning, reduce ramp-up time and encourage innovative problem-solving, key to AI-based technology solutions. Allowing employees to craft tasks, relationships and cognition would translate into increased ownership, accountability and engagement, resulting in generation of novel ideas and enhanced adaptability to shifting organisational demands (Nie et al., 2023; Letona-Ibañez et al., 2021). This is crucial for Helios to support innovation during rapid expansion drives. Skills-based architecture would enable employees to be deployed and develop diverse capabilities across projects, which will increase growth opportunities and career mobility, checking early-stage attrition and retention of highly-skilled graduates for Helios (Deloitte, 2026). Innovation initiatives may increase workload, thus, initiatives must be accompanied by resources and wellbeing support. </w:t>
      </w:r>
    </w:p>
    <w:p w14:paraId="49F5030F" w14:textId="77777777" w:rsidR="00335869" w:rsidRPr="007E7910" w:rsidRDefault="009E5DBE" w:rsidP="000A3262">
      <w:pPr>
        <w:pStyle w:val="Heading1"/>
        <w:rPr>
          <w:sz w:val="24"/>
          <w:szCs w:val="24"/>
        </w:rPr>
      </w:pPr>
      <w:bookmarkStart w:id="16" w:name="_rl57o4xl53av" w:colFirst="0" w:colLast="0"/>
      <w:bookmarkStart w:id="17" w:name="_Toc234591386"/>
      <w:bookmarkEnd w:id="16"/>
      <w:r w:rsidRPr="007E7910">
        <w:rPr>
          <w:sz w:val="24"/>
          <w:szCs w:val="24"/>
        </w:rPr>
        <w:t>TASK C: Reflective report</w:t>
      </w:r>
      <w:bookmarkEnd w:id="17"/>
      <w:r w:rsidRPr="007E7910">
        <w:rPr>
          <w:sz w:val="24"/>
          <w:szCs w:val="24"/>
        </w:rPr>
        <w:t xml:space="preserve"> </w:t>
      </w:r>
    </w:p>
    <w:p w14:paraId="5783439E" w14:textId="77777777" w:rsidR="00335869" w:rsidRPr="007E7910" w:rsidRDefault="009E5DBE">
      <w:pPr>
        <w:pStyle w:val="Heading2"/>
      </w:pPr>
      <w:bookmarkStart w:id="18" w:name="_84nxp4cmlvka" w:colFirst="0" w:colLast="0"/>
      <w:bookmarkStart w:id="19" w:name="_Toc234591387"/>
      <w:bookmarkEnd w:id="18"/>
      <w:r w:rsidRPr="007E7910">
        <w:t>AI as Decision Support</w:t>
      </w:r>
      <w:bookmarkEnd w:id="19"/>
      <w:r w:rsidRPr="007E7910">
        <w:t xml:space="preserve"> </w:t>
      </w:r>
    </w:p>
    <w:p w14:paraId="61C5F730" w14:textId="77777777" w:rsidR="00335869" w:rsidRPr="007E7910" w:rsidRDefault="009E5DBE">
      <w:r w:rsidRPr="007E7910">
        <w:t>AI as a decision support tool would strengthen data analysis, pattern recognition, literature synthesis, drafting and scenario generation at a rate that is not achievable for normal humans, because it would enable these in real-time (Meidema et al., 2025). I would use AI to support decision-making but in a controlled manner, wherein I would probably provide the literature and use AI to recognise recurring patterns or extract data. However, human judgement must remain central; for example, if I provide literature and use AI to extract data, I would prefer synthesising the data myself. I will use AI to extract the key excerpts when time is limited. Furthermore, if AI is being used extensively, then sources must be verified and AI outputs must be challenged to support contextual decision-making. Overall, AI should remain a human-s</w:t>
      </w:r>
      <w:r w:rsidR="000A3262" w:rsidRPr="007E7910">
        <w:t>upervised decision-support tool</w:t>
      </w:r>
      <w:r w:rsidRPr="007E7910">
        <w:t xml:space="preserve">. </w:t>
      </w:r>
    </w:p>
    <w:p w14:paraId="02A8D0C5" w14:textId="77777777" w:rsidR="00335869" w:rsidRPr="007E7910" w:rsidRDefault="009E5DBE">
      <w:pPr>
        <w:pStyle w:val="Heading2"/>
      </w:pPr>
      <w:bookmarkStart w:id="20" w:name="_dr81vyscn9tv" w:colFirst="0" w:colLast="0"/>
      <w:bookmarkStart w:id="21" w:name="_Toc234591388"/>
      <w:bookmarkEnd w:id="20"/>
      <w:r w:rsidRPr="007E7910">
        <w:t>Personal Capability Development Plan</w:t>
      </w:r>
      <w:bookmarkEnd w:id="21"/>
      <w:r w:rsidRPr="007E7910">
        <w:t xml:space="preserve"> </w:t>
      </w:r>
    </w:p>
    <w:p w14:paraId="215DD15D" w14:textId="77777777" w:rsidR="00335869" w:rsidRPr="007E7910" w:rsidRDefault="009E5DBE">
      <w:r w:rsidRPr="007E7910">
        <w:t>To critically evaluate my future employability requirements and identify key areas for professional growth, I will apply Rolfe’s reflective model (Orsini et al., 2026).</w:t>
      </w:r>
    </w:p>
    <w:p w14:paraId="27358E51" w14:textId="77777777" w:rsidR="00335869" w:rsidRPr="007E7910" w:rsidRDefault="009E5DBE">
      <w:r w:rsidRPr="007E7910">
        <w:rPr>
          <w:b/>
          <w:bCs/>
        </w:rPr>
        <w:t>What?</w:t>
      </w:r>
      <w:r w:rsidRPr="007E7910">
        <w:t xml:space="preserve"> - This module highlighted capability gaps in data literacy, AI augmentation in HR, strategic influencing skills, change management and global mobility awareness, which are gaining traction in technology-driven and global organisations. </w:t>
      </w:r>
    </w:p>
    <w:p w14:paraId="4CA18660" w14:textId="77777777" w:rsidR="00335869" w:rsidRPr="007E7910" w:rsidRDefault="009E5DBE">
      <w:r w:rsidRPr="007E7910">
        <w:rPr>
          <w:b/>
          <w:bCs/>
        </w:rPr>
        <w:t>So what?</w:t>
      </w:r>
      <w:r w:rsidRPr="007E7910">
        <w:t xml:space="preserve"> - This assignment revealed capability gaps relevant to future job roles</w:t>
      </w:r>
      <w:r w:rsidR="000A3262" w:rsidRPr="007E7910">
        <w:t>.</w:t>
      </w:r>
      <w:r w:rsidRPr="007E7910">
        <w:t xml:space="preserve"> These capability gaps will hinder my ability to contribute effectively in my future job role, thereby developing these competencies is essential for me to improve my future employability and strategic contribution.</w:t>
      </w:r>
    </w:p>
    <w:p w14:paraId="6BACFF9E" w14:textId="77777777" w:rsidR="00335869" w:rsidRPr="007E7910" w:rsidRDefault="009E5DBE">
      <w:r w:rsidRPr="007E7910">
        <w:rPr>
          <w:b/>
          <w:bCs/>
        </w:rPr>
        <w:t>Now what?</w:t>
      </w:r>
      <w:r w:rsidRPr="007E7910">
        <w:t xml:space="preserve"> - To develop data literacy, I will complete Power BI, Excel analytics and HR analytics training within the next 12 months (Saxena et al., 2021). For AI augmentation in HR, I will develop knowledge of AI-assisted recruitment, workforce planning and people analytics by taking professional courses within the next 6 months (Nawaz et al., 2024). Strategic influencing can be improved by learning stakeholder management, negotiation and communication skills through leadership activities and group project participation. I will study change management frameworks and how established organisations are employing them within the next 12 months to hone change management capabilities. To develop global mobility awareness capability, I will build knowledge on expatriate management, cultural assimilation and international HRM through independent study and professional development.</w:t>
      </w:r>
    </w:p>
    <w:p w14:paraId="66D73C11" w14:textId="77777777" w:rsidR="00335869" w:rsidRPr="007E7910" w:rsidRDefault="009E5DBE">
      <w:r w:rsidRPr="007E7910">
        <w:t xml:space="preserve">Following this strategy, I will bridge the capabilities gaps and be prepared for future employability. </w:t>
      </w:r>
    </w:p>
    <w:p w14:paraId="6A285920" w14:textId="77777777" w:rsidR="00335869" w:rsidRPr="007E7910" w:rsidRDefault="009E5DBE">
      <w:pPr>
        <w:jc w:val="center"/>
      </w:pPr>
      <w:r w:rsidRPr="007E7910">
        <w:rPr>
          <w:noProof/>
        </w:rPr>
        <w:drawing>
          <wp:inline distT="114300" distB="114300" distL="114300" distR="114300" wp14:anchorId="4749AF4D" wp14:editId="70D6FC0E">
            <wp:extent cx="5516880" cy="4076700"/>
            <wp:effectExtent l="0" t="0" r="762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516880" cy="4076700"/>
                    </a:xfrm>
                    <a:prstGeom prst="rect">
                      <a:avLst/>
                    </a:prstGeom>
                    <a:ln/>
                  </pic:spPr>
                </pic:pic>
              </a:graphicData>
            </a:graphic>
          </wp:inline>
        </w:drawing>
      </w:r>
    </w:p>
    <w:p w14:paraId="28F0119E" w14:textId="77777777" w:rsidR="00335869" w:rsidRPr="007E7910" w:rsidRDefault="009E5DBE">
      <w:pPr>
        <w:jc w:val="center"/>
      </w:pPr>
      <w:r w:rsidRPr="007E7910">
        <w:t>(Source: Self-Created)</w:t>
      </w:r>
    </w:p>
    <w:p w14:paraId="1CE0B0F1" w14:textId="77777777" w:rsidR="00F274D8" w:rsidRPr="00F274D8" w:rsidRDefault="00F274D8" w:rsidP="00F274D8">
      <w:pPr>
        <w:pStyle w:val="Heading1"/>
        <w:rPr>
          <w:sz w:val="24"/>
        </w:rPr>
      </w:pPr>
      <w:bookmarkStart w:id="22" w:name="_Toc234591389"/>
      <w:r w:rsidRPr="00F274D8">
        <w:rPr>
          <w:sz w:val="24"/>
        </w:rPr>
        <w:t>Conclusion</w:t>
      </w:r>
      <w:bookmarkEnd w:id="22"/>
    </w:p>
    <w:p w14:paraId="72F0DF85" w14:textId="77777777" w:rsidR="00335869" w:rsidRPr="007E7910" w:rsidRDefault="00F274D8">
      <w:r>
        <w:t>To conclude, strategic socialisation and innovative job design may strengthen engagement, retention and organisational growth at Helios, provided the implementation is p</w:t>
      </w:r>
      <w:r w:rsidR="00994A03">
        <w:t>hased and data-informed</w:t>
      </w:r>
      <w:r w:rsidR="00756922">
        <w:t>.</w:t>
      </w:r>
      <w:r w:rsidR="009E5DBE" w:rsidRPr="007E7910">
        <w:br w:type="page"/>
      </w:r>
    </w:p>
    <w:p w14:paraId="1DBBE695" w14:textId="77777777" w:rsidR="00335869" w:rsidRPr="007E7910" w:rsidRDefault="009E5DBE" w:rsidP="000A3262">
      <w:pPr>
        <w:pStyle w:val="Heading1"/>
        <w:rPr>
          <w:sz w:val="24"/>
          <w:szCs w:val="24"/>
        </w:rPr>
      </w:pPr>
      <w:bookmarkStart w:id="23" w:name="_3fwq2mtz8gqe" w:colFirst="0" w:colLast="0"/>
      <w:bookmarkStart w:id="24" w:name="_Toc234591390"/>
      <w:bookmarkEnd w:id="23"/>
      <w:r w:rsidRPr="007E7910">
        <w:rPr>
          <w:sz w:val="24"/>
          <w:szCs w:val="24"/>
        </w:rPr>
        <w:t>References</w:t>
      </w:r>
      <w:bookmarkEnd w:id="24"/>
      <w:r w:rsidRPr="007E7910">
        <w:rPr>
          <w:sz w:val="24"/>
          <w:szCs w:val="24"/>
        </w:rPr>
        <w:t xml:space="preserve"> </w:t>
      </w:r>
    </w:p>
    <w:p w14:paraId="4C899FF2" w14:textId="77777777" w:rsidR="007E7910" w:rsidRPr="007E7910" w:rsidRDefault="007E7910" w:rsidP="00E809F6">
      <w:r w:rsidRPr="007E7910">
        <w:t xml:space="preserve">Amiri, S.M.H., Noor, S.A., Labib, L.M., Anjum, F. and Mithila, M., (2026). Micro-Credentials, Macro Impact: The Credentialing Revolution Goes Mainstream. Available at: </w:t>
      </w:r>
      <w:hyperlink r:id="rId12">
        <w:r w:rsidRPr="007E7910">
          <w:rPr>
            <w:color w:val="1155CC"/>
            <w:u w:val="single"/>
          </w:rPr>
          <w:t>https://www.preprints.org/frontend/manuscript/0efb9e3ee7ecb8fa484efd3f880e3d16/download_pub</w:t>
        </w:r>
      </w:hyperlink>
      <w:r w:rsidRPr="007E7910">
        <w:t xml:space="preserve"> </w:t>
      </w:r>
    </w:p>
    <w:p w14:paraId="56C9DB22" w14:textId="77777777" w:rsidR="007E7910" w:rsidRPr="007E7910" w:rsidRDefault="007E7910" w:rsidP="00E809F6">
      <w:r w:rsidRPr="007E7910">
        <w:t xml:space="preserve">Armstrong, M. (2021). Armstrong’s Handbook of Human Resource Management Practice (15th Ed.). Kogan Page. </w:t>
      </w:r>
    </w:p>
    <w:p w14:paraId="18E8877D" w14:textId="77777777" w:rsidR="007E7910" w:rsidRPr="007E7910" w:rsidRDefault="007E7910" w:rsidP="00E809F6">
      <w:r w:rsidRPr="007E7910">
        <w:t xml:space="preserve">Ashforth, B.E. and Schinoff, B.S. (2016) 'Identity under construction: How individuals come to define themselves in organizations,' </w:t>
      </w:r>
      <w:r w:rsidRPr="007E7910">
        <w:rPr>
          <w:i/>
          <w:iCs/>
        </w:rPr>
        <w:t>Annual Review of Organizational Psychology and Organizational Behavior</w:t>
      </w:r>
      <w:r w:rsidRPr="007E7910">
        <w:t xml:space="preserve">, 3(1), pp. 111–137. Available at: </w:t>
      </w:r>
      <w:hyperlink r:id="rId13">
        <w:r w:rsidRPr="007E7910">
          <w:rPr>
            <w:color w:val="1155CC"/>
            <w:u w:val="single"/>
          </w:rPr>
          <w:t>https://doi.org/10.1146/annurev-orgpsych-041015-062322</w:t>
        </w:r>
      </w:hyperlink>
      <w:r w:rsidRPr="007E7910">
        <w:t xml:space="preserve">. </w:t>
      </w:r>
    </w:p>
    <w:p w14:paraId="2BA27B9C" w14:textId="77777777" w:rsidR="007E7910" w:rsidRPr="007E7910" w:rsidRDefault="007E7910" w:rsidP="00E809F6">
      <w:r w:rsidRPr="007E7910">
        <w:t xml:space="preserve">Baskin, K. (2026) </w:t>
      </w:r>
      <w:r w:rsidRPr="007E7910">
        <w:rPr>
          <w:i/>
          <w:iCs/>
        </w:rPr>
        <w:t>To keep employees, focus on career advancement</w:t>
      </w:r>
      <w:r w:rsidRPr="007E7910">
        <w:t xml:space="preserve">. Available at: </w:t>
      </w:r>
      <w:hyperlink r:id="rId14">
        <w:r w:rsidRPr="007E7910">
          <w:rPr>
            <w:color w:val="1155CC"/>
            <w:u w:val="single"/>
          </w:rPr>
          <w:t>https://mitsloan.mit.edu/ideas-made-to-matter/to-keep-employees-focus-career-advancement</w:t>
        </w:r>
      </w:hyperlink>
      <w:r w:rsidRPr="007E7910">
        <w:t>. (Accessed: 2 July 2026)</w:t>
      </w:r>
    </w:p>
    <w:p w14:paraId="136CE82A" w14:textId="77777777" w:rsidR="007E7910" w:rsidRPr="007E7910" w:rsidRDefault="007E7910" w:rsidP="00E809F6">
      <w:r w:rsidRPr="007E7910">
        <w:t xml:space="preserve">Bauer, T.N., Erdogan, B., Ellis, A.M., Truxillo, D.M., Brady, G.M. and McCarthy, J.M., (2025). The evolving future of work: Implications for newcomer adaptability and connectivity during organizational socialization. </w:t>
      </w:r>
      <w:r w:rsidRPr="007E7910">
        <w:rPr>
          <w:i/>
          <w:iCs/>
        </w:rPr>
        <w:t>Human resource management, 64</w:t>
      </w:r>
      <w:r w:rsidRPr="007E7910">
        <w:t xml:space="preserve">(6), pp.1651-1668. Available at:  </w:t>
      </w:r>
      <w:hyperlink r:id="rId15">
        <w:r w:rsidRPr="007E7910">
          <w:rPr>
            <w:color w:val="1155CC"/>
            <w:u w:val="single"/>
          </w:rPr>
          <w:t>https://doi.org/10.1002/hrm.70008</w:t>
        </w:r>
      </w:hyperlink>
      <w:r w:rsidRPr="007E7910">
        <w:t xml:space="preserve"> </w:t>
      </w:r>
    </w:p>
    <w:p w14:paraId="54135A97" w14:textId="77777777" w:rsidR="007E7910" w:rsidRPr="007E7910" w:rsidRDefault="007E7910" w:rsidP="00E809F6">
      <w:r w:rsidRPr="007E7910">
        <w:t xml:space="preserve">Bauer, T.N., Erdogan, B., Ellis, A.M., Truxillo, D.M., Brady, G.M. and Bodner, T., (2025). New horizons for newcomer organizational socialization: A review, meta-analysis, and future research directions. </w:t>
      </w:r>
      <w:r w:rsidRPr="007E7910">
        <w:rPr>
          <w:i/>
          <w:iCs/>
        </w:rPr>
        <w:t>Journal of Management, 51</w:t>
      </w:r>
      <w:r w:rsidRPr="007E7910">
        <w:t xml:space="preserve">(1), pp.344-382. Available at: </w:t>
      </w:r>
      <w:hyperlink r:id="rId16">
        <w:r w:rsidRPr="007E7910">
          <w:rPr>
            <w:color w:val="1155CC"/>
            <w:u w:val="single"/>
          </w:rPr>
          <w:t>https://doi.org/10.1177/01492063241277168</w:t>
        </w:r>
      </w:hyperlink>
      <w:r w:rsidRPr="007E7910">
        <w:t xml:space="preserve"> </w:t>
      </w:r>
    </w:p>
    <w:p w14:paraId="058729B4" w14:textId="77777777" w:rsidR="007E7910" w:rsidRPr="007E7910" w:rsidRDefault="007E7910" w:rsidP="00E809F6">
      <w:r w:rsidRPr="007E7910">
        <w:t xml:space="preserve">Cai, D., Liu, S., Liu, J., Yao, L. and Jia, X., (2021). Mentoring and newcomer well-being: a socialization resources perspective. </w:t>
      </w:r>
      <w:r w:rsidRPr="007E7910">
        <w:rPr>
          <w:i/>
          <w:iCs/>
        </w:rPr>
        <w:t>Journal of Managerial Psychology, 36</w:t>
      </w:r>
      <w:r w:rsidRPr="007E7910">
        <w:t xml:space="preserve">(3), pp.285-298. Available at: </w:t>
      </w:r>
      <w:hyperlink r:id="rId17">
        <w:r w:rsidRPr="007E7910">
          <w:rPr>
            <w:color w:val="1155CC"/>
            <w:u w:val="single"/>
          </w:rPr>
          <w:t>https://doi.org/10.1108/JMP-08-2019-0485</w:t>
        </w:r>
      </w:hyperlink>
      <w:r w:rsidRPr="007E7910">
        <w:t xml:space="preserve"> </w:t>
      </w:r>
    </w:p>
    <w:p w14:paraId="2D577F83" w14:textId="77777777" w:rsidR="007E7910" w:rsidRPr="007E7910" w:rsidRDefault="007E7910" w:rsidP="00E809F6">
      <w:r w:rsidRPr="007E7910">
        <w:t xml:space="preserve">Chen, C., Zhang, K.S., Chen, C.M. and Pao, L.S., (2023). The impact between motivational potential characteristics of job and job satisfaction: a moderation model of personality traits in a high-tech industry. </w:t>
      </w:r>
      <w:r w:rsidRPr="007E7910">
        <w:rPr>
          <w:i/>
          <w:iCs/>
        </w:rPr>
        <w:t>International Journal of Asian Business and Information Management (IJABIM), 14</w:t>
      </w:r>
      <w:r w:rsidRPr="007E7910">
        <w:t xml:space="preserve">(1), pp.1-19. Available at: </w:t>
      </w:r>
      <w:hyperlink r:id="rId18">
        <w:r w:rsidRPr="007E7910">
          <w:rPr>
            <w:color w:val="1155CC"/>
            <w:u w:val="single"/>
          </w:rPr>
          <w:t>https://doi.org/10.4018/IJABIM.325650</w:t>
        </w:r>
      </w:hyperlink>
      <w:r w:rsidRPr="007E7910">
        <w:t xml:space="preserve"> </w:t>
      </w:r>
    </w:p>
    <w:p w14:paraId="10C38302" w14:textId="77777777" w:rsidR="007E7910" w:rsidRPr="007E7910" w:rsidRDefault="007E7910" w:rsidP="00E809F6">
      <w:r w:rsidRPr="007E7910">
        <w:t xml:space="preserve">Cotič, L.P., Man, M.M.K., Soga, L.R., Konstantopoulou, A. and Lodorfos, G., (2025). Job characteristics for work engagement: autonomy, feedback, skill variety, task identity, and task significance. </w:t>
      </w:r>
      <w:r w:rsidRPr="007E7910">
        <w:rPr>
          <w:i/>
          <w:iCs/>
        </w:rPr>
        <w:t>Global Business and Organizational Excellence, 44</w:t>
      </w:r>
      <w:r w:rsidRPr="007E7910">
        <w:t xml:space="preserve">(5), pp.75-85. Available at: </w:t>
      </w:r>
      <w:hyperlink r:id="rId19">
        <w:r w:rsidRPr="007E7910">
          <w:rPr>
            <w:color w:val="1155CC"/>
            <w:u w:val="single"/>
          </w:rPr>
          <w:t>https://doi.org/10.1002/joe.22295</w:t>
        </w:r>
      </w:hyperlink>
      <w:r w:rsidRPr="007E7910">
        <w:t xml:space="preserve"> </w:t>
      </w:r>
    </w:p>
    <w:p w14:paraId="3785A2F8" w14:textId="77777777" w:rsidR="007E7910" w:rsidRPr="007E7910" w:rsidRDefault="007E7910" w:rsidP="00E809F6">
      <w:r w:rsidRPr="007E7910">
        <w:t xml:space="preserve">Daher, M.M. and Ziade, F. (2023) 'Technology, workforce, and the future of sustainable work,' in </w:t>
      </w:r>
      <w:r w:rsidRPr="007E7910">
        <w:rPr>
          <w:i/>
          <w:iCs/>
        </w:rPr>
        <w:t>Contributions to environmental sciences &amp; innovative business technology</w:t>
      </w:r>
      <w:r w:rsidRPr="007E7910">
        <w:t xml:space="preserve">, pp. 119–136. Available at:  </w:t>
      </w:r>
      <w:hyperlink r:id="rId20">
        <w:r w:rsidRPr="007E7910">
          <w:rPr>
            <w:color w:val="1155CC"/>
            <w:u w:val="single"/>
          </w:rPr>
          <w:t>https://doi.org/10.1007/978-981-99-8572-2_6</w:t>
        </w:r>
      </w:hyperlink>
      <w:r w:rsidRPr="007E7910">
        <w:t xml:space="preserve">. </w:t>
      </w:r>
    </w:p>
    <w:p w14:paraId="1CC9C343" w14:textId="77777777" w:rsidR="007E7910" w:rsidRPr="007E7910" w:rsidRDefault="007E7910" w:rsidP="00E809F6">
      <w:r w:rsidRPr="007E7910">
        <w:t xml:space="preserve">Deloitte (2026) </w:t>
      </w:r>
      <w:r w:rsidRPr="007E7910">
        <w:rPr>
          <w:i/>
          <w:iCs/>
        </w:rPr>
        <w:t>The skills-based organization: A new operating model for work and the workforce</w:t>
      </w:r>
      <w:r w:rsidRPr="007E7910">
        <w:t xml:space="preserve">. Available at: </w:t>
      </w:r>
      <w:hyperlink r:id="rId21">
        <w:r w:rsidRPr="007E7910">
          <w:rPr>
            <w:color w:val="1155CC"/>
            <w:u w:val="single"/>
          </w:rPr>
          <w:t>https://www.deloitte.com/us/en/insights/topics/talent/organizational-skill-based-hiring.html</w:t>
        </w:r>
      </w:hyperlink>
      <w:r w:rsidRPr="007E7910">
        <w:t>. (Accessed: 2 July 2026)</w:t>
      </w:r>
    </w:p>
    <w:p w14:paraId="0354998A" w14:textId="77777777" w:rsidR="007E7910" w:rsidRPr="007E7910" w:rsidRDefault="007E7910" w:rsidP="00E809F6">
      <w:r w:rsidRPr="007E7910">
        <w:t xml:space="preserve">Frögéli, E., Jenner, B. and Gustavsson, P. (2023) 'Effectiveness of formal onboarding for facilitating organizational socialization: A systematic review,' </w:t>
      </w:r>
      <w:r w:rsidRPr="007E7910">
        <w:rPr>
          <w:i/>
          <w:iCs/>
        </w:rPr>
        <w:t>PLoS ONE</w:t>
      </w:r>
      <w:r w:rsidRPr="007E7910">
        <w:t xml:space="preserve">, 18(2), p. E0281823. Available at: </w:t>
      </w:r>
      <w:hyperlink r:id="rId22">
        <w:r w:rsidRPr="007E7910">
          <w:rPr>
            <w:color w:val="1155CC"/>
            <w:u w:val="single"/>
          </w:rPr>
          <w:t>https://doi.org/10.1371/journal.pone.0281823</w:t>
        </w:r>
      </w:hyperlink>
      <w:r w:rsidRPr="007E7910">
        <w:t xml:space="preserve"> </w:t>
      </w:r>
    </w:p>
    <w:p w14:paraId="5F92FF73" w14:textId="77777777" w:rsidR="007E7910" w:rsidRPr="007E7910" w:rsidRDefault="007E7910" w:rsidP="00E809F6">
      <w:r w:rsidRPr="007E7910">
        <w:t xml:space="preserve">Geldenhuys, M., Bakker, A.B. and Demerouti, E. (2020) 'How task, relational and cognitive crafting relate to job performance: a weekly diary study on the role of meaningfulness,' </w:t>
      </w:r>
      <w:r w:rsidRPr="007E7910">
        <w:rPr>
          <w:i/>
          <w:iCs/>
        </w:rPr>
        <w:t>European Journal of Work and Organizational Psychology</w:t>
      </w:r>
      <w:r w:rsidRPr="007E7910">
        <w:t xml:space="preserve">, 30(1), pp. 83–94. Available at: </w:t>
      </w:r>
      <w:hyperlink r:id="rId23">
        <w:r w:rsidRPr="007E7910">
          <w:rPr>
            <w:color w:val="1155CC"/>
            <w:u w:val="single"/>
          </w:rPr>
          <w:t>https://doi.org/10.1080/1359432x.2020.1825378</w:t>
        </w:r>
      </w:hyperlink>
      <w:r w:rsidRPr="007E7910">
        <w:t xml:space="preserve">. </w:t>
      </w:r>
    </w:p>
    <w:p w14:paraId="255EC116" w14:textId="77777777" w:rsidR="007E7910" w:rsidRPr="007E7910" w:rsidRDefault="007E7910" w:rsidP="00E809F6">
      <w:r w:rsidRPr="007E7910">
        <w:t xml:space="preserve">GOV UK (2026) </w:t>
      </w:r>
      <w:r w:rsidRPr="007E7910">
        <w:rPr>
          <w:i/>
          <w:iCs/>
        </w:rPr>
        <w:t>Employment Rights Act 1996</w:t>
      </w:r>
      <w:r w:rsidRPr="007E7910">
        <w:t xml:space="preserve">. Available at: </w:t>
      </w:r>
      <w:hyperlink r:id="rId24">
        <w:r w:rsidRPr="007E7910">
          <w:rPr>
            <w:color w:val="1155CC"/>
            <w:u w:val="single"/>
          </w:rPr>
          <w:t>https://www.legislation.gov.uk/ukpga/1996/18/contents</w:t>
        </w:r>
      </w:hyperlink>
      <w:r w:rsidRPr="007E7910">
        <w:t>.  (Accessed: 2 July 2026)</w:t>
      </w:r>
    </w:p>
    <w:p w14:paraId="3F223F76" w14:textId="77777777" w:rsidR="007E7910" w:rsidRPr="007E7910" w:rsidRDefault="007E7910" w:rsidP="00E809F6">
      <w:r w:rsidRPr="007E7910">
        <w:t xml:space="preserve">GOV UK (2026) </w:t>
      </w:r>
      <w:r w:rsidRPr="007E7910">
        <w:rPr>
          <w:i/>
          <w:iCs/>
        </w:rPr>
        <w:t>Equality Act 2010: guidance</w:t>
      </w:r>
      <w:r w:rsidRPr="007E7910">
        <w:t xml:space="preserve">. Available at: </w:t>
      </w:r>
      <w:hyperlink r:id="rId25">
        <w:r w:rsidRPr="007E7910">
          <w:rPr>
            <w:color w:val="1155CC"/>
            <w:u w:val="single"/>
          </w:rPr>
          <w:t>https://www.gov.uk/guidance/equality-act-2010-guidance</w:t>
        </w:r>
      </w:hyperlink>
      <w:r w:rsidRPr="007E7910">
        <w:t xml:space="preserve">. (Accessed: 2 July 2026) </w:t>
      </w:r>
    </w:p>
    <w:p w14:paraId="1FE95CDF" w14:textId="77777777" w:rsidR="007E7910" w:rsidRPr="007E7910" w:rsidRDefault="007E7910" w:rsidP="00E809F6">
      <w:r w:rsidRPr="007E7910">
        <w:t xml:space="preserve">Handayani, N.S., Cahaya, R. and Shaddiq, S., (2025). Integrating Human Resource Information Systems (HRIS) Into Industry 4.0 and Society 5.0: Toward A Smarter and More Strategic Human Capital Management. </w:t>
      </w:r>
      <w:r w:rsidRPr="007E7910">
        <w:rPr>
          <w:i/>
          <w:iCs/>
        </w:rPr>
        <w:t>AT-TAKLIM: Jurnal Pendidikan Multidisiplin, 2</w:t>
      </w:r>
      <w:r w:rsidRPr="007E7910">
        <w:t xml:space="preserve">(7), pp.349-366. Available at: </w:t>
      </w:r>
      <w:hyperlink r:id="rId26">
        <w:r w:rsidRPr="007E7910">
          <w:rPr>
            <w:color w:val="1155CC"/>
            <w:u w:val="single"/>
          </w:rPr>
          <w:t>https://journal.hasbaedukasi.co.id/index.php/at-taklim/article/download/700/647</w:t>
        </w:r>
      </w:hyperlink>
      <w:r w:rsidRPr="007E7910">
        <w:t xml:space="preserve"> </w:t>
      </w:r>
    </w:p>
    <w:p w14:paraId="569CAA08" w14:textId="77777777" w:rsidR="007E7910" w:rsidRPr="007E7910" w:rsidRDefault="007E7910" w:rsidP="00E809F6">
      <w:r w:rsidRPr="007E7910">
        <w:t xml:space="preserve">Letona-Ibañez, O., Martinez-Rodriguez, S., Ortiz-Marques, N., Carrasco, M. and Amillano, A., (2021). Job crafting and work engagement: The mediating role of work meaning. </w:t>
      </w:r>
      <w:r w:rsidRPr="007E7910">
        <w:rPr>
          <w:i/>
          <w:iCs/>
        </w:rPr>
        <w:t>International Journal of Environmental Research and Public Health, 18</w:t>
      </w:r>
      <w:r w:rsidRPr="007E7910">
        <w:t xml:space="preserve">(10), p.5383. Available at:  </w:t>
      </w:r>
      <w:hyperlink r:id="rId27">
        <w:r w:rsidRPr="007E7910">
          <w:rPr>
            <w:color w:val="1155CC"/>
            <w:u w:val="single"/>
          </w:rPr>
          <w:t>https://doi.org/10.3390/ijerph18105383</w:t>
        </w:r>
      </w:hyperlink>
      <w:r w:rsidRPr="007E7910">
        <w:t xml:space="preserve"> </w:t>
      </w:r>
    </w:p>
    <w:p w14:paraId="5333D8A3" w14:textId="77777777" w:rsidR="007E7910" w:rsidRPr="007E7910" w:rsidRDefault="007E7910" w:rsidP="00E809F6">
      <w:r w:rsidRPr="007E7910">
        <w:t xml:space="preserve">Miedema, E., Waschull, S. and Emmanouilidis, C. (2025) 'Towards trustworthy artificial intelligence for decision-making: A lifecycle perspective on knowledge- and data-driven artificial intelligence systems,' </w:t>
      </w:r>
      <w:r w:rsidRPr="007E7910">
        <w:rPr>
          <w:i/>
          <w:iCs/>
        </w:rPr>
        <w:t>Computers in Industry</w:t>
      </w:r>
      <w:r w:rsidRPr="007E7910">
        <w:t xml:space="preserve">, 174, p. 104409. Available at: </w:t>
      </w:r>
      <w:hyperlink r:id="rId28">
        <w:r w:rsidRPr="007E7910">
          <w:rPr>
            <w:color w:val="1155CC"/>
            <w:u w:val="single"/>
          </w:rPr>
          <w:t>https://doi.org/10.1016/j.compind.2025.104409</w:t>
        </w:r>
      </w:hyperlink>
      <w:r w:rsidRPr="007E7910">
        <w:t xml:space="preserve">. </w:t>
      </w:r>
    </w:p>
    <w:p w14:paraId="070AB5FE" w14:textId="77777777" w:rsidR="007E7910" w:rsidRPr="007E7910" w:rsidRDefault="007E7910" w:rsidP="00E809F6">
      <w:r w:rsidRPr="007E7910">
        <w:t xml:space="preserve">Mosquera, P. and Soares, M.E. (2025) 'Onboarding: a key to employee retention and workplace well-being,' </w:t>
      </w:r>
      <w:r w:rsidRPr="007E7910">
        <w:rPr>
          <w:i/>
          <w:iCs/>
        </w:rPr>
        <w:t>Review of Managerial Science</w:t>
      </w:r>
      <w:r w:rsidRPr="007E7910">
        <w:t xml:space="preserve">, 19(12), pp. 3687–3711. Available at: </w:t>
      </w:r>
      <w:hyperlink r:id="rId29">
        <w:r w:rsidRPr="007E7910">
          <w:rPr>
            <w:color w:val="1155CC"/>
            <w:u w:val="single"/>
          </w:rPr>
          <w:t>https://doi.org/10.1007/s11846-025-00864-3</w:t>
        </w:r>
      </w:hyperlink>
      <w:r w:rsidRPr="007E7910">
        <w:t xml:space="preserve">. </w:t>
      </w:r>
    </w:p>
    <w:p w14:paraId="40F47D68" w14:textId="77777777" w:rsidR="007E7910" w:rsidRPr="007E7910" w:rsidRDefault="007E7910" w:rsidP="00E809F6">
      <w:r w:rsidRPr="007E7910">
        <w:t xml:space="preserve">Nawaz, N., Arunachalam, H., Pathi, B.K. and Gajenderan, V., (2024). The adoption of artificial intelligence in human resources management practices. </w:t>
      </w:r>
      <w:r w:rsidRPr="007E7910">
        <w:rPr>
          <w:i/>
          <w:iCs/>
        </w:rPr>
        <w:t>International journal of information management data insights, 4</w:t>
      </w:r>
      <w:r w:rsidRPr="007E7910">
        <w:t xml:space="preserve">(1), p.100208. Available at: </w:t>
      </w:r>
      <w:hyperlink r:id="rId30">
        <w:r w:rsidRPr="007E7910">
          <w:rPr>
            <w:color w:val="1155CC"/>
            <w:u w:val="single"/>
          </w:rPr>
          <w:t>https://doi.org/10.1016/j.jjimei.2023.100208</w:t>
        </w:r>
      </w:hyperlink>
      <w:r w:rsidRPr="007E7910">
        <w:t xml:space="preserve"> </w:t>
      </w:r>
    </w:p>
    <w:p w14:paraId="7E7BD818" w14:textId="77777777" w:rsidR="007E7910" w:rsidRPr="007E7910" w:rsidRDefault="007E7910" w:rsidP="00E809F6">
      <w:r w:rsidRPr="007E7910">
        <w:t xml:space="preserve">Nie, T., Tian, M., Cai, M. and Yan, Q., (2023). Job autonomy and work meaning: Drivers of employee job-crafting behaviors in the VUCA times. </w:t>
      </w:r>
      <w:r w:rsidRPr="007E7910">
        <w:rPr>
          <w:i/>
          <w:iCs/>
        </w:rPr>
        <w:t>Behavioral Sciences, 13</w:t>
      </w:r>
      <w:r w:rsidRPr="007E7910">
        <w:t xml:space="preserve">(6), p.493. Available at:  </w:t>
      </w:r>
      <w:hyperlink r:id="rId31">
        <w:r w:rsidRPr="007E7910">
          <w:rPr>
            <w:color w:val="1155CC"/>
            <w:u w:val="single"/>
          </w:rPr>
          <w:t>https://doi.org/10.3390/bs13060493</w:t>
        </w:r>
      </w:hyperlink>
      <w:r w:rsidRPr="007E7910">
        <w:t xml:space="preserve"> </w:t>
      </w:r>
    </w:p>
    <w:p w14:paraId="701DFE56" w14:textId="77777777" w:rsidR="007E7910" w:rsidRPr="007E7910" w:rsidRDefault="007E7910" w:rsidP="00E809F6">
      <w:r w:rsidRPr="007E7910">
        <w:t>OECD (2024),</w:t>
      </w:r>
      <w:r w:rsidRPr="007E7910">
        <w:rPr>
          <w:i/>
          <w:iCs/>
        </w:rPr>
        <w:t xml:space="preserve"> Promoting Better Career Mobility for Longer Working Lives in the United Kingdom</w:t>
      </w:r>
      <w:r w:rsidRPr="007E7910">
        <w:t xml:space="preserve">, Ageing and Employment Policies, OECD Publishing, Paris, Available at: </w:t>
      </w:r>
      <w:hyperlink r:id="rId32">
        <w:r w:rsidRPr="007E7910">
          <w:rPr>
            <w:color w:val="1155CC"/>
            <w:u w:val="single"/>
          </w:rPr>
          <w:t>https://doi.org/10.1787/2b41ab8e-en</w:t>
        </w:r>
      </w:hyperlink>
      <w:r w:rsidRPr="007E7910">
        <w:t xml:space="preserve">. </w:t>
      </w:r>
    </w:p>
    <w:p w14:paraId="49B31F8E" w14:textId="77777777" w:rsidR="007E7910" w:rsidRPr="007E7910" w:rsidRDefault="007E7910" w:rsidP="00E809F6">
      <w:r w:rsidRPr="007E7910">
        <w:t>Orsini, C., Soto</w:t>
      </w:r>
      <w:r w:rsidRPr="007E7910">
        <w:rPr>
          <w:rFonts w:ascii="Cambria Math" w:hAnsi="Cambria Math" w:cs="Cambria Math"/>
        </w:rPr>
        <w:t>‐</w:t>
      </w:r>
      <w:r w:rsidRPr="007E7910">
        <w:t xml:space="preserve">Faúndez, N. and Taha, M.H. (2026) 'Structured Approaches to Reflection: models and applications for clinical educators’ professional development,' </w:t>
      </w:r>
      <w:r w:rsidRPr="007E7910">
        <w:rPr>
          <w:i/>
          <w:iCs/>
        </w:rPr>
        <w:t>European Journal of Dental Education</w:t>
      </w:r>
      <w:r w:rsidRPr="007E7910">
        <w:t xml:space="preserve"> [Preprint]. Available at: </w:t>
      </w:r>
      <w:hyperlink r:id="rId33">
        <w:r w:rsidRPr="007E7910">
          <w:rPr>
            <w:color w:val="1155CC"/>
            <w:u w:val="single"/>
          </w:rPr>
          <w:t>https://doi.org/10.1111/eje.70092</w:t>
        </w:r>
      </w:hyperlink>
      <w:r w:rsidRPr="007E7910">
        <w:t xml:space="preserve">. </w:t>
      </w:r>
    </w:p>
    <w:p w14:paraId="77CE5D3B" w14:textId="77777777" w:rsidR="007E7910" w:rsidRPr="007E7910" w:rsidRDefault="007E7910" w:rsidP="00E809F6">
      <w:r w:rsidRPr="007E7910">
        <w:t xml:space="preserve">Peltokorpi, V., Feng, J., Pustovit, S., Allen, D.G. and Rubenstein, A.L., (2022). The interactive effects of socialization tactics and work locus of control on newcomer work adjustment, job embeddedness, and voluntary turnover. </w:t>
      </w:r>
      <w:r w:rsidRPr="007E7910">
        <w:rPr>
          <w:i/>
          <w:iCs/>
        </w:rPr>
        <w:t>Human Relations, 75</w:t>
      </w:r>
      <w:r w:rsidRPr="007E7910">
        <w:t>(1), pp.177-202.</w:t>
      </w:r>
    </w:p>
    <w:p w14:paraId="42DB87AF" w14:textId="77777777" w:rsidR="007E7910" w:rsidRPr="007E7910" w:rsidRDefault="007E7910" w:rsidP="00E809F6">
      <w:r w:rsidRPr="007E7910">
        <w:t xml:space="preserve">Rani, B., Praveen, R.V.S., Alex, S., Mohiuddin, M.Q., HARALAYYA, B. and Chinthamu, N., (2024). Benefits of on boarding as an approach to sustaining human resources in organizations. </w:t>
      </w:r>
      <w:r w:rsidRPr="007E7910">
        <w:rPr>
          <w:i/>
          <w:iCs/>
        </w:rPr>
        <w:t>Bhadrappa and S., Deeja and Chinthamu, Narender, Benefits of on Boarding as an Approach to Sustaining Human Resources in Organizations (November 10, 2024). Accountancy Business and the Public Interest</w:t>
      </w:r>
      <w:r w:rsidRPr="007E7910">
        <w:t xml:space="preserve"> Theme, 2. Available at: </w:t>
      </w:r>
      <w:hyperlink r:id="rId34">
        <w:r w:rsidRPr="007E7910">
          <w:rPr>
            <w:color w:val="1155CC"/>
            <w:u w:val="single"/>
          </w:rPr>
          <w:t>https://abpi.uk/wp-content/uploads/2024/11/03AU2406.pdf</w:t>
        </w:r>
      </w:hyperlink>
      <w:r w:rsidRPr="007E7910">
        <w:t xml:space="preserve"> </w:t>
      </w:r>
    </w:p>
    <w:p w14:paraId="7AF12A19" w14:textId="77777777" w:rsidR="007E7910" w:rsidRPr="007E7910" w:rsidRDefault="007E7910" w:rsidP="00E809F6">
      <w:r w:rsidRPr="007E7910">
        <w:t xml:space="preserve">Ricciardelli, R. (2022). Socialization Across the Three Stages of the Correctional Services of Canada's Correctional Officer Training Program: An Ethnographic Study. </w:t>
      </w:r>
      <w:r w:rsidRPr="007E7910">
        <w:rPr>
          <w:i/>
          <w:iCs/>
        </w:rPr>
        <w:t>Qualitative Criminology (QC)</w:t>
      </w:r>
      <w:r w:rsidRPr="007E7910">
        <w:t xml:space="preserve">, 11(1), 3. Available at: </w:t>
      </w:r>
      <w:hyperlink r:id="rId35">
        <w:r w:rsidRPr="007E7910">
          <w:rPr>
            <w:color w:val="1155CC"/>
            <w:u w:val="single"/>
          </w:rPr>
          <w:t>https://dc.swosu.edu/cgi/viewcontent.cgi?article=1146&amp;context=qc</w:t>
        </w:r>
      </w:hyperlink>
      <w:r w:rsidRPr="007E7910">
        <w:t xml:space="preserve"> </w:t>
      </w:r>
    </w:p>
    <w:p w14:paraId="10E90602" w14:textId="77777777" w:rsidR="007E7910" w:rsidRPr="007E7910" w:rsidRDefault="007E7910" w:rsidP="00E809F6">
      <w:r w:rsidRPr="007E7910">
        <w:t xml:space="preserve">Rothwell, W. (2026) 'Talent deployment and workforce readiness in the AI era,' </w:t>
      </w:r>
      <w:r w:rsidRPr="007E7910">
        <w:rPr>
          <w:i/>
          <w:iCs/>
        </w:rPr>
        <w:t>International Journal of AI in Pedagogy Innovation and Learning Futures</w:t>
      </w:r>
      <w:r w:rsidRPr="007E7910">
        <w:t xml:space="preserve">, 2(1). Available at:  </w:t>
      </w:r>
      <w:hyperlink r:id="rId36">
        <w:r w:rsidRPr="007E7910">
          <w:rPr>
            <w:color w:val="1155CC"/>
            <w:u w:val="single"/>
          </w:rPr>
          <w:t>https://doi.org/10.46787/ijaipil.v2i1.7492</w:t>
        </w:r>
      </w:hyperlink>
      <w:r w:rsidRPr="007E7910">
        <w:t xml:space="preserve">. </w:t>
      </w:r>
    </w:p>
    <w:p w14:paraId="56983731" w14:textId="77777777" w:rsidR="007E7910" w:rsidRPr="007E7910" w:rsidRDefault="007E7910" w:rsidP="00E809F6">
      <w:r w:rsidRPr="007E7910">
        <w:t xml:space="preserve">Saxena, M., Bagga, T. and Gupta, S. (2021) 'Fearless path for human resource personnel’s through analytics: a study of recent tools and techniques of human resource analytics and its implication,' </w:t>
      </w:r>
      <w:r w:rsidRPr="007E7910">
        <w:rPr>
          <w:i/>
          <w:iCs/>
        </w:rPr>
        <w:t>International Journal of Information Technology</w:t>
      </w:r>
      <w:r w:rsidRPr="007E7910">
        <w:t xml:space="preserve">, 13(4), pp. 1649–1657. Available at:  </w:t>
      </w:r>
      <w:hyperlink r:id="rId37">
        <w:r w:rsidRPr="007E7910">
          <w:rPr>
            <w:color w:val="1155CC"/>
            <w:u w:val="single"/>
          </w:rPr>
          <w:t>https://doi.org/10.1007/s41870-021-00677-z</w:t>
        </w:r>
      </w:hyperlink>
      <w:r w:rsidRPr="007E7910">
        <w:t xml:space="preserve">. </w:t>
      </w:r>
    </w:p>
    <w:p w14:paraId="288A430C" w14:textId="77777777" w:rsidR="007E7910" w:rsidRPr="007E7910" w:rsidRDefault="007E7910" w:rsidP="00E809F6">
      <w:r w:rsidRPr="007E7910">
        <w:t xml:space="preserve">Siruri, M.M. and Cheche, S., (2021). Revisiting the Hackman and Oldham job characteristics model and Herzberg’s two factor theory: Propositions on how to make job enrichment effective in today’s organizations. </w:t>
      </w:r>
      <w:r w:rsidRPr="007E7910">
        <w:rPr>
          <w:i/>
          <w:iCs/>
        </w:rPr>
        <w:t>European Journal of Business and Management Research, 6</w:t>
      </w:r>
      <w:r w:rsidRPr="007E7910">
        <w:t xml:space="preserve">(2), pp.162-167. Available at: </w:t>
      </w:r>
      <w:hyperlink r:id="rId38">
        <w:r w:rsidRPr="007E7910">
          <w:rPr>
            <w:color w:val="1155CC"/>
            <w:u w:val="single"/>
          </w:rPr>
          <w:t>https://doi.org/10.24018/ejbmr.2021.6.2.767</w:t>
        </w:r>
      </w:hyperlink>
      <w:r w:rsidRPr="007E7910">
        <w:t xml:space="preserve"> </w:t>
      </w:r>
    </w:p>
    <w:p w14:paraId="5B3ADA95" w14:textId="77777777" w:rsidR="007E7910" w:rsidRPr="007E7910" w:rsidRDefault="007E7910" w:rsidP="00E809F6">
      <w:r w:rsidRPr="007E7910">
        <w:t>Takeuchi, T., Takeuchi, N. and Jung, Y. (2020) 'Toward a process model of newcomer socialization: Integrating pre</w:t>
      </w:r>
      <w:r w:rsidRPr="007E7910">
        <w:rPr>
          <w:rFonts w:ascii="Cambria Math" w:hAnsi="Cambria Math" w:cs="Cambria Math"/>
        </w:rPr>
        <w:t>‐</w:t>
      </w:r>
      <w:r w:rsidRPr="007E7910">
        <w:t xml:space="preserve"> and post</w:t>
      </w:r>
      <w:r w:rsidRPr="007E7910">
        <w:rPr>
          <w:rFonts w:ascii="Cambria Math" w:hAnsi="Cambria Math" w:cs="Cambria Math"/>
        </w:rPr>
        <w:t>‐</w:t>
      </w:r>
      <w:r w:rsidRPr="007E7910">
        <w:t xml:space="preserve">entry factors for newcomer adjustment,' </w:t>
      </w:r>
      <w:r w:rsidRPr="007E7910">
        <w:rPr>
          <w:i/>
          <w:iCs/>
        </w:rPr>
        <w:t>Human Resource Development Quarterly</w:t>
      </w:r>
      <w:r w:rsidRPr="007E7910">
        <w:t xml:space="preserve">, 32(3), pp. 391–418. Available at: </w:t>
      </w:r>
      <w:hyperlink r:id="rId39">
        <w:r w:rsidRPr="007E7910">
          <w:rPr>
            <w:color w:val="1155CC"/>
            <w:u w:val="single"/>
          </w:rPr>
          <w:t>https://doi.org/10.1002/hrdq.21420</w:t>
        </w:r>
      </w:hyperlink>
      <w:r w:rsidRPr="007E7910">
        <w:t xml:space="preserve">. </w:t>
      </w:r>
    </w:p>
    <w:p w14:paraId="7BE05AF2" w14:textId="77777777" w:rsidR="007E7910" w:rsidRPr="007E7910" w:rsidRDefault="007E7910" w:rsidP="00E809F6">
      <w:r w:rsidRPr="007E7910">
        <w:t xml:space="preserve">Topa, G., Aranda-Carmena, M. and De-Maria, B. (2022) 'Psychological Contract Breach and Outcomes: A Systematic Review of Reviews,' </w:t>
      </w:r>
      <w:r w:rsidRPr="007E7910">
        <w:rPr>
          <w:i/>
          <w:iCs/>
        </w:rPr>
        <w:t>International Journal of Environmental Research and Public Health</w:t>
      </w:r>
      <w:r w:rsidRPr="007E7910">
        <w:t xml:space="preserve">, 19(23), p. 15527. Available at: </w:t>
      </w:r>
      <w:hyperlink r:id="rId40">
        <w:r w:rsidRPr="007E7910">
          <w:rPr>
            <w:color w:val="1155CC"/>
            <w:u w:val="single"/>
          </w:rPr>
          <w:t>https://doi.org/10.3390/ijerph192315527</w:t>
        </w:r>
      </w:hyperlink>
      <w:r w:rsidRPr="007E7910">
        <w:t xml:space="preserve">. </w:t>
      </w:r>
    </w:p>
    <w:p w14:paraId="690DE76E" w14:textId="77777777" w:rsidR="007E7910" w:rsidRPr="007E7910" w:rsidRDefault="007E7910" w:rsidP="00E809F6">
      <w:r w:rsidRPr="007E7910">
        <w:t xml:space="preserve">Ugoani, J. (2023) 'Employee Motivation: Maslow’s Needs Theory and Human Behavior in Organizations,' </w:t>
      </w:r>
      <w:r w:rsidRPr="007E7910">
        <w:rPr>
          <w:i/>
          <w:iCs/>
        </w:rPr>
        <w:t>SSRN Electronic Journal</w:t>
      </w:r>
      <w:r w:rsidRPr="007E7910">
        <w:t xml:space="preserve"> [Preprint]. Available at: </w:t>
      </w:r>
      <w:hyperlink r:id="rId41">
        <w:r w:rsidRPr="007E7910">
          <w:rPr>
            <w:color w:val="1155CC"/>
            <w:u w:val="single"/>
          </w:rPr>
          <w:t>https://doi.org/10.2139/ssrn.4533426</w:t>
        </w:r>
      </w:hyperlink>
      <w:r w:rsidRPr="007E7910">
        <w:t xml:space="preserve">. </w:t>
      </w:r>
    </w:p>
    <w:p w14:paraId="557447FE" w14:textId="77777777" w:rsidR="007E7910" w:rsidRPr="007E7910" w:rsidRDefault="007E7910" w:rsidP="00E809F6">
      <w:r w:rsidRPr="007E7910">
        <w:t>Ulrich, D. (2017). Victory Through Organization: Why the War for Talent is Failing Your Company and What You Can Do About It. McGraw-Hill Education.</w:t>
      </w:r>
    </w:p>
    <w:p w14:paraId="68FABDBA" w14:textId="77777777" w:rsidR="007E7910" w:rsidRPr="007E7910" w:rsidRDefault="007E7910" w:rsidP="00E809F6">
      <w:r w:rsidRPr="007E7910">
        <w:t>Ulrich, D., Kryscynski, D., Ulrich, M., &amp;amp; Brockbank, W. (2017). HR from the Outside In: Six Competencies for the Future of Human Resources. McGraw-Hill.</w:t>
      </w:r>
    </w:p>
    <w:p w14:paraId="764D7C55" w14:textId="77777777" w:rsidR="007E7910" w:rsidRPr="007E7910" w:rsidRDefault="007E7910" w:rsidP="00E809F6">
      <w:r w:rsidRPr="007E7910">
        <w:t xml:space="preserve">van der Baan, N.A., Meinke, G., Virolainen, M.H., Beausaert, S. and Gast, I., (2025). Retention of newcomers and factors influencing turnover intentions and behaviour: a review of the literature. </w:t>
      </w:r>
      <w:r w:rsidRPr="007E7910">
        <w:rPr>
          <w:i/>
          <w:iCs/>
        </w:rPr>
        <w:t>Education+ Training, 67</w:t>
      </w:r>
      <w:r w:rsidRPr="007E7910">
        <w:t xml:space="preserve">(1), pp.107-136. Available at: </w:t>
      </w:r>
      <w:hyperlink r:id="rId42">
        <w:r w:rsidRPr="007E7910">
          <w:rPr>
            <w:color w:val="1155CC"/>
            <w:u w:val="single"/>
          </w:rPr>
          <w:t>https://doi.org/10.1108/ET-06-2023-0240</w:t>
        </w:r>
      </w:hyperlink>
      <w:r w:rsidRPr="007E7910">
        <w:t xml:space="preserve"> </w:t>
      </w:r>
    </w:p>
    <w:p w14:paraId="15A7BB13" w14:textId="77777777" w:rsidR="007E7910" w:rsidRPr="007E7910" w:rsidRDefault="007E7910" w:rsidP="00E809F6">
      <w:r w:rsidRPr="007E7910">
        <w:t xml:space="preserve">Wach, B.A., Wehner, M.C. and Kabst, R. (2021) 'Performance implications of the HR business partner model and the mediating role of internal efficiency: a comparison between Germany and the United Kingdom,' </w:t>
      </w:r>
      <w:r w:rsidRPr="007E7910">
        <w:rPr>
          <w:i/>
          <w:iCs/>
        </w:rPr>
        <w:t>The International Journal of Human Resource Management</w:t>
      </w:r>
      <w:r w:rsidRPr="007E7910">
        <w:t xml:space="preserve">, 33(20), pp. 4113–4150. Available at: </w:t>
      </w:r>
      <w:hyperlink r:id="rId43">
        <w:r w:rsidRPr="007E7910">
          <w:rPr>
            <w:color w:val="1155CC"/>
            <w:u w:val="single"/>
          </w:rPr>
          <w:t>https://doi.org/10.1080/09585192.2021.1943490</w:t>
        </w:r>
      </w:hyperlink>
      <w:r w:rsidRPr="007E7910">
        <w:t xml:space="preserve">. </w:t>
      </w:r>
    </w:p>
    <w:p w14:paraId="5EC0747C" w14:textId="77777777" w:rsidR="007E7910" w:rsidRPr="007E7910" w:rsidRDefault="007E7910" w:rsidP="00E809F6">
      <w:r w:rsidRPr="007E7910">
        <w:t xml:space="preserve">WEF (2025) </w:t>
      </w:r>
      <w:r w:rsidRPr="007E7910">
        <w:rPr>
          <w:i/>
          <w:iCs/>
        </w:rPr>
        <w:t>What is stakeholder capitalism? It’s History and Relevance</w:t>
      </w:r>
      <w:r w:rsidRPr="007E7910">
        <w:t xml:space="preserve">. Available at: </w:t>
      </w:r>
      <w:hyperlink r:id="rId44">
        <w:r w:rsidRPr="007E7910">
          <w:rPr>
            <w:color w:val="1155CC"/>
            <w:u w:val="single"/>
          </w:rPr>
          <w:t>https://www.weforum.org/stories/2021/01/klaus-schwab-on-what-is-stakeholder-capitalism-history-relevance/</w:t>
        </w:r>
      </w:hyperlink>
      <w:r w:rsidRPr="007E7910">
        <w:t>. (Accessed: 2 July 2026)</w:t>
      </w:r>
    </w:p>
    <w:p w14:paraId="184195D0" w14:textId="77777777" w:rsidR="007E7910" w:rsidRPr="007E7910" w:rsidRDefault="007E7910" w:rsidP="00E809F6">
      <w:r w:rsidRPr="007E7910">
        <w:t xml:space="preserve">Zhao, S., Ping, J., Zhu, H., Ji, W., Wang, Y. and Wang, Y., (2024). Job characteristics model-based study of the intrinsic motivations for primary care practitioners. </w:t>
      </w:r>
      <w:r w:rsidRPr="007E7910">
        <w:rPr>
          <w:i/>
          <w:iCs/>
        </w:rPr>
        <w:t>Chinese General Practice Journal, 1</w:t>
      </w:r>
      <w:r w:rsidRPr="007E7910">
        <w:t xml:space="preserve">(1), pp.3-10. Available at: </w:t>
      </w:r>
      <w:hyperlink r:id="rId45">
        <w:r w:rsidRPr="007E7910">
          <w:rPr>
            <w:color w:val="1155CC"/>
            <w:u w:val="single"/>
          </w:rPr>
          <w:t>https://doi.org/10.1016/j.cgpj.2024.03.004</w:t>
        </w:r>
      </w:hyperlink>
      <w:r w:rsidRPr="007E7910">
        <w:t xml:space="preserve"> </w:t>
      </w:r>
    </w:p>
    <w:p w14:paraId="271CFB18" w14:textId="77777777" w:rsidR="00335869" w:rsidRPr="007E7910" w:rsidRDefault="00335869" w:rsidP="00E809F6"/>
    <w:sectPr w:rsidR="00335869" w:rsidRPr="007E7910">
      <w:footerReference w:type="default" r:id="rId46"/>
      <w:footerReference w:type="first" r:id="rId47"/>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3D4572" w14:textId="77777777" w:rsidR="00006999" w:rsidRDefault="00006999">
      <w:pPr>
        <w:spacing w:line="240" w:lineRule="auto"/>
      </w:pPr>
      <w:r>
        <w:separator/>
      </w:r>
    </w:p>
  </w:endnote>
  <w:endnote w:type="continuationSeparator" w:id="0">
    <w:p w14:paraId="7CD62DCD" w14:textId="77777777" w:rsidR="00006999" w:rsidRDefault="0000699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9B4653FF-7AE8-41B7-9C26-759119C5C4E5}"/>
  </w:font>
  <w:font w:name="Calibri">
    <w:panose1 w:val="020F0502020204030204"/>
    <w:charset w:val="00"/>
    <w:family w:val="swiss"/>
    <w:pitch w:val="variable"/>
    <w:sig w:usb0="E4002EFF" w:usb1="C200247B" w:usb2="00000009" w:usb3="00000000" w:csb0="000001FF" w:csb1="00000000"/>
    <w:embedRegular r:id="rId2" w:fontKey="{1C55A5D7-3092-46FB-AD80-995593178D1A}"/>
  </w:font>
  <w:font w:name="Shruti">
    <w:panose1 w:val="020B0502040204020203"/>
    <w:charset w:val="00"/>
    <w:family w:val="swiss"/>
    <w:pitch w:val="variable"/>
    <w:sig w:usb0="00040003" w:usb1="00000000" w:usb2="00000000" w:usb3="00000000" w:csb0="00000001" w:csb1="00000000"/>
    <w:embedRegular r:id="rId3" w:fontKey="{A98FCF21-F87C-46CD-93D3-019ED8449C07}"/>
  </w:font>
  <w:font w:name="Cambria">
    <w:panose1 w:val="02040503050406030204"/>
    <w:charset w:val="00"/>
    <w:family w:val="roman"/>
    <w:pitch w:val="variable"/>
    <w:sig w:usb0="E00006FF" w:usb1="420024FF" w:usb2="02000000" w:usb3="00000000" w:csb0="0000019F" w:csb1="00000000"/>
    <w:embedRegular r:id="rId4" w:fontKey="{6031E03D-C262-46E8-9019-7A1DA84B27AC}"/>
  </w:font>
  <w:font w:name="Cambria Math">
    <w:panose1 w:val="02040503050406030204"/>
    <w:charset w:val="00"/>
    <w:family w:val="roman"/>
    <w:pitch w:val="variable"/>
    <w:sig w:usb0="E00006FF" w:usb1="420024FF" w:usb2="02000000" w:usb3="00000000" w:csb0="0000019F" w:csb1="00000000"/>
    <w:embedRegular r:id="rId5" w:fontKey="{5CD0EB4A-62C0-4C6B-B413-77CA6230452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977C27" w14:textId="77777777" w:rsidR="00335869" w:rsidRDefault="009E5DBE">
    <w:pPr>
      <w:jc w:val="right"/>
    </w:pPr>
    <w:r>
      <w:fldChar w:fldCharType="begin"/>
    </w:r>
    <w:r>
      <w:instrText>PAGE</w:instrText>
    </w:r>
    <w:r>
      <w:fldChar w:fldCharType="separate"/>
    </w:r>
    <w:r w:rsidR="00E809F6">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D74EE0" w14:textId="77777777" w:rsidR="00335869" w:rsidRDefault="0033586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50B407" w14:textId="77777777" w:rsidR="00006999" w:rsidRDefault="00006999">
      <w:pPr>
        <w:spacing w:line="240" w:lineRule="auto"/>
      </w:pPr>
      <w:r>
        <w:separator/>
      </w:r>
    </w:p>
  </w:footnote>
  <w:footnote w:type="continuationSeparator" w:id="0">
    <w:p w14:paraId="716C9433" w14:textId="77777777" w:rsidR="00006999" w:rsidRDefault="0000699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9D5AA8"/>
    <w:multiLevelType w:val="multilevel"/>
    <w:tmpl w:val="572825F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545481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32"/>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5869"/>
    <w:rsid w:val="00006999"/>
    <w:rsid w:val="00064F36"/>
    <w:rsid w:val="000A3262"/>
    <w:rsid w:val="000B5DD3"/>
    <w:rsid w:val="00335869"/>
    <w:rsid w:val="00357B5E"/>
    <w:rsid w:val="00562E5E"/>
    <w:rsid w:val="0059218B"/>
    <w:rsid w:val="006A1D96"/>
    <w:rsid w:val="00756922"/>
    <w:rsid w:val="00765329"/>
    <w:rsid w:val="007E7910"/>
    <w:rsid w:val="008D4918"/>
    <w:rsid w:val="00994A03"/>
    <w:rsid w:val="009E5DBE"/>
    <w:rsid w:val="00AB0D27"/>
    <w:rsid w:val="00C11A2A"/>
    <w:rsid w:val="00CA090F"/>
    <w:rsid w:val="00D95150"/>
    <w:rsid w:val="00E809F6"/>
    <w:rsid w:val="00E93384"/>
    <w:rsid w:val="00F274D8"/>
    <w:rsid w:val="00FD29DE"/>
  </w:rsids>
  <m:mathPr>
    <m:mathFont m:val="Cambria Math"/>
    <m:brkBin m:val="before"/>
    <m:brkBinSub m:val="--"/>
    <m:smallFrac m:val="0"/>
    <m:dispDef/>
    <m:lMargin m:val="0"/>
    <m:rMargin m:val="0"/>
    <m:defJc m:val="centerGroup"/>
    <m:wrapIndent m:val="1440"/>
    <m:intLim m:val="subSup"/>
    <m:naryLim m:val="undOvr"/>
  </m:mathPr>
  <w:themeFontLang w:val="en-GB"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F0296F"/>
  <w15:docId w15:val="{1209B63B-4B90-4F6E-9E31-0B384FE10B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spacing w:before="400" w:after="120"/>
      <w:outlineLvl w:val="0"/>
    </w:pPr>
    <w:rPr>
      <w:b/>
      <w:bCs/>
      <w:sz w:val="28"/>
      <w:szCs w:val="28"/>
    </w:rPr>
  </w:style>
  <w:style w:type="paragraph" w:styleId="Heading2">
    <w:name w:val="heading 2"/>
    <w:basedOn w:val="Normal"/>
    <w:next w:val="Normal"/>
    <w:pPr>
      <w:keepNext/>
      <w:keepLines/>
      <w:spacing w:before="360" w:after="120"/>
      <w:outlineLvl w:val="1"/>
    </w:pPr>
    <w:rPr>
      <w:b/>
      <w:bCs/>
      <w:i/>
      <w:iCs/>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357B5E"/>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57B5E"/>
    <w:rPr>
      <w:rFonts w:ascii="Segoe UI" w:hAnsi="Segoe UI" w:cs="Segoe UI"/>
      <w:sz w:val="18"/>
      <w:szCs w:val="18"/>
    </w:rPr>
  </w:style>
  <w:style w:type="paragraph" w:styleId="TOCHeading">
    <w:name w:val="TOC Heading"/>
    <w:basedOn w:val="Heading1"/>
    <w:next w:val="Normal"/>
    <w:uiPriority w:val="39"/>
    <w:unhideWhenUsed/>
    <w:qFormat/>
    <w:rsid w:val="00C11A2A"/>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C11A2A"/>
    <w:pPr>
      <w:spacing w:after="100"/>
    </w:pPr>
  </w:style>
  <w:style w:type="paragraph" w:styleId="TOC2">
    <w:name w:val="toc 2"/>
    <w:basedOn w:val="Normal"/>
    <w:next w:val="Normal"/>
    <w:autoRedefine/>
    <w:uiPriority w:val="39"/>
    <w:unhideWhenUsed/>
    <w:rsid w:val="00C11A2A"/>
    <w:pPr>
      <w:spacing w:after="100"/>
      <w:ind w:left="240"/>
    </w:pPr>
  </w:style>
  <w:style w:type="character" w:styleId="Hyperlink">
    <w:name w:val="Hyperlink"/>
    <w:basedOn w:val="DefaultParagraphFont"/>
    <w:uiPriority w:val="99"/>
    <w:unhideWhenUsed/>
    <w:rsid w:val="00C11A2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1146/annurev-orgpsych-041015-062322" TargetMode="External"/><Relationship Id="rId18" Type="http://schemas.openxmlformats.org/officeDocument/2006/relationships/hyperlink" Target="https://doi.org/10.4018/IJABIM.325650" TargetMode="External"/><Relationship Id="rId26" Type="http://schemas.openxmlformats.org/officeDocument/2006/relationships/hyperlink" Target="https://journal.hasbaedukasi.co.id/index.php/at-taklim/article/download/700/647" TargetMode="External"/><Relationship Id="rId39" Type="http://schemas.openxmlformats.org/officeDocument/2006/relationships/hyperlink" Target="https://doi.org/10.1002/hrdq.21420" TargetMode="External"/><Relationship Id="rId21" Type="http://schemas.openxmlformats.org/officeDocument/2006/relationships/hyperlink" Target="https://www.deloitte.com/us/en/insights/topics/talent/organizational-skill-based-hiring.html" TargetMode="External"/><Relationship Id="rId34" Type="http://schemas.openxmlformats.org/officeDocument/2006/relationships/hyperlink" Target="https://abpi.uk/wp-content/uploads/2024/11/03AU2406.pdf" TargetMode="External"/><Relationship Id="rId42" Type="http://schemas.openxmlformats.org/officeDocument/2006/relationships/hyperlink" Target="https://doi.org/10.1108/ET-06-2023-0240" TargetMode="External"/><Relationship Id="rId47"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177/01492063241277168" TargetMode="External"/><Relationship Id="rId29" Type="http://schemas.openxmlformats.org/officeDocument/2006/relationships/hyperlink" Target="https://doi.org/10.1007/s11846-025-00864-3" TargetMode="External"/><Relationship Id="rId11" Type="http://schemas.openxmlformats.org/officeDocument/2006/relationships/image" Target="media/image4.png"/><Relationship Id="rId24" Type="http://schemas.openxmlformats.org/officeDocument/2006/relationships/hyperlink" Target="https://www.legislation.gov.uk/ukpga/1996/18/contents" TargetMode="External"/><Relationship Id="rId32" Type="http://schemas.openxmlformats.org/officeDocument/2006/relationships/hyperlink" Target="https://doi.org/10.1787/2b41ab8e-en" TargetMode="External"/><Relationship Id="rId37" Type="http://schemas.openxmlformats.org/officeDocument/2006/relationships/hyperlink" Target="https://doi.org/10.1007/s41870-021-00677-z" TargetMode="External"/><Relationship Id="rId40" Type="http://schemas.openxmlformats.org/officeDocument/2006/relationships/hyperlink" Target="https://doi.org/10.3390/ijerph192315527" TargetMode="External"/><Relationship Id="rId45" Type="http://schemas.openxmlformats.org/officeDocument/2006/relationships/hyperlink" Target="https://doi.org/10.1016/j.cgpj.2024.03.004" TargetMode="External"/><Relationship Id="rId5" Type="http://schemas.openxmlformats.org/officeDocument/2006/relationships/webSettings" Target="webSettings.xml"/><Relationship Id="rId15" Type="http://schemas.openxmlformats.org/officeDocument/2006/relationships/hyperlink" Target="https://doi.org/10.1002/hrm.70008" TargetMode="External"/><Relationship Id="rId23" Type="http://schemas.openxmlformats.org/officeDocument/2006/relationships/hyperlink" Target="https://doi.org/10.1080/1359432x.2020.1825378" TargetMode="External"/><Relationship Id="rId28" Type="http://schemas.openxmlformats.org/officeDocument/2006/relationships/hyperlink" Target="https://doi.org/10.1016/j.compind.2025.104409" TargetMode="External"/><Relationship Id="rId36" Type="http://schemas.openxmlformats.org/officeDocument/2006/relationships/hyperlink" Target="https://doi.org/10.46787/ijaipil.v2i1.7492" TargetMode="External"/><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doi.org/10.1002/joe.22295" TargetMode="External"/><Relationship Id="rId31" Type="http://schemas.openxmlformats.org/officeDocument/2006/relationships/hyperlink" Target="https://doi.org/10.3390/bs13060493" TargetMode="External"/><Relationship Id="rId44" Type="http://schemas.openxmlformats.org/officeDocument/2006/relationships/hyperlink" Target="https://www.weforum.org/stories/2021/01/klaus-schwab-on-what-is-stakeholder-capitalism-history-relevanc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mitsloan.mit.edu/ideas-made-to-matter/to-keep-employees-focus-career-advancement" TargetMode="External"/><Relationship Id="rId22" Type="http://schemas.openxmlformats.org/officeDocument/2006/relationships/hyperlink" Target="https://doi.org/10.1371/journal.pone.0281823" TargetMode="External"/><Relationship Id="rId27" Type="http://schemas.openxmlformats.org/officeDocument/2006/relationships/hyperlink" Target="https://doi.org/10.3390/ijerph18105383" TargetMode="External"/><Relationship Id="rId30" Type="http://schemas.openxmlformats.org/officeDocument/2006/relationships/hyperlink" Target="https://doi.org/10.1016/j.jjimei.2023.100208" TargetMode="External"/><Relationship Id="rId35" Type="http://schemas.openxmlformats.org/officeDocument/2006/relationships/hyperlink" Target="https://dc.swosu.edu/cgi/viewcontent.cgi?article=1146&amp;context=qc" TargetMode="External"/><Relationship Id="rId43" Type="http://schemas.openxmlformats.org/officeDocument/2006/relationships/hyperlink" Target="https://doi.org/10.1080/09585192.2021.1943490" TargetMode="External"/><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preprints.org/frontend/manuscript/0efb9e3ee7ecb8fa484efd3f880e3d16/download_pub" TargetMode="External"/><Relationship Id="rId17" Type="http://schemas.openxmlformats.org/officeDocument/2006/relationships/hyperlink" Target="https://doi.org/10.1108/JMP-08-2019-0485" TargetMode="External"/><Relationship Id="rId25" Type="http://schemas.openxmlformats.org/officeDocument/2006/relationships/hyperlink" Target="https://www.gov.uk/guidance/equality-act-2010-guidance" TargetMode="External"/><Relationship Id="rId33" Type="http://schemas.openxmlformats.org/officeDocument/2006/relationships/hyperlink" Target="https://doi.org/10.1111/eje.70092" TargetMode="External"/><Relationship Id="rId38" Type="http://schemas.openxmlformats.org/officeDocument/2006/relationships/hyperlink" Target="https://doi.org/10.24018/ejbmr.2021.6.2.767" TargetMode="External"/><Relationship Id="rId46" Type="http://schemas.openxmlformats.org/officeDocument/2006/relationships/footer" Target="footer1.xml"/><Relationship Id="rId20" Type="http://schemas.openxmlformats.org/officeDocument/2006/relationships/hyperlink" Target="https://doi.org/10.1007/978-981-99-8572-2_6" TargetMode="External"/><Relationship Id="rId41" Type="http://schemas.openxmlformats.org/officeDocument/2006/relationships/hyperlink" Target="https://doi.org/10.2139/ssrn.4533426" TargetMode="External"/><Relationship Id="rId1" Type="http://schemas.openxmlformats.org/officeDocument/2006/relationships/customXml" Target="../customXml/item1.xml"/><Relationship Id="rId6" Type="http://schemas.openxmlformats.org/officeDocument/2006/relationships/footnotes" Target="footnot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946407-10D9-4803-A4AC-B2AD6F0F36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5107</Words>
  <Characters>29116</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meet patel</dc:creator>
  <cp:lastModifiedBy>meet patel</cp:lastModifiedBy>
  <cp:revision>2</cp:revision>
  <dcterms:created xsi:type="dcterms:W3CDTF">2026-07-14T11:33:00Z</dcterms:created>
  <dcterms:modified xsi:type="dcterms:W3CDTF">2026-07-14T11:33:00Z</dcterms:modified>
</cp:coreProperties>
</file>