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02F29D10" w:rsidR="008A5125" w:rsidRDefault="45E19258" w:rsidP="7B104026">
      <w:pPr>
        <w:spacing w:line="360" w:lineRule="auto"/>
        <w:rPr>
          <w:b/>
          <w:bCs/>
          <w:sz w:val="40"/>
          <w:szCs w:val="40"/>
        </w:rPr>
      </w:pPr>
      <w:r w:rsidRPr="7B104026">
        <w:rPr>
          <w:b/>
          <w:bCs/>
          <w:sz w:val="40"/>
          <w:szCs w:val="40"/>
        </w:rPr>
        <w:t xml:space="preserve">STAKEHOLDER </w:t>
      </w:r>
      <w:r w:rsidR="00993172">
        <w:rPr>
          <w:b/>
          <w:bCs/>
          <w:sz w:val="40"/>
          <w:szCs w:val="40"/>
        </w:rPr>
        <w:t>ENGAGEMENT</w:t>
      </w:r>
      <w:r w:rsidRPr="7B104026">
        <w:rPr>
          <w:b/>
          <w:bCs/>
          <w:sz w:val="40"/>
          <w:szCs w:val="40"/>
        </w:rPr>
        <w:t xml:space="preserve"> PLAN PORTFOLIO</w:t>
      </w:r>
    </w:p>
    <w:p w14:paraId="3A5EF65F" w14:textId="1AD63F37" w:rsidR="45E19258" w:rsidRDefault="45E19258" w:rsidP="7B104026">
      <w:pPr>
        <w:spacing w:line="360" w:lineRule="auto"/>
        <w:rPr>
          <w:b/>
          <w:bCs/>
          <w:sz w:val="40"/>
          <w:szCs w:val="40"/>
        </w:rPr>
      </w:pPr>
      <w:r w:rsidRPr="7B104026">
        <w:rPr>
          <w:b/>
          <w:bCs/>
          <w:sz w:val="40"/>
          <w:szCs w:val="40"/>
        </w:rPr>
        <w:t>PROPOSED LOCAL INFRASTRUCTURE PROJECT: DEVELOPMENT OF A COMMUNITY DIGITAL HUB</w:t>
      </w:r>
    </w:p>
    <w:p w14:paraId="0D69D99C" w14:textId="6E892546" w:rsidR="45E19258" w:rsidRDefault="45E19258" w:rsidP="7B104026">
      <w:pPr>
        <w:spacing w:line="360" w:lineRule="auto"/>
        <w:rPr>
          <w:b/>
          <w:bCs/>
          <w:sz w:val="40"/>
          <w:szCs w:val="40"/>
        </w:rPr>
      </w:pPr>
      <w:r w:rsidRPr="7B104026">
        <w:rPr>
          <w:b/>
          <w:bCs/>
          <w:sz w:val="40"/>
          <w:szCs w:val="40"/>
        </w:rPr>
        <w:t>LCBB4013 STAKEHOLDER MANAGEMENT</w:t>
      </w:r>
    </w:p>
    <w:p w14:paraId="0A379E75" w14:textId="5FE68B69" w:rsidR="45E19258" w:rsidRDefault="45E19258" w:rsidP="7B104026">
      <w:pPr>
        <w:spacing w:line="360" w:lineRule="auto"/>
        <w:rPr>
          <w:b/>
          <w:bCs/>
          <w:sz w:val="40"/>
          <w:szCs w:val="40"/>
        </w:rPr>
      </w:pPr>
      <w:r w:rsidRPr="7B104026">
        <w:rPr>
          <w:b/>
          <w:bCs/>
          <w:sz w:val="40"/>
          <w:szCs w:val="40"/>
        </w:rPr>
        <w:t>GHEORGHE MOLDOVAN</w:t>
      </w:r>
    </w:p>
    <w:p w14:paraId="0CDEB776" w14:textId="51DB01DC" w:rsidR="45E19258" w:rsidRDefault="45E19258" w:rsidP="7B104026">
      <w:pPr>
        <w:spacing w:line="360" w:lineRule="auto"/>
        <w:rPr>
          <w:b/>
          <w:bCs/>
          <w:sz w:val="40"/>
          <w:szCs w:val="40"/>
        </w:rPr>
      </w:pPr>
      <w:r w:rsidRPr="7B104026">
        <w:rPr>
          <w:b/>
          <w:bCs/>
          <w:sz w:val="40"/>
          <w:szCs w:val="40"/>
        </w:rPr>
        <w:t>STUDENT ID:</w:t>
      </w:r>
      <w:r w:rsidR="424AF803" w:rsidRPr="7B104026">
        <w:rPr>
          <w:b/>
          <w:bCs/>
          <w:sz w:val="40"/>
          <w:szCs w:val="40"/>
        </w:rPr>
        <w:t xml:space="preserve"> 2236340</w:t>
      </w:r>
    </w:p>
    <w:p w14:paraId="78465EDE" w14:textId="1E30A6CE" w:rsidR="7B104026" w:rsidRPr="00993172" w:rsidRDefault="7B104026" w:rsidP="7B104026">
      <w:pPr>
        <w:spacing w:line="360" w:lineRule="auto"/>
        <w:rPr>
          <w:b/>
          <w:bCs/>
        </w:rPr>
      </w:pPr>
      <w:r w:rsidRPr="00993172">
        <w:rPr>
          <w:b/>
          <w:bCs/>
        </w:rPr>
        <w:br w:type="page"/>
      </w:r>
      <w:r w:rsidR="00993172" w:rsidRPr="00993172">
        <w:rPr>
          <w:b/>
          <w:bCs/>
        </w:rPr>
        <w:t>TABLE OF CONTENTS</w:t>
      </w:r>
    </w:p>
    <w:sdt>
      <w:sdtPr>
        <w:id w:val="1778154256"/>
        <w:docPartObj>
          <w:docPartGallery w:val="Table of Contents"/>
          <w:docPartUnique/>
        </w:docPartObj>
      </w:sdtPr>
      <w:sdtEndPr/>
      <w:sdtContent>
        <w:p w14:paraId="7AB9FF99" w14:textId="29748539" w:rsidR="7B104026" w:rsidRDefault="7B104026" w:rsidP="7B104026">
          <w:pPr>
            <w:pStyle w:val="TOC1"/>
            <w:tabs>
              <w:tab w:val="right" w:leader="dot" w:pos="9360"/>
            </w:tabs>
            <w:rPr>
              <w:rStyle w:val="Hyperlink"/>
            </w:rPr>
          </w:pPr>
          <w:r>
            <w:fldChar w:fldCharType="begin"/>
          </w:r>
          <w:r>
            <w:instrText>TOC \o "1-9" \z \u \h</w:instrText>
          </w:r>
          <w:r>
            <w:fldChar w:fldCharType="separate"/>
          </w:r>
          <w:hyperlink w:anchor="_Toc1000105121">
            <w:r w:rsidRPr="7B104026">
              <w:rPr>
                <w:rStyle w:val="Hyperlink"/>
              </w:rPr>
              <w:t>Element 1: Introduction</w:t>
            </w:r>
            <w:r>
              <w:tab/>
            </w:r>
            <w:r>
              <w:fldChar w:fldCharType="begin"/>
            </w:r>
            <w:r>
              <w:instrText>PAGEREF _Toc1000105121 \h</w:instrText>
            </w:r>
            <w:r>
              <w:fldChar w:fldCharType="separate"/>
            </w:r>
            <w:r w:rsidRPr="7B104026">
              <w:rPr>
                <w:rStyle w:val="Hyperlink"/>
              </w:rPr>
              <w:t>2</w:t>
            </w:r>
            <w:r>
              <w:fldChar w:fldCharType="end"/>
            </w:r>
          </w:hyperlink>
        </w:p>
        <w:p w14:paraId="2735265F" w14:textId="54689801" w:rsidR="7B104026" w:rsidRDefault="7B104026" w:rsidP="7B104026">
          <w:pPr>
            <w:pStyle w:val="TOC1"/>
            <w:tabs>
              <w:tab w:val="right" w:leader="dot" w:pos="9360"/>
            </w:tabs>
            <w:rPr>
              <w:rStyle w:val="Hyperlink"/>
            </w:rPr>
          </w:pPr>
          <w:hyperlink w:anchor="_Toc193936866">
            <w:r w:rsidRPr="7B104026">
              <w:rPr>
                <w:rStyle w:val="Hyperlink"/>
              </w:rPr>
              <w:t>Element 2: Application Including Stakeholder Engagement Strategies</w:t>
            </w:r>
            <w:r>
              <w:tab/>
            </w:r>
            <w:r>
              <w:fldChar w:fldCharType="begin"/>
            </w:r>
            <w:r>
              <w:instrText>PAGEREF _Toc193936866 \h</w:instrText>
            </w:r>
            <w:r>
              <w:fldChar w:fldCharType="separate"/>
            </w:r>
            <w:r w:rsidRPr="7B104026">
              <w:rPr>
                <w:rStyle w:val="Hyperlink"/>
              </w:rPr>
              <w:t>4</w:t>
            </w:r>
            <w:r>
              <w:fldChar w:fldCharType="end"/>
            </w:r>
          </w:hyperlink>
        </w:p>
        <w:p w14:paraId="4CF4BD9E" w14:textId="73819A97" w:rsidR="7B104026" w:rsidRDefault="7B104026" w:rsidP="7B104026">
          <w:pPr>
            <w:pStyle w:val="TOC2"/>
            <w:tabs>
              <w:tab w:val="right" w:leader="dot" w:pos="9360"/>
            </w:tabs>
            <w:rPr>
              <w:rStyle w:val="Hyperlink"/>
            </w:rPr>
          </w:pPr>
          <w:hyperlink w:anchor="_Toc41627624">
            <w:r w:rsidRPr="7B104026">
              <w:rPr>
                <w:rStyle w:val="Hyperlink"/>
              </w:rPr>
              <w:t>2.1 Stakeholder Engagement in Community Digital Infrastructure Projects</w:t>
            </w:r>
            <w:r>
              <w:tab/>
            </w:r>
            <w:r>
              <w:fldChar w:fldCharType="begin"/>
            </w:r>
            <w:r>
              <w:instrText>PAGEREF _Toc41627624 \h</w:instrText>
            </w:r>
            <w:r>
              <w:fldChar w:fldCharType="separate"/>
            </w:r>
            <w:r w:rsidRPr="7B104026">
              <w:rPr>
                <w:rStyle w:val="Hyperlink"/>
              </w:rPr>
              <w:t>4</w:t>
            </w:r>
            <w:r>
              <w:fldChar w:fldCharType="end"/>
            </w:r>
          </w:hyperlink>
        </w:p>
        <w:p w14:paraId="0E4A7A41" w14:textId="48D38681" w:rsidR="7B104026" w:rsidRDefault="7B104026" w:rsidP="7B104026">
          <w:pPr>
            <w:pStyle w:val="TOC2"/>
            <w:tabs>
              <w:tab w:val="right" w:leader="dot" w:pos="9360"/>
            </w:tabs>
            <w:rPr>
              <w:rStyle w:val="Hyperlink"/>
            </w:rPr>
          </w:pPr>
          <w:hyperlink w:anchor="_Toc958442654">
            <w:r w:rsidRPr="7B104026">
              <w:rPr>
                <w:rStyle w:val="Hyperlink"/>
              </w:rPr>
              <w:t>2.2 Power, Interest and Influence Analysis</w:t>
            </w:r>
            <w:r>
              <w:tab/>
            </w:r>
            <w:r>
              <w:fldChar w:fldCharType="begin"/>
            </w:r>
            <w:r>
              <w:instrText>PAGEREF _Toc958442654 \h</w:instrText>
            </w:r>
            <w:r>
              <w:fldChar w:fldCharType="separate"/>
            </w:r>
            <w:r w:rsidRPr="7B104026">
              <w:rPr>
                <w:rStyle w:val="Hyperlink"/>
              </w:rPr>
              <w:t>5</w:t>
            </w:r>
            <w:r>
              <w:fldChar w:fldCharType="end"/>
            </w:r>
          </w:hyperlink>
        </w:p>
        <w:p w14:paraId="394477AD" w14:textId="75F33A5C" w:rsidR="7B104026" w:rsidRDefault="7B104026" w:rsidP="7B104026">
          <w:pPr>
            <w:pStyle w:val="TOC2"/>
            <w:tabs>
              <w:tab w:val="right" w:leader="dot" w:pos="9360"/>
            </w:tabs>
            <w:rPr>
              <w:rStyle w:val="Hyperlink"/>
            </w:rPr>
          </w:pPr>
          <w:hyperlink w:anchor="_Toc1885074962">
            <w:r w:rsidRPr="7B104026">
              <w:rPr>
                <w:rStyle w:val="Hyperlink"/>
              </w:rPr>
              <w:t>2.3 Stakeholder Mapping and Engagement Prioritisation</w:t>
            </w:r>
            <w:r>
              <w:tab/>
            </w:r>
            <w:r>
              <w:fldChar w:fldCharType="begin"/>
            </w:r>
            <w:r>
              <w:instrText>PAGEREF _Toc1885074962 \h</w:instrText>
            </w:r>
            <w:r>
              <w:fldChar w:fldCharType="separate"/>
            </w:r>
            <w:r w:rsidRPr="7B104026">
              <w:rPr>
                <w:rStyle w:val="Hyperlink"/>
              </w:rPr>
              <w:t>6</w:t>
            </w:r>
            <w:r>
              <w:fldChar w:fldCharType="end"/>
            </w:r>
          </w:hyperlink>
        </w:p>
        <w:p w14:paraId="1C1CA836" w14:textId="3B5E16D4" w:rsidR="7B104026" w:rsidRDefault="7B104026" w:rsidP="7B104026">
          <w:pPr>
            <w:pStyle w:val="TOC2"/>
            <w:tabs>
              <w:tab w:val="right" w:leader="dot" w:pos="9360"/>
            </w:tabs>
            <w:rPr>
              <w:rStyle w:val="Hyperlink"/>
            </w:rPr>
          </w:pPr>
          <w:hyperlink w:anchor="_Toc1383956417">
            <w:r w:rsidRPr="7B104026">
              <w:rPr>
                <w:rStyle w:val="Hyperlink"/>
              </w:rPr>
              <w:t>2.4 Communication Plan</w:t>
            </w:r>
            <w:r>
              <w:tab/>
            </w:r>
            <w:r>
              <w:fldChar w:fldCharType="begin"/>
            </w:r>
            <w:r>
              <w:instrText>PAGEREF _Toc1383956417 \h</w:instrText>
            </w:r>
            <w:r>
              <w:fldChar w:fldCharType="separate"/>
            </w:r>
            <w:r w:rsidRPr="7B104026">
              <w:rPr>
                <w:rStyle w:val="Hyperlink"/>
              </w:rPr>
              <w:t>7</w:t>
            </w:r>
            <w:r>
              <w:fldChar w:fldCharType="end"/>
            </w:r>
          </w:hyperlink>
        </w:p>
        <w:p w14:paraId="35703275" w14:textId="2CF9897E" w:rsidR="7B104026" w:rsidRDefault="7B104026" w:rsidP="7B104026">
          <w:pPr>
            <w:pStyle w:val="TOC2"/>
            <w:tabs>
              <w:tab w:val="right" w:leader="dot" w:pos="9360"/>
            </w:tabs>
            <w:rPr>
              <w:rStyle w:val="Hyperlink"/>
            </w:rPr>
          </w:pPr>
          <w:hyperlink w:anchor="_Toc1363628618">
            <w:r w:rsidRPr="7B104026">
              <w:rPr>
                <w:rStyle w:val="Hyperlink"/>
              </w:rPr>
              <w:t>2.5 Consultation Strategy and Justification</w:t>
            </w:r>
            <w:r>
              <w:tab/>
            </w:r>
            <w:r>
              <w:fldChar w:fldCharType="begin"/>
            </w:r>
            <w:r>
              <w:instrText>PAGEREF _Toc1363628618 \h</w:instrText>
            </w:r>
            <w:r>
              <w:fldChar w:fldCharType="separate"/>
            </w:r>
            <w:r w:rsidRPr="7B104026">
              <w:rPr>
                <w:rStyle w:val="Hyperlink"/>
              </w:rPr>
              <w:t>7</w:t>
            </w:r>
            <w:r>
              <w:fldChar w:fldCharType="end"/>
            </w:r>
          </w:hyperlink>
        </w:p>
        <w:p w14:paraId="70B4EE56" w14:textId="7F452783" w:rsidR="7B104026" w:rsidRDefault="7B104026" w:rsidP="7B104026">
          <w:pPr>
            <w:pStyle w:val="TOC1"/>
            <w:tabs>
              <w:tab w:val="right" w:leader="dot" w:pos="9360"/>
            </w:tabs>
            <w:rPr>
              <w:rStyle w:val="Hyperlink"/>
            </w:rPr>
          </w:pPr>
          <w:hyperlink w:anchor="_Toc1776869280">
            <w:r w:rsidRPr="7B104026">
              <w:rPr>
                <w:rStyle w:val="Hyperlink"/>
              </w:rPr>
              <w:t>Element 3: Ethical Considerations in Stakeholder Consultation, Participation and Feedback</w:t>
            </w:r>
            <w:r>
              <w:tab/>
            </w:r>
            <w:r>
              <w:fldChar w:fldCharType="begin"/>
            </w:r>
            <w:r>
              <w:instrText>PAGEREF _Toc1776869280 \h</w:instrText>
            </w:r>
            <w:r>
              <w:fldChar w:fldCharType="separate"/>
            </w:r>
            <w:r w:rsidRPr="7B104026">
              <w:rPr>
                <w:rStyle w:val="Hyperlink"/>
              </w:rPr>
              <w:t>8</w:t>
            </w:r>
            <w:r>
              <w:fldChar w:fldCharType="end"/>
            </w:r>
          </w:hyperlink>
        </w:p>
        <w:p w14:paraId="5117D890" w14:textId="5619BC8D" w:rsidR="7B104026" w:rsidRDefault="7B104026" w:rsidP="7B104026">
          <w:pPr>
            <w:pStyle w:val="TOC1"/>
            <w:tabs>
              <w:tab w:val="right" w:leader="dot" w:pos="9360"/>
            </w:tabs>
            <w:rPr>
              <w:rStyle w:val="Hyperlink"/>
            </w:rPr>
          </w:pPr>
          <w:hyperlink w:anchor="_Toc95020776">
            <w:r w:rsidRPr="7B104026">
              <w:rPr>
                <w:rStyle w:val="Hyperlink"/>
              </w:rPr>
              <w:t>Element 4: Conclusion and Reflection</w:t>
            </w:r>
            <w:r>
              <w:tab/>
            </w:r>
            <w:r>
              <w:fldChar w:fldCharType="begin"/>
            </w:r>
            <w:r>
              <w:instrText>PAGEREF _Toc95020776 \h</w:instrText>
            </w:r>
            <w:r>
              <w:fldChar w:fldCharType="separate"/>
            </w:r>
            <w:r w:rsidRPr="7B104026">
              <w:rPr>
                <w:rStyle w:val="Hyperlink"/>
              </w:rPr>
              <w:t>10</w:t>
            </w:r>
            <w:r>
              <w:fldChar w:fldCharType="end"/>
            </w:r>
          </w:hyperlink>
        </w:p>
        <w:p w14:paraId="7BB149D3" w14:textId="1156C291" w:rsidR="7B104026" w:rsidRDefault="7B104026" w:rsidP="7B104026">
          <w:pPr>
            <w:pStyle w:val="TOC2"/>
            <w:tabs>
              <w:tab w:val="right" w:leader="dot" w:pos="9360"/>
            </w:tabs>
            <w:rPr>
              <w:rStyle w:val="Hyperlink"/>
            </w:rPr>
          </w:pPr>
          <w:hyperlink w:anchor="_Toc423509382">
            <w:r w:rsidRPr="7B104026">
              <w:rPr>
                <w:rStyle w:val="Hyperlink"/>
              </w:rPr>
              <w:t>4.1 Conclusion</w:t>
            </w:r>
            <w:r>
              <w:tab/>
            </w:r>
            <w:r>
              <w:fldChar w:fldCharType="begin"/>
            </w:r>
            <w:r>
              <w:instrText>PAGEREF _Toc423509382 \h</w:instrText>
            </w:r>
            <w:r>
              <w:fldChar w:fldCharType="separate"/>
            </w:r>
            <w:r w:rsidRPr="7B104026">
              <w:rPr>
                <w:rStyle w:val="Hyperlink"/>
              </w:rPr>
              <w:t>11</w:t>
            </w:r>
            <w:r>
              <w:fldChar w:fldCharType="end"/>
            </w:r>
          </w:hyperlink>
        </w:p>
        <w:p w14:paraId="47A63FE2" w14:textId="139F7F1F" w:rsidR="7B104026" w:rsidRDefault="7B104026" w:rsidP="7B104026">
          <w:pPr>
            <w:pStyle w:val="TOC2"/>
            <w:tabs>
              <w:tab w:val="right" w:leader="dot" w:pos="9360"/>
            </w:tabs>
            <w:rPr>
              <w:rStyle w:val="Hyperlink"/>
            </w:rPr>
          </w:pPr>
          <w:hyperlink w:anchor="_Toc2094709918">
            <w:r w:rsidRPr="7B104026">
              <w:rPr>
                <w:rStyle w:val="Hyperlink"/>
              </w:rPr>
              <w:t>4.2 Reflective Account</w:t>
            </w:r>
            <w:r>
              <w:tab/>
            </w:r>
            <w:r>
              <w:fldChar w:fldCharType="begin"/>
            </w:r>
            <w:r>
              <w:instrText>PAGEREF _Toc2094709918 \h</w:instrText>
            </w:r>
            <w:r>
              <w:fldChar w:fldCharType="separate"/>
            </w:r>
            <w:r w:rsidRPr="7B104026">
              <w:rPr>
                <w:rStyle w:val="Hyperlink"/>
              </w:rPr>
              <w:t>12</w:t>
            </w:r>
            <w:r>
              <w:fldChar w:fldCharType="end"/>
            </w:r>
          </w:hyperlink>
        </w:p>
        <w:p w14:paraId="3B66318E" w14:textId="13075B9F" w:rsidR="7B104026" w:rsidRDefault="7B104026" w:rsidP="7B104026">
          <w:pPr>
            <w:pStyle w:val="TOC1"/>
            <w:tabs>
              <w:tab w:val="right" w:leader="dot" w:pos="9360"/>
            </w:tabs>
            <w:rPr>
              <w:rStyle w:val="Hyperlink"/>
            </w:rPr>
          </w:pPr>
          <w:hyperlink w:anchor="_Toc788937719">
            <w:r w:rsidRPr="7B104026">
              <w:rPr>
                <w:rStyle w:val="Hyperlink"/>
              </w:rPr>
              <w:t>References</w:t>
            </w:r>
            <w:r>
              <w:tab/>
            </w:r>
            <w:r>
              <w:fldChar w:fldCharType="begin"/>
            </w:r>
            <w:r>
              <w:instrText>PAGEREF _Toc788937719 \h</w:instrText>
            </w:r>
            <w:r>
              <w:fldChar w:fldCharType="separate"/>
            </w:r>
            <w:r w:rsidRPr="7B104026">
              <w:rPr>
                <w:rStyle w:val="Hyperlink"/>
              </w:rPr>
              <w:t>13</w:t>
            </w:r>
            <w:r>
              <w:fldChar w:fldCharType="end"/>
            </w:r>
          </w:hyperlink>
          <w:r>
            <w:fldChar w:fldCharType="end"/>
          </w:r>
        </w:p>
      </w:sdtContent>
    </w:sdt>
    <w:p w14:paraId="4E037A2F" w14:textId="1E6A932C" w:rsidR="7B104026" w:rsidRDefault="7B104026" w:rsidP="7B104026">
      <w:pPr>
        <w:spacing w:line="360" w:lineRule="auto"/>
      </w:pPr>
    </w:p>
    <w:p w14:paraId="06536FBD" w14:textId="184A857D" w:rsidR="7B104026" w:rsidRDefault="7B104026" w:rsidP="7B104026">
      <w:pPr>
        <w:spacing w:line="360" w:lineRule="auto"/>
      </w:pPr>
      <w:r w:rsidRPr="7B104026">
        <w:br w:type="page"/>
      </w:r>
    </w:p>
    <w:p w14:paraId="2DAFEDEE" w14:textId="04504B4B" w:rsidR="3ACB4002" w:rsidRDefault="3ACB4002" w:rsidP="7B104026">
      <w:pPr>
        <w:pStyle w:val="Heading1"/>
        <w:spacing w:line="360" w:lineRule="auto"/>
        <w:rPr>
          <w:rFonts w:asciiTheme="minorHAnsi" w:eastAsiaTheme="minorEastAsia" w:hAnsiTheme="minorHAnsi" w:cstheme="minorBidi"/>
          <w:b/>
          <w:bCs/>
          <w:color w:val="auto"/>
          <w:sz w:val="24"/>
          <w:szCs w:val="24"/>
        </w:rPr>
      </w:pPr>
      <w:bookmarkStart w:id="0" w:name="_Toc1000105121"/>
      <w:r w:rsidRPr="7B104026">
        <w:rPr>
          <w:rFonts w:asciiTheme="minorHAnsi" w:eastAsiaTheme="minorEastAsia" w:hAnsiTheme="minorHAnsi" w:cstheme="minorBidi"/>
          <w:b/>
          <w:bCs/>
          <w:color w:val="auto"/>
          <w:sz w:val="24"/>
          <w:szCs w:val="24"/>
        </w:rPr>
        <w:t>Element 1: Introduction</w:t>
      </w:r>
      <w:bookmarkEnd w:id="0"/>
    </w:p>
    <w:p w14:paraId="1FF30A68" w14:textId="6EEFC0C3" w:rsidR="7B104026" w:rsidRDefault="7B104026" w:rsidP="7B104026">
      <w:pPr>
        <w:spacing w:line="360" w:lineRule="auto"/>
      </w:pPr>
    </w:p>
    <w:p w14:paraId="1B006998" w14:textId="7927CEBC" w:rsidR="3ACB4002" w:rsidRDefault="3ACB4002" w:rsidP="7B104026">
      <w:pPr>
        <w:spacing w:line="360" w:lineRule="auto"/>
      </w:pPr>
      <w:r w:rsidRPr="7B104026">
        <w:t>Digital infrastructure functions as a basic system which enables economic growth and social equality through its delivery of vital public services. The Junior Stakeholder Manager at this consultancy organ</w:t>
      </w:r>
      <w:r w:rsidR="711864B8" w:rsidRPr="7B104026">
        <w:t>is</w:t>
      </w:r>
      <w:r w:rsidRPr="7B104026">
        <w:t>ation developed this portfolio to create a Stakeholder Management Plan for the proposed Community Digital Hub. The project demands construction of a particular local facility which will improve digital connectivity</w:t>
      </w:r>
      <w:r w:rsidR="781896D9" w:rsidRPr="7B104026">
        <w:t xml:space="preserve">, </w:t>
      </w:r>
      <w:r w:rsidRPr="7B104026">
        <w:t xml:space="preserve">technical </w:t>
      </w:r>
      <w:r w:rsidR="1F85B172" w:rsidRPr="7B104026">
        <w:t>skills,</w:t>
      </w:r>
      <w:r w:rsidRPr="7B104026">
        <w:t xml:space="preserve"> and social involvement of people who live in the area.</w:t>
      </w:r>
    </w:p>
    <w:p w14:paraId="0FAAB6C5" w14:textId="1CA35649" w:rsidR="3ACB4002" w:rsidRDefault="3ACB4002" w:rsidP="7B104026">
      <w:pPr>
        <w:spacing w:line="360" w:lineRule="auto"/>
      </w:pPr>
      <w:r w:rsidRPr="7B104026">
        <w:t>The proposed digital hub will be in a central community area and will provide public access to computers, high-speed internet, digital skills training rooms, co-working spaces and support services for job seekers, small businesses and vulnerable groups. The project exists to solve digital exclusion problems which mainly impact three groups of people who are low-income families</w:t>
      </w:r>
      <w:r w:rsidR="6DA06A06" w:rsidRPr="7B104026">
        <w:t xml:space="preserve">, </w:t>
      </w:r>
      <w:r w:rsidRPr="7B104026">
        <w:t xml:space="preserve">elderly </w:t>
      </w:r>
      <w:r w:rsidR="5892CF66" w:rsidRPr="7B104026">
        <w:t>citizens,</w:t>
      </w:r>
      <w:r w:rsidRPr="7B104026">
        <w:t xml:space="preserve"> and technology-limited individuals. The hub supports local authority goals which include economic development</w:t>
      </w:r>
      <w:r w:rsidR="31A6C6BD" w:rsidRPr="7B104026">
        <w:t xml:space="preserve">, </w:t>
      </w:r>
      <w:r w:rsidRPr="7B104026">
        <w:t>workforce development</w:t>
      </w:r>
      <w:r w:rsidR="10B4A62B" w:rsidRPr="7B104026">
        <w:t xml:space="preserve">, </w:t>
      </w:r>
      <w:r w:rsidRPr="7B104026">
        <w:t>education programs for all ages</w:t>
      </w:r>
      <w:r w:rsidR="42D33561" w:rsidRPr="7B104026">
        <w:t xml:space="preserve">, </w:t>
      </w:r>
      <w:r w:rsidRPr="7B104026">
        <w:t xml:space="preserve">social </w:t>
      </w:r>
      <w:r w:rsidR="30C7154C" w:rsidRPr="7B104026">
        <w:t>equity,</w:t>
      </w:r>
      <w:r w:rsidRPr="7B104026">
        <w:t xml:space="preserve"> and national efforts to minimi</w:t>
      </w:r>
      <w:r w:rsidR="2AE17AE4" w:rsidRPr="7B104026">
        <w:t>s</w:t>
      </w:r>
      <w:r w:rsidRPr="7B104026">
        <w:t>e digital access inequalities (UK Government, 2022).</w:t>
      </w:r>
    </w:p>
    <w:p w14:paraId="5D915BA7" w14:textId="0E183E13" w:rsidR="3ACB4002" w:rsidRDefault="3ACB4002" w:rsidP="7B104026">
      <w:pPr>
        <w:spacing w:line="360" w:lineRule="auto"/>
      </w:pPr>
      <w:r w:rsidRPr="7B104026">
        <w:t>The project needs stakeholder participation because it serves users who require various resources and because community members demonstrate varying comfort levels with digital technology. Freeman (1984) defines stakeholders as individuals or groups who can affect, or are affected by, organisational objectives. Organi</w:t>
      </w:r>
      <w:r w:rsidR="7CC8543C" w:rsidRPr="7B104026">
        <w:t>s</w:t>
      </w:r>
      <w:r w:rsidRPr="7B104026">
        <w:t xml:space="preserve">ations need to identify their stakeholders who influence project delivery and benefit from project outcomes according to stakeholder theory. The digital hub will not achieve its potential when people do not participate effectively because it might become useless and fail to serve the community </w:t>
      </w:r>
      <w:r w:rsidR="6A23FC9A" w:rsidRPr="7B104026">
        <w:t>properly,</w:t>
      </w:r>
      <w:r w:rsidRPr="7B104026">
        <w:t xml:space="preserve"> and it could also prevent marginali</w:t>
      </w:r>
      <w:r w:rsidR="43CB77A8" w:rsidRPr="7B104026">
        <w:t>s</w:t>
      </w:r>
      <w:r w:rsidRPr="7B104026">
        <w:t>ed populations from accessing its resources.</w:t>
      </w:r>
    </w:p>
    <w:p w14:paraId="6DD750FB" w14:textId="6F2A95FE" w:rsidR="3ACB4002" w:rsidRDefault="3ACB4002" w:rsidP="7B104026">
      <w:pPr>
        <w:spacing w:line="360" w:lineRule="auto"/>
      </w:pPr>
      <w:r w:rsidRPr="7B104026">
        <w:t>Six key stakeholder groups have been identified. The local population will get better digital connectivity through new digital skills which they will learn. The local authority will achieve its inclusion and economic development targets through this initiative. The hub serves as a platform which educational and training providers can use to provide their programs. The establishment of co-working facilities together with digital support services will create advantages for local businesses and their entrepreneurs. The protection of vulnerable users will be handled by Community and voluntary organisations. The providers of technology will actively help with both the construction of infrastructure and its ongoing upkeep.</w:t>
      </w:r>
    </w:p>
    <w:p w14:paraId="0DA3BF79" w14:textId="19B30C86" w:rsidR="3ACB4002" w:rsidRDefault="3ACB4002" w:rsidP="7B104026">
      <w:pPr>
        <w:spacing w:line="360" w:lineRule="auto"/>
      </w:pPr>
      <w:r w:rsidRPr="7B104026">
        <w:t>This portfolio applies stakeholder engagement theory, analytical tools and ethical principles to demonstrate how effective stakeholder management can support project success, community adoption and long-term sustainability.</w:t>
      </w:r>
    </w:p>
    <w:p w14:paraId="4EFFB819" w14:textId="205D5CE4" w:rsidR="7B104026" w:rsidRDefault="7B104026" w:rsidP="7B104026">
      <w:pPr>
        <w:spacing w:line="360" w:lineRule="auto"/>
      </w:pPr>
    </w:p>
    <w:p w14:paraId="5F99761E" w14:textId="15B9EB4F" w:rsidR="3C009581" w:rsidRDefault="3C009581" w:rsidP="7B104026">
      <w:pPr>
        <w:pStyle w:val="Heading1"/>
        <w:spacing w:line="360" w:lineRule="auto"/>
        <w:rPr>
          <w:rFonts w:asciiTheme="minorHAnsi" w:eastAsiaTheme="minorEastAsia" w:hAnsiTheme="minorHAnsi" w:cstheme="minorBidi"/>
          <w:b/>
          <w:bCs/>
          <w:color w:val="auto"/>
          <w:sz w:val="24"/>
          <w:szCs w:val="24"/>
        </w:rPr>
      </w:pPr>
      <w:bookmarkStart w:id="1" w:name="_Toc193936866"/>
      <w:r w:rsidRPr="7B104026">
        <w:rPr>
          <w:rFonts w:asciiTheme="minorHAnsi" w:eastAsiaTheme="minorEastAsia" w:hAnsiTheme="minorHAnsi" w:cstheme="minorBidi"/>
          <w:b/>
          <w:bCs/>
          <w:color w:val="auto"/>
          <w:sz w:val="24"/>
          <w:szCs w:val="24"/>
        </w:rPr>
        <w:t>Element 2: Application Including Stakeholder Engagement Strategies</w:t>
      </w:r>
      <w:bookmarkEnd w:id="1"/>
    </w:p>
    <w:p w14:paraId="7777B414" w14:textId="72759BBE" w:rsidR="7B104026" w:rsidRDefault="7B104026" w:rsidP="7B104026">
      <w:pPr>
        <w:spacing w:line="360" w:lineRule="auto"/>
        <w:rPr>
          <w:b/>
          <w:bCs/>
        </w:rPr>
      </w:pPr>
    </w:p>
    <w:p w14:paraId="45596BB8" w14:textId="6ECEF829" w:rsidR="59BFC1FD" w:rsidRDefault="59BFC1FD" w:rsidP="7B104026">
      <w:pPr>
        <w:pStyle w:val="Heading2"/>
        <w:spacing w:line="360" w:lineRule="auto"/>
        <w:rPr>
          <w:rFonts w:asciiTheme="minorHAnsi" w:eastAsiaTheme="minorEastAsia" w:hAnsiTheme="minorHAnsi" w:cstheme="minorBidi"/>
          <w:b/>
          <w:bCs/>
          <w:color w:val="auto"/>
          <w:sz w:val="24"/>
          <w:szCs w:val="24"/>
        </w:rPr>
      </w:pPr>
      <w:bookmarkStart w:id="2" w:name="_Toc41627624"/>
      <w:r w:rsidRPr="7B104026">
        <w:rPr>
          <w:rFonts w:asciiTheme="minorHAnsi" w:eastAsiaTheme="minorEastAsia" w:hAnsiTheme="minorHAnsi" w:cstheme="minorBidi"/>
          <w:b/>
          <w:bCs/>
          <w:color w:val="auto"/>
          <w:sz w:val="24"/>
          <w:szCs w:val="24"/>
        </w:rPr>
        <w:t>2.1 Stakeholder Engagement in Community Digital Infrast</w:t>
      </w:r>
      <w:r w:rsidR="1E275DE5" w:rsidRPr="7B104026">
        <w:rPr>
          <w:rFonts w:asciiTheme="minorHAnsi" w:eastAsiaTheme="minorEastAsia" w:hAnsiTheme="minorHAnsi" w:cstheme="minorBidi"/>
          <w:b/>
          <w:bCs/>
          <w:color w:val="auto"/>
          <w:sz w:val="24"/>
          <w:szCs w:val="24"/>
        </w:rPr>
        <w:t>r</w:t>
      </w:r>
      <w:r w:rsidRPr="7B104026">
        <w:rPr>
          <w:rFonts w:asciiTheme="minorHAnsi" w:eastAsiaTheme="minorEastAsia" w:hAnsiTheme="minorHAnsi" w:cstheme="minorBidi"/>
          <w:b/>
          <w:bCs/>
          <w:color w:val="auto"/>
          <w:sz w:val="24"/>
          <w:szCs w:val="24"/>
        </w:rPr>
        <w:t>ucture Projects</w:t>
      </w:r>
      <w:bookmarkEnd w:id="2"/>
    </w:p>
    <w:p w14:paraId="4ABE6137" w14:textId="24460EE7" w:rsidR="7B104026" w:rsidRDefault="7B104026" w:rsidP="7B104026">
      <w:pPr>
        <w:spacing w:line="360" w:lineRule="auto"/>
      </w:pPr>
    </w:p>
    <w:p w14:paraId="07D016DA" w14:textId="4D288927" w:rsidR="59BFC1FD" w:rsidRDefault="59BFC1FD" w:rsidP="7B104026">
      <w:pPr>
        <w:spacing w:line="360" w:lineRule="auto"/>
      </w:pPr>
      <w:r w:rsidRPr="7B104026">
        <w:t xml:space="preserve">Organisations use stakeholder engagement as a method to detect and work with people who will impact their projects or experience effects from these initiatives. In community digital infrastructure projects, engagement is particularly important due to inequalities in digital access, </w:t>
      </w:r>
      <w:r w:rsidR="7C8C6CAA" w:rsidRPr="7B104026">
        <w:t>skills,</w:t>
      </w:r>
      <w:r w:rsidRPr="7B104026">
        <w:t xml:space="preserve"> and confidence across different population groups. Digital initiatives need users to actively participate because their success depends on continuous community benefits which operate differently than the conventional physical infrastructure model.</w:t>
      </w:r>
    </w:p>
    <w:p w14:paraId="503F1DDE" w14:textId="50AABCE5" w:rsidR="59BFC1FD" w:rsidRDefault="59BFC1FD" w:rsidP="7B104026">
      <w:pPr>
        <w:spacing w:line="360" w:lineRule="auto"/>
      </w:pPr>
      <w:r w:rsidRPr="7B104026">
        <w:t>The Community Digital Hub proposal works to solve digital exclusion through its offering of technology access together with training and support programs. The project creates impacts which affect different groups of people who include residents who lack digital abilities and public organi</w:t>
      </w:r>
      <w:r w:rsidR="76127DAF" w:rsidRPr="7B104026">
        <w:t>s</w:t>
      </w:r>
      <w:r w:rsidRPr="7B104026">
        <w:t>ations that handle inclusion initiatives and schools that teach programs and companies which build technology infrastructure. The hub needs stakeholder participation as its fundamental requirement because it must create its design based on real community needs instead of depending on forecasted requirements.</w:t>
      </w:r>
    </w:p>
    <w:p w14:paraId="1C342896" w14:textId="153E18D0" w:rsidR="59BFC1FD" w:rsidRDefault="59BFC1FD" w:rsidP="7B104026">
      <w:pPr>
        <w:spacing w:line="360" w:lineRule="auto"/>
      </w:pPr>
      <w:r w:rsidRPr="7B104026">
        <w:t>Bryson explains that public-sector projects which fight social inequality need to use participatory methods which enable people to work together while making sure everyone has a voice. The project needs strategies for stakeholder engagement which will link project management control to community participation to include all stakeholders who need project outcomes although they do not hold official authority. The hub will experience decreased usage because digital exclusion persists when organi</w:t>
      </w:r>
      <w:r w:rsidR="65012511" w:rsidRPr="7B104026">
        <w:t>s</w:t>
      </w:r>
      <w:r w:rsidRPr="7B104026">
        <w:t>ations neglect to implement inclusive methods for community outreach.</w:t>
      </w:r>
    </w:p>
    <w:p w14:paraId="09299820" w14:textId="758D616F" w:rsidR="59F190B8" w:rsidRDefault="59F190B8" w:rsidP="7B104026">
      <w:pPr>
        <w:spacing w:line="360" w:lineRule="auto"/>
      </w:pPr>
      <w:r w:rsidRPr="7B104026">
        <w:t xml:space="preserve"> </w:t>
      </w:r>
    </w:p>
    <w:p w14:paraId="4F96C26B" w14:textId="780E5E0D" w:rsidR="3FA415FC" w:rsidRDefault="3FA415FC" w:rsidP="7B104026">
      <w:pPr>
        <w:pStyle w:val="Heading2"/>
        <w:spacing w:line="360" w:lineRule="auto"/>
        <w:rPr>
          <w:rFonts w:asciiTheme="minorHAnsi" w:eastAsiaTheme="minorEastAsia" w:hAnsiTheme="minorHAnsi" w:cstheme="minorBidi"/>
          <w:b/>
          <w:bCs/>
          <w:color w:val="auto"/>
          <w:sz w:val="24"/>
          <w:szCs w:val="24"/>
        </w:rPr>
      </w:pPr>
      <w:bookmarkStart w:id="3" w:name="_Toc958442654"/>
      <w:r w:rsidRPr="7B104026">
        <w:rPr>
          <w:rFonts w:asciiTheme="minorHAnsi" w:eastAsiaTheme="minorEastAsia" w:hAnsiTheme="minorHAnsi" w:cstheme="minorBidi"/>
          <w:b/>
          <w:bCs/>
          <w:color w:val="auto"/>
          <w:sz w:val="24"/>
          <w:szCs w:val="24"/>
        </w:rPr>
        <w:t xml:space="preserve">2.2 </w:t>
      </w:r>
      <w:r w:rsidR="3A5319C2" w:rsidRPr="7B104026">
        <w:rPr>
          <w:rFonts w:asciiTheme="minorHAnsi" w:eastAsiaTheme="minorEastAsia" w:hAnsiTheme="minorHAnsi" w:cstheme="minorBidi"/>
          <w:b/>
          <w:bCs/>
          <w:color w:val="auto"/>
          <w:sz w:val="24"/>
          <w:szCs w:val="24"/>
        </w:rPr>
        <w:t>Power, Interest and Influence Analysis</w:t>
      </w:r>
      <w:bookmarkEnd w:id="3"/>
    </w:p>
    <w:p w14:paraId="5896844D" w14:textId="5CD31EAA" w:rsidR="7B104026" w:rsidRDefault="7B104026" w:rsidP="7B104026">
      <w:pPr>
        <w:spacing w:line="360" w:lineRule="auto"/>
      </w:pPr>
    </w:p>
    <w:p w14:paraId="78B00A20" w14:textId="5A1126EE" w:rsidR="3A5319C2" w:rsidRDefault="3A5319C2" w:rsidP="7B104026">
      <w:pPr>
        <w:spacing w:line="360" w:lineRule="auto"/>
      </w:pPr>
      <w:r w:rsidRPr="7B104026">
        <w:t xml:space="preserve">To prioritise stakeholders and determine appropriate engagement strategies, power, interest, and influence analysis </w:t>
      </w:r>
      <w:bookmarkStart w:id="4" w:name="_Int_tqPOvuVr"/>
      <w:r w:rsidRPr="7B104026">
        <w:t>has</w:t>
      </w:r>
      <w:bookmarkEnd w:id="4"/>
      <w:r w:rsidRPr="7B104026">
        <w:t xml:space="preserve"> been conducted. Power enables project leaders to determine project directions, yet interest shows the level of personal dedication and influence allows people to change project outcomes and how others perceive them (Aaltonen and Kujala, 2016).</w:t>
      </w:r>
    </w:p>
    <w:p w14:paraId="0CBC1DCB" w14:textId="038F9B20" w:rsidR="7B104026" w:rsidRDefault="7B104026" w:rsidP="7B104026">
      <w:pPr>
        <w:spacing w:line="360" w:lineRule="auto"/>
      </w:pPr>
    </w:p>
    <w:tbl>
      <w:tblPr>
        <w:tblStyle w:val="TableGrid"/>
        <w:tblW w:w="0" w:type="auto"/>
        <w:tblLook w:val="06A0" w:firstRow="1" w:lastRow="0" w:firstColumn="1" w:lastColumn="0" w:noHBand="1" w:noVBand="1"/>
      </w:tblPr>
      <w:tblGrid>
        <w:gridCol w:w="1871"/>
        <w:gridCol w:w="1869"/>
        <w:gridCol w:w="1869"/>
        <w:gridCol w:w="1870"/>
        <w:gridCol w:w="1871"/>
      </w:tblGrid>
      <w:tr w:rsidR="7B104026" w14:paraId="2D70DA1D" w14:textId="77777777" w:rsidTr="7B104026">
        <w:trPr>
          <w:trHeight w:val="300"/>
        </w:trPr>
        <w:tc>
          <w:tcPr>
            <w:tcW w:w="1872" w:type="dxa"/>
          </w:tcPr>
          <w:p w14:paraId="3C294236" w14:textId="3074A449" w:rsidR="34AF7EE0" w:rsidRDefault="34AF7EE0" w:rsidP="7B104026">
            <w:pPr>
              <w:spacing w:line="360" w:lineRule="auto"/>
            </w:pPr>
            <w:r w:rsidRPr="7B104026">
              <w:t>Stakeholder</w:t>
            </w:r>
          </w:p>
        </w:tc>
        <w:tc>
          <w:tcPr>
            <w:tcW w:w="1872" w:type="dxa"/>
          </w:tcPr>
          <w:p w14:paraId="6B21E92F" w14:textId="1D2841EE" w:rsidR="34AF7EE0" w:rsidRDefault="34AF7EE0" w:rsidP="7B104026">
            <w:pPr>
              <w:spacing w:line="360" w:lineRule="auto"/>
            </w:pPr>
            <w:r w:rsidRPr="7B104026">
              <w:t xml:space="preserve">Power </w:t>
            </w:r>
          </w:p>
        </w:tc>
        <w:tc>
          <w:tcPr>
            <w:tcW w:w="1872" w:type="dxa"/>
          </w:tcPr>
          <w:p w14:paraId="27521E3A" w14:textId="0226F237" w:rsidR="34AF7EE0" w:rsidRDefault="34AF7EE0" w:rsidP="7B104026">
            <w:pPr>
              <w:spacing w:line="360" w:lineRule="auto"/>
            </w:pPr>
            <w:r w:rsidRPr="7B104026">
              <w:t xml:space="preserve">Interest </w:t>
            </w:r>
          </w:p>
        </w:tc>
        <w:tc>
          <w:tcPr>
            <w:tcW w:w="1872" w:type="dxa"/>
          </w:tcPr>
          <w:p w14:paraId="5E5161FF" w14:textId="65588419" w:rsidR="34AF7EE0" w:rsidRDefault="34AF7EE0" w:rsidP="7B104026">
            <w:pPr>
              <w:spacing w:line="360" w:lineRule="auto"/>
            </w:pPr>
            <w:r w:rsidRPr="7B104026">
              <w:t xml:space="preserve">Influence </w:t>
            </w:r>
          </w:p>
        </w:tc>
        <w:tc>
          <w:tcPr>
            <w:tcW w:w="1872" w:type="dxa"/>
          </w:tcPr>
          <w:p w14:paraId="4F1A846C" w14:textId="712E44F1" w:rsidR="34AF7EE0" w:rsidRDefault="34AF7EE0" w:rsidP="7B104026">
            <w:pPr>
              <w:spacing w:line="360" w:lineRule="auto"/>
            </w:pPr>
            <w:r w:rsidRPr="7B104026">
              <w:t>Justification</w:t>
            </w:r>
          </w:p>
        </w:tc>
      </w:tr>
      <w:tr w:rsidR="7B104026" w14:paraId="003B5078" w14:textId="77777777" w:rsidTr="7B104026">
        <w:trPr>
          <w:trHeight w:val="300"/>
        </w:trPr>
        <w:tc>
          <w:tcPr>
            <w:tcW w:w="1872" w:type="dxa"/>
          </w:tcPr>
          <w:p w14:paraId="399C6852" w14:textId="51B8C53F" w:rsidR="34AF7EE0" w:rsidRDefault="34AF7EE0" w:rsidP="7B104026">
            <w:pPr>
              <w:spacing w:line="360" w:lineRule="auto"/>
            </w:pPr>
            <w:r w:rsidRPr="7B104026">
              <w:t>Local Authority</w:t>
            </w:r>
          </w:p>
        </w:tc>
        <w:tc>
          <w:tcPr>
            <w:tcW w:w="1872" w:type="dxa"/>
          </w:tcPr>
          <w:p w14:paraId="7C1AC415" w14:textId="077353EB" w:rsidR="34AF7EE0" w:rsidRDefault="34AF7EE0" w:rsidP="7B104026">
            <w:pPr>
              <w:spacing w:line="360" w:lineRule="auto"/>
            </w:pPr>
            <w:r w:rsidRPr="7B104026">
              <w:t xml:space="preserve">High </w:t>
            </w:r>
          </w:p>
        </w:tc>
        <w:tc>
          <w:tcPr>
            <w:tcW w:w="1872" w:type="dxa"/>
          </w:tcPr>
          <w:p w14:paraId="5AD9463F" w14:textId="26E6CED3" w:rsidR="34AF7EE0" w:rsidRDefault="34AF7EE0" w:rsidP="7B104026">
            <w:pPr>
              <w:spacing w:line="360" w:lineRule="auto"/>
            </w:pPr>
            <w:r w:rsidRPr="7B104026">
              <w:t xml:space="preserve">High </w:t>
            </w:r>
          </w:p>
        </w:tc>
        <w:tc>
          <w:tcPr>
            <w:tcW w:w="1872" w:type="dxa"/>
          </w:tcPr>
          <w:p w14:paraId="159D7567" w14:textId="665A8AA5" w:rsidR="34AF7EE0" w:rsidRDefault="34AF7EE0" w:rsidP="7B104026">
            <w:pPr>
              <w:spacing w:line="360" w:lineRule="auto"/>
            </w:pPr>
            <w:r w:rsidRPr="7B104026">
              <w:t>High</w:t>
            </w:r>
          </w:p>
        </w:tc>
        <w:tc>
          <w:tcPr>
            <w:tcW w:w="1872" w:type="dxa"/>
          </w:tcPr>
          <w:p w14:paraId="4561E914" w14:textId="6034E751" w:rsidR="34AF7EE0" w:rsidRDefault="34AF7EE0" w:rsidP="7B104026">
            <w:pPr>
              <w:spacing w:line="360" w:lineRule="auto"/>
            </w:pPr>
            <w:r w:rsidRPr="7B104026">
              <w:t>Provides funding, approvals and governance</w:t>
            </w:r>
          </w:p>
        </w:tc>
      </w:tr>
      <w:tr w:rsidR="7B104026" w14:paraId="59D4FDE9" w14:textId="77777777" w:rsidTr="7B104026">
        <w:trPr>
          <w:trHeight w:val="300"/>
        </w:trPr>
        <w:tc>
          <w:tcPr>
            <w:tcW w:w="1872" w:type="dxa"/>
          </w:tcPr>
          <w:p w14:paraId="197AD793" w14:textId="3B4777DD" w:rsidR="34AF7EE0" w:rsidRDefault="34AF7EE0" w:rsidP="7B104026">
            <w:pPr>
              <w:spacing w:line="360" w:lineRule="auto"/>
            </w:pPr>
            <w:r w:rsidRPr="7B104026">
              <w:t xml:space="preserve">Residents </w:t>
            </w:r>
          </w:p>
        </w:tc>
        <w:tc>
          <w:tcPr>
            <w:tcW w:w="1872" w:type="dxa"/>
          </w:tcPr>
          <w:p w14:paraId="43B4D73F" w14:textId="4761BA12" w:rsidR="34AF7EE0" w:rsidRDefault="34AF7EE0" w:rsidP="7B104026">
            <w:pPr>
              <w:spacing w:line="360" w:lineRule="auto"/>
            </w:pPr>
            <w:r w:rsidRPr="7B104026">
              <w:t>Medium</w:t>
            </w:r>
          </w:p>
        </w:tc>
        <w:tc>
          <w:tcPr>
            <w:tcW w:w="1872" w:type="dxa"/>
          </w:tcPr>
          <w:p w14:paraId="2F66E5EB" w14:textId="05451E24" w:rsidR="34AF7EE0" w:rsidRDefault="34AF7EE0" w:rsidP="7B104026">
            <w:pPr>
              <w:spacing w:line="360" w:lineRule="auto"/>
            </w:pPr>
            <w:r w:rsidRPr="7B104026">
              <w:t>High</w:t>
            </w:r>
          </w:p>
        </w:tc>
        <w:tc>
          <w:tcPr>
            <w:tcW w:w="1872" w:type="dxa"/>
          </w:tcPr>
          <w:p w14:paraId="7229FA3E" w14:textId="3050B52D" w:rsidR="34AF7EE0" w:rsidRDefault="34AF7EE0" w:rsidP="7B104026">
            <w:pPr>
              <w:spacing w:line="360" w:lineRule="auto"/>
            </w:pPr>
            <w:r w:rsidRPr="7B104026">
              <w:t>Medium</w:t>
            </w:r>
          </w:p>
        </w:tc>
        <w:tc>
          <w:tcPr>
            <w:tcW w:w="1872" w:type="dxa"/>
          </w:tcPr>
          <w:p w14:paraId="233323FD" w14:textId="74A9B62C" w:rsidR="34AF7EE0" w:rsidRDefault="34AF7EE0" w:rsidP="7B104026">
            <w:pPr>
              <w:spacing w:line="360" w:lineRule="auto"/>
            </w:pPr>
            <w:r w:rsidRPr="7B104026">
              <w:t>Primary users whose adoption determine success</w:t>
            </w:r>
          </w:p>
        </w:tc>
      </w:tr>
      <w:tr w:rsidR="7B104026" w14:paraId="27D173FD" w14:textId="77777777" w:rsidTr="7B104026">
        <w:trPr>
          <w:trHeight w:val="300"/>
        </w:trPr>
        <w:tc>
          <w:tcPr>
            <w:tcW w:w="1872" w:type="dxa"/>
          </w:tcPr>
          <w:p w14:paraId="56C9A80F" w14:textId="11D18425" w:rsidR="34AF7EE0" w:rsidRDefault="34AF7EE0" w:rsidP="7B104026">
            <w:pPr>
              <w:spacing w:line="360" w:lineRule="auto"/>
            </w:pPr>
            <w:r w:rsidRPr="7B104026">
              <w:t>Community Organisations</w:t>
            </w:r>
          </w:p>
        </w:tc>
        <w:tc>
          <w:tcPr>
            <w:tcW w:w="1872" w:type="dxa"/>
          </w:tcPr>
          <w:p w14:paraId="637C292D" w14:textId="5A216223" w:rsidR="34AF7EE0" w:rsidRDefault="34AF7EE0" w:rsidP="7B104026">
            <w:pPr>
              <w:spacing w:line="360" w:lineRule="auto"/>
            </w:pPr>
            <w:r w:rsidRPr="7B104026">
              <w:t>Low</w:t>
            </w:r>
          </w:p>
        </w:tc>
        <w:tc>
          <w:tcPr>
            <w:tcW w:w="1872" w:type="dxa"/>
          </w:tcPr>
          <w:p w14:paraId="7EC4C796" w14:textId="4CF6B189" w:rsidR="34AF7EE0" w:rsidRDefault="34AF7EE0" w:rsidP="7B104026">
            <w:pPr>
              <w:spacing w:line="360" w:lineRule="auto"/>
            </w:pPr>
            <w:r w:rsidRPr="7B104026">
              <w:t>High</w:t>
            </w:r>
          </w:p>
        </w:tc>
        <w:tc>
          <w:tcPr>
            <w:tcW w:w="1872" w:type="dxa"/>
          </w:tcPr>
          <w:p w14:paraId="2DFA1827" w14:textId="2B05EC1E" w:rsidR="34AF7EE0" w:rsidRDefault="34AF7EE0" w:rsidP="7B104026">
            <w:pPr>
              <w:spacing w:line="360" w:lineRule="auto"/>
            </w:pPr>
            <w:r w:rsidRPr="7B104026">
              <w:t>Medium</w:t>
            </w:r>
          </w:p>
        </w:tc>
        <w:tc>
          <w:tcPr>
            <w:tcW w:w="1872" w:type="dxa"/>
          </w:tcPr>
          <w:p w14:paraId="6E37A0AB" w14:textId="305B989D" w:rsidR="34AF7EE0" w:rsidRDefault="34AF7EE0" w:rsidP="7B104026">
            <w:pPr>
              <w:spacing w:line="360" w:lineRule="auto"/>
            </w:pPr>
            <w:r w:rsidRPr="7B104026">
              <w:t>Represent vulnerable users and community trust</w:t>
            </w:r>
          </w:p>
        </w:tc>
      </w:tr>
      <w:tr w:rsidR="7B104026" w14:paraId="5164AB5F" w14:textId="77777777" w:rsidTr="7B104026">
        <w:trPr>
          <w:trHeight w:val="300"/>
        </w:trPr>
        <w:tc>
          <w:tcPr>
            <w:tcW w:w="1872" w:type="dxa"/>
          </w:tcPr>
          <w:p w14:paraId="2D7CFEDE" w14:textId="31CC6453" w:rsidR="34AF7EE0" w:rsidRDefault="34AF7EE0" w:rsidP="7B104026">
            <w:pPr>
              <w:spacing w:line="360" w:lineRule="auto"/>
            </w:pPr>
            <w:r w:rsidRPr="7B104026">
              <w:t>Education Providers</w:t>
            </w:r>
          </w:p>
        </w:tc>
        <w:tc>
          <w:tcPr>
            <w:tcW w:w="1872" w:type="dxa"/>
          </w:tcPr>
          <w:p w14:paraId="0646888B" w14:textId="0F6BF802" w:rsidR="34AF7EE0" w:rsidRDefault="34AF7EE0" w:rsidP="7B104026">
            <w:pPr>
              <w:spacing w:line="360" w:lineRule="auto"/>
            </w:pPr>
            <w:r w:rsidRPr="7B104026">
              <w:t>Medium</w:t>
            </w:r>
          </w:p>
        </w:tc>
        <w:tc>
          <w:tcPr>
            <w:tcW w:w="1872" w:type="dxa"/>
          </w:tcPr>
          <w:p w14:paraId="42D3D0D4" w14:textId="66829F32" w:rsidR="34AF7EE0" w:rsidRDefault="34AF7EE0" w:rsidP="7B104026">
            <w:pPr>
              <w:spacing w:line="360" w:lineRule="auto"/>
            </w:pPr>
            <w:r w:rsidRPr="7B104026">
              <w:t>Medium</w:t>
            </w:r>
          </w:p>
        </w:tc>
        <w:tc>
          <w:tcPr>
            <w:tcW w:w="1872" w:type="dxa"/>
          </w:tcPr>
          <w:p w14:paraId="156724A4" w14:textId="015DF921" w:rsidR="34AF7EE0" w:rsidRDefault="34AF7EE0" w:rsidP="7B104026">
            <w:pPr>
              <w:spacing w:line="360" w:lineRule="auto"/>
            </w:pPr>
            <w:r w:rsidRPr="7B104026">
              <w:t>Medium</w:t>
            </w:r>
          </w:p>
        </w:tc>
        <w:tc>
          <w:tcPr>
            <w:tcW w:w="1872" w:type="dxa"/>
          </w:tcPr>
          <w:p w14:paraId="76253D43" w14:textId="0E181FEB" w:rsidR="34AF7EE0" w:rsidRDefault="34AF7EE0" w:rsidP="7B104026">
            <w:pPr>
              <w:spacing w:line="360" w:lineRule="auto"/>
            </w:pPr>
            <w:r w:rsidRPr="7B104026">
              <w:t>Deliver training and skills programmes</w:t>
            </w:r>
          </w:p>
        </w:tc>
      </w:tr>
      <w:tr w:rsidR="7B104026" w14:paraId="56504542" w14:textId="77777777" w:rsidTr="7B104026">
        <w:trPr>
          <w:trHeight w:val="300"/>
        </w:trPr>
        <w:tc>
          <w:tcPr>
            <w:tcW w:w="1872" w:type="dxa"/>
          </w:tcPr>
          <w:p w14:paraId="341DC4AF" w14:textId="7E968D9E" w:rsidR="34AF7EE0" w:rsidRDefault="34AF7EE0" w:rsidP="7B104026">
            <w:pPr>
              <w:spacing w:line="360" w:lineRule="auto"/>
            </w:pPr>
            <w:r w:rsidRPr="7B104026">
              <w:t>Local Businesses</w:t>
            </w:r>
          </w:p>
        </w:tc>
        <w:tc>
          <w:tcPr>
            <w:tcW w:w="1872" w:type="dxa"/>
          </w:tcPr>
          <w:p w14:paraId="6729314A" w14:textId="3C648517" w:rsidR="34AF7EE0" w:rsidRDefault="34AF7EE0" w:rsidP="7B104026">
            <w:pPr>
              <w:spacing w:line="360" w:lineRule="auto"/>
            </w:pPr>
            <w:r w:rsidRPr="7B104026">
              <w:t xml:space="preserve">Low </w:t>
            </w:r>
          </w:p>
        </w:tc>
        <w:tc>
          <w:tcPr>
            <w:tcW w:w="1872" w:type="dxa"/>
          </w:tcPr>
          <w:p w14:paraId="311CE6C4" w14:textId="4FAB19BB" w:rsidR="34AF7EE0" w:rsidRDefault="34AF7EE0" w:rsidP="7B104026">
            <w:pPr>
              <w:spacing w:line="360" w:lineRule="auto"/>
            </w:pPr>
            <w:r w:rsidRPr="7B104026">
              <w:t>Medium</w:t>
            </w:r>
          </w:p>
        </w:tc>
        <w:tc>
          <w:tcPr>
            <w:tcW w:w="1872" w:type="dxa"/>
          </w:tcPr>
          <w:p w14:paraId="65919567" w14:textId="54DB29EF" w:rsidR="34AF7EE0" w:rsidRDefault="34AF7EE0" w:rsidP="7B104026">
            <w:pPr>
              <w:spacing w:line="360" w:lineRule="auto"/>
            </w:pPr>
            <w:r w:rsidRPr="7B104026">
              <w:t>Low</w:t>
            </w:r>
          </w:p>
        </w:tc>
        <w:tc>
          <w:tcPr>
            <w:tcW w:w="1872" w:type="dxa"/>
          </w:tcPr>
          <w:p w14:paraId="48E36739" w14:textId="04E9E3BA" w:rsidR="34AF7EE0" w:rsidRDefault="34AF7EE0" w:rsidP="7B104026">
            <w:pPr>
              <w:spacing w:line="360" w:lineRule="auto"/>
            </w:pPr>
            <w:r w:rsidRPr="7B104026">
              <w:t>Benefit from digital support and co-working</w:t>
            </w:r>
          </w:p>
        </w:tc>
      </w:tr>
      <w:tr w:rsidR="7B104026" w14:paraId="70915DEF" w14:textId="77777777" w:rsidTr="7B104026">
        <w:trPr>
          <w:trHeight w:val="300"/>
        </w:trPr>
        <w:tc>
          <w:tcPr>
            <w:tcW w:w="1872" w:type="dxa"/>
          </w:tcPr>
          <w:p w14:paraId="2296A220" w14:textId="10137F51" w:rsidR="34AF7EE0" w:rsidRDefault="34AF7EE0" w:rsidP="7B104026">
            <w:pPr>
              <w:spacing w:line="360" w:lineRule="auto"/>
            </w:pPr>
            <w:r w:rsidRPr="7B104026">
              <w:t xml:space="preserve">Technology Providers </w:t>
            </w:r>
          </w:p>
        </w:tc>
        <w:tc>
          <w:tcPr>
            <w:tcW w:w="1872" w:type="dxa"/>
          </w:tcPr>
          <w:p w14:paraId="7F8AF92B" w14:textId="15F3F212" w:rsidR="34AF7EE0" w:rsidRDefault="34AF7EE0" w:rsidP="7B104026">
            <w:pPr>
              <w:spacing w:line="360" w:lineRule="auto"/>
            </w:pPr>
            <w:r w:rsidRPr="7B104026">
              <w:t>Medium</w:t>
            </w:r>
          </w:p>
        </w:tc>
        <w:tc>
          <w:tcPr>
            <w:tcW w:w="1872" w:type="dxa"/>
          </w:tcPr>
          <w:p w14:paraId="4A5A6C2E" w14:textId="5F184827" w:rsidR="34AF7EE0" w:rsidRDefault="34AF7EE0" w:rsidP="7B104026">
            <w:pPr>
              <w:spacing w:line="360" w:lineRule="auto"/>
            </w:pPr>
            <w:r w:rsidRPr="7B104026">
              <w:t xml:space="preserve">Low </w:t>
            </w:r>
          </w:p>
        </w:tc>
        <w:tc>
          <w:tcPr>
            <w:tcW w:w="1872" w:type="dxa"/>
          </w:tcPr>
          <w:p w14:paraId="266B8D28" w14:textId="02FCDC47" w:rsidR="34AF7EE0" w:rsidRDefault="34AF7EE0" w:rsidP="7B104026">
            <w:pPr>
              <w:spacing w:line="360" w:lineRule="auto"/>
            </w:pPr>
            <w:r w:rsidRPr="7B104026">
              <w:t>Medium</w:t>
            </w:r>
          </w:p>
        </w:tc>
        <w:tc>
          <w:tcPr>
            <w:tcW w:w="1872" w:type="dxa"/>
          </w:tcPr>
          <w:p w14:paraId="0AB3FBCD" w14:textId="46AF2F5A" w:rsidR="34AF7EE0" w:rsidRDefault="34AF7EE0" w:rsidP="7B104026">
            <w:pPr>
              <w:spacing w:line="360" w:lineRule="auto"/>
            </w:pPr>
            <w:r w:rsidRPr="7B104026">
              <w:t>Responsible for system delivery and maintenance</w:t>
            </w:r>
          </w:p>
        </w:tc>
      </w:tr>
    </w:tbl>
    <w:p w14:paraId="359E8486" w14:textId="16858447" w:rsidR="7B104026" w:rsidRDefault="7B104026" w:rsidP="7B104026">
      <w:pPr>
        <w:spacing w:line="360" w:lineRule="auto"/>
      </w:pPr>
    </w:p>
    <w:p w14:paraId="6A580DC3" w14:textId="1C8F4833" w:rsidR="34AF7EE0" w:rsidRDefault="34AF7EE0" w:rsidP="7B104026">
      <w:pPr>
        <w:spacing w:line="360" w:lineRule="auto"/>
      </w:pPr>
      <w:r w:rsidRPr="7B104026">
        <w:t>The project operates under full local authority control because this organi</w:t>
      </w:r>
      <w:r w:rsidR="4FDF058C" w:rsidRPr="7B104026">
        <w:t>s</w:t>
      </w:r>
      <w:r w:rsidRPr="7B104026">
        <w:t>ation supports the project through funding and enforces all project rules. The local population shows strong interest because they receive direct benefits from the project while community organi</w:t>
      </w:r>
      <w:r w:rsidR="1EE59E8F" w:rsidRPr="7B104026">
        <w:t>s</w:t>
      </w:r>
      <w:r w:rsidRPr="7B104026">
        <w:t>ations use their advocacy work and trust-based relationships to shape the project. The operational activities of education providers together with their technology partners determine how well their services function and maintain their dependability.</w:t>
      </w:r>
    </w:p>
    <w:p w14:paraId="4DD7F232" w14:textId="027B819F" w:rsidR="7B104026" w:rsidRDefault="7B104026" w:rsidP="7B104026">
      <w:pPr>
        <w:spacing w:line="360" w:lineRule="auto"/>
      </w:pPr>
    </w:p>
    <w:p w14:paraId="318588A9" w14:textId="40F9B469" w:rsidR="34AF7EE0" w:rsidRDefault="34AF7EE0" w:rsidP="7B104026">
      <w:pPr>
        <w:pStyle w:val="Heading2"/>
        <w:spacing w:line="360" w:lineRule="auto"/>
        <w:rPr>
          <w:rFonts w:asciiTheme="minorHAnsi" w:eastAsiaTheme="minorEastAsia" w:hAnsiTheme="minorHAnsi" w:cstheme="minorBidi"/>
          <w:b/>
          <w:bCs/>
          <w:color w:val="auto"/>
          <w:sz w:val="24"/>
          <w:szCs w:val="24"/>
        </w:rPr>
      </w:pPr>
      <w:bookmarkStart w:id="5" w:name="_Toc1885074962"/>
      <w:r w:rsidRPr="7B104026">
        <w:rPr>
          <w:rFonts w:asciiTheme="minorHAnsi" w:eastAsiaTheme="minorEastAsia" w:hAnsiTheme="minorHAnsi" w:cstheme="minorBidi"/>
          <w:b/>
          <w:bCs/>
          <w:color w:val="auto"/>
          <w:sz w:val="24"/>
          <w:szCs w:val="24"/>
        </w:rPr>
        <w:t>2.3 Stakeholder Mapping and Engagement Prioritisation</w:t>
      </w:r>
      <w:bookmarkEnd w:id="5"/>
    </w:p>
    <w:p w14:paraId="06E43625" w14:textId="55DC5D0F" w:rsidR="7B104026" w:rsidRDefault="7B104026" w:rsidP="7B104026">
      <w:pPr>
        <w:spacing w:line="360" w:lineRule="auto"/>
      </w:pPr>
    </w:p>
    <w:p w14:paraId="1487179C" w14:textId="1EDE2612" w:rsidR="34AF7EE0" w:rsidRDefault="34AF7EE0" w:rsidP="7B104026">
      <w:pPr>
        <w:spacing w:line="360" w:lineRule="auto"/>
      </w:pPr>
      <w:r w:rsidRPr="7B104026">
        <w:t>Stakeholder mapping is used to position stakeholders within a power–interest matrix to determine engagement priorities (Mendelow, 1991). The project needs to keep stakeholders who have both significant power and complete engagement because they take part in decision-making and track all project work. For the Community Digital Hub, this includes the local authority.</w:t>
      </w:r>
    </w:p>
    <w:p w14:paraId="7EB115A6" w14:textId="01B32052" w:rsidR="34AF7EE0" w:rsidRDefault="34AF7EE0" w:rsidP="7B104026">
      <w:pPr>
        <w:spacing w:line="360" w:lineRule="auto"/>
      </w:pPr>
      <w:r w:rsidRPr="7B104026">
        <w:t>The stakeholders who have high interest but low power need ongoing dialogue and substantial involvement in decision-making processes. The project needs these groups to participate and accept their involvement because they do not possess official power. The project will fail to achieve its social goals because insufficient stakeholder participation will lead to decreased system adoption rates.</w:t>
      </w:r>
    </w:p>
    <w:p w14:paraId="286DB2B2" w14:textId="1E2D71E5" w:rsidR="34AF7EE0" w:rsidRDefault="34AF7EE0" w:rsidP="7B104026">
      <w:pPr>
        <w:spacing w:line="360" w:lineRule="auto"/>
      </w:pPr>
      <w:r w:rsidRPr="7B104026">
        <w:t>The education providers and technology partners who hold medium power and interest need to work together through collaborative methods which focus on service delivery and coordination. The stakeholders who possess minimal power and interest, including certain local businesses, need regular updates to stay informed about new business prospects.</w:t>
      </w:r>
    </w:p>
    <w:p w14:paraId="24694EF2" w14:textId="6626D045" w:rsidR="34AF7EE0" w:rsidRDefault="34AF7EE0" w:rsidP="7B104026">
      <w:pPr>
        <w:spacing w:line="360" w:lineRule="auto"/>
      </w:pPr>
      <w:r w:rsidRPr="7B104026">
        <w:t>The method allows organi</w:t>
      </w:r>
      <w:r w:rsidR="11685516" w:rsidRPr="7B104026">
        <w:t>s</w:t>
      </w:r>
      <w:r w:rsidRPr="7B104026">
        <w:t>ations to distribute their engagement resources effectively, which supports both organi</w:t>
      </w:r>
      <w:r w:rsidR="6CFBC574" w:rsidRPr="7B104026">
        <w:t>s</w:t>
      </w:r>
      <w:r w:rsidRPr="7B104026">
        <w:t>ational inclusion and ethical standards.</w:t>
      </w:r>
    </w:p>
    <w:p w14:paraId="61AEEAAD" w14:textId="5F944EEA" w:rsidR="7B104026" w:rsidRDefault="7B104026" w:rsidP="7B104026">
      <w:pPr>
        <w:spacing w:line="360" w:lineRule="auto"/>
      </w:pPr>
    </w:p>
    <w:p w14:paraId="6D8B62C9" w14:textId="4F84035B" w:rsidR="34AF7EE0" w:rsidRDefault="34AF7EE0" w:rsidP="7B104026">
      <w:pPr>
        <w:pStyle w:val="Heading2"/>
        <w:spacing w:line="360" w:lineRule="auto"/>
        <w:rPr>
          <w:rFonts w:asciiTheme="minorHAnsi" w:eastAsiaTheme="minorEastAsia" w:hAnsiTheme="minorHAnsi" w:cstheme="minorBidi"/>
          <w:b/>
          <w:bCs/>
          <w:color w:val="auto"/>
          <w:sz w:val="24"/>
          <w:szCs w:val="24"/>
        </w:rPr>
      </w:pPr>
      <w:bookmarkStart w:id="6" w:name="_Toc1383956417"/>
      <w:r w:rsidRPr="7B104026">
        <w:rPr>
          <w:rFonts w:asciiTheme="minorHAnsi" w:eastAsiaTheme="minorEastAsia" w:hAnsiTheme="minorHAnsi" w:cstheme="minorBidi"/>
          <w:b/>
          <w:bCs/>
          <w:color w:val="auto"/>
          <w:sz w:val="24"/>
          <w:szCs w:val="24"/>
        </w:rPr>
        <w:t>2.4 Communication Plan</w:t>
      </w:r>
      <w:bookmarkEnd w:id="6"/>
    </w:p>
    <w:p w14:paraId="1EAC0304" w14:textId="49D1CC16" w:rsidR="7B104026" w:rsidRDefault="7B104026" w:rsidP="7B104026">
      <w:pPr>
        <w:spacing w:line="360" w:lineRule="auto"/>
      </w:pPr>
    </w:p>
    <w:p w14:paraId="5C8773CF" w14:textId="471C850E" w:rsidR="34AF7EE0" w:rsidRDefault="34AF7EE0" w:rsidP="7B104026">
      <w:pPr>
        <w:spacing w:line="360" w:lineRule="auto"/>
      </w:pPr>
      <w:r w:rsidRPr="7B104026">
        <w:t>Organi</w:t>
      </w:r>
      <w:r w:rsidR="0235A086" w:rsidRPr="7B104026">
        <w:t>s</w:t>
      </w:r>
      <w:r w:rsidRPr="7B104026">
        <w:t>ations need to establish fundamental communication platforms which will help them control participant expectations while making their digital exclusion programs more effective. The organi</w:t>
      </w:r>
      <w:r w:rsidR="3CD702A6" w:rsidRPr="7B104026">
        <w:t>s</w:t>
      </w:r>
      <w:r w:rsidRPr="7B104026">
        <w:t>ation distributes essential information to stakeholders through its scheduled communication plan which follows a structured format.</w:t>
      </w:r>
    </w:p>
    <w:p w14:paraId="27C9707C" w14:textId="65433B9A" w:rsidR="7B104026" w:rsidRDefault="7B104026" w:rsidP="7B104026">
      <w:pPr>
        <w:spacing w:line="360" w:lineRule="auto"/>
      </w:pPr>
    </w:p>
    <w:tbl>
      <w:tblPr>
        <w:tblStyle w:val="TableGrid"/>
        <w:tblW w:w="0" w:type="auto"/>
        <w:tblLook w:val="06A0" w:firstRow="1" w:lastRow="0" w:firstColumn="1" w:lastColumn="0" w:noHBand="1" w:noVBand="1"/>
      </w:tblPr>
      <w:tblGrid>
        <w:gridCol w:w="1871"/>
        <w:gridCol w:w="1870"/>
        <w:gridCol w:w="1868"/>
        <w:gridCol w:w="1871"/>
        <w:gridCol w:w="1870"/>
      </w:tblGrid>
      <w:tr w:rsidR="7B104026" w14:paraId="3FA00D48" w14:textId="77777777" w:rsidTr="7B104026">
        <w:trPr>
          <w:trHeight w:val="300"/>
        </w:trPr>
        <w:tc>
          <w:tcPr>
            <w:tcW w:w="1872" w:type="dxa"/>
          </w:tcPr>
          <w:p w14:paraId="52C9819B" w14:textId="1945EA4E" w:rsidR="34AF7EE0" w:rsidRDefault="34AF7EE0" w:rsidP="7B104026">
            <w:pPr>
              <w:spacing w:line="360" w:lineRule="auto"/>
            </w:pPr>
            <w:r w:rsidRPr="7B104026">
              <w:t>Stakeholder</w:t>
            </w:r>
          </w:p>
        </w:tc>
        <w:tc>
          <w:tcPr>
            <w:tcW w:w="1872" w:type="dxa"/>
          </w:tcPr>
          <w:p w14:paraId="5CE80037" w14:textId="678F782A" w:rsidR="34AF7EE0" w:rsidRDefault="34AF7EE0" w:rsidP="7B104026">
            <w:pPr>
              <w:spacing w:line="360" w:lineRule="auto"/>
            </w:pPr>
            <w:r w:rsidRPr="7B104026">
              <w:t>Information Shared</w:t>
            </w:r>
          </w:p>
        </w:tc>
        <w:tc>
          <w:tcPr>
            <w:tcW w:w="1872" w:type="dxa"/>
          </w:tcPr>
          <w:p w14:paraId="6A3E30FE" w14:textId="4B365CAA" w:rsidR="34AF7EE0" w:rsidRDefault="34AF7EE0" w:rsidP="7B104026">
            <w:pPr>
              <w:spacing w:line="360" w:lineRule="auto"/>
            </w:pPr>
            <w:r w:rsidRPr="7B104026">
              <w:t>Timing</w:t>
            </w:r>
          </w:p>
        </w:tc>
        <w:tc>
          <w:tcPr>
            <w:tcW w:w="1872" w:type="dxa"/>
          </w:tcPr>
          <w:p w14:paraId="79E626A0" w14:textId="61A54FA6" w:rsidR="34AF7EE0" w:rsidRDefault="34AF7EE0" w:rsidP="7B104026">
            <w:pPr>
              <w:spacing w:line="360" w:lineRule="auto"/>
            </w:pPr>
            <w:r w:rsidRPr="7B104026">
              <w:t>Communication Method</w:t>
            </w:r>
          </w:p>
        </w:tc>
        <w:tc>
          <w:tcPr>
            <w:tcW w:w="1872" w:type="dxa"/>
          </w:tcPr>
          <w:p w14:paraId="166B260C" w14:textId="618DF59D" w:rsidR="34AF7EE0" w:rsidRDefault="34AF7EE0" w:rsidP="7B104026">
            <w:pPr>
              <w:spacing w:line="360" w:lineRule="auto"/>
            </w:pPr>
            <w:r w:rsidRPr="7B104026">
              <w:t>Purpose</w:t>
            </w:r>
          </w:p>
        </w:tc>
      </w:tr>
      <w:tr w:rsidR="7B104026" w14:paraId="3977FD96" w14:textId="77777777" w:rsidTr="7B104026">
        <w:trPr>
          <w:trHeight w:val="300"/>
        </w:trPr>
        <w:tc>
          <w:tcPr>
            <w:tcW w:w="1872" w:type="dxa"/>
          </w:tcPr>
          <w:p w14:paraId="7611AE33" w14:textId="5C03EB29" w:rsidR="34AF7EE0" w:rsidRDefault="34AF7EE0" w:rsidP="7B104026">
            <w:pPr>
              <w:spacing w:line="360" w:lineRule="auto"/>
            </w:pPr>
            <w:r w:rsidRPr="7B104026">
              <w:t>Local Authority</w:t>
            </w:r>
          </w:p>
        </w:tc>
        <w:tc>
          <w:tcPr>
            <w:tcW w:w="1872" w:type="dxa"/>
          </w:tcPr>
          <w:p w14:paraId="61928B04" w14:textId="7ACEDB6E" w:rsidR="34AF7EE0" w:rsidRDefault="34AF7EE0" w:rsidP="7B104026">
            <w:pPr>
              <w:spacing w:line="360" w:lineRule="auto"/>
            </w:pPr>
            <w:r w:rsidRPr="7B104026">
              <w:t>Progress, risks, outcomes</w:t>
            </w:r>
          </w:p>
        </w:tc>
        <w:tc>
          <w:tcPr>
            <w:tcW w:w="1872" w:type="dxa"/>
          </w:tcPr>
          <w:p w14:paraId="50548F90" w14:textId="6BE785F3" w:rsidR="34AF7EE0" w:rsidRDefault="34AF7EE0" w:rsidP="7B104026">
            <w:pPr>
              <w:spacing w:line="360" w:lineRule="auto"/>
            </w:pPr>
            <w:r w:rsidRPr="7B104026">
              <w:t>Monthly</w:t>
            </w:r>
          </w:p>
        </w:tc>
        <w:tc>
          <w:tcPr>
            <w:tcW w:w="1872" w:type="dxa"/>
          </w:tcPr>
          <w:p w14:paraId="26F8E12F" w14:textId="301BC73E" w:rsidR="34AF7EE0" w:rsidRDefault="34AF7EE0" w:rsidP="7B104026">
            <w:pPr>
              <w:spacing w:line="360" w:lineRule="auto"/>
            </w:pPr>
            <w:r w:rsidRPr="7B104026">
              <w:t xml:space="preserve">Reports and meetings </w:t>
            </w:r>
          </w:p>
        </w:tc>
        <w:tc>
          <w:tcPr>
            <w:tcW w:w="1872" w:type="dxa"/>
          </w:tcPr>
          <w:p w14:paraId="4A714A7A" w14:textId="59A23D6C" w:rsidR="34AF7EE0" w:rsidRDefault="34AF7EE0" w:rsidP="7B104026">
            <w:pPr>
              <w:spacing w:line="360" w:lineRule="auto"/>
            </w:pPr>
            <w:r w:rsidRPr="7B104026">
              <w:t>Governance and accountability</w:t>
            </w:r>
          </w:p>
        </w:tc>
      </w:tr>
      <w:tr w:rsidR="7B104026" w14:paraId="0C1E9116" w14:textId="77777777" w:rsidTr="7B104026">
        <w:trPr>
          <w:trHeight w:val="300"/>
        </w:trPr>
        <w:tc>
          <w:tcPr>
            <w:tcW w:w="1872" w:type="dxa"/>
          </w:tcPr>
          <w:p w14:paraId="100896F9" w14:textId="72EE1060" w:rsidR="34AF7EE0" w:rsidRDefault="34AF7EE0" w:rsidP="7B104026">
            <w:pPr>
              <w:spacing w:line="360" w:lineRule="auto"/>
            </w:pPr>
            <w:r w:rsidRPr="7B104026">
              <w:t>Residents</w:t>
            </w:r>
          </w:p>
        </w:tc>
        <w:tc>
          <w:tcPr>
            <w:tcW w:w="1872" w:type="dxa"/>
          </w:tcPr>
          <w:p w14:paraId="5E273909" w14:textId="7920E452" w:rsidR="34AF7EE0" w:rsidRDefault="34AF7EE0" w:rsidP="7B104026">
            <w:pPr>
              <w:spacing w:line="360" w:lineRule="auto"/>
            </w:pPr>
            <w:r w:rsidRPr="7B104026">
              <w:t>Services, access, benefits</w:t>
            </w:r>
          </w:p>
        </w:tc>
        <w:tc>
          <w:tcPr>
            <w:tcW w:w="1872" w:type="dxa"/>
          </w:tcPr>
          <w:p w14:paraId="3C2F70E4" w14:textId="1F14E5CC" w:rsidR="34AF7EE0" w:rsidRDefault="34AF7EE0" w:rsidP="7B104026">
            <w:pPr>
              <w:spacing w:line="360" w:lineRule="auto"/>
            </w:pPr>
            <w:r w:rsidRPr="7B104026">
              <w:t>Key stages</w:t>
            </w:r>
          </w:p>
        </w:tc>
        <w:tc>
          <w:tcPr>
            <w:tcW w:w="1872" w:type="dxa"/>
          </w:tcPr>
          <w:p w14:paraId="3C721FBD" w14:textId="14A4D6F8" w:rsidR="34AF7EE0" w:rsidRDefault="34AF7EE0" w:rsidP="7B104026">
            <w:pPr>
              <w:spacing w:line="360" w:lineRule="auto"/>
            </w:pPr>
            <w:r w:rsidRPr="7B104026">
              <w:t>Posters, open days</w:t>
            </w:r>
          </w:p>
        </w:tc>
        <w:tc>
          <w:tcPr>
            <w:tcW w:w="1872" w:type="dxa"/>
          </w:tcPr>
          <w:p w14:paraId="4BBBED98" w14:textId="27B3E858" w:rsidR="34AF7EE0" w:rsidRDefault="34AF7EE0" w:rsidP="7B104026">
            <w:pPr>
              <w:spacing w:line="360" w:lineRule="auto"/>
            </w:pPr>
            <w:r w:rsidRPr="7B104026">
              <w:t>Awareness and uptake</w:t>
            </w:r>
          </w:p>
        </w:tc>
      </w:tr>
      <w:tr w:rsidR="7B104026" w14:paraId="573413C5" w14:textId="77777777" w:rsidTr="7B104026">
        <w:trPr>
          <w:trHeight w:val="300"/>
        </w:trPr>
        <w:tc>
          <w:tcPr>
            <w:tcW w:w="1872" w:type="dxa"/>
          </w:tcPr>
          <w:p w14:paraId="3CA12697" w14:textId="78E132E4" w:rsidR="34AF7EE0" w:rsidRDefault="34AF7EE0" w:rsidP="7B104026">
            <w:pPr>
              <w:spacing w:line="360" w:lineRule="auto"/>
            </w:pPr>
            <w:r w:rsidRPr="7B104026">
              <w:t>Community Organisations</w:t>
            </w:r>
          </w:p>
        </w:tc>
        <w:tc>
          <w:tcPr>
            <w:tcW w:w="1872" w:type="dxa"/>
          </w:tcPr>
          <w:p w14:paraId="64F37928" w14:textId="23B2858B" w:rsidR="34AF7EE0" w:rsidRDefault="34AF7EE0" w:rsidP="7B104026">
            <w:pPr>
              <w:spacing w:line="360" w:lineRule="auto"/>
            </w:pPr>
            <w:r w:rsidRPr="7B104026">
              <w:t>Support services and referrals</w:t>
            </w:r>
          </w:p>
        </w:tc>
        <w:tc>
          <w:tcPr>
            <w:tcW w:w="1872" w:type="dxa"/>
          </w:tcPr>
          <w:p w14:paraId="5DE83A0B" w14:textId="2FEDC3AE" w:rsidR="34AF7EE0" w:rsidRDefault="34AF7EE0" w:rsidP="7B104026">
            <w:pPr>
              <w:spacing w:line="360" w:lineRule="auto"/>
            </w:pPr>
            <w:r w:rsidRPr="7B104026">
              <w:t>Ongoing</w:t>
            </w:r>
          </w:p>
        </w:tc>
        <w:tc>
          <w:tcPr>
            <w:tcW w:w="1872" w:type="dxa"/>
          </w:tcPr>
          <w:p w14:paraId="1BA9D546" w14:textId="0714E471" w:rsidR="34AF7EE0" w:rsidRDefault="34AF7EE0" w:rsidP="7B104026">
            <w:pPr>
              <w:spacing w:line="360" w:lineRule="auto"/>
            </w:pPr>
            <w:r w:rsidRPr="7B104026">
              <w:t>Meetings and briefings</w:t>
            </w:r>
          </w:p>
        </w:tc>
        <w:tc>
          <w:tcPr>
            <w:tcW w:w="1872" w:type="dxa"/>
          </w:tcPr>
          <w:p w14:paraId="19138FBF" w14:textId="32420CE2" w:rsidR="34AF7EE0" w:rsidRDefault="34AF7EE0" w:rsidP="7B104026">
            <w:pPr>
              <w:spacing w:line="360" w:lineRule="auto"/>
            </w:pPr>
            <w:r w:rsidRPr="7B104026">
              <w:t>Inclusion</w:t>
            </w:r>
          </w:p>
        </w:tc>
      </w:tr>
      <w:tr w:rsidR="7B104026" w14:paraId="515B5E15" w14:textId="77777777" w:rsidTr="7B104026">
        <w:trPr>
          <w:trHeight w:val="300"/>
        </w:trPr>
        <w:tc>
          <w:tcPr>
            <w:tcW w:w="1872" w:type="dxa"/>
          </w:tcPr>
          <w:p w14:paraId="2EC76B59" w14:textId="4403C850" w:rsidR="34AF7EE0" w:rsidRDefault="34AF7EE0" w:rsidP="7B104026">
            <w:pPr>
              <w:spacing w:line="360" w:lineRule="auto"/>
            </w:pPr>
            <w:r w:rsidRPr="7B104026">
              <w:t>Education Providers</w:t>
            </w:r>
          </w:p>
        </w:tc>
        <w:tc>
          <w:tcPr>
            <w:tcW w:w="1872" w:type="dxa"/>
          </w:tcPr>
          <w:p w14:paraId="64F120A6" w14:textId="44B71850" w:rsidR="34AF7EE0" w:rsidRDefault="34AF7EE0" w:rsidP="7B104026">
            <w:pPr>
              <w:spacing w:line="360" w:lineRule="auto"/>
            </w:pPr>
            <w:r w:rsidRPr="7B104026">
              <w:t>Programme schedules</w:t>
            </w:r>
          </w:p>
        </w:tc>
        <w:tc>
          <w:tcPr>
            <w:tcW w:w="1872" w:type="dxa"/>
          </w:tcPr>
          <w:p w14:paraId="05965AA0" w14:textId="46FB4406" w:rsidR="34AF7EE0" w:rsidRDefault="34AF7EE0" w:rsidP="7B104026">
            <w:pPr>
              <w:spacing w:line="360" w:lineRule="auto"/>
            </w:pPr>
            <w:r w:rsidRPr="7B104026">
              <w:t>Pre-operation</w:t>
            </w:r>
          </w:p>
        </w:tc>
        <w:tc>
          <w:tcPr>
            <w:tcW w:w="1872" w:type="dxa"/>
          </w:tcPr>
          <w:p w14:paraId="150688E9" w14:textId="3211E8A1" w:rsidR="34AF7EE0" w:rsidRDefault="34AF7EE0" w:rsidP="7B104026">
            <w:pPr>
              <w:spacing w:line="360" w:lineRule="auto"/>
            </w:pPr>
            <w:r w:rsidRPr="7B104026">
              <w:t>Email and workshops</w:t>
            </w:r>
          </w:p>
        </w:tc>
        <w:tc>
          <w:tcPr>
            <w:tcW w:w="1872" w:type="dxa"/>
          </w:tcPr>
          <w:p w14:paraId="56D8338C" w14:textId="0883BB6D" w:rsidR="34AF7EE0" w:rsidRDefault="34AF7EE0" w:rsidP="7B104026">
            <w:pPr>
              <w:spacing w:line="360" w:lineRule="auto"/>
            </w:pPr>
            <w:r w:rsidRPr="7B104026">
              <w:t>Coordination</w:t>
            </w:r>
          </w:p>
        </w:tc>
      </w:tr>
      <w:tr w:rsidR="7B104026" w14:paraId="31120D6F" w14:textId="77777777" w:rsidTr="7B104026">
        <w:trPr>
          <w:trHeight w:val="300"/>
        </w:trPr>
        <w:tc>
          <w:tcPr>
            <w:tcW w:w="1872" w:type="dxa"/>
          </w:tcPr>
          <w:p w14:paraId="0BFA9091" w14:textId="5ACD79E0" w:rsidR="34AF7EE0" w:rsidRDefault="34AF7EE0" w:rsidP="7B104026">
            <w:pPr>
              <w:spacing w:line="360" w:lineRule="auto"/>
            </w:pPr>
            <w:r w:rsidRPr="7B104026">
              <w:t xml:space="preserve">Technology Providers </w:t>
            </w:r>
          </w:p>
        </w:tc>
        <w:tc>
          <w:tcPr>
            <w:tcW w:w="1872" w:type="dxa"/>
          </w:tcPr>
          <w:p w14:paraId="23CD9FFE" w14:textId="4DACB11B" w:rsidR="34AF7EE0" w:rsidRDefault="34AF7EE0" w:rsidP="7B104026">
            <w:pPr>
              <w:spacing w:line="360" w:lineRule="auto"/>
            </w:pPr>
            <w:r w:rsidRPr="7B104026">
              <w:t>Technical requirements</w:t>
            </w:r>
          </w:p>
        </w:tc>
        <w:tc>
          <w:tcPr>
            <w:tcW w:w="1872" w:type="dxa"/>
          </w:tcPr>
          <w:p w14:paraId="0BACCF48" w14:textId="59F1712C" w:rsidR="34AF7EE0" w:rsidRDefault="34AF7EE0" w:rsidP="7B104026">
            <w:pPr>
              <w:spacing w:line="360" w:lineRule="auto"/>
            </w:pPr>
            <w:r w:rsidRPr="7B104026">
              <w:t>Delivery phase</w:t>
            </w:r>
          </w:p>
        </w:tc>
        <w:tc>
          <w:tcPr>
            <w:tcW w:w="1872" w:type="dxa"/>
          </w:tcPr>
          <w:p w14:paraId="29ED5903" w14:textId="5409C2B1" w:rsidR="34AF7EE0" w:rsidRDefault="34AF7EE0" w:rsidP="7B104026">
            <w:pPr>
              <w:spacing w:line="360" w:lineRule="auto"/>
            </w:pPr>
            <w:r w:rsidRPr="7B104026">
              <w:t>Technical meetings</w:t>
            </w:r>
          </w:p>
        </w:tc>
        <w:tc>
          <w:tcPr>
            <w:tcW w:w="1872" w:type="dxa"/>
          </w:tcPr>
          <w:p w14:paraId="0EE63E5A" w14:textId="11BEFE0A" w:rsidR="34AF7EE0" w:rsidRDefault="34AF7EE0" w:rsidP="7B104026">
            <w:pPr>
              <w:spacing w:line="360" w:lineRule="auto"/>
            </w:pPr>
            <w:r w:rsidRPr="7B104026">
              <w:t>System readiness</w:t>
            </w:r>
          </w:p>
        </w:tc>
      </w:tr>
    </w:tbl>
    <w:p w14:paraId="32A6A35D" w14:textId="075724AB" w:rsidR="7B104026" w:rsidRDefault="7B104026" w:rsidP="7B104026">
      <w:pPr>
        <w:spacing w:line="360" w:lineRule="auto"/>
      </w:pPr>
    </w:p>
    <w:p w14:paraId="0014D50E" w14:textId="22204B87" w:rsidR="3B345C61" w:rsidRDefault="3B345C61" w:rsidP="7B104026">
      <w:pPr>
        <w:spacing w:line="360" w:lineRule="auto"/>
      </w:pPr>
      <w:r w:rsidRPr="7B104026">
        <w:t>Organi</w:t>
      </w:r>
      <w:r w:rsidR="6603B61E" w:rsidRPr="7B104026">
        <w:t>s</w:t>
      </w:r>
      <w:r w:rsidRPr="7B104026">
        <w:t>ations can connect with all stakeholders who do not have digital skills through direct stakeholder meetings that use non-digital communication channels. Organi</w:t>
      </w:r>
      <w:r w:rsidR="691EC62D" w:rsidRPr="7B104026">
        <w:t>s</w:t>
      </w:r>
      <w:r w:rsidRPr="7B104026">
        <w:t>ations which maintain consistent messaging create trust with their customers while simultaneously decreasing customer confusion (Rowe and Frewer, 2005).</w:t>
      </w:r>
    </w:p>
    <w:p w14:paraId="197F3342" w14:textId="13A82441" w:rsidR="7B104026" w:rsidRDefault="7B104026" w:rsidP="7B104026">
      <w:pPr>
        <w:spacing w:line="360" w:lineRule="auto"/>
      </w:pPr>
    </w:p>
    <w:p w14:paraId="3A50B56C" w14:textId="08AB231B" w:rsidR="3B345C61" w:rsidRDefault="3B345C61" w:rsidP="7B104026">
      <w:pPr>
        <w:pStyle w:val="Heading2"/>
        <w:spacing w:line="360" w:lineRule="auto"/>
        <w:rPr>
          <w:rFonts w:asciiTheme="minorHAnsi" w:eastAsiaTheme="minorEastAsia" w:hAnsiTheme="minorHAnsi" w:cstheme="minorBidi"/>
          <w:b/>
          <w:bCs/>
          <w:color w:val="auto"/>
          <w:sz w:val="24"/>
          <w:szCs w:val="24"/>
        </w:rPr>
      </w:pPr>
      <w:bookmarkStart w:id="7" w:name="_Toc1363628618"/>
      <w:r w:rsidRPr="7B104026">
        <w:rPr>
          <w:rFonts w:asciiTheme="minorHAnsi" w:eastAsiaTheme="minorEastAsia" w:hAnsiTheme="minorHAnsi" w:cstheme="minorBidi"/>
          <w:b/>
          <w:bCs/>
          <w:color w:val="auto"/>
          <w:sz w:val="24"/>
          <w:szCs w:val="24"/>
        </w:rPr>
        <w:t>2.5 Consultation Strategy and Justification</w:t>
      </w:r>
      <w:bookmarkEnd w:id="7"/>
    </w:p>
    <w:p w14:paraId="6DF9CD01" w14:textId="2FFC0EA5" w:rsidR="7B104026" w:rsidRDefault="7B104026" w:rsidP="7B104026">
      <w:pPr>
        <w:spacing w:line="360" w:lineRule="auto"/>
      </w:pPr>
    </w:p>
    <w:p w14:paraId="75568366" w14:textId="5CF11BDC" w:rsidR="50A9D0A3" w:rsidRDefault="50A9D0A3" w:rsidP="7B104026">
      <w:pPr>
        <w:spacing w:line="360" w:lineRule="auto"/>
      </w:pPr>
      <w:r w:rsidRPr="7B104026">
        <w:t>The Community Digital Hub conducts its main stakeholder engagement through consultation because this approach enables services to deliver services which meet actual community needs instead of using hypothetical requirements. The research will use a mixed-method consultation strategy which aims to achieve maximum participation from all stakeholders.</w:t>
      </w:r>
    </w:p>
    <w:p w14:paraId="259DD342" w14:textId="7766405D" w:rsidR="50A9D0A3" w:rsidRDefault="50A9D0A3" w:rsidP="7B104026">
      <w:pPr>
        <w:spacing w:line="360" w:lineRule="auto"/>
      </w:pPr>
      <w:r w:rsidRPr="7B104026">
        <w:t>The first stage of consultation will consist of community meetings and focus groups which will help identify digital access obstacles and determine which support services the community needs most. The mid-stage consultation will use surveys and pilot sessions to enhance service design and training methods through these activities. Post-launch consultation will gather user feedback to support continuous improvement.</w:t>
      </w:r>
    </w:p>
    <w:p w14:paraId="3D4C8B17" w14:textId="401308AA" w:rsidR="50A9D0A3" w:rsidRDefault="50A9D0A3" w:rsidP="7B104026">
      <w:pPr>
        <w:spacing w:line="360" w:lineRule="auto"/>
      </w:pPr>
      <w:r w:rsidRPr="7B104026">
        <w:t>The systematic approach enables consultation to direct decision-making processes instead of making consultation an essential requirement. Research shows that projects which perform successful consultation activities will gain higher legitimacy and maintain their operational activities (Reed et al., 2018). The organi</w:t>
      </w:r>
      <w:r w:rsidR="2F94EA74" w:rsidRPr="7B104026">
        <w:t>s</w:t>
      </w:r>
      <w:r w:rsidRPr="7B104026">
        <w:t>ation will conduct a systematic feedback evaluation which will produce clear results to show its commitment and protect trust according to the OECD (2020)</w:t>
      </w:r>
      <w:r w:rsidR="36689BA4" w:rsidRPr="7B104026">
        <w:t>.</w:t>
      </w:r>
    </w:p>
    <w:p w14:paraId="27395F64" w14:textId="6904DB34" w:rsidR="7B104026" w:rsidRDefault="7B104026" w:rsidP="7B104026">
      <w:pPr>
        <w:spacing w:line="360" w:lineRule="auto"/>
      </w:pPr>
    </w:p>
    <w:p w14:paraId="4AD39D51" w14:textId="4D062F86" w:rsidR="7F00E50B" w:rsidRDefault="7F00E50B" w:rsidP="7B104026">
      <w:pPr>
        <w:pStyle w:val="Heading1"/>
        <w:spacing w:line="360" w:lineRule="auto"/>
        <w:rPr>
          <w:rFonts w:asciiTheme="minorHAnsi" w:eastAsiaTheme="minorEastAsia" w:hAnsiTheme="minorHAnsi" w:cstheme="minorBidi"/>
          <w:b/>
          <w:bCs/>
          <w:color w:val="auto"/>
          <w:sz w:val="24"/>
          <w:szCs w:val="24"/>
        </w:rPr>
      </w:pPr>
      <w:bookmarkStart w:id="8" w:name="_Toc1776869280"/>
      <w:r w:rsidRPr="7B104026">
        <w:rPr>
          <w:rFonts w:asciiTheme="minorHAnsi" w:eastAsiaTheme="minorEastAsia" w:hAnsiTheme="minorHAnsi" w:cstheme="minorBidi"/>
          <w:b/>
          <w:bCs/>
          <w:color w:val="auto"/>
          <w:sz w:val="24"/>
          <w:szCs w:val="24"/>
        </w:rPr>
        <w:t>Element 3: Ethical Considerations in Stakeholder Consultation, Participation and Feedback</w:t>
      </w:r>
      <w:r>
        <w:tab/>
      </w:r>
      <w:r>
        <w:tab/>
      </w:r>
      <w:bookmarkEnd w:id="8"/>
    </w:p>
    <w:p w14:paraId="0238325D" w14:textId="51482357" w:rsidR="7B104026" w:rsidRDefault="7B104026" w:rsidP="7B104026"/>
    <w:p w14:paraId="5125016A" w14:textId="7E438EE7" w:rsidR="498BAC27" w:rsidRDefault="498BAC27" w:rsidP="7B104026">
      <w:pPr>
        <w:spacing w:line="360" w:lineRule="auto"/>
      </w:pPr>
      <w:r w:rsidRPr="7B104026">
        <w:t>Public infrastructure projects which include the Community Digital Hub need to priorit</w:t>
      </w:r>
      <w:r w:rsidR="03BB1963" w:rsidRPr="7B104026">
        <w:t>is</w:t>
      </w:r>
      <w:r w:rsidRPr="7B104026">
        <w:t>e ethical matters when they conduct stakeholder consultation</w:t>
      </w:r>
      <w:r w:rsidR="1F77AFCB" w:rsidRPr="7B104026">
        <w:t xml:space="preserve">, </w:t>
      </w:r>
      <w:r w:rsidRPr="7B104026">
        <w:t>participation</w:t>
      </w:r>
      <w:r w:rsidR="63124B37" w:rsidRPr="7B104026">
        <w:t>,</w:t>
      </w:r>
      <w:r w:rsidRPr="7B104026">
        <w:t xml:space="preserve"> and feedback activities for social inclusion initiatives. Organi</w:t>
      </w:r>
      <w:r w:rsidR="562B72B5" w:rsidRPr="7B104026">
        <w:t>s</w:t>
      </w:r>
      <w:r w:rsidRPr="7B104026">
        <w:t>ations should create fair and transparent consultation methods through ethical stakeholder engagement which includes all stakeholders and protects their rights to establish trust between organi</w:t>
      </w:r>
      <w:r w:rsidR="55F50ABF" w:rsidRPr="7B104026">
        <w:t>s</w:t>
      </w:r>
      <w:r w:rsidRPr="7B104026">
        <w:t>ations and their stakeholders. The digital hub requires ethical participation because it supports people who experience social and digital barriers while it works to stop them from missing out on project achievements (Crane and Matten, 2016).</w:t>
      </w:r>
    </w:p>
    <w:p w14:paraId="2A14905A" w14:textId="64CABCDF" w:rsidR="498BAC27" w:rsidRDefault="498BAC27" w:rsidP="7B104026">
      <w:pPr>
        <w:spacing w:line="360" w:lineRule="auto"/>
      </w:pPr>
      <w:r w:rsidRPr="7B104026">
        <w:t>The basic ethical rule which directs stakeholder consultation demands that all participants must get adequate information before they can decide. The stakeholders need to receive straightforward information about consultation activities</w:t>
      </w:r>
      <w:r w:rsidR="5B989451" w:rsidRPr="7B104026">
        <w:t xml:space="preserve">, </w:t>
      </w:r>
      <w:r w:rsidRPr="7B104026">
        <w:t xml:space="preserve">project </w:t>
      </w:r>
      <w:r w:rsidR="7897A036" w:rsidRPr="7B104026">
        <w:t>details,</w:t>
      </w:r>
      <w:r w:rsidRPr="7B104026">
        <w:t xml:space="preserve"> and feedback application methods. The project will use community meetings</w:t>
      </w:r>
      <w:r w:rsidR="6DBEA917" w:rsidRPr="7B104026">
        <w:t>, surveys,</w:t>
      </w:r>
      <w:r w:rsidRPr="7B104026">
        <w:t xml:space="preserve"> and focus groups as consultation activities to present project objectives and both positive and negative aspects of the project. The study will operate with voluntary participation while British Sociological Association (2017) requires stakeholders to receive notice about their right to exit consultation activities at any point without facing adverse effects. The method upholds stakeholder self-determination while enabling organi</w:t>
      </w:r>
      <w:r w:rsidR="4348400B" w:rsidRPr="7B104026">
        <w:t>s</w:t>
      </w:r>
      <w:r w:rsidRPr="7B104026">
        <w:t>ations to make decisions based on ethical principles.</w:t>
      </w:r>
    </w:p>
    <w:p w14:paraId="3BB489FB" w14:textId="04DB3142" w:rsidR="498BAC27" w:rsidRDefault="498BAC27" w:rsidP="7B104026">
      <w:pPr>
        <w:spacing w:line="360" w:lineRule="auto"/>
      </w:pPr>
      <w:r w:rsidRPr="7B104026">
        <w:t>The Community Digital Hub needs to make data protection and confidentiality its top priority because it contains user personal information and user feedback from users who could be new to digital technology. The organi</w:t>
      </w:r>
      <w:r w:rsidR="6C36FA35" w:rsidRPr="7B104026">
        <w:t>s</w:t>
      </w:r>
      <w:r w:rsidRPr="7B104026">
        <w:t xml:space="preserve">ation will process all consultation data based on the existing data protection regulations which are active at present. The research team will eliminate all personal identification data from the study through aggregated feedback analysis to protect </w:t>
      </w:r>
      <w:r w:rsidR="47E6BA13" w:rsidRPr="7B104026">
        <w:t>participants'</w:t>
      </w:r>
      <w:r w:rsidRPr="7B104026">
        <w:t xml:space="preserve"> identities. Secure storage systems will be used to protect data from unauthorised access. The foundation for building trust-based relationships with participants who study sensitive groups depends on ethical data management practices which lead to authentic participant involvement.</w:t>
      </w:r>
    </w:p>
    <w:p w14:paraId="567AB919" w14:textId="48836028" w:rsidR="498BAC27" w:rsidRDefault="498BAC27" w:rsidP="7B104026">
      <w:pPr>
        <w:spacing w:line="360" w:lineRule="auto"/>
      </w:pPr>
      <w:r w:rsidRPr="7B104026">
        <w:t xml:space="preserve">The consultation process creates an ethical dilemma because it provides unequal information which leads to different social groups obtaining different levels of participation. The process of engagement activities becomes controlled by people who demonstrate strong confidence and possess superior digital abilities and have more time available while the group which faces digital exclusion stays invisible. The research will use a combination of quantitative and qualitative methods for consultation to reduce this risk. The project will use three different methods to collect feedback from </w:t>
      </w:r>
      <w:r w:rsidR="077A0281" w:rsidRPr="7B104026">
        <w:t>participants, including</w:t>
      </w:r>
      <w:r w:rsidRPr="7B104026">
        <w:t xml:space="preserve"> direct human contact and written feedback forms, and organi</w:t>
      </w:r>
      <w:r w:rsidR="7F647BFB" w:rsidRPr="7B104026">
        <w:t>s</w:t>
      </w:r>
      <w:r w:rsidRPr="7B104026">
        <w:t>ed meetings that community organi</w:t>
      </w:r>
      <w:r w:rsidR="79887EE4" w:rsidRPr="7B104026">
        <w:t>s</w:t>
      </w:r>
      <w:r w:rsidRPr="7B104026">
        <w:t>ations will help run. The consultation materials will use simple language which avoids complex terms to help users understand the information better (Reed et al.</w:t>
      </w:r>
      <w:r w:rsidR="3F344385" w:rsidRPr="7B104026">
        <w:t>, 2018</w:t>
      </w:r>
      <w:r w:rsidRPr="7B104026">
        <w:t>). The method enables organi</w:t>
      </w:r>
      <w:r w:rsidR="76D943E9" w:rsidRPr="7B104026">
        <w:t>s</w:t>
      </w:r>
      <w:r w:rsidRPr="7B104026">
        <w:t>ations to achieve diverse stakeholder views which extend beyond limited groups of people.</w:t>
      </w:r>
    </w:p>
    <w:p w14:paraId="66B522CA" w14:textId="7FFF6AE9" w:rsidR="498BAC27" w:rsidRDefault="498BAC27" w:rsidP="7B104026">
      <w:pPr>
        <w:spacing w:line="360" w:lineRule="auto"/>
      </w:pPr>
      <w:r w:rsidRPr="7B104026">
        <w:t>The Community Digital Hub needs to base its ethical stakeholder engagement on the core principles which include Diversity Equity and Inclusion (DEI). All people must have equal access to consultation activities according to the process of ethical engagement because age</w:t>
      </w:r>
      <w:r w:rsidR="2EC646B5" w:rsidRPr="7B104026">
        <w:t xml:space="preserve">, </w:t>
      </w:r>
      <w:r w:rsidRPr="7B104026">
        <w:t>physical condition</w:t>
      </w:r>
      <w:r w:rsidR="75B4018B" w:rsidRPr="7B104026">
        <w:t xml:space="preserve">, </w:t>
      </w:r>
      <w:r w:rsidRPr="7B104026">
        <w:t xml:space="preserve">social </w:t>
      </w:r>
      <w:r w:rsidR="75EDDD97" w:rsidRPr="7B104026">
        <w:t>background,</w:t>
      </w:r>
      <w:r w:rsidRPr="7B104026">
        <w:t xml:space="preserve"> and digital technology skills do not affect their participation. The organi</w:t>
      </w:r>
      <w:r w:rsidR="68F0896C" w:rsidRPr="7B104026">
        <w:t>s</w:t>
      </w:r>
      <w:r w:rsidRPr="7B104026">
        <w:t>ation will establish functional solutions through its selection of accessible sites and its provision of support to participants during activities and its collaboration with existing organi</w:t>
      </w:r>
      <w:r w:rsidR="25DFCA2E" w:rsidRPr="7B104026">
        <w:t>s</w:t>
      </w:r>
      <w:r w:rsidRPr="7B104026">
        <w:t>ations that serve disadvantaged communities. The project team needs to apply DEI principles throughout their work on digital hub development to create an accessible platform which serves all users without creating new social inequalities (OECD, 2020).</w:t>
      </w:r>
    </w:p>
    <w:p w14:paraId="52D21B99" w14:textId="2282A071" w:rsidR="498BAC27" w:rsidRDefault="498BAC27" w:rsidP="7B104026">
      <w:pPr>
        <w:spacing w:line="360" w:lineRule="auto"/>
      </w:pPr>
      <w:r w:rsidRPr="7B104026">
        <w:t>Organi</w:t>
      </w:r>
      <w:r w:rsidR="56EDD36A" w:rsidRPr="7B104026">
        <w:t>s</w:t>
      </w:r>
      <w:r w:rsidRPr="7B104026">
        <w:t>ations need to handle stakeholder feedback through ethical methods which combine open communication with responsible actions in their feedback management system. The process will lose stakeholders because they will choose to leave when they understand their input does not affect project choices. A systematic feedback review system will be established to handle this potential issue. The team will record all stakeholder feedback which will undergo evaluation before using it to make decisions. The project will develop particular feedback mechanisms which demonstrate stakeholder influence on project outcomes and describe the reasons behind their suggested solutions becoming impractical. The process becomes more trustworthy because stakeholders can see all information which strengthens the consultation process credibility (Aaltonen and Kujala, 2016).</w:t>
      </w:r>
    </w:p>
    <w:p w14:paraId="602F5E30" w14:textId="5E95AAA0" w:rsidR="498BAC27" w:rsidRDefault="498BAC27" w:rsidP="7B104026">
      <w:pPr>
        <w:spacing w:line="360" w:lineRule="auto"/>
      </w:pPr>
      <w:r w:rsidRPr="7B104026">
        <w:t>The project needs to uphold ethical stakeholder participation through extra consultation sessions which will take place after the first project consultation phase. The digital hub will establish permanent feedback mechanisms which will begin their operation when the platform starts offering its services. This will include user satisfaction surveys and feedback sessions to identify service improvements and emerging needs. The project upholds its ethical commitment to the community because it continues to engage with the community, which allows the project to operate continuously.</w:t>
      </w:r>
    </w:p>
    <w:p w14:paraId="45B501D8" w14:textId="41162604" w:rsidR="498BAC27" w:rsidRDefault="498BAC27" w:rsidP="7B104026">
      <w:pPr>
        <w:spacing w:line="360" w:lineRule="auto"/>
      </w:pPr>
      <w:r w:rsidRPr="7B104026">
        <w:t>The Community Digital Hub needs successful stakeholder consultation and participation and feedback because ethical considerations serve as essential foundations for its success. The project uses ethical stakeholder engagement methods which focus on obtaining informed consent</w:t>
      </w:r>
      <w:r w:rsidR="77C68808" w:rsidRPr="7B104026">
        <w:t xml:space="preserve">, </w:t>
      </w:r>
      <w:r w:rsidRPr="7B104026">
        <w:t>protecting data</w:t>
      </w:r>
      <w:r w:rsidR="1DE0612F" w:rsidRPr="7B104026">
        <w:t xml:space="preserve">, </w:t>
      </w:r>
      <w:r w:rsidRPr="7B104026">
        <w:t>ensuring fairness</w:t>
      </w:r>
      <w:r w:rsidR="3DFC6E51" w:rsidRPr="7B104026">
        <w:t xml:space="preserve">, </w:t>
      </w:r>
      <w:r w:rsidRPr="7B104026">
        <w:t>DEI and maintaining transparency and accountability. The practice of ethical project engagement enables projects to establish trust with local communities, which results in inclusive outcomes that foster lasting relationships with community members.</w:t>
      </w:r>
    </w:p>
    <w:p w14:paraId="40E57F57" w14:textId="4E33BFEA" w:rsidR="7B104026" w:rsidRDefault="7B104026" w:rsidP="7B104026">
      <w:pPr>
        <w:spacing w:line="360" w:lineRule="auto"/>
      </w:pPr>
    </w:p>
    <w:p w14:paraId="275FEAF9" w14:textId="432B592A" w:rsidR="78E6086D" w:rsidRDefault="78E6086D" w:rsidP="7B104026">
      <w:pPr>
        <w:pStyle w:val="Heading1"/>
        <w:spacing w:line="360" w:lineRule="auto"/>
        <w:rPr>
          <w:rFonts w:asciiTheme="minorHAnsi" w:eastAsiaTheme="minorEastAsia" w:hAnsiTheme="minorHAnsi" w:cstheme="minorBidi"/>
          <w:b/>
          <w:bCs/>
          <w:color w:val="auto"/>
          <w:sz w:val="24"/>
          <w:szCs w:val="24"/>
        </w:rPr>
      </w:pPr>
      <w:bookmarkStart w:id="9" w:name="_Toc95020776"/>
      <w:r w:rsidRPr="7B104026">
        <w:rPr>
          <w:rFonts w:asciiTheme="minorHAnsi" w:eastAsiaTheme="minorEastAsia" w:hAnsiTheme="minorHAnsi" w:cstheme="minorBidi"/>
          <w:b/>
          <w:bCs/>
          <w:color w:val="auto"/>
          <w:sz w:val="24"/>
          <w:szCs w:val="24"/>
        </w:rPr>
        <w:t>Element 4: Conclusion and Reflection</w:t>
      </w:r>
      <w:bookmarkEnd w:id="9"/>
    </w:p>
    <w:p w14:paraId="61723AD3" w14:textId="5A0D6755" w:rsidR="78E6086D" w:rsidRDefault="78E6086D" w:rsidP="7B104026">
      <w:pPr>
        <w:pStyle w:val="Heading2"/>
        <w:spacing w:line="360" w:lineRule="auto"/>
        <w:rPr>
          <w:rFonts w:asciiTheme="minorHAnsi" w:eastAsiaTheme="minorEastAsia" w:hAnsiTheme="minorHAnsi" w:cstheme="minorBidi"/>
          <w:b/>
          <w:bCs/>
          <w:color w:val="auto"/>
          <w:sz w:val="24"/>
          <w:szCs w:val="24"/>
        </w:rPr>
      </w:pPr>
      <w:bookmarkStart w:id="10" w:name="_Toc423509382"/>
      <w:r w:rsidRPr="7B104026">
        <w:rPr>
          <w:rFonts w:asciiTheme="minorHAnsi" w:eastAsiaTheme="minorEastAsia" w:hAnsiTheme="minorHAnsi" w:cstheme="minorBidi"/>
          <w:b/>
          <w:bCs/>
          <w:color w:val="auto"/>
          <w:sz w:val="24"/>
          <w:szCs w:val="24"/>
        </w:rPr>
        <w:t>4.1 Conclusion</w:t>
      </w:r>
      <w:bookmarkEnd w:id="10"/>
    </w:p>
    <w:p w14:paraId="1BAB32FB" w14:textId="74BCD5FB" w:rsidR="7B104026" w:rsidRDefault="7B104026" w:rsidP="7B104026">
      <w:pPr>
        <w:spacing w:line="360" w:lineRule="auto"/>
      </w:pPr>
    </w:p>
    <w:p w14:paraId="4359AC4F" w14:textId="02F4F7D6" w:rsidR="468EF6EA" w:rsidRDefault="468EF6EA" w:rsidP="7B104026">
      <w:pPr>
        <w:spacing w:line="360" w:lineRule="auto"/>
      </w:pPr>
      <w:r w:rsidRPr="7B104026">
        <w:t>The proposed Community Digital Hub requires successful stakeholder management for its planning and delivery according to this portfolio. The portfolio shows how stakeholder theory functions through its established engagement tools which help organi</w:t>
      </w:r>
      <w:r w:rsidR="18F8F4FB" w:rsidRPr="7B104026">
        <w:t>s</w:t>
      </w:r>
      <w:r w:rsidRPr="7B104026">
        <w:t>ations identify critical stakeholders who affect project outcomes by analying their power</w:t>
      </w:r>
      <w:r w:rsidR="7227D424" w:rsidRPr="7B104026">
        <w:t xml:space="preserve">, </w:t>
      </w:r>
      <w:r w:rsidRPr="7B104026">
        <w:t>interest and influence levels to create appropriate engagement strategies. The implementation of public infrastructure projects which combat digital exclusion needs special attention to stakeholder engagement because these initiatives impact different social segments with their own requirements</w:t>
      </w:r>
      <w:r w:rsidR="40181DAF" w:rsidRPr="7B104026">
        <w:t xml:space="preserve">, </w:t>
      </w:r>
      <w:r w:rsidRPr="7B104026">
        <w:t>abilities and anticipated outcomes.</w:t>
      </w:r>
    </w:p>
    <w:p w14:paraId="58D66AEE" w14:textId="09392F76" w:rsidR="468EF6EA" w:rsidRDefault="468EF6EA" w:rsidP="7B104026">
      <w:pPr>
        <w:spacing w:line="360" w:lineRule="auto"/>
      </w:pPr>
      <w:r w:rsidRPr="7B104026">
        <w:t>The research showed that stakeholders use their influence beyond their official positions of power. The local authority maintains substantial authority because it provides funding and exercises regulatory control, yet residents and community organi</w:t>
      </w:r>
      <w:r w:rsidR="542064BD" w:rsidRPr="7B104026">
        <w:t>s</w:t>
      </w:r>
      <w:r w:rsidRPr="7B104026">
        <w:t>ations influence decisions through their adoption of services and their ability to build trust and their advocacy efforts. Multiple influence types need identification to develop engagement strategies which must include all stakeholders for achieving appropriate levels of impact. The stakeholder mapping process allowed organi</w:t>
      </w:r>
      <w:r w:rsidR="51E31CED" w:rsidRPr="7B104026">
        <w:t>s</w:t>
      </w:r>
      <w:r w:rsidRPr="7B104026">
        <w:t>ations to determine their most critical stakeholders for interaction because it helped them recogni</w:t>
      </w:r>
      <w:r w:rsidR="2D237276" w:rsidRPr="7B104026">
        <w:t>s</w:t>
      </w:r>
      <w:r w:rsidRPr="7B104026">
        <w:t>e that stakeholders with high interest levels should not be ignored even though they do not hold official power.</w:t>
      </w:r>
    </w:p>
    <w:p w14:paraId="1B516F92" w14:textId="03B48F8F" w:rsidR="468EF6EA" w:rsidRDefault="468EF6EA" w:rsidP="7B104026">
      <w:pPr>
        <w:spacing w:line="360" w:lineRule="auto"/>
      </w:pPr>
      <w:r w:rsidRPr="7B104026">
        <w:t>The communication plan showed that organi</w:t>
      </w:r>
      <w:r w:rsidR="57FC86C9" w:rsidRPr="7B104026">
        <w:t>s</w:t>
      </w:r>
      <w:r w:rsidRPr="7B104026">
        <w:t>ations need to pick up communication channels which fit the digital capabilities of their stakeholders who lack technical expertise. A digital inclusion project which depends only on online communication methods will create barriers which prevent the most vulnerable people from accessing necessary support. The communication strategy enables transparency</w:t>
      </w:r>
      <w:r w:rsidR="7DA73FC4" w:rsidRPr="7B104026">
        <w:t xml:space="preserve">, </w:t>
      </w:r>
      <w:r w:rsidR="4EF547B3" w:rsidRPr="7B104026">
        <w:t>trust,</w:t>
      </w:r>
      <w:r w:rsidRPr="7B104026">
        <w:t xml:space="preserve"> and participant involvement through its combination of direct human contact</w:t>
      </w:r>
      <w:r w:rsidR="06361952" w:rsidRPr="7B104026">
        <w:t xml:space="preserve">, </w:t>
      </w:r>
      <w:r w:rsidRPr="7B104026">
        <w:t xml:space="preserve">printed </w:t>
      </w:r>
      <w:r w:rsidR="1089F973" w:rsidRPr="7B104026">
        <w:t>documents,</w:t>
      </w:r>
      <w:r w:rsidRPr="7B104026">
        <w:t xml:space="preserve"> and scheduled group meetings. The consultation strategy showed how staged and mixed-method consultation allowed stakeholders to give feedback which directed decisions instead of forcing them to use a set procedure.</w:t>
      </w:r>
    </w:p>
    <w:p w14:paraId="64F5D882" w14:textId="687E8691" w:rsidR="468EF6EA" w:rsidRDefault="468EF6EA" w:rsidP="7B104026">
      <w:pPr>
        <w:spacing w:line="360" w:lineRule="auto"/>
      </w:pPr>
      <w:r w:rsidRPr="7B104026">
        <w:t>The entire engagement process needed ethical considerations to serve as its fundamental base. The principles of informed consent</w:t>
      </w:r>
      <w:r w:rsidR="73B0167C" w:rsidRPr="7B104026">
        <w:t xml:space="preserve">, </w:t>
      </w:r>
      <w:r w:rsidRPr="7B104026">
        <w:t>data protection</w:t>
      </w:r>
      <w:r w:rsidR="0E2C9EEA" w:rsidRPr="7B104026">
        <w:t>, fairness,</w:t>
      </w:r>
      <w:r w:rsidRPr="7B104026">
        <w:t xml:space="preserve"> and Diversity Equity and Inclusion (DEI) form the basis for conducting stakeholder engagement activities that are both valid and responsible. The project requires ethical participation because digital exclusion reduction work needs to stop the ongoing growth of existing social inequalities. The portfolio shows that proper stakeholder management based on ethical principles serves as both a necessary condition for project completion and a vital factor which generates enduring social benefits and sustainable outcomes.</w:t>
      </w:r>
    </w:p>
    <w:p w14:paraId="461D4F94" w14:textId="164B1535" w:rsidR="7B104026" w:rsidRDefault="7B104026" w:rsidP="7B104026">
      <w:pPr>
        <w:spacing w:line="360" w:lineRule="auto"/>
        <w:rPr>
          <w:b/>
          <w:bCs/>
        </w:rPr>
      </w:pPr>
    </w:p>
    <w:p w14:paraId="27926C75" w14:textId="468E1AE7" w:rsidR="468EF6EA" w:rsidRDefault="468EF6EA" w:rsidP="7B104026">
      <w:pPr>
        <w:pStyle w:val="Heading2"/>
        <w:spacing w:line="360" w:lineRule="auto"/>
        <w:rPr>
          <w:rFonts w:asciiTheme="minorHAnsi" w:eastAsiaTheme="minorEastAsia" w:hAnsiTheme="minorHAnsi" w:cstheme="minorBidi"/>
          <w:b/>
          <w:bCs/>
          <w:color w:val="auto"/>
          <w:sz w:val="24"/>
          <w:szCs w:val="24"/>
        </w:rPr>
      </w:pPr>
      <w:bookmarkStart w:id="11" w:name="_Toc2094709918"/>
      <w:r w:rsidRPr="7B104026">
        <w:rPr>
          <w:rFonts w:asciiTheme="minorHAnsi" w:eastAsiaTheme="minorEastAsia" w:hAnsiTheme="minorHAnsi" w:cstheme="minorBidi"/>
          <w:b/>
          <w:bCs/>
          <w:color w:val="auto"/>
          <w:sz w:val="24"/>
          <w:szCs w:val="24"/>
        </w:rPr>
        <w:t>4.2 Reflective Account</w:t>
      </w:r>
      <w:bookmarkEnd w:id="11"/>
    </w:p>
    <w:p w14:paraId="09F7DC0E" w14:textId="0EC571E3" w:rsidR="7B104026" w:rsidRDefault="7B104026" w:rsidP="7B104026">
      <w:pPr>
        <w:rPr>
          <w:b/>
          <w:bCs/>
        </w:rPr>
      </w:pPr>
    </w:p>
    <w:p w14:paraId="6A167C6D" w14:textId="5F68D34E" w:rsidR="1A67B542" w:rsidRDefault="1A67B542" w:rsidP="7B104026">
      <w:pPr>
        <w:spacing w:line="360" w:lineRule="auto"/>
      </w:pPr>
      <w:r w:rsidRPr="7B104026">
        <w:t>The process of creating this portfolio helped me understand how stakeholder engagement functions as a strategic method which also upholds ethical standards. The author applies Gibbs' Reflective Cycle to organi</w:t>
      </w:r>
      <w:r w:rsidR="477060D1" w:rsidRPr="7B104026">
        <w:t>se</w:t>
      </w:r>
      <w:r w:rsidRPr="7B104026">
        <w:t xml:space="preserve"> this assessment which demonstrates how theoretical concepts apply to real-world infrastructure work and how my professional abilities will help my future career growth.</w:t>
      </w:r>
    </w:p>
    <w:p w14:paraId="556E2798" w14:textId="3BDA0558" w:rsidR="1A67B542" w:rsidRDefault="1A67B542" w:rsidP="7B104026">
      <w:pPr>
        <w:spacing w:line="360" w:lineRule="auto"/>
      </w:pPr>
      <w:r w:rsidRPr="7B104026">
        <w:t xml:space="preserve">The first impression about stakeholder engagement </w:t>
      </w:r>
      <w:r w:rsidR="644CD4D2" w:rsidRPr="7B104026">
        <w:t xml:space="preserve">demonstrated </w:t>
      </w:r>
      <w:r w:rsidRPr="7B104026">
        <w:t xml:space="preserve">that it functioned as a limited consultation process which occurred only at </w:t>
      </w:r>
      <w:r w:rsidR="001F32F3" w:rsidRPr="7B104026">
        <w:t>times</w:t>
      </w:r>
      <w:r w:rsidRPr="7B104026">
        <w:t xml:space="preserve"> during project development. The evaluation process of academic sources through this portfolio demonstrated that stakeholder management functions as a continuous process which influences project results from start to finish throughout the entire project period. This shift in understanding represents a significant learning outcome, particularly in recognising the value of early and continuous engagement in building trust and reducing risk.</w:t>
      </w:r>
    </w:p>
    <w:p w14:paraId="6A6D9074" w14:textId="4DA3F9EB" w:rsidR="1A67B542" w:rsidRDefault="1A67B542" w:rsidP="7B104026">
      <w:pPr>
        <w:spacing w:line="360" w:lineRule="auto"/>
      </w:pPr>
      <w:r w:rsidRPr="7B104026">
        <w:t>The project needed stakeholders to learn how to apply stakeholder analysis tools, which included power–interest–influence analysis and stakeholder mapping. The analysis process required stakeholders to perform a thorough evaluation process instead of receiving only basic identification information. The experience developed my analytical abilities while demonstrating that organi</w:t>
      </w:r>
      <w:r w:rsidR="62DDBFAE" w:rsidRPr="7B104026">
        <w:t>s</w:t>
      </w:r>
      <w:r w:rsidRPr="7B104026">
        <w:t>ations need to validate their engagement choices through proper reasoning instead of using standardi</w:t>
      </w:r>
      <w:r w:rsidR="6A94F558" w:rsidRPr="7B104026">
        <w:t>se</w:t>
      </w:r>
      <w:r w:rsidRPr="7B104026">
        <w:t>d methods. Consultancy and public-sector professionals need evidence-based reasoning to determine stakeholder's importance because they must distribute limited resources while ensuring full organi</w:t>
      </w:r>
      <w:r w:rsidR="0DFE3223" w:rsidRPr="7B104026">
        <w:t>s</w:t>
      </w:r>
      <w:r w:rsidRPr="7B104026">
        <w:t>ational responsibility.</w:t>
      </w:r>
    </w:p>
    <w:p w14:paraId="2E844135" w14:textId="75CA9DBB" w:rsidR="1A67B542" w:rsidRDefault="1A67B542" w:rsidP="7B104026">
      <w:pPr>
        <w:spacing w:line="360" w:lineRule="auto"/>
      </w:pPr>
      <w:r w:rsidRPr="7B104026">
        <w:t>The development of ethical awareness through my learning process proved to be an essential educational experience. The assessment of engagement procedures showed that poor design implementation would produce multiple adverse effects which included breaking informed consent rules</w:t>
      </w:r>
      <w:r w:rsidR="11E0F094" w:rsidRPr="7B104026">
        <w:t xml:space="preserve">, </w:t>
      </w:r>
      <w:r w:rsidRPr="7B104026">
        <w:t xml:space="preserve">exposing data to </w:t>
      </w:r>
      <w:r w:rsidR="4BC21CB2" w:rsidRPr="7B104026">
        <w:t>risks,</w:t>
      </w:r>
      <w:r w:rsidRPr="7B104026">
        <w:t xml:space="preserve"> and failing to represent all stakeholders properly. The project teams needed to follow DEI principles which established their duty to create accessible and inclusive engagement processes. This reflection has increased awareness of ethical responsibilities beyond technical project delivery and emphasised the role of stakeholder managers in protecting vulnerable groups.</w:t>
      </w:r>
    </w:p>
    <w:p w14:paraId="18C1B34E" w14:textId="48E99236" w:rsidR="1A67B542" w:rsidRDefault="1A67B542" w:rsidP="7B104026">
      <w:pPr>
        <w:spacing w:line="360" w:lineRule="auto"/>
      </w:pPr>
      <w:r w:rsidRPr="7B104026">
        <w:t>The portfolio helped students acquire transferable abilities through their work with structured academic writing and their development of professional communication skills and reflective practice methods. Professionals need to acquire the ability to present complex stakeholder information through structured organi</w:t>
      </w:r>
      <w:r w:rsidR="60D6D4D9" w:rsidRPr="7B104026">
        <w:t>s</w:t>
      </w:r>
      <w:r w:rsidRPr="7B104026">
        <w:t>ational systems as their core skill. The reflective process enabled me to gain self-awareness while I learned to evaluate my learning, which are vital competencies needed for future professional growth.</w:t>
      </w:r>
    </w:p>
    <w:p w14:paraId="7473E37A" w14:textId="20643CE5" w:rsidR="1A67B542" w:rsidRDefault="1A67B542" w:rsidP="7B104026">
      <w:pPr>
        <w:spacing w:line="360" w:lineRule="auto"/>
      </w:pPr>
      <w:r w:rsidRPr="7B104026">
        <w:t>The portfolio functions as my initial base, which I will apply stakeholder engagement principles to create value in my upcoming professional activities. The skills learned from this exercise will help me perform duties in project coordination</w:t>
      </w:r>
      <w:r w:rsidR="393277B4" w:rsidRPr="7B104026">
        <w:t xml:space="preserve">, </w:t>
      </w:r>
      <w:r w:rsidRPr="7B104026">
        <w:t xml:space="preserve">community </w:t>
      </w:r>
      <w:r w:rsidR="7B5C7954" w:rsidRPr="7B104026">
        <w:t>engagement,</w:t>
      </w:r>
      <w:r w:rsidRPr="7B104026">
        <w:t xml:space="preserve"> and public sector management roles. The reflective process demonstrated to me that I need to adapt when working with various stakeholder groups because I must make ethical decisions and present information successfully.</w:t>
      </w:r>
    </w:p>
    <w:p w14:paraId="06E4CA80" w14:textId="3396A852" w:rsidR="7B104026" w:rsidRDefault="7B104026">
      <w:r>
        <w:br w:type="page"/>
      </w:r>
    </w:p>
    <w:p w14:paraId="18B0EEEE" w14:textId="0E5873CE" w:rsidR="37F4C96A" w:rsidRDefault="37F4C96A" w:rsidP="7B104026">
      <w:pPr>
        <w:pStyle w:val="Heading1"/>
        <w:rPr>
          <w:rFonts w:asciiTheme="minorHAnsi" w:eastAsiaTheme="minorEastAsia" w:hAnsiTheme="minorHAnsi" w:cstheme="minorBidi"/>
          <w:b/>
          <w:bCs/>
          <w:color w:val="auto"/>
          <w:sz w:val="24"/>
          <w:szCs w:val="24"/>
        </w:rPr>
      </w:pPr>
      <w:bookmarkStart w:id="12" w:name="_Toc788937719"/>
      <w:r w:rsidRPr="7B104026">
        <w:rPr>
          <w:rFonts w:asciiTheme="minorHAnsi" w:eastAsiaTheme="minorEastAsia" w:hAnsiTheme="minorHAnsi" w:cstheme="minorBidi"/>
          <w:b/>
          <w:bCs/>
          <w:color w:val="auto"/>
          <w:sz w:val="24"/>
          <w:szCs w:val="24"/>
        </w:rPr>
        <w:t>References</w:t>
      </w:r>
      <w:bookmarkEnd w:id="12"/>
    </w:p>
    <w:p w14:paraId="4441511E" w14:textId="2AB4971A" w:rsidR="7B104026" w:rsidRDefault="7B104026" w:rsidP="7B104026"/>
    <w:p w14:paraId="0B6E0A56" w14:textId="7D364541" w:rsidR="5B606898" w:rsidRDefault="5B606898" w:rsidP="7B104026">
      <w:pPr>
        <w:pStyle w:val="ListParagraph"/>
        <w:numPr>
          <w:ilvl w:val="0"/>
          <w:numId w:val="1"/>
        </w:numPr>
        <w:spacing w:before="240" w:after="240" w:line="360" w:lineRule="auto"/>
      </w:pPr>
      <w:r w:rsidRPr="7B104026">
        <w:rPr>
          <w:rFonts w:ascii="Times New Roman" w:eastAsia="Times New Roman" w:hAnsi="Times New Roman" w:cs="Times New Roman"/>
        </w:rPr>
        <w:t xml:space="preserve">Aaltonen, K. and Kujala, J. (2016) ‘Towards an improved understanding of stakeholder dynamics’, </w:t>
      </w:r>
      <w:r w:rsidRPr="7B104026">
        <w:rPr>
          <w:rFonts w:ascii="Times New Roman" w:eastAsia="Times New Roman" w:hAnsi="Times New Roman" w:cs="Times New Roman"/>
          <w:i/>
          <w:iCs/>
        </w:rPr>
        <w:t>International Journal of Project Management</w:t>
      </w:r>
      <w:r w:rsidRPr="7B104026">
        <w:rPr>
          <w:rFonts w:ascii="Times New Roman" w:eastAsia="Times New Roman" w:hAnsi="Times New Roman" w:cs="Times New Roman"/>
        </w:rPr>
        <w:t xml:space="preserve">, 34(8), pp. 1537–1552. </w:t>
      </w:r>
      <w:hyperlink r:id="rId7">
        <w:r w:rsidRPr="7B104026">
          <w:rPr>
            <w:rStyle w:val="Hyperlink"/>
            <w:rFonts w:ascii="Times New Roman" w:eastAsia="Times New Roman" w:hAnsi="Times New Roman" w:cs="Times New Roman"/>
          </w:rPr>
          <w:t>https://doi.org/10.1016/j.ijproman.2016.08.009</w:t>
        </w:r>
      </w:hyperlink>
    </w:p>
    <w:p w14:paraId="2A5600A9" w14:textId="67306113" w:rsidR="5B606898" w:rsidRDefault="5B606898" w:rsidP="7B104026">
      <w:pPr>
        <w:pStyle w:val="ListParagraph"/>
        <w:numPr>
          <w:ilvl w:val="0"/>
          <w:numId w:val="1"/>
        </w:numPr>
        <w:spacing w:before="240" w:after="240" w:line="360" w:lineRule="auto"/>
        <w:rPr>
          <w:rFonts w:ascii="Times New Roman" w:eastAsia="Times New Roman" w:hAnsi="Times New Roman" w:cs="Times New Roman"/>
        </w:rPr>
      </w:pPr>
      <w:r w:rsidRPr="7B104026">
        <w:rPr>
          <w:rFonts w:ascii="Times New Roman" w:eastAsia="Times New Roman" w:hAnsi="Times New Roman" w:cs="Times New Roman"/>
        </w:rPr>
        <w:t xml:space="preserve">British Sociological Association (2017) </w:t>
      </w:r>
      <w:r w:rsidRPr="7B104026">
        <w:rPr>
          <w:rFonts w:ascii="Times New Roman" w:eastAsia="Times New Roman" w:hAnsi="Times New Roman" w:cs="Times New Roman"/>
          <w:i/>
          <w:iCs/>
        </w:rPr>
        <w:t>Statement of Ethical Practice</w:t>
      </w:r>
      <w:r w:rsidRPr="7B104026">
        <w:rPr>
          <w:rFonts w:ascii="Times New Roman" w:eastAsia="Times New Roman" w:hAnsi="Times New Roman" w:cs="Times New Roman"/>
        </w:rPr>
        <w:t xml:space="preserve">. London: British Sociological Association. Available at: </w:t>
      </w:r>
      <w:hyperlink r:id="rId8">
        <w:r w:rsidRPr="7B104026">
          <w:rPr>
            <w:rStyle w:val="Hyperlink"/>
            <w:rFonts w:ascii="Times New Roman" w:eastAsia="Times New Roman" w:hAnsi="Times New Roman" w:cs="Times New Roman"/>
          </w:rPr>
          <w:t>https://www.britsoc.co.uk/ethics</w:t>
        </w:r>
      </w:hyperlink>
      <w:r w:rsidRPr="7B104026">
        <w:rPr>
          <w:rFonts w:ascii="Times New Roman" w:eastAsia="Times New Roman" w:hAnsi="Times New Roman" w:cs="Times New Roman"/>
        </w:rPr>
        <w:t xml:space="preserve"> (Accessed: 15 December 2025).</w:t>
      </w:r>
    </w:p>
    <w:p w14:paraId="643CBED6" w14:textId="09CC3D94" w:rsidR="5B606898" w:rsidRDefault="5B606898" w:rsidP="7B104026">
      <w:pPr>
        <w:pStyle w:val="ListParagraph"/>
        <w:numPr>
          <w:ilvl w:val="0"/>
          <w:numId w:val="1"/>
        </w:numPr>
        <w:spacing w:before="240" w:after="240" w:line="360" w:lineRule="auto"/>
        <w:rPr>
          <w:rFonts w:ascii="Times New Roman" w:eastAsia="Times New Roman" w:hAnsi="Times New Roman" w:cs="Times New Roman"/>
        </w:rPr>
      </w:pPr>
      <w:r w:rsidRPr="7B104026">
        <w:rPr>
          <w:rFonts w:ascii="Times New Roman" w:eastAsia="Times New Roman" w:hAnsi="Times New Roman" w:cs="Times New Roman"/>
        </w:rPr>
        <w:t xml:space="preserve">Bryson, J.M. (2018) </w:t>
      </w:r>
      <w:r w:rsidRPr="7B104026">
        <w:rPr>
          <w:rFonts w:ascii="Times New Roman" w:eastAsia="Times New Roman" w:hAnsi="Times New Roman" w:cs="Times New Roman"/>
          <w:i/>
          <w:iCs/>
        </w:rPr>
        <w:t>Strategic Planning for Public and Nonprofit Organizations: A Guide to Strengthening and Sustaining Organizational Achievement</w:t>
      </w:r>
      <w:r w:rsidRPr="7B104026">
        <w:rPr>
          <w:rFonts w:ascii="Times New Roman" w:eastAsia="Times New Roman" w:hAnsi="Times New Roman" w:cs="Times New Roman"/>
        </w:rPr>
        <w:t>. 5th edn. Hoboken, NJ: John Wiley &amp; Sons.</w:t>
      </w:r>
    </w:p>
    <w:p w14:paraId="72FC2DC1" w14:textId="44E77256" w:rsidR="5B606898" w:rsidRDefault="5B606898" w:rsidP="7B104026">
      <w:pPr>
        <w:pStyle w:val="ListParagraph"/>
        <w:numPr>
          <w:ilvl w:val="0"/>
          <w:numId w:val="1"/>
        </w:numPr>
        <w:spacing w:before="240" w:after="240" w:line="360" w:lineRule="auto"/>
        <w:rPr>
          <w:rFonts w:ascii="Times New Roman" w:eastAsia="Times New Roman" w:hAnsi="Times New Roman" w:cs="Times New Roman"/>
        </w:rPr>
      </w:pPr>
      <w:r w:rsidRPr="7B104026">
        <w:rPr>
          <w:rFonts w:ascii="Times New Roman" w:eastAsia="Times New Roman" w:hAnsi="Times New Roman" w:cs="Times New Roman"/>
        </w:rPr>
        <w:t xml:space="preserve">Crane, A. and Matten, D. (2016) </w:t>
      </w:r>
      <w:r w:rsidRPr="7B104026">
        <w:rPr>
          <w:rFonts w:ascii="Times New Roman" w:eastAsia="Times New Roman" w:hAnsi="Times New Roman" w:cs="Times New Roman"/>
          <w:i/>
          <w:iCs/>
        </w:rPr>
        <w:t>Business Ethics: Managing Corporate Citizenship and Sustainability in the Age of Globalization</w:t>
      </w:r>
      <w:r w:rsidRPr="7B104026">
        <w:rPr>
          <w:rFonts w:ascii="Times New Roman" w:eastAsia="Times New Roman" w:hAnsi="Times New Roman" w:cs="Times New Roman"/>
        </w:rPr>
        <w:t>. 4th edn. Oxford: Oxford University Press.</w:t>
      </w:r>
    </w:p>
    <w:p w14:paraId="31211E65" w14:textId="21FF337D" w:rsidR="5B606898" w:rsidRDefault="5B606898" w:rsidP="7B104026">
      <w:pPr>
        <w:pStyle w:val="ListParagraph"/>
        <w:numPr>
          <w:ilvl w:val="0"/>
          <w:numId w:val="1"/>
        </w:numPr>
        <w:spacing w:before="240" w:after="240" w:line="360" w:lineRule="auto"/>
        <w:rPr>
          <w:rFonts w:ascii="Times New Roman" w:eastAsia="Times New Roman" w:hAnsi="Times New Roman" w:cs="Times New Roman"/>
        </w:rPr>
      </w:pPr>
      <w:r w:rsidRPr="7B104026">
        <w:rPr>
          <w:rFonts w:ascii="Times New Roman" w:eastAsia="Times New Roman" w:hAnsi="Times New Roman" w:cs="Times New Roman"/>
        </w:rPr>
        <w:t xml:space="preserve">Freeman, R.E. (1984) </w:t>
      </w:r>
      <w:r w:rsidRPr="7B104026">
        <w:rPr>
          <w:rFonts w:ascii="Times New Roman" w:eastAsia="Times New Roman" w:hAnsi="Times New Roman" w:cs="Times New Roman"/>
          <w:i/>
          <w:iCs/>
        </w:rPr>
        <w:t>Strategic Management: A Stakeholder Approach</w:t>
      </w:r>
      <w:r w:rsidRPr="7B104026">
        <w:rPr>
          <w:rFonts w:ascii="Times New Roman" w:eastAsia="Times New Roman" w:hAnsi="Times New Roman" w:cs="Times New Roman"/>
        </w:rPr>
        <w:t>. Boston: Pitman.</w:t>
      </w:r>
    </w:p>
    <w:p w14:paraId="5A106212" w14:textId="520BB981" w:rsidR="5B606898" w:rsidRDefault="5B606898" w:rsidP="7B104026">
      <w:pPr>
        <w:pStyle w:val="ListParagraph"/>
        <w:numPr>
          <w:ilvl w:val="0"/>
          <w:numId w:val="1"/>
        </w:numPr>
        <w:spacing w:before="240" w:after="240" w:line="360" w:lineRule="auto"/>
        <w:rPr>
          <w:rFonts w:ascii="Times New Roman" w:eastAsia="Times New Roman" w:hAnsi="Times New Roman" w:cs="Times New Roman"/>
        </w:rPr>
      </w:pPr>
      <w:r w:rsidRPr="7B104026">
        <w:rPr>
          <w:rFonts w:ascii="Times New Roman" w:eastAsia="Times New Roman" w:hAnsi="Times New Roman" w:cs="Times New Roman"/>
        </w:rPr>
        <w:t xml:space="preserve">Mendelow, A.L. (1991) ‘Environmental scanning: The impact of the stakeholder concept’, in </w:t>
      </w:r>
      <w:r w:rsidRPr="7B104026">
        <w:rPr>
          <w:rFonts w:ascii="Times New Roman" w:eastAsia="Times New Roman" w:hAnsi="Times New Roman" w:cs="Times New Roman"/>
          <w:i/>
          <w:iCs/>
        </w:rPr>
        <w:t>Proceedings of the Second International Conference on Information Systems</w:t>
      </w:r>
      <w:r w:rsidRPr="7B104026">
        <w:rPr>
          <w:rFonts w:ascii="Times New Roman" w:eastAsia="Times New Roman" w:hAnsi="Times New Roman" w:cs="Times New Roman"/>
        </w:rPr>
        <w:t>. Cambridge, MA: Harvard Business School Press, pp. 407–418.</w:t>
      </w:r>
    </w:p>
    <w:p w14:paraId="0A364273" w14:textId="183B6CB9" w:rsidR="5B606898" w:rsidRDefault="5B606898" w:rsidP="7B104026">
      <w:pPr>
        <w:pStyle w:val="ListParagraph"/>
        <w:numPr>
          <w:ilvl w:val="0"/>
          <w:numId w:val="1"/>
        </w:numPr>
        <w:spacing w:before="240" w:after="240" w:line="360" w:lineRule="auto"/>
      </w:pPr>
      <w:r w:rsidRPr="7B104026">
        <w:rPr>
          <w:rFonts w:ascii="Times New Roman" w:eastAsia="Times New Roman" w:hAnsi="Times New Roman" w:cs="Times New Roman"/>
        </w:rPr>
        <w:t xml:space="preserve">OECD (2020) </w:t>
      </w:r>
      <w:r w:rsidRPr="7B104026">
        <w:rPr>
          <w:rFonts w:ascii="Times New Roman" w:eastAsia="Times New Roman" w:hAnsi="Times New Roman" w:cs="Times New Roman"/>
          <w:i/>
          <w:iCs/>
        </w:rPr>
        <w:t>Innovative Citizen Participation and New Democratic Institutions: Catching the Deliberative Wave</w:t>
      </w:r>
      <w:r w:rsidRPr="7B104026">
        <w:rPr>
          <w:rFonts w:ascii="Times New Roman" w:eastAsia="Times New Roman" w:hAnsi="Times New Roman" w:cs="Times New Roman"/>
        </w:rPr>
        <w:t xml:space="preserve">. Paris: OECD Publishing. </w:t>
      </w:r>
      <w:hyperlink r:id="rId9">
        <w:r w:rsidRPr="7B104026">
          <w:rPr>
            <w:rStyle w:val="Hyperlink"/>
            <w:rFonts w:ascii="Times New Roman" w:eastAsia="Times New Roman" w:hAnsi="Times New Roman" w:cs="Times New Roman"/>
          </w:rPr>
          <w:t>https://doi.org/10.1787/339306da-en</w:t>
        </w:r>
      </w:hyperlink>
    </w:p>
    <w:p w14:paraId="0BDD1C2E" w14:textId="4E8B92AF" w:rsidR="5B606898" w:rsidRDefault="5B606898" w:rsidP="7B104026">
      <w:pPr>
        <w:pStyle w:val="ListParagraph"/>
        <w:numPr>
          <w:ilvl w:val="0"/>
          <w:numId w:val="1"/>
        </w:numPr>
        <w:spacing w:before="240" w:after="240" w:line="360" w:lineRule="auto"/>
      </w:pPr>
      <w:r w:rsidRPr="7B104026">
        <w:rPr>
          <w:rFonts w:ascii="Times New Roman" w:eastAsia="Times New Roman" w:hAnsi="Times New Roman" w:cs="Times New Roman"/>
        </w:rPr>
        <w:t xml:space="preserve">Reed, M.S., Vella, S., Challies, E., de Vente, J., Frewer, L., Hohenwallner-Ries, D., Hubacek, K., Neumann, R.K., Oughton, E., Sidoli del Ceno, J. and van Delden, H. (2018) ‘A theory of participation: What makes stakeholder and public engagement in environmental management work?’, </w:t>
      </w:r>
      <w:r w:rsidRPr="7B104026">
        <w:rPr>
          <w:rFonts w:ascii="Times New Roman" w:eastAsia="Times New Roman" w:hAnsi="Times New Roman" w:cs="Times New Roman"/>
          <w:i/>
          <w:iCs/>
        </w:rPr>
        <w:t>Biological Conservation</w:t>
      </w:r>
      <w:r w:rsidRPr="7B104026">
        <w:rPr>
          <w:rFonts w:ascii="Times New Roman" w:eastAsia="Times New Roman" w:hAnsi="Times New Roman" w:cs="Times New Roman"/>
        </w:rPr>
        <w:t xml:space="preserve">, 217, pp. 1–10. </w:t>
      </w:r>
      <w:hyperlink r:id="rId10">
        <w:r w:rsidRPr="7B104026">
          <w:rPr>
            <w:rStyle w:val="Hyperlink"/>
            <w:rFonts w:ascii="Times New Roman" w:eastAsia="Times New Roman" w:hAnsi="Times New Roman" w:cs="Times New Roman"/>
          </w:rPr>
          <w:t>https://doi.org/10.1016/j.biocon.2017.10.002</w:t>
        </w:r>
      </w:hyperlink>
    </w:p>
    <w:p w14:paraId="3DA55105" w14:textId="17969B89" w:rsidR="5B606898" w:rsidRDefault="5B606898" w:rsidP="7B104026">
      <w:pPr>
        <w:pStyle w:val="ListParagraph"/>
        <w:numPr>
          <w:ilvl w:val="0"/>
          <w:numId w:val="1"/>
        </w:numPr>
        <w:spacing w:before="240" w:after="240" w:line="360" w:lineRule="auto"/>
      </w:pPr>
      <w:r w:rsidRPr="7B104026">
        <w:rPr>
          <w:rFonts w:ascii="Times New Roman" w:eastAsia="Times New Roman" w:hAnsi="Times New Roman" w:cs="Times New Roman"/>
        </w:rPr>
        <w:t xml:space="preserve">Rowe, G. and Frewer, L.J. (2005) ‘A typology of public engagement mechanisms’, </w:t>
      </w:r>
      <w:r w:rsidRPr="7B104026">
        <w:rPr>
          <w:rFonts w:ascii="Times New Roman" w:eastAsia="Times New Roman" w:hAnsi="Times New Roman" w:cs="Times New Roman"/>
          <w:i/>
          <w:iCs/>
        </w:rPr>
        <w:t>Science, Technology &amp; Human Values</w:t>
      </w:r>
      <w:r w:rsidRPr="7B104026">
        <w:rPr>
          <w:rFonts w:ascii="Times New Roman" w:eastAsia="Times New Roman" w:hAnsi="Times New Roman" w:cs="Times New Roman"/>
        </w:rPr>
        <w:t xml:space="preserve">, 30(2), pp. 251–290. </w:t>
      </w:r>
      <w:hyperlink r:id="rId11">
        <w:r w:rsidRPr="7B104026">
          <w:rPr>
            <w:rStyle w:val="Hyperlink"/>
            <w:rFonts w:ascii="Times New Roman" w:eastAsia="Times New Roman" w:hAnsi="Times New Roman" w:cs="Times New Roman"/>
          </w:rPr>
          <w:t>https://doi.org/10.1177/0162243904271724</w:t>
        </w:r>
      </w:hyperlink>
    </w:p>
    <w:p w14:paraId="6F2C151A" w14:textId="75A9D8D2" w:rsidR="5B606898" w:rsidRDefault="5B606898" w:rsidP="7B104026">
      <w:pPr>
        <w:pStyle w:val="ListParagraph"/>
        <w:numPr>
          <w:ilvl w:val="0"/>
          <w:numId w:val="1"/>
        </w:numPr>
        <w:spacing w:before="240" w:after="240" w:line="360" w:lineRule="auto"/>
        <w:rPr>
          <w:rFonts w:ascii="Times New Roman" w:eastAsia="Times New Roman" w:hAnsi="Times New Roman" w:cs="Times New Roman"/>
        </w:rPr>
      </w:pPr>
      <w:r w:rsidRPr="7B104026">
        <w:rPr>
          <w:rFonts w:ascii="Times New Roman" w:eastAsia="Times New Roman" w:hAnsi="Times New Roman" w:cs="Times New Roman"/>
        </w:rPr>
        <w:t xml:space="preserve">UK Government (2022) </w:t>
      </w:r>
      <w:r w:rsidRPr="7B104026">
        <w:rPr>
          <w:rFonts w:ascii="Times New Roman" w:eastAsia="Times New Roman" w:hAnsi="Times New Roman" w:cs="Times New Roman"/>
          <w:i/>
          <w:iCs/>
        </w:rPr>
        <w:t>Levelling Up the United Kingdom</w:t>
      </w:r>
      <w:r w:rsidRPr="7B104026">
        <w:rPr>
          <w:rFonts w:ascii="Times New Roman" w:eastAsia="Times New Roman" w:hAnsi="Times New Roman" w:cs="Times New Roman"/>
        </w:rPr>
        <w:t xml:space="preserve">. London: HM Government. Available at: </w:t>
      </w:r>
      <w:hyperlink r:id="rId12">
        <w:r w:rsidRPr="7B104026">
          <w:rPr>
            <w:rStyle w:val="Hyperlink"/>
            <w:rFonts w:ascii="Times New Roman" w:eastAsia="Times New Roman" w:hAnsi="Times New Roman" w:cs="Times New Roman"/>
          </w:rPr>
          <w:t>https://www.gov.uk/government/publications/levelling-up-the-united-kingdom</w:t>
        </w:r>
      </w:hyperlink>
      <w:r w:rsidRPr="7B104026">
        <w:rPr>
          <w:rFonts w:ascii="Times New Roman" w:eastAsia="Times New Roman" w:hAnsi="Times New Roman" w:cs="Times New Roman"/>
        </w:rPr>
        <w:t xml:space="preserve"> (Accessed: 15 December 2025).</w:t>
      </w:r>
    </w:p>
    <w:sectPr w:rsidR="5B606898">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043D6" w14:textId="77777777" w:rsidR="00ED2B2C" w:rsidRDefault="00ED2B2C">
      <w:pPr>
        <w:spacing w:after="0" w:line="240" w:lineRule="auto"/>
      </w:pPr>
      <w:r>
        <w:separator/>
      </w:r>
    </w:p>
  </w:endnote>
  <w:endnote w:type="continuationSeparator" w:id="0">
    <w:p w14:paraId="2E79017D" w14:textId="77777777" w:rsidR="00ED2B2C" w:rsidRDefault="00ED2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B104026" w14:paraId="17EB9472" w14:textId="77777777" w:rsidTr="7B104026">
      <w:trPr>
        <w:trHeight w:val="300"/>
      </w:trPr>
      <w:tc>
        <w:tcPr>
          <w:tcW w:w="3120" w:type="dxa"/>
        </w:tcPr>
        <w:p w14:paraId="20293A65" w14:textId="7BECD698" w:rsidR="7B104026" w:rsidRDefault="7B104026" w:rsidP="7B104026">
          <w:pPr>
            <w:pStyle w:val="Header"/>
            <w:ind w:left="-115"/>
          </w:pPr>
        </w:p>
      </w:tc>
      <w:tc>
        <w:tcPr>
          <w:tcW w:w="3120" w:type="dxa"/>
        </w:tcPr>
        <w:p w14:paraId="6F0D2FBB" w14:textId="33B8D42C" w:rsidR="7B104026" w:rsidRDefault="7B104026" w:rsidP="7B104026">
          <w:pPr>
            <w:pStyle w:val="Header"/>
            <w:jc w:val="center"/>
          </w:pPr>
        </w:p>
      </w:tc>
      <w:tc>
        <w:tcPr>
          <w:tcW w:w="3120" w:type="dxa"/>
        </w:tcPr>
        <w:p w14:paraId="25D448B8" w14:textId="3CBC76C7" w:rsidR="7B104026" w:rsidRDefault="7B104026" w:rsidP="7B104026">
          <w:pPr>
            <w:pStyle w:val="Header"/>
            <w:ind w:right="-115"/>
            <w:jc w:val="right"/>
          </w:pPr>
          <w:r>
            <w:fldChar w:fldCharType="begin"/>
          </w:r>
          <w:r>
            <w:instrText>PAGE</w:instrText>
          </w:r>
          <w:r>
            <w:fldChar w:fldCharType="separate"/>
          </w:r>
          <w:r>
            <w:fldChar w:fldCharType="end"/>
          </w:r>
        </w:p>
      </w:tc>
    </w:tr>
  </w:tbl>
  <w:p w14:paraId="2D52C9F5" w14:textId="16CAE3FD" w:rsidR="7B104026" w:rsidRDefault="7B104026" w:rsidP="7B104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A6443" w14:textId="77777777" w:rsidR="00ED2B2C" w:rsidRDefault="00ED2B2C">
      <w:pPr>
        <w:spacing w:after="0" w:line="240" w:lineRule="auto"/>
      </w:pPr>
      <w:r>
        <w:separator/>
      </w:r>
    </w:p>
  </w:footnote>
  <w:footnote w:type="continuationSeparator" w:id="0">
    <w:p w14:paraId="75C942D6" w14:textId="77777777" w:rsidR="00ED2B2C" w:rsidRDefault="00ED2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B104026" w14:paraId="1FD32FD5" w14:textId="77777777" w:rsidTr="7B104026">
      <w:trPr>
        <w:trHeight w:val="300"/>
      </w:trPr>
      <w:tc>
        <w:tcPr>
          <w:tcW w:w="3120" w:type="dxa"/>
        </w:tcPr>
        <w:p w14:paraId="6FEA1481" w14:textId="158B49CC" w:rsidR="7B104026" w:rsidRDefault="7B104026" w:rsidP="7B104026">
          <w:pPr>
            <w:pStyle w:val="Header"/>
            <w:ind w:left="-115"/>
          </w:pPr>
        </w:p>
      </w:tc>
      <w:tc>
        <w:tcPr>
          <w:tcW w:w="3120" w:type="dxa"/>
        </w:tcPr>
        <w:p w14:paraId="407DA90C" w14:textId="22EB6963" w:rsidR="7B104026" w:rsidRDefault="7B104026" w:rsidP="7B104026">
          <w:pPr>
            <w:pStyle w:val="Header"/>
            <w:jc w:val="center"/>
          </w:pPr>
        </w:p>
      </w:tc>
      <w:tc>
        <w:tcPr>
          <w:tcW w:w="3120" w:type="dxa"/>
        </w:tcPr>
        <w:p w14:paraId="16EDD4BB" w14:textId="304AD8A0" w:rsidR="7B104026" w:rsidRDefault="7B104026" w:rsidP="7B104026">
          <w:pPr>
            <w:pStyle w:val="Header"/>
            <w:ind w:right="-115"/>
            <w:jc w:val="right"/>
          </w:pPr>
        </w:p>
      </w:tc>
    </w:tr>
  </w:tbl>
  <w:p w14:paraId="6D8565C9" w14:textId="2BB91FFF" w:rsidR="7B104026" w:rsidRDefault="7B104026" w:rsidP="7B10402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qPOvuVr" int2:invalidationBookmarkName="" int2:hashCode="9vOfv2eNTAPKcv" int2:id="PJEJE9D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11E62B"/>
    <w:multiLevelType w:val="hybridMultilevel"/>
    <w:tmpl w:val="FFFFFFFF"/>
    <w:lvl w:ilvl="0" w:tplc="94E6B5CC">
      <w:start w:val="1"/>
      <w:numFmt w:val="decimal"/>
      <w:lvlText w:val="%1."/>
      <w:lvlJc w:val="left"/>
      <w:pPr>
        <w:ind w:left="720" w:hanging="360"/>
      </w:pPr>
    </w:lvl>
    <w:lvl w:ilvl="1" w:tplc="FC420766">
      <w:start w:val="1"/>
      <w:numFmt w:val="lowerLetter"/>
      <w:lvlText w:val="%2."/>
      <w:lvlJc w:val="left"/>
      <w:pPr>
        <w:ind w:left="1440" w:hanging="360"/>
      </w:pPr>
    </w:lvl>
    <w:lvl w:ilvl="2" w:tplc="507862DE">
      <w:start w:val="1"/>
      <w:numFmt w:val="lowerRoman"/>
      <w:lvlText w:val="%3."/>
      <w:lvlJc w:val="right"/>
      <w:pPr>
        <w:ind w:left="2160" w:hanging="180"/>
      </w:pPr>
    </w:lvl>
    <w:lvl w:ilvl="3" w:tplc="6DA4A8A6">
      <w:start w:val="1"/>
      <w:numFmt w:val="decimal"/>
      <w:lvlText w:val="%4."/>
      <w:lvlJc w:val="left"/>
      <w:pPr>
        <w:ind w:left="2880" w:hanging="360"/>
      </w:pPr>
    </w:lvl>
    <w:lvl w:ilvl="4" w:tplc="515A7278">
      <w:start w:val="1"/>
      <w:numFmt w:val="lowerLetter"/>
      <w:lvlText w:val="%5."/>
      <w:lvlJc w:val="left"/>
      <w:pPr>
        <w:ind w:left="3600" w:hanging="360"/>
      </w:pPr>
    </w:lvl>
    <w:lvl w:ilvl="5" w:tplc="FE78DA26">
      <w:start w:val="1"/>
      <w:numFmt w:val="lowerRoman"/>
      <w:lvlText w:val="%6."/>
      <w:lvlJc w:val="right"/>
      <w:pPr>
        <w:ind w:left="4320" w:hanging="180"/>
      </w:pPr>
    </w:lvl>
    <w:lvl w:ilvl="6" w:tplc="714E2F2E">
      <w:start w:val="1"/>
      <w:numFmt w:val="decimal"/>
      <w:lvlText w:val="%7."/>
      <w:lvlJc w:val="left"/>
      <w:pPr>
        <w:ind w:left="5040" w:hanging="360"/>
      </w:pPr>
    </w:lvl>
    <w:lvl w:ilvl="7" w:tplc="6BEA8846">
      <w:start w:val="1"/>
      <w:numFmt w:val="lowerLetter"/>
      <w:lvlText w:val="%8."/>
      <w:lvlJc w:val="left"/>
      <w:pPr>
        <w:ind w:left="5760" w:hanging="360"/>
      </w:pPr>
    </w:lvl>
    <w:lvl w:ilvl="8" w:tplc="5C30FBFA">
      <w:start w:val="1"/>
      <w:numFmt w:val="lowerRoman"/>
      <w:lvlText w:val="%9."/>
      <w:lvlJc w:val="right"/>
      <w:pPr>
        <w:ind w:left="6480" w:hanging="180"/>
      </w:pPr>
    </w:lvl>
  </w:abstractNum>
  <w:num w:numId="1" w16cid:durableId="622002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45E690"/>
    <w:rsid w:val="000E371B"/>
    <w:rsid w:val="001F32F3"/>
    <w:rsid w:val="00571BC3"/>
    <w:rsid w:val="0086665D"/>
    <w:rsid w:val="008A5125"/>
    <w:rsid w:val="00993172"/>
    <w:rsid w:val="00ED2B2C"/>
    <w:rsid w:val="0212D7B4"/>
    <w:rsid w:val="0235A086"/>
    <w:rsid w:val="03BB1963"/>
    <w:rsid w:val="06361952"/>
    <w:rsid w:val="069C4AC0"/>
    <w:rsid w:val="077A0281"/>
    <w:rsid w:val="07B04A6D"/>
    <w:rsid w:val="0B8EF2B4"/>
    <w:rsid w:val="0C4E9229"/>
    <w:rsid w:val="0D645A9F"/>
    <w:rsid w:val="0DFE3223"/>
    <w:rsid w:val="0E2C9EEA"/>
    <w:rsid w:val="0E914136"/>
    <w:rsid w:val="1089F973"/>
    <w:rsid w:val="10A39519"/>
    <w:rsid w:val="10B4A62B"/>
    <w:rsid w:val="110DEE2E"/>
    <w:rsid w:val="11685516"/>
    <w:rsid w:val="11E0F094"/>
    <w:rsid w:val="1283DCBA"/>
    <w:rsid w:val="13FA1B79"/>
    <w:rsid w:val="156257A2"/>
    <w:rsid w:val="1579117C"/>
    <w:rsid w:val="182B9810"/>
    <w:rsid w:val="18C243F9"/>
    <w:rsid w:val="18F8F4FB"/>
    <w:rsid w:val="1A67B542"/>
    <w:rsid w:val="1B5828C9"/>
    <w:rsid w:val="1DE0612F"/>
    <w:rsid w:val="1E275DE5"/>
    <w:rsid w:val="1EE59E8F"/>
    <w:rsid w:val="1F77AFCB"/>
    <w:rsid w:val="1F85B172"/>
    <w:rsid w:val="1F91D9C4"/>
    <w:rsid w:val="23B204E7"/>
    <w:rsid w:val="25DFCA2E"/>
    <w:rsid w:val="292440C7"/>
    <w:rsid w:val="29FB5724"/>
    <w:rsid w:val="2AE17AE4"/>
    <w:rsid w:val="2C53A787"/>
    <w:rsid w:val="2D237276"/>
    <w:rsid w:val="2EC646B5"/>
    <w:rsid w:val="2F57BB32"/>
    <w:rsid w:val="2F94EA74"/>
    <w:rsid w:val="3046D5D2"/>
    <w:rsid w:val="30C7154C"/>
    <w:rsid w:val="30EA8C83"/>
    <w:rsid w:val="31A6C6BD"/>
    <w:rsid w:val="32974D8C"/>
    <w:rsid w:val="3487EB61"/>
    <w:rsid w:val="34AF7EE0"/>
    <w:rsid w:val="34EC9BAB"/>
    <w:rsid w:val="36689BA4"/>
    <w:rsid w:val="36E4D1F0"/>
    <w:rsid w:val="37F4C96A"/>
    <w:rsid w:val="393277B4"/>
    <w:rsid w:val="39608B53"/>
    <w:rsid w:val="39BA1E7D"/>
    <w:rsid w:val="3A5319C2"/>
    <w:rsid w:val="3ACB4002"/>
    <w:rsid w:val="3ACC86AD"/>
    <w:rsid w:val="3B345C61"/>
    <w:rsid w:val="3C009581"/>
    <w:rsid w:val="3CD702A6"/>
    <w:rsid w:val="3DFC6E51"/>
    <w:rsid w:val="3F344385"/>
    <w:rsid w:val="3F55BAB1"/>
    <w:rsid w:val="3FA415FC"/>
    <w:rsid w:val="40181DAF"/>
    <w:rsid w:val="409CA71C"/>
    <w:rsid w:val="40E2D7A8"/>
    <w:rsid w:val="424AF803"/>
    <w:rsid w:val="42775D07"/>
    <w:rsid w:val="42D33561"/>
    <w:rsid w:val="4348400B"/>
    <w:rsid w:val="43CB77A8"/>
    <w:rsid w:val="45E19258"/>
    <w:rsid w:val="4674720D"/>
    <w:rsid w:val="468EF6EA"/>
    <w:rsid w:val="477060D1"/>
    <w:rsid w:val="47E6BA13"/>
    <w:rsid w:val="498BAC27"/>
    <w:rsid w:val="4B12C33E"/>
    <w:rsid w:val="4B5D9C72"/>
    <w:rsid w:val="4BC21CB2"/>
    <w:rsid w:val="4D98147B"/>
    <w:rsid w:val="4EF547B3"/>
    <w:rsid w:val="4F7C27FA"/>
    <w:rsid w:val="4FDF058C"/>
    <w:rsid w:val="50A9D0A3"/>
    <w:rsid w:val="50DB1409"/>
    <w:rsid w:val="51E31CED"/>
    <w:rsid w:val="542064BD"/>
    <w:rsid w:val="5445E690"/>
    <w:rsid w:val="546FE420"/>
    <w:rsid w:val="55F50ABF"/>
    <w:rsid w:val="561EDF01"/>
    <w:rsid w:val="562B72B5"/>
    <w:rsid w:val="56EDD36A"/>
    <w:rsid w:val="5771E88F"/>
    <w:rsid w:val="5774992C"/>
    <w:rsid w:val="57FC86C9"/>
    <w:rsid w:val="585F8908"/>
    <w:rsid w:val="5892CF66"/>
    <w:rsid w:val="59BFC1FD"/>
    <w:rsid w:val="59F190B8"/>
    <w:rsid w:val="5AF12D06"/>
    <w:rsid w:val="5B606898"/>
    <w:rsid w:val="5B638179"/>
    <w:rsid w:val="5B989451"/>
    <w:rsid w:val="5BCC246C"/>
    <w:rsid w:val="5BF36DDF"/>
    <w:rsid w:val="5D5D6E2A"/>
    <w:rsid w:val="5FE7D002"/>
    <w:rsid w:val="60D6D4D9"/>
    <w:rsid w:val="610EF1A9"/>
    <w:rsid w:val="612574EA"/>
    <w:rsid w:val="62B7C00C"/>
    <w:rsid w:val="62DDBFAE"/>
    <w:rsid w:val="63124B37"/>
    <w:rsid w:val="6325CE1D"/>
    <w:rsid w:val="644CD4D2"/>
    <w:rsid w:val="65012511"/>
    <w:rsid w:val="65FF9363"/>
    <w:rsid w:val="6603B61E"/>
    <w:rsid w:val="6645AD81"/>
    <w:rsid w:val="671CC7B3"/>
    <w:rsid w:val="6789D733"/>
    <w:rsid w:val="688B83CA"/>
    <w:rsid w:val="68F0896C"/>
    <w:rsid w:val="68FA2848"/>
    <w:rsid w:val="691EC62D"/>
    <w:rsid w:val="6A23FC9A"/>
    <w:rsid w:val="6A94F558"/>
    <w:rsid w:val="6B80C77E"/>
    <w:rsid w:val="6C36FA35"/>
    <w:rsid w:val="6CFBC574"/>
    <w:rsid w:val="6DA06A06"/>
    <w:rsid w:val="6DBEA917"/>
    <w:rsid w:val="6EFE8B1F"/>
    <w:rsid w:val="711100A3"/>
    <w:rsid w:val="711864B8"/>
    <w:rsid w:val="7227D424"/>
    <w:rsid w:val="73B0167C"/>
    <w:rsid w:val="747388E1"/>
    <w:rsid w:val="75B4018B"/>
    <w:rsid w:val="75EDDD97"/>
    <w:rsid w:val="76127DAF"/>
    <w:rsid w:val="76D943E9"/>
    <w:rsid w:val="77C68808"/>
    <w:rsid w:val="781896D9"/>
    <w:rsid w:val="7829D57B"/>
    <w:rsid w:val="7897A036"/>
    <w:rsid w:val="78E6086D"/>
    <w:rsid w:val="79887EE4"/>
    <w:rsid w:val="7B104026"/>
    <w:rsid w:val="7B5C7954"/>
    <w:rsid w:val="7C8C6CAA"/>
    <w:rsid w:val="7CA7F04A"/>
    <w:rsid w:val="7CC8543C"/>
    <w:rsid w:val="7DA73FC4"/>
    <w:rsid w:val="7E586E61"/>
    <w:rsid w:val="7F00E50B"/>
    <w:rsid w:val="7F647BFB"/>
    <w:rsid w:val="7FE69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E690"/>
  <w15:chartTrackingRefBased/>
  <w15:docId w15:val="{1A9C79A1-93BF-4D3F-B03E-35269B5E6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B1040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B1040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B104026"/>
    <w:rPr>
      <w:color w:val="467886"/>
      <w:u w:val="single"/>
    </w:rPr>
  </w:style>
  <w:style w:type="paragraph" w:styleId="ListParagraph">
    <w:name w:val="List Paragraph"/>
    <w:basedOn w:val="Normal"/>
    <w:uiPriority w:val="34"/>
    <w:qFormat/>
    <w:rsid w:val="7B104026"/>
    <w:pPr>
      <w:ind w:left="720"/>
      <w:contextualSpacing/>
    </w:pPr>
  </w:style>
  <w:style w:type="paragraph" w:styleId="Header">
    <w:name w:val="header"/>
    <w:basedOn w:val="Normal"/>
    <w:uiPriority w:val="99"/>
    <w:unhideWhenUsed/>
    <w:rsid w:val="7B104026"/>
    <w:pPr>
      <w:tabs>
        <w:tab w:val="center" w:pos="4680"/>
        <w:tab w:val="right" w:pos="9360"/>
      </w:tabs>
      <w:spacing w:after="0" w:line="240" w:lineRule="auto"/>
    </w:pPr>
  </w:style>
  <w:style w:type="paragraph" w:styleId="Footer">
    <w:name w:val="footer"/>
    <w:basedOn w:val="Normal"/>
    <w:uiPriority w:val="99"/>
    <w:unhideWhenUsed/>
    <w:rsid w:val="7B104026"/>
    <w:pPr>
      <w:tabs>
        <w:tab w:val="center" w:pos="4680"/>
        <w:tab w:val="right" w:pos="9360"/>
      </w:tabs>
      <w:spacing w:after="0" w:line="240" w:lineRule="auto"/>
    </w:p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soc.co.uk/ethic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16/j.ijproman.2016.08.009" TargetMode="External"/><Relationship Id="rId12" Type="http://schemas.openxmlformats.org/officeDocument/2006/relationships/hyperlink" Target="https://www.gov.uk/government/publications/levelling-up-the-united-kingdom"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16224390427172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16/j.biocon.2017.10.002" TargetMode="External"/><Relationship Id="rId4" Type="http://schemas.openxmlformats.org/officeDocument/2006/relationships/webSettings" Target="webSettings.xml"/><Relationship Id="rId9" Type="http://schemas.openxmlformats.org/officeDocument/2006/relationships/hyperlink" Target="https://doi.org/10.1787/339306da-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3937</Words>
  <Characters>22441</Characters>
  <Application>Microsoft Office Word</Application>
  <DocSecurity>0</DocSecurity>
  <Lines>187</Lines>
  <Paragraphs>52</Paragraphs>
  <ScaleCrop>false</ScaleCrop>
  <Company/>
  <LinksUpToDate>false</LinksUpToDate>
  <CharactersWithSpaces>26326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Stefania-Karina-Geromina Stroe HE34274</dc:creator>
  <cp:keywords/>
  <dc:description/>
  <cp:lastModifiedBy>Stefania-Karina-Geromina Stroe HE34274</cp:lastModifiedBy>
  <cp:revision>2</cp:revision>
  <dcterms:created xsi:type="dcterms:W3CDTF">2025-12-18T19:04:00Z</dcterms:created>
  <dcterms:modified xsi:type="dcterms:W3CDTF">2025-12-18T19:04:00Z</dcterms:modified>
</cp:coreProperties>
</file>