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10.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olors1.xml" ContentType="application/vnd.ms-office.chartcolorstyle+xml"/>
  <Override PartName="/word/charts/colors10.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colors9.xml" ContentType="application/vnd.ms-office.chartcolorstyle+xml"/>
  <Override PartName="/word/charts/style1.xml" ContentType="application/vnd.ms-office.chartstyle+xml"/>
  <Override PartName="/word/charts/style10.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charts/style9.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FC399C3">
      <w:pPr>
        <w:jc w:val="both"/>
        <w:rPr>
          <w:b/>
          <w:sz w:val="32"/>
          <w:szCs w:val="32"/>
        </w:rPr>
      </w:pPr>
    </w:p>
    <w:p w14:paraId="0DEED563">
      <w:pPr>
        <w:jc w:val="center"/>
        <w:rPr>
          <w:b/>
          <w:sz w:val="32"/>
          <w:szCs w:val="32"/>
        </w:rPr>
      </w:pPr>
    </w:p>
    <w:p w14:paraId="31C325B6">
      <w:pPr>
        <w:jc w:val="center"/>
      </w:pPr>
      <w: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separate"/>
      </w:r>
      <w:r>
        <w:fldChar w:fldCharType="end"/>
      </w:r>
    </w:p>
    <w:p w14:paraId="1EC34BAD">
      <w:pPr>
        <w:jc w:val="both"/>
      </w:pPr>
    </w:p>
    <w:p w14:paraId="2AAC98E7">
      <w:pPr>
        <w:jc w:val="center"/>
        <w:rPr>
          <w:rFonts w:hint="default" w:ascii="Arial" w:hAnsi="Arial" w:cs="Arial"/>
          <w:b/>
          <w:bCs/>
          <w:lang w:val="en-US"/>
        </w:rPr>
      </w:pPr>
      <w:r>
        <w:rPr>
          <w:rFonts w:ascii="Arial" w:hAnsi="Arial" w:cs="Arial"/>
          <w:b/>
          <w:bCs/>
        </w:rPr>
        <w:t>Student Name:</w:t>
      </w:r>
      <w:r>
        <w:rPr>
          <w:rFonts w:hint="default" w:ascii="Arial" w:hAnsi="Arial" w:cs="Arial"/>
          <w:b/>
          <w:bCs/>
          <w:lang w:val="en-US"/>
        </w:rPr>
        <w:t xml:space="preserve"> NAIMA NADIMAHMED ARAB</w:t>
      </w:r>
    </w:p>
    <w:p w14:paraId="2D815C84">
      <w:pPr>
        <w:jc w:val="center"/>
        <w:rPr>
          <w:rFonts w:hint="default" w:ascii="Arial" w:hAnsi="Arial" w:cs="Arial"/>
          <w:b/>
          <w:bCs/>
          <w:lang w:val="en-US"/>
        </w:rPr>
      </w:pPr>
      <w:r>
        <w:rPr>
          <w:rFonts w:ascii="Arial" w:hAnsi="Arial" w:cs="Arial"/>
          <w:b/>
          <w:bCs/>
        </w:rPr>
        <w:t>Student ID:</w:t>
      </w:r>
      <w:r>
        <w:rPr>
          <w:rFonts w:hint="default" w:ascii="Arial" w:hAnsi="Arial" w:cs="Arial"/>
          <w:b/>
          <w:bCs/>
          <w:lang w:val="en-US"/>
        </w:rPr>
        <w:t xml:space="preserve"> 2503320 </w:t>
      </w:r>
    </w:p>
    <w:p w14:paraId="1F614A44">
      <w:pPr>
        <w:jc w:val="center"/>
        <w:rPr>
          <w:rFonts w:hint="default" w:ascii="Arial" w:hAnsi="Arial" w:cs="Arial"/>
          <w:b/>
          <w:bCs/>
          <w:lang w:val="en-US"/>
        </w:rPr>
      </w:pPr>
      <w:r>
        <w:rPr>
          <w:rFonts w:ascii="Arial" w:hAnsi="Arial" w:cs="Arial"/>
          <w:b/>
          <w:bCs/>
        </w:rPr>
        <w:t xml:space="preserve">Module Name: </w:t>
      </w:r>
      <w:r>
        <w:rPr>
          <w:rFonts w:hint="default" w:ascii="Arial" w:hAnsi="Arial" w:cs="Arial"/>
          <w:b/>
          <w:bCs/>
          <w:lang w:val="en-US"/>
        </w:rPr>
        <w:t xml:space="preserve">FINACIAL MANAGEMENT </w:t>
      </w:r>
    </w:p>
    <w:p w14:paraId="756252AC">
      <w:pPr>
        <w:jc w:val="center"/>
        <w:rPr>
          <w:rFonts w:ascii="Arial" w:hAnsi="Arial" w:cs="Arial"/>
          <w:b/>
          <w:bCs/>
        </w:rPr>
      </w:pPr>
    </w:p>
    <w:p w14:paraId="7E74A1F6">
      <w:pPr>
        <w:jc w:val="center"/>
        <w:rPr>
          <w:rFonts w:hint="default" w:ascii="Arial" w:hAnsi="Arial" w:cs="Arial"/>
          <w:b/>
          <w:bCs/>
          <w:lang w:val="en-US"/>
        </w:rPr>
      </w:pPr>
      <w:r>
        <w:rPr>
          <w:rFonts w:ascii="Arial" w:hAnsi="Arial" w:cs="Arial"/>
          <w:b/>
          <w:bCs/>
        </w:rPr>
        <w:t>Module Code: LCMB70</w:t>
      </w:r>
      <w:r>
        <w:rPr>
          <w:rFonts w:hint="default" w:ascii="Arial" w:hAnsi="Arial" w:cs="Arial"/>
          <w:b/>
          <w:bCs/>
          <w:lang w:val="en-US"/>
        </w:rPr>
        <w:t>02</w:t>
      </w:r>
    </w:p>
    <w:p w14:paraId="38652CAC">
      <w:pPr>
        <w:jc w:val="center"/>
        <w:rPr>
          <w:rFonts w:ascii="Arial" w:hAnsi="Arial" w:cs="Arial"/>
          <w:b/>
          <w:bCs/>
        </w:rPr>
      </w:pPr>
    </w:p>
    <w:p w14:paraId="55B10977">
      <w:pPr>
        <w:jc w:val="center"/>
        <w:rPr>
          <w:rFonts w:hint="default" w:ascii="Arial" w:hAnsi="Arial" w:cs="Arial"/>
          <w:b/>
          <w:bCs/>
          <w:lang w:val="en-US"/>
        </w:rPr>
      </w:pPr>
      <w:r>
        <w:rPr>
          <w:rFonts w:ascii="Arial" w:hAnsi="Arial" w:cs="Arial"/>
          <w:b/>
          <w:bCs/>
        </w:rPr>
        <w:t>Lecturer’s Name:</w:t>
      </w:r>
      <w:r>
        <w:rPr>
          <w:rFonts w:hint="default" w:ascii="Arial" w:hAnsi="Arial" w:cs="Arial"/>
          <w:b/>
          <w:bCs/>
          <w:lang w:val="en-US"/>
        </w:rPr>
        <w:t xml:space="preserve"> DR. SHENFENG MEI </w:t>
      </w:r>
    </w:p>
    <w:p w14:paraId="39FE983B">
      <w:pPr>
        <w:jc w:val="center"/>
        <w:rPr>
          <w:rFonts w:hint="default" w:ascii="Arial" w:hAnsi="Arial" w:cs="Arial"/>
          <w:b/>
          <w:bCs/>
          <w:lang w:val="en-US"/>
        </w:rPr>
      </w:pPr>
      <w:r>
        <w:rPr>
          <w:rFonts w:ascii="Arial" w:hAnsi="Arial" w:cs="Arial"/>
          <w:b/>
          <w:bCs/>
        </w:rPr>
        <w:t>Work Count:</w:t>
      </w:r>
      <w:r>
        <w:rPr>
          <w:rFonts w:hint="default" w:ascii="Arial" w:hAnsi="Arial" w:cs="Arial"/>
          <w:b/>
          <w:bCs/>
          <w:lang w:val="en-US"/>
        </w:rPr>
        <w:t xml:space="preserve"> 5290</w:t>
      </w:r>
      <w:bookmarkStart w:id="37" w:name="_GoBack"/>
      <w:bookmarkEnd w:id="37"/>
    </w:p>
    <w:p w14:paraId="6A8F56C7">
      <w:pPr>
        <w:jc w:val="both"/>
        <w:rPr>
          <w:rFonts w:ascii="Arial" w:hAnsi="Arial" w:cs="Arial"/>
          <w:b/>
          <w:bCs/>
        </w:rPr>
      </w:pPr>
    </w:p>
    <w:p w14:paraId="74532E5F">
      <w:pPr>
        <w:jc w:val="center"/>
        <w:rPr>
          <w:rFonts w:ascii="Arial" w:hAnsi="Arial" w:cs="Arial"/>
          <w:b/>
          <w:bCs/>
        </w:rPr>
      </w:pPr>
    </w:p>
    <w:p w14:paraId="102B9D5E">
      <w:pPr>
        <w:jc w:val="center"/>
        <w:rPr>
          <w:rFonts w:ascii="Arial" w:hAnsi="Arial" w:cs="Arial"/>
          <w:b/>
          <w:bCs/>
        </w:rPr>
      </w:pPr>
    </w:p>
    <w:p w14:paraId="76B4AC18">
      <w:pPr>
        <w:jc w:val="center"/>
        <w:rPr>
          <w:rFonts w:ascii="Arial" w:hAnsi="Arial" w:cs="Arial"/>
          <w:b/>
          <w:bCs/>
        </w:rPr>
      </w:pPr>
    </w:p>
    <w:p w14:paraId="3D7042D2">
      <w:pPr>
        <w:jc w:val="center"/>
        <w:rPr>
          <w:rFonts w:ascii="Arial" w:hAnsi="Arial" w:cs="Arial"/>
          <w:b/>
          <w:bCs/>
        </w:rPr>
      </w:pPr>
      <w:r>
        <w:rPr>
          <w:rFonts w:ascii="Arial" w:hAnsi="Arial" w:cs="Arial"/>
          <w:b/>
          <w:bCs/>
        </w:rPr>
        <w:t>Term 1</w:t>
      </w:r>
    </w:p>
    <w:p w14:paraId="08C6E70A">
      <w:pPr>
        <w:jc w:val="center"/>
        <w:rPr>
          <w:b/>
          <w:sz w:val="32"/>
          <w:szCs w:val="32"/>
        </w:rPr>
      </w:pPr>
    </w:p>
    <w:p w14:paraId="3C9EDBAB">
      <w:pPr>
        <w:jc w:val="center"/>
        <w:rPr>
          <w:b/>
          <w:sz w:val="32"/>
          <w:szCs w:val="32"/>
        </w:rPr>
      </w:pPr>
    </w:p>
    <w:p w14:paraId="70EFB50A">
      <w:pPr>
        <w:jc w:val="center"/>
        <w:rPr>
          <w:b/>
          <w:sz w:val="28"/>
          <w:szCs w:val="28"/>
        </w:rPr>
      </w:pPr>
      <w:r>
        <w:rPr>
          <w:b/>
          <w:sz w:val="28"/>
          <w:szCs w:val="28"/>
        </w:rPr>
        <w:t>Table of Contents</w:t>
      </w:r>
    </w:p>
    <w:sdt>
      <w:sdtPr>
        <w:id w:val="1999760677"/>
        <w:docPartObj>
          <w:docPartGallery w:val="Table of Contents"/>
          <w:docPartUnique/>
        </w:docPartObj>
      </w:sdtPr>
      <w:sdtContent>
        <w:p w14:paraId="37013D64">
          <w:pPr>
            <w:widowControl w:val="0"/>
            <w:tabs>
              <w:tab w:val="right" w:leader="dot" w:pos="9360"/>
            </w:tabs>
            <w:spacing w:before="60" w:after="0" w:line="240" w:lineRule="auto"/>
            <w:jc w:val="left"/>
            <w:rPr>
              <w:b/>
              <w:color w:val="000000"/>
            </w:rPr>
          </w:pPr>
          <w:r>
            <w:fldChar w:fldCharType="begin"/>
          </w:r>
          <w:r>
            <w:instrText xml:space="preserve"> TOC \h \u \z \t "Heading 1,1,Heading 2,2,Heading 3,3,Heading 4,4,Heading 5,5,Heading 6,6,"</w:instrText>
          </w:r>
          <w:r>
            <w:fldChar w:fldCharType="separate"/>
          </w:r>
          <w:r>
            <w:fldChar w:fldCharType="begin"/>
          </w:r>
          <w:r>
            <w:instrText xml:space="preserve"> HYPERLINK \l "_vy0rzgqkrcmz" \h </w:instrText>
          </w:r>
          <w:r>
            <w:fldChar w:fldCharType="separate"/>
          </w:r>
          <w:r>
            <w:rPr>
              <w:b/>
              <w:color w:val="000000"/>
            </w:rPr>
            <w:t>1. Introduction</w:t>
          </w:r>
          <w:r>
            <w:rPr>
              <w:b/>
              <w:color w:val="000000"/>
            </w:rPr>
            <w:tab/>
          </w:r>
          <w:r>
            <w:rPr>
              <w:b/>
              <w:color w:val="000000"/>
            </w:rPr>
            <w:fldChar w:fldCharType="end"/>
          </w:r>
          <w:r>
            <w:fldChar w:fldCharType="begin"/>
          </w:r>
          <w:r>
            <w:instrText xml:space="preserve"> PAGEREF _vy0rzgqkrcmz \h </w:instrText>
          </w:r>
          <w:r>
            <w:fldChar w:fldCharType="separate"/>
          </w:r>
          <w:r>
            <w:t>3</w:t>
          </w:r>
          <w:r>
            <w:fldChar w:fldCharType="end"/>
          </w:r>
        </w:p>
        <w:p w14:paraId="459CE970">
          <w:pPr>
            <w:widowControl w:val="0"/>
            <w:tabs>
              <w:tab w:val="right" w:leader="dot" w:pos="9360"/>
            </w:tabs>
            <w:spacing w:before="60" w:after="0" w:line="240" w:lineRule="auto"/>
            <w:jc w:val="left"/>
            <w:rPr>
              <w:b/>
              <w:color w:val="000000"/>
            </w:rPr>
          </w:pPr>
          <w:r>
            <w:fldChar w:fldCharType="begin"/>
          </w:r>
          <w:r>
            <w:instrText xml:space="preserve"> HYPERLINK \l "_vimd2of7290u" \h </w:instrText>
          </w:r>
          <w:r>
            <w:fldChar w:fldCharType="separate"/>
          </w:r>
          <w:r>
            <w:rPr>
              <w:b/>
              <w:color w:val="000000"/>
            </w:rPr>
            <w:t>2. Financial Health Check (≈1,400 words)</w:t>
          </w:r>
          <w:r>
            <w:rPr>
              <w:b/>
              <w:color w:val="000000"/>
            </w:rPr>
            <w:tab/>
          </w:r>
          <w:r>
            <w:rPr>
              <w:b/>
              <w:color w:val="000000"/>
            </w:rPr>
            <w:fldChar w:fldCharType="end"/>
          </w:r>
          <w:r>
            <w:fldChar w:fldCharType="begin"/>
          </w:r>
          <w:r>
            <w:instrText xml:space="preserve"> PAGEREF _vimd2of7290u \h </w:instrText>
          </w:r>
          <w:r>
            <w:fldChar w:fldCharType="separate"/>
          </w:r>
          <w:r>
            <w:t>3</w:t>
          </w:r>
          <w:r>
            <w:fldChar w:fldCharType="end"/>
          </w:r>
        </w:p>
        <w:p w14:paraId="2FB44BCC">
          <w:pPr>
            <w:widowControl w:val="0"/>
            <w:tabs>
              <w:tab w:val="right" w:leader="dot" w:pos="9360"/>
            </w:tabs>
            <w:spacing w:before="60" w:after="0" w:line="240" w:lineRule="auto"/>
            <w:ind w:left="360"/>
            <w:jc w:val="left"/>
            <w:rPr>
              <w:color w:val="000000"/>
            </w:rPr>
          </w:pPr>
          <w:r>
            <w:fldChar w:fldCharType="begin"/>
          </w:r>
          <w:r>
            <w:instrText xml:space="preserve"> HYPERLINK \l "_4nbdd7be61fv" \h </w:instrText>
          </w:r>
          <w:r>
            <w:fldChar w:fldCharType="separate"/>
          </w:r>
          <w:r>
            <w:rPr>
              <w:color w:val="000000"/>
            </w:rPr>
            <w:t>2.1 Overview of Financial Position</w:t>
          </w:r>
          <w:r>
            <w:rPr>
              <w:color w:val="000000"/>
            </w:rPr>
            <w:tab/>
          </w:r>
          <w:r>
            <w:rPr>
              <w:color w:val="000000"/>
            </w:rPr>
            <w:fldChar w:fldCharType="end"/>
          </w:r>
          <w:r>
            <w:fldChar w:fldCharType="begin"/>
          </w:r>
          <w:r>
            <w:instrText xml:space="preserve"> PAGEREF _4nbdd7be61fv \h </w:instrText>
          </w:r>
          <w:r>
            <w:fldChar w:fldCharType="separate"/>
          </w:r>
          <w:r>
            <w:t>3</w:t>
          </w:r>
          <w:r>
            <w:fldChar w:fldCharType="end"/>
          </w:r>
        </w:p>
        <w:p w14:paraId="32CCB058">
          <w:pPr>
            <w:widowControl w:val="0"/>
            <w:tabs>
              <w:tab w:val="right" w:leader="dot" w:pos="9360"/>
            </w:tabs>
            <w:spacing w:before="60" w:after="0" w:line="240" w:lineRule="auto"/>
            <w:ind w:left="360"/>
            <w:jc w:val="left"/>
            <w:rPr>
              <w:color w:val="000000"/>
            </w:rPr>
          </w:pPr>
          <w:r>
            <w:fldChar w:fldCharType="begin"/>
          </w:r>
          <w:r>
            <w:instrText xml:space="preserve"> HYPERLINK \l "_qv5tmxoswef5" \h </w:instrText>
          </w:r>
          <w:r>
            <w:fldChar w:fldCharType="separate"/>
          </w:r>
          <w:r>
            <w:rPr>
              <w:color w:val="000000"/>
            </w:rPr>
            <w:t>2.2 Profitability Analysis</w:t>
          </w:r>
          <w:r>
            <w:rPr>
              <w:color w:val="000000"/>
            </w:rPr>
            <w:tab/>
          </w:r>
          <w:r>
            <w:rPr>
              <w:color w:val="000000"/>
            </w:rPr>
            <w:fldChar w:fldCharType="end"/>
          </w:r>
          <w:r>
            <w:fldChar w:fldCharType="begin"/>
          </w:r>
          <w:r>
            <w:instrText xml:space="preserve"> PAGEREF _qv5tmxoswef5 \h </w:instrText>
          </w:r>
          <w:r>
            <w:fldChar w:fldCharType="separate"/>
          </w:r>
          <w:r>
            <w:t>4</w:t>
          </w:r>
          <w:r>
            <w:fldChar w:fldCharType="end"/>
          </w:r>
        </w:p>
        <w:p w14:paraId="7195F4A3">
          <w:pPr>
            <w:widowControl w:val="0"/>
            <w:tabs>
              <w:tab w:val="right" w:leader="dot" w:pos="9360"/>
            </w:tabs>
            <w:spacing w:before="60" w:after="0" w:line="240" w:lineRule="auto"/>
            <w:ind w:left="360"/>
            <w:jc w:val="left"/>
            <w:rPr>
              <w:color w:val="000000"/>
            </w:rPr>
          </w:pPr>
          <w:r>
            <w:fldChar w:fldCharType="begin"/>
          </w:r>
          <w:r>
            <w:instrText xml:space="preserve"> HYPERLINK \l "_mt0ltx518v80" \h </w:instrText>
          </w:r>
          <w:r>
            <w:fldChar w:fldCharType="separate"/>
          </w:r>
          <w:r>
            <w:rPr>
              <w:color w:val="000000"/>
            </w:rPr>
            <w:t>2.3 Liquidity Analysis</w:t>
          </w:r>
          <w:r>
            <w:rPr>
              <w:color w:val="000000"/>
            </w:rPr>
            <w:tab/>
          </w:r>
          <w:r>
            <w:rPr>
              <w:color w:val="000000"/>
            </w:rPr>
            <w:fldChar w:fldCharType="end"/>
          </w:r>
          <w:r>
            <w:fldChar w:fldCharType="begin"/>
          </w:r>
          <w:r>
            <w:instrText xml:space="preserve"> PAGEREF _mt0ltx518v80 \h </w:instrText>
          </w:r>
          <w:r>
            <w:fldChar w:fldCharType="separate"/>
          </w:r>
          <w:r>
            <w:t>5</w:t>
          </w:r>
          <w:r>
            <w:fldChar w:fldCharType="end"/>
          </w:r>
        </w:p>
        <w:p w14:paraId="20D6F4CC">
          <w:pPr>
            <w:widowControl w:val="0"/>
            <w:tabs>
              <w:tab w:val="right" w:leader="dot" w:pos="9360"/>
            </w:tabs>
            <w:spacing w:before="60" w:after="0" w:line="240" w:lineRule="auto"/>
            <w:ind w:left="360"/>
            <w:jc w:val="left"/>
            <w:rPr>
              <w:color w:val="000000"/>
            </w:rPr>
          </w:pPr>
          <w:r>
            <w:fldChar w:fldCharType="begin"/>
          </w:r>
          <w:r>
            <w:instrText xml:space="preserve"> HYPERLINK \l "_n5u67j6o4yxe" \h </w:instrText>
          </w:r>
          <w:r>
            <w:fldChar w:fldCharType="separate"/>
          </w:r>
          <w:r>
            <w:rPr>
              <w:color w:val="000000"/>
            </w:rPr>
            <w:t>2.4 Efficiency Management</w:t>
          </w:r>
          <w:r>
            <w:rPr>
              <w:color w:val="000000"/>
            </w:rPr>
            <w:tab/>
          </w:r>
          <w:r>
            <w:rPr>
              <w:color w:val="000000"/>
            </w:rPr>
            <w:fldChar w:fldCharType="end"/>
          </w:r>
          <w:r>
            <w:fldChar w:fldCharType="begin"/>
          </w:r>
          <w:r>
            <w:instrText xml:space="preserve"> PAGEREF _n5u67j6o4yxe \h </w:instrText>
          </w:r>
          <w:r>
            <w:fldChar w:fldCharType="separate"/>
          </w:r>
          <w:r>
            <w:t>5</w:t>
          </w:r>
          <w:r>
            <w:fldChar w:fldCharType="end"/>
          </w:r>
        </w:p>
        <w:p w14:paraId="7179F905">
          <w:pPr>
            <w:widowControl w:val="0"/>
            <w:tabs>
              <w:tab w:val="right" w:leader="dot" w:pos="9360"/>
            </w:tabs>
            <w:spacing w:before="60" w:after="0" w:line="240" w:lineRule="auto"/>
            <w:ind w:left="360"/>
            <w:jc w:val="left"/>
            <w:rPr>
              <w:color w:val="000000"/>
            </w:rPr>
          </w:pPr>
          <w:r>
            <w:fldChar w:fldCharType="begin"/>
          </w:r>
          <w:r>
            <w:instrText xml:space="preserve"> HYPERLINK \l "_xxfyme7bl7sl" \h </w:instrText>
          </w:r>
          <w:r>
            <w:fldChar w:fldCharType="separate"/>
          </w:r>
          <w:r>
            <w:rPr>
              <w:color w:val="000000"/>
            </w:rPr>
            <w:t>2.5 Capital Structure and Gearing</w:t>
          </w:r>
          <w:r>
            <w:rPr>
              <w:color w:val="000000"/>
            </w:rPr>
            <w:tab/>
          </w:r>
          <w:r>
            <w:rPr>
              <w:color w:val="000000"/>
            </w:rPr>
            <w:fldChar w:fldCharType="end"/>
          </w:r>
          <w:r>
            <w:fldChar w:fldCharType="begin"/>
          </w:r>
          <w:r>
            <w:instrText xml:space="preserve"> PAGEREF _xxfyme7bl7sl \h </w:instrText>
          </w:r>
          <w:r>
            <w:fldChar w:fldCharType="separate"/>
          </w:r>
          <w:r>
            <w:t>6</w:t>
          </w:r>
          <w:r>
            <w:fldChar w:fldCharType="end"/>
          </w:r>
        </w:p>
        <w:p w14:paraId="6F531685">
          <w:pPr>
            <w:widowControl w:val="0"/>
            <w:tabs>
              <w:tab w:val="right" w:leader="dot" w:pos="9360"/>
            </w:tabs>
            <w:spacing w:before="60" w:after="0" w:line="240" w:lineRule="auto"/>
            <w:ind w:left="360"/>
            <w:jc w:val="left"/>
            <w:rPr>
              <w:color w:val="000000"/>
            </w:rPr>
          </w:pPr>
          <w:r>
            <w:fldChar w:fldCharType="begin"/>
          </w:r>
          <w:r>
            <w:instrText xml:space="preserve"> HYPERLINK \l "_qy9551m5yw4i" \h </w:instrText>
          </w:r>
          <w:r>
            <w:fldChar w:fldCharType="separate"/>
          </w:r>
          <w:r>
            <w:rPr>
              <w:color w:val="000000"/>
            </w:rPr>
            <w:t>2.6 Investment Ratios</w:t>
          </w:r>
          <w:r>
            <w:rPr>
              <w:color w:val="000000"/>
            </w:rPr>
            <w:tab/>
          </w:r>
          <w:r>
            <w:rPr>
              <w:color w:val="000000"/>
            </w:rPr>
            <w:fldChar w:fldCharType="end"/>
          </w:r>
          <w:r>
            <w:fldChar w:fldCharType="begin"/>
          </w:r>
          <w:r>
            <w:instrText xml:space="preserve"> PAGEREF _qy9551m5yw4i \h </w:instrText>
          </w:r>
          <w:r>
            <w:fldChar w:fldCharType="separate"/>
          </w:r>
          <w:r>
            <w:t>7</w:t>
          </w:r>
          <w:r>
            <w:fldChar w:fldCharType="end"/>
          </w:r>
        </w:p>
        <w:p w14:paraId="6193E71F">
          <w:pPr>
            <w:widowControl w:val="0"/>
            <w:tabs>
              <w:tab w:val="right" w:leader="dot" w:pos="9360"/>
            </w:tabs>
            <w:spacing w:before="60" w:after="0" w:line="240" w:lineRule="auto"/>
            <w:ind w:left="360"/>
            <w:jc w:val="left"/>
            <w:rPr>
              <w:color w:val="000000"/>
            </w:rPr>
          </w:pPr>
          <w:r>
            <w:fldChar w:fldCharType="begin"/>
          </w:r>
          <w:r>
            <w:instrText xml:space="preserve"> HYPERLINK \l "_qwyn36a8c7i2" \h </w:instrText>
          </w:r>
          <w:r>
            <w:fldChar w:fldCharType="separate"/>
          </w:r>
          <w:r>
            <w:rPr>
              <w:color w:val="000000"/>
            </w:rPr>
            <w:t>2.7 Market Ratios</w:t>
          </w:r>
          <w:r>
            <w:rPr>
              <w:color w:val="000000"/>
            </w:rPr>
            <w:tab/>
          </w:r>
          <w:r>
            <w:rPr>
              <w:color w:val="000000"/>
            </w:rPr>
            <w:fldChar w:fldCharType="end"/>
          </w:r>
          <w:r>
            <w:fldChar w:fldCharType="begin"/>
          </w:r>
          <w:r>
            <w:instrText xml:space="preserve"> PAGEREF _qwyn36a8c7i2 \h </w:instrText>
          </w:r>
          <w:r>
            <w:fldChar w:fldCharType="separate"/>
          </w:r>
          <w:r>
            <w:t>9</w:t>
          </w:r>
          <w:r>
            <w:fldChar w:fldCharType="end"/>
          </w:r>
        </w:p>
        <w:p w14:paraId="02168561">
          <w:pPr>
            <w:widowControl w:val="0"/>
            <w:tabs>
              <w:tab w:val="right" w:leader="dot" w:pos="9360"/>
            </w:tabs>
            <w:spacing w:before="60" w:after="0" w:line="240" w:lineRule="auto"/>
            <w:ind w:left="360"/>
            <w:jc w:val="left"/>
            <w:rPr>
              <w:color w:val="000000"/>
            </w:rPr>
          </w:pPr>
          <w:r>
            <w:fldChar w:fldCharType="begin"/>
          </w:r>
          <w:r>
            <w:instrText xml:space="preserve"> HYPERLINK \l "_g5312zlttn7o" \h </w:instrText>
          </w:r>
          <w:r>
            <w:fldChar w:fldCharType="separate"/>
          </w:r>
          <w:r>
            <w:rPr>
              <w:color w:val="000000"/>
            </w:rPr>
            <w:t>2.8 Cashflow Ratio</w:t>
          </w:r>
          <w:r>
            <w:rPr>
              <w:color w:val="000000"/>
            </w:rPr>
            <w:tab/>
          </w:r>
          <w:r>
            <w:rPr>
              <w:color w:val="000000"/>
            </w:rPr>
            <w:fldChar w:fldCharType="end"/>
          </w:r>
          <w:r>
            <w:fldChar w:fldCharType="begin"/>
          </w:r>
          <w:r>
            <w:instrText xml:space="preserve"> PAGEREF _g5312zlttn7o \h </w:instrText>
          </w:r>
          <w:r>
            <w:fldChar w:fldCharType="separate"/>
          </w:r>
          <w:r>
            <w:t>10</w:t>
          </w:r>
          <w:r>
            <w:fldChar w:fldCharType="end"/>
          </w:r>
        </w:p>
        <w:p w14:paraId="35078A0B">
          <w:pPr>
            <w:widowControl w:val="0"/>
            <w:tabs>
              <w:tab w:val="right" w:leader="dot" w:pos="9360"/>
            </w:tabs>
            <w:spacing w:before="60" w:after="0" w:line="240" w:lineRule="auto"/>
            <w:ind w:left="360"/>
            <w:jc w:val="left"/>
            <w:rPr>
              <w:color w:val="000000"/>
            </w:rPr>
          </w:pPr>
          <w:r>
            <w:fldChar w:fldCharType="begin"/>
          </w:r>
          <w:r>
            <w:instrText xml:space="preserve"> HYPERLINK \l "_psmpy09o1c0w" \h </w:instrText>
          </w:r>
          <w:r>
            <w:fldChar w:fldCharType="separate"/>
          </w:r>
          <w:r>
            <w:rPr>
              <w:color w:val="000000"/>
            </w:rPr>
            <w:t>2.9 Corporate Failure Prediction</w:t>
          </w:r>
          <w:r>
            <w:rPr>
              <w:color w:val="000000"/>
            </w:rPr>
            <w:tab/>
          </w:r>
          <w:r>
            <w:rPr>
              <w:color w:val="000000"/>
            </w:rPr>
            <w:fldChar w:fldCharType="end"/>
          </w:r>
          <w:r>
            <w:fldChar w:fldCharType="begin"/>
          </w:r>
          <w:r>
            <w:instrText xml:space="preserve"> PAGEREF _psmpy09o1c0w \h </w:instrText>
          </w:r>
          <w:r>
            <w:fldChar w:fldCharType="separate"/>
          </w:r>
          <w:r>
            <w:t>10</w:t>
          </w:r>
          <w:r>
            <w:fldChar w:fldCharType="end"/>
          </w:r>
        </w:p>
        <w:p w14:paraId="7D479D7D">
          <w:pPr>
            <w:widowControl w:val="0"/>
            <w:tabs>
              <w:tab w:val="right" w:leader="dot" w:pos="9360"/>
            </w:tabs>
            <w:spacing w:before="60" w:after="0" w:line="240" w:lineRule="auto"/>
            <w:ind w:left="360"/>
            <w:jc w:val="left"/>
            <w:rPr>
              <w:color w:val="000000"/>
            </w:rPr>
          </w:pPr>
          <w:r>
            <w:fldChar w:fldCharType="begin"/>
          </w:r>
          <w:r>
            <w:instrText xml:space="preserve"> HYPERLINK \l "_d4flhnfxcbvc" \h </w:instrText>
          </w:r>
          <w:r>
            <w:fldChar w:fldCharType="separate"/>
          </w:r>
          <w:r>
            <w:rPr>
              <w:color w:val="000000"/>
            </w:rPr>
            <w:t>2.10 Summary of Key Findings (Trends, strengths and threats)</w:t>
          </w:r>
          <w:r>
            <w:rPr>
              <w:color w:val="000000"/>
            </w:rPr>
            <w:tab/>
          </w:r>
          <w:r>
            <w:rPr>
              <w:color w:val="000000"/>
            </w:rPr>
            <w:fldChar w:fldCharType="end"/>
          </w:r>
          <w:r>
            <w:fldChar w:fldCharType="begin"/>
          </w:r>
          <w:r>
            <w:instrText xml:space="preserve"> PAGEREF _d4flhnfxcbvc \h </w:instrText>
          </w:r>
          <w:r>
            <w:fldChar w:fldCharType="separate"/>
          </w:r>
          <w:r>
            <w:t>11</w:t>
          </w:r>
          <w:r>
            <w:fldChar w:fldCharType="end"/>
          </w:r>
        </w:p>
        <w:p w14:paraId="3F71BEEB">
          <w:pPr>
            <w:widowControl w:val="0"/>
            <w:tabs>
              <w:tab w:val="right" w:leader="dot" w:pos="9360"/>
            </w:tabs>
            <w:spacing w:before="60" w:after="0" w:line="240" w:lineRule="auto"/>
            <w:jc w:val="left"/>
            <w:rPr>
              <w:b/>
              <w:color w:val="000000"/>
            </w:rPr>
          </w:pPr>
          <w:r>
            <w:fldChar w:fldCharType="begin"/>
          </w:r>
          <w:r>
            <w:instrText xml:space="preserve"> HYPERLINK \l "_4x05n8sq1db0" \h </w:instrText>
          </w:r>
          <w:r>
            <w:fldChar w:fldCharType="separate"/>
          </w:r>
          <w:r>
            <w:rPr>
              <w:b/>
              <w:color w:val="000000"/>
            </w:rPr>
            <w:t>3. Working Capital Management Analysis (≈900 words)</w:t>
          </w:r>
          <w:r>
            <w:rPr>
              <w:b/>
              <w:color w:val="000000"/>
            </w:rPr>
            <w:tab/>
          </w:r>
          <w:r>
            <w:rPr>
              <w:b/>
              <w:color w:val="000000"/>
            </w:rPr>
            <w:fldChar w:fldCharType="end"/>
          </w:r>
          <w:r>
            <w:fldChar w:fldCharType="begin"/>
          </w:r>
          <w:r>
            <w:instrText xml:space="preserve"> PAGEREF _4x05n8sq1db0 \h </w:instrText>
          </w:r>
          <w:r>
            <w:fldChar w:fldCharType="separate"/>
          </w:r>
          <w:r>
            <w:t>12</w:t>
          </w:r>
          <w:r>
            <w:fldChar w:fldCharType="end"/>
          </w:r>
        </w:p>
        <w:p w14:paraId="09B6169D">
          <w:pPr>
            <w:widowControl w:val="0"/>
            <w:tabs>
              <w:tab w:val="right" w:leader="dot" w:pos="9360"/>
            </w:tabs>
            <w:spacing w:before="60" w:after="0" w:line="240" w:lineRule="auto"/>
            <w:ind w:left="360"/>
            <w:jc w:val="left"/>
            <w:rPr>
              <w:color w:val="000000"/>
            </w:rPr>
          </w:pPr>
          <w:r>
            <w:fldChar w:fldCharType="begin"/>
          </w:r>
          <w:r>
            <w:instrText xml:space="preserve"> HYPERLINK \l "_be2edwmktnst" \h </w:instrText>
          </w:r>
          <w:r>
            <w:fldChar w:fldCharType="separate"/>
          </w:r>
          <w:r>
            <w:rPr>
              <w:color w:val="000000"/>
            </w:rPr>
            <w:t>3.1 Cash Operating Cycle Analysis</w:t>
          </w:r>
          <w:r>
            <w:rPr>
              <w:color w:val="000000"/>
            </w:rPr>
            <w:tab/>
          </w:r>
          <w:r>
            <w:rPr>
              <w:color w:val="000000"/>
            </w:rPr>
            <w:fldChar w:fldCharType="end"/>
          </w:r>
          <w:r>
            <w:fldChar w:fldCharType="begin"/>
          </w:r>
          <w:r>
            <w:instrText xml:space="preserve"> PAGEREF _be2edwmktnst \h </w:instrText>
          </w:r>
          <w:r>
            <w:fldChar w:fldCharType="separate"/>
          </w:r>
          <w:r>
            <w:t>12</w:t>
          </w:r>
          <w:r>
            <w:fldChar w:fldCharType="end"/>
          </w:r>
        </w:p>
        <w:p w14:paraId="298E4553">
          <w:pPr>
            <w:widowControl w:val="0"/>
            <w:tabs>
              <w:tab w:val="right" w:leader="dot" w:pos="9360"/>
            </w:tabs>
            <w:spacing w:before="60" w:after="0" w:line="240" w:lineRule="auto"/>
            <w:ind w:left="360"/>
            <w:jc w:val="left"/>
            <w:rPr>
              <w:color w:val="000000"/>
            </w:rPr>
          </w:pPr>
          <w:r>
            <w:fldChar w:fldCharType="begin"/>
          </w:r>
          <w:r>
            <w:instrText xml:space="preserve"> HYPERLINK \l "_begbx116r3gk" \h </w:instrText>
          </w:r>
          <w:r>
            <w:fldChar w:fldCharType="separate"/>
          </w:r>
          <w:r>
            <w:rPr>
              <w:color w:val="000000"/>
            </w:rPr>
            <w:t>3.2 Strategies to Improve Liquidity</w:t>
          </w:r>
          <w:r>
            <w:rPr>
              <w:color w:val="000000"/>
            </w:rPr>
            <w:tab/>
          </w:r>
          <w:r>
            <w:rPr>
              <w:color w:val="000000"/>
            </w:rPr>
            <w:fldChar w:fldCharType="end"/>
          </w:r>
          <w:r>
            <w:fldChar w:fldCharType="begin"/>
          </w:r>
          <w:r>
            <w:instrText xml:space="preserve"> PAGEREF _begbx116r3gk \h </w:instrText>
          </w:r>
          <w:r>
            <w:fldChar w:fldCharType="separate"/>
          </w:r>
          <w:r>
            <w:t>13</w:t>
          </w:r>
          <w:r>
            <w:fldChar w:fldCharType="end"/>
          </w:r>
        </w:p>
        <w:p w14:paraId="52065525">
          <w:pPr>
            <w:widowControl w:val="0"/>
            <w:tabs>
              <w:tab w:val="right" w:leader="dot" w:pos="9360"/>
            </w:tabs>
            <w:spacing w:before="60" w:after="0" w:line="240" w:lineRule="auto"/>
            <w:ind w:left="360"/>
            <w:jc w:val="left"/>
            <w:rPr>
              <w:color w:val="000000"/>
            </w:rPr>
          </w:pPr>
          <w:r>
            <w:fldChar w:fldCharType="begin"/>
          </w:r>
          <w:r>
            <w:instrText xml:space="preserve"> HYPERLINK \l "_79uink2wqz9m" \h </w:instrText>
          </w:r>
          <w:r>
            <w:fldChar w:fldCharType="separate"/>
          </w:r>
          <w:r>
            <w:rPr>
              <w:color w:val="000000"/>
            </w:rPr>
            <w:t>3.3 Short-term vs Long-term Financing</w:t>
          </w:r>
          <w:r>
            <w:rPr>
              <w:color w:val="000000"/>
            </w:rPr>
            <w:tab/>
          </w:r>
          <w:r>
            <w:rPr>
              <w:color w:val="000000"/>
            </w:rPr>
            <w:fldChar w:fldCharType="end"/>
          </w:r>
          <w:r>
            <w:fldChar w:fldCharType="begin"/>
          </w:r>
          <w:r>
            <w:instrText xml:space="preserve"> PAGEREF _79uink2wqz9m \h </w:instrText>
          </w:r>
          <w:r>
            <w:fldChar w:fldCharType="separate"/>
          </w:r>
          <w:r>
            <w:t>14</w:t>
          </w:r>
          <w:r>
            <w:fldChar w:fldCharType="end"/>
          </w:r>
        </w:p>
        <w:p w14:paraId="57FD5E08">
          <w:pPr>
            <w:widowControl w:val="0"/>
            <w:tabs>
              <w:tab w:val="right" w:leader="dot" w:pos="9360"/>
            </w:tabs>
            <w:spacing w:before="60" w:after="0" w:line="240" w:lineRule="auto"/>
            <w:jc w:val="left"/>
            <w:rPr>
              <w:b/>
              <w:color w:val="000000"/>
            </w:rPr>
          </w:pPr>
          <w:r>
            <w:fldChar w:fldCharType="begin"/>
          </w:r>
          <w:r>
            <w:instrText xml:space="preserve"> HYPERLINK \l "_a7by9pqxkn1x" \h </w:instrText>
          </w:r>
          <w:r>
            <w:fldChar w:fldCharType="separate"/>
          </w:r>
          <w:r>
            <w:rPr>
              <w:b/>
              <w:color w:val="000000"/>
            </w:rPr>
            <w:t>4. Strategic Financial Restructuring Plan</w:t>
          </w:r>
          <w:r>
            <w:rPr>
              <w:b/>
              <w:color w:val="000000"/>
            </w:rPr>
            <w:tab/>
          </w:r>
          <w:r>
            <w:rPr>
              <w:b/>
              <w:color w:val="000000"/>
            </w:rPr>
            <w:fldChar w:fldCharType="end"/>
          </w:r>
          <w:r>
            <w:fldChar w:fldCharType="begin"/>
          </w:r>
          <w:r>
            <w:instrText xml:space="preserve"> PAGEREF _a7by9pqxkn1x \h </w:instrText>
          </w:r>
          <w:r>
            <w:fldChar w:fldCharType="separate"/>
          </w:r>
          <w:r>
            <w:t>15</w:t>
          </w:r>
          <w:r>
            <w:fldChar w:fldCharType="end"/>
          </w:r>
        </w:p>
        <w:p w14:paraId="2E0D40D5">
          <w:pPr>
            <w:widowControl w:val="0"/>
            <w:tabs>
              <w:tab w:val="right" w:leader="dot" w:pos="9360"/>
            </w:tabs>
            <w:spacing w:before="60" w:after="0" w:line="240" w:lineRule="auto"/>
            <w:ind w:left="360"/>
            <w:jc w:val="left"/>
            <w:rPr>
              <w:color w:val="000000"/>
            </w:rPr>
          </w:pPr>
          <w:r>
            <w:fldChar w:fldCharType="begin"/>
          </w:r>
          <w:r>
            <w:instrText xml:space="preserve"> HYPERLINK \l "_ur61zmclu0te" \h </w:instrText>
          </w:r>
          <w:r>
            <w:fldChar w:fldCharType="separate"/>
          </w:r>
          <w:r>
            <w:rPr>
              <w:color w:val="000000"/>
            </w:rPr>
            <w:t>4.1 Objectives and Rationale</w:t>
          </w:r>
          <w:r>
            <w:rPr>
              <w:color w:val="000000"/>
            </w:rPr>
            <w:tab/>
          </w:r>
          <w:r>
            <w:rPr>
              <w:color w:val="000000"/>
            </w:rPr>
            <w:fldChar w:fldCharType="end"/>
          </w:r>
          <w:r>
            <w:fldChar w:fldCharType="begin"/>
          </w:r>
          <w:r>
            <w:instrText xml:space="preserve"> PAGEREF _ur61zmclu0te \h </w:instrText>
          </w:r>
          <w:r>
            <w:fldChar w:fldCharType="separate"/>
          </w:r>
          <w:r>
            <w:t>16</w:t>
          </w:r>
          <w:r>
            <w:fldChar w:fldCharType="end"/>
          </w:r>
        </w:p>
        <w:p w14:paraId="4D7D02BF">
          <w:pPr>
            <w:widowControl w:val="0"/>
            <w:tabs>
              <w:tab w:val="right" w:leader="dot" w:pos="9360"/>
            </w:tabs>
            <w:spacing w:before="60" w:after="0" w:line="240" w:lineRule="auto"/>
            <w:ind w:left="360"/>
            <w:jc w:val="left"/>
            <w:rPr>
              <w:color w:val="000000"/>
            </w:rPr>
          </w:pPr>
          <w:r>
            <w:fldChar w:fldCharType="begin"/>
          </w:r>
          <w:r>
            <w:instrText xml:space="preserve"> HYPERLINK \l "_mbkt46imry7g" \h </w:instrText>
          </w:r>
          <w:r>
            <w:fldChar w:fldCharType="separate"/>
          </w:r>
          <w:r>
            <w:rPr>
              <w:color w:val="000000"/>
            </w:rPr>
            <w:t>4.2 Strategic Restructuring Options</w:t>
          </w:r>
          <w:r>
            <w:rPr>
              <w:color w:val="000000"/>
            </w:rPr>
            <w:tab/>
          </w:r>
          <w:r>
            <w:rPr>
              <w:color w:val="000000"/>
            </w:rPr>
            <w:fldChar w:fldCharType="end"/>
          </w:r>
          <w:r>
            <w:fldChar w:fldCharType="begin"/>
          </w:r>
          <w:r>
            <w:instrText xml:space="preserve"> PAGEREF _mbkt46imry7g \h </w:instrText>
          </w:r>
          <w:r>
            <w:fldChar w:fldCharType="separate"/>
          </w:r>
          <w:r>
            <w:t>16</w:t>
          </w:r>
          <w:r>
            <w:fldChar w:fldCharType="end"/>
          </w:r>
        </w:p>
        <w:p w14:paraId="4FDF2B48">
          <w:pPr>
            <w:widowControl w:val="0"/>
            <w:tabs>
              <w:tab w:val="right" w:leader="dot" w:pos="9360"/>
            </w:tabs>
            <w:spacing w:before="60" w:after="0" w:line="240" w:lineRule="auto"/>
            <w:ind w:left="360"/>
            <w:jc w:val="left"/>
            <w:rPr>
              <w:color w:val="000000"/>
            </w:rPr>
          </w:pPr>
          <w:r>
            <w:fldChar w:fldCharType="begin"/>
          </w:r>
          <w:r>
            <w:instrText xml:space="preserve"> HYPERLINK \l "_l27tu361zrdl" \h </w:instrText>
          </w:r>
          <w:r>
            <w:fldChar w:fldCharType="separate"/>
          </w:r>
          <w:r>
            <w:rPr>
              <w:color w:val="000000"/>
            </w:rPr>
            <w:t>4.3 Financial and Shareholder Impact</w:t>
          </w:r>
          <w:r>
            <w:rPr>
              <w:color w:val="000000"/>
            </w:rPr>
            <w:tab/>
          </w:r>
          <w:r>
            <w:rPr>
              <w:color w:val="000000"/>
            </w:rPr>
            <w:fldChar w:fldCharType="end"/>
          </w:r>
          <w:r>
            <w:fldChar w:fldCharType="begin"/>
          </w:r>
          <w:r>
            <w:instrText xml:space="preserve"> PAGEREF _l27tu361zrdl \h </w:instrText>
          </w:r>
          <w:r>
            <w:fldChar w:fldCharType="separate"/>
          </w:r>
          <w:r>
            <w:t>17</w:t>
          </w:r>
          <w:r>
            <w:fldChar w:fldCharType="end"/>
          </w:r>
        </w:p>
        <w:p w14:paraId="3F8C5773">
          <w:pPr>
            <w:widowControl w:val="0"/>
            <w:tabs>
              <w:tab w:val="right" w:leader="dot" w:pos="9360"/>
            </w:tabs>
            <w:spacing w:before="60" w:after="0" w:line="240" w:lineRule="auto"/>
            <w:ind w:left="360"/>
            <w:jc w:val="left"/>
            <w:rPr>
              <w:color w:val="000000"/>
            </w:rPr>
          </w:pPr>
          <w:r>
            <w:fldChar w:fldCharType="begin"/>
          </w:r>
          <w:r>
            <w:instrText xml:space="preserve"> HYPERLINK \l "_ujo5u9rkx9q2" \h </w:instrText>
          </w:r>
          <w:r>
            <w:fldChar w:fldCharType="separate"/>
          </w:r>
          <w:r>
            <w:rPr>
              <w:color w:val="000000"/>
            </w:rPr>
            <w:t>4.4 International Financial Considerations</w:t>
          </w:r>
          <w:r>
            <w:rPr>
              <w:color w:val="000000"/>
            </w:rPr>
            <w:tab/>
          </w:r>
          <w:r>
            <w:rPr>
              <w:color w:val="000000"/>
            </w:rPr>
            <w:fldChar w:fldCharType="end"/>
          </w:r>
          <w:r>
            <w:fldChar w:fldCharType="begin"/>
          </w:r>
          <w:r>
            <w:instrText xml:space="preserve"> PAGEREF _ujo5u9rkx9q2 \h </w:instrText>
          </w:r>
          <w:r>
            <w:fldChar w:fldCharType="separate"/>
          </w:r>
          <w:r>
            <w:t>18</w:t>
          </w:r>
          <w:r>
            <w:fldChar w:fldCharType="end"/>
          </w:r>
        </w:p>
        <w:p w14:paraId="0603BF02">
          <w:pPr>
            <w:widowControl w:val="0"/>
            <w:tabs>
              <w:tab w:val="right" w:leader="dot" w:pos="9360"/>
            </w:tabs>
            <w:spacing w:before="60" w:after="0" w:line="240" w:lineRule="auto"/>
            <w:ind w:left="360"/>
            <w:jc w:val="left"/>
            <w:rPr>
              <w:color w:val="000000"/>
            </w:rPr>
          </w:pPr>
          <w:r>
            <w:fldChar w:fldCharType="begin"/>
          </w:r>
          <w:r>
            <w:instrText xml:space="preserve"> HYPERLINK \l "_8tyvc6v1xaf2" \h </w:instrText>
          </w:r>
          <w:r>
            <w:fldChar w:fldCharType="separate"/>
          </w:r>
          <w:r>
            <w:rPr>
              <w:color w:val="000000"/>
            </w:rPr>
            <w:t>4.5 Ethical and CSR Considerations</w:t>
          </w:r>
          <w:r>
            <w:rPr>
              <w:color w:val="000000"/>
            </w:rPr>
            <w:tab/>
          </w:r>
          <w:r>
            <w:rPr>
              <w:color w:val="000000"/>
            </w:rPr>
            <w:fldChar w:fldCharType="end"/>
          </w:r>
          <w:r>
            <w:fldChar w:fldCharType="begin"/>
          </w:r>
          <w:r>
            <w:instrText xml:space="preserve"> PAGEREF _8tyvc6v1xaf2 \h </w:instrText>
          </w:r>
          <w:r>
            <w:fldChar w:fldCharType="separate"/>
          </w:r>
          <w:r>
            <w:t>18</w:t>
          </w:r>
          <w:r>
            <w:fldChar w:fldCharType="end"/>
          </w:r>
        </w:p>
        <w:p w14:paraId="58C3563D">
          <w:pPr>
            <w:widowControl w:val="0"/>
            <w:tabs>
              <w:tab w:val="right" w:leader="dot" w:pos="9360"/>
            </w:tabs>
            <w:spacing w:before="60" w:after="0" w:line="240" w:lineRule="auto"/>
            <w:jc w:val="left"/>
            <w:rPr>
              <w:b/>
              <w:color w:val="000000"/>
            </w:rPr>
          </w:pPr>
          <w:r>
            <w:fldChar w:fldCharType="begin"/>
          </w:r>
          <w:r>
            <w:instrText xml:space="preserve"> HYPERLINK \l "_r2mmrhpiwf6k" \h </w:instrText>
          </w:r>
          <w:r>
            <w:fldChar w:fldCharType="separate"/>
          </w:r>
          <w:r>
            <w:rPr>
              <w:b/>
              <w:color w:val="000000"/>
            </w:rPr>
            <w:t>5. Investment Appraisal and Capital Budgeting</w:t>
          </w:r>
          <w:r>
            <w:rPr>
              <w:b/>
              <w:color w:val="000000"/>
            </w:rPr>
            <w:tab/>
          </w:r>
          <w:r>
            <w:rPr>
              <w:b/>
              <w:color w:val="000000"/>
            </w:rPr>
            <w:fldChar w:fldCharType="end"/>
          </w:r>
          <w:r>
            <w:fldChar w:fldCharType="begin"/>
          </w:r>
          <w:r>
            <w:instrText xml:space="preserve"> PAGEREF _r2mmrhpiwf6k \h </w:instrText>
          </w:r>
          <w:r>
            <w:fldChar w:fldCharType="separate"/>
          </w:r>
          <w:r>
            <w:t>19</w:t>
          </w:r>
          <w:r>
            <w:fldChar w:fldCharType="end"/>
          </w:r>
        </w:p>
        <w:p w14:paraId="58D049EF">
          <w:pPr>
            <w:widowControl w:val="0"/>
            <w:tabs>
              <w:tab w:val="right" w:leader="dot" w:pos="9360"/>
            </w:tabs>
            <w:spacing w:before="60" w:after="0" w:line="240" w:lineRule="auto"/>
            <w:ind w:left="360"/>
            <w:jc w:val="left"/>
            <w:rPr>
              <w:color w:val="000000"/>
            </w:rPr>
          </w:pPr>
          <w:r>
            <w:fldChar w:fldCharType="begin"/>
          </w:r>
          <w:r>
            <w:instrText xml:space="preserve"> HYPERLINK \l "_du5fir4v55wa" \h </w:instrText>
          </w:r>
          <w:r>
            <w:fldChar w:fldCharType="separate"/>
          </w:r>
          <w:r>
            <w:rPr>
              <w:color w:val="000000"/>
            </w:rPr>
            <w:t>5.1 Investment Context and Objectives</w:t>
          </w:r>
          <w:r>
            <w:rPr>
              <w:color w:val="000000"/>
            </w:rPr>
            <w:tab/>
          </w:r>
          <w:r>
            <w:rPr>
              <w:color w:val="000000"/>
            </w:rPr>
            <w:fldChar w:fldCharType="end"/>
          </w:r>
          <w:r>
            <w:fldChar w:fldCharType="begin"/>
          </w:r>
          <w:r>
            <w:instrText xml:space="preserve"> PAGEREF _du5fir4v55wa \h </w:instrText>
          </w:r>
          <w:r>
            <w:fldChar w:fldCharType="separate"/>
          </w:r>
          <w:r>
            <w:t>19</w:t>
          </w:r>
          <w:r>
            <w:fldChar w:fldCharType="end"/>
          </w:r>
        </w:p>
        <w:p w14:paraId="49B1459E">
          <w:pPr>
            <w:widowControl w:val="0"/>
            <w:tabs>
              <w:tab w:val="right" w:leader="dot" w:pos="9360"/>
            </w:tabs>
            <w:spacing w:before="60" w:after="0" w:line="240" w:lineRule="auto"/>
            <w:ind w:left="360"/>
            <w:jc w:val="left"/>
            <w:rPr>
              <w:color w:val="000000"/>
            </w:rPr>
          </w:pPr>
          <w:r>
            <w:fldChar w:fldCharType="begin"/>
          </w:r>
          <w:r>
            <w:instrText xml:space="preserve"> HYPERLINK \l "_hv50vxf9inn7" \h </w:instrText>
          </w:r>
          <w:r>
            <w:fldChar w:fldCharType="separate"/>
          </w:r>
          <w:r>
            <w:rPr>
              <w:color w:val="000000"/>
            </w:rPr>
            <w:t>5.2 Project A Appraisal</w:t>
          </w:r>
          <w:r>
            <w:rPr>
              <w:color w:val="000000"/>
            </w:rPr>
            <w:tab/>
          </w:r>
          <w:r>
            <w:rPr>
              <w:color w:val="000000"/>
            </w:rPr>
            <w:fldChar w:fldCharType="end"/>
          </w:r>
          <w:r>
            <w:fldChar w:fldCharType="begin"/>
          </w:r>
          <w:r>
            <w:instrText xml:space="preserve"> PAGEREF _hv50vxf9inn7 \h </w:instrText>
          </w:r>
          <w:r>
            <w:fldChar w:fldCharType="separate"/>
          </w:r>
          <w:r>
            <w:t>19</w:t>
          </w:r>
          <w:r>
            <w:fldChar w:fldCharType="end"/>
          </w:r>
        </w:p>
        <w:p w14:paraId="30C8988A">
          <w:pPr>
            <w:widowControl w:val="0"/>
            <w:tabs>
              <w:tab w:val="right" w:leader="dot" w:pos="9360"/>
            </w:tabs>
            <w:spacing w:before="60" w:after="0" w:line="240" w:lineRule="auto"/>
            <w:ind w:left="360"/>
            <w:jc w:val="left"/>
            <w:rPr>
              <w:color w:val="000000"/>
            </w:rPr>
          </w:pPr>
          <w:r>
            <w:fldChar w:fldCharType="begin"/>
          </w:r>
          <w:r>
            <w:instrText xml:space="preserve"> HYPERLINK \l "_pi0ecufsb00l" \h </w:instrText>
          </w:r>
          <w:r>
            <w:fldChar w:fldCharType="separate"/>
          </w:r>
          <w:r>
            <w:rPr>
              <w:color w:val="000000"/>
            </w:rPr>
            <w:t>5.3 Project B Appraisal</w:t>
          </w:r>
          <w:r>
            <w:rPr>
              <w:color w:val="000000"/>
            </w:rPr>
            <w:tab/>
          </w:r>
          <w:r>
            <w:rPr>
              <w:color w:val="000000"/>
            </w:rPr>
            <w:fldChar w:fldCharType="end"/>
          </w:r>
          <w:r>
            <w:fldChar w:fldCharType="begin"/>
          </w:r>
          <w:r>
            <w:instrText xml:space="preserve"> PAGEREF _pi0ecufsb00l \h </w:instrText>
          </w:r>
          <w:r>
            <w:fldChar w:fldCharType="separate"/>
          </w:r>
          <w:r>
            <w:t>20</w:t>
          </w:r>
          <w:r>
            <w:fldChar w:fldCharType="end"/>
          </w:r>
        </w:p>
        <w:p w14:paraId="1A90AD51">
          <w:pPr>
            <w:widowControl w:val="0"/>
            <w:tabs>
              <w:tab w:val="right" w:leader="dot" w:pos="9360"/>
            </w:tabs>
            <w:spacing w:before="60" w:after="0" w:line="240" w:lineRule="auto"/>
            <w:ind w:left="360"/>
            <w:jc w:val="left"/>
            <w:rPr>
              <w:color w:val="000000"/>
            </w:rPr>
          </w:pPr>
          <w:r>
            <w:fldChar w:fldCharType="begin"/>
          </w:r>
          <w:r>
            <w:instrText xml:space="preserve"> HYPERLINK \l "_59ygc2ydclhf" \h </w:instrText>
          </w:r>
          <w:r>
            <w:fldChar w:fldCharType="separate"/>
          </w:r>
          <w:r>
            <w:rPr>
              <w:color w:val="000000"/>
            </w:rPr>
            <w:t>5.4 Project C Appraisal</w:t>
          </w:r>
          <w:r>
            <w:rPr>
              <w:color w:val="000000"/>
            </w:rPr>
            <w:tab/>
          </w:r>
          <w:r>
            <w:rPr>
              <w:color w:val="000000"/>
            </w:rPr>
            <w:fldChar w:fldCharType="end"/>
          </w:r>
          <w:r>
            <w:fldChar w:fldCharType="begin"/>
          </w:r>
          <w:r>
            <w:instrText xml:space="preserve"> PAGEREF _59ygc2ydclhf \h </w:instrText>
          </w:r>
          <w:r>
            <w:fldChar w:fldCharType="separate"/>
          </w:r>
          <w:r>
            <w:t>21</w:t>
          </w:r>
          <w:r>
            <w:fldChar w:fldCharType="end"/>
          </w:r>
        </w:p>
        <w:p w14:paraId="3B55C555">
          <w:pPr>
            <w:widowControl w:val="0"/>
            <w:tabs>
              <w:tab w:val="right" w:leader="dot" w:pos="9360"/>
            </w:tabs>
            <w:spacing w:before="60" w:after="0" w:line="240" w:lineRule="auto"/>
            <w:ind w:left="360"/>
            <w:jc w:val="left"/>
            <w:rPr>
              <w:color w:val="000000"/>
            </w:rPr>
          </w:pPr>
          <w:r>
            <w:fldChar w:fldCharType="begin"/>
          </w:r>
          <w:r>
            <w:instrText xml:space="preserve"> HYPERLINK \l "_uz7v7voekonw" \h </w:instrText>
          </w:r>
          <w:r>
            <w:fldChar w:fldCharType="separate"/>
          </w:r>
          <w:r>
            <w:rPr>
              <w:color w:val="000000"/>
            </w:rPr>
            <w:t>5.5 Comparative Evaluation under Capital Rationing</w:t>
          </w:r>
          <w:r>
            <w:rPr>
              <w:color w:val="000000"/>
            </w:rPr>
            <w:tab/>
          </w:r>
          <w:r>
            <w:rPr>
              <w:color w:val="000000"/>
            </w:rPr>
            <w:fldChar w:fldCharType="end"/>
          </w:r>
          <w:r>
            <w:fldChar w:fldCharType="begin"/>
          </w:r>
          <w:r>
            <w:instrText xml:space="preserve"> PAGEREF _uz7v7voekonw \h </w:instrText>
          </w:r>
          <w:r>
            <w:fldChar w:fldCharType="separate"/>
          </w:r>
          <w:r>
            <w:t>22</w:t>
          </w:r>
          <w:r>
            <w:fldChar w:fldCharType="end"/>
          </w:r>
        </w:p>
        <w:p w14:paraId="64801D9A">
          <w:pPr>
            <w:widowControl w:val="0"/>
            <w:tabs>
              <w:tab w:val="right" w:leader="dot" w:pos="9360"/>
            </w:tabs>
            <w:spacing w:before="60" w:after="0" w:line="240" w:lineRule="auto"/>
            <w:ind w:left="360"/>
            <w:jc w:val="left"/>
            <w:rPr>
              <w:color w:val="000000"/>
            </w:rPr>
          </w:pPr>
          <w:r>
            <w:fldChar w:fldCharType="begin"/>
          </w:r>
          <w:r>
            <w:instrText xml:space="preserve"> HYPERLINK \l "_vzb1apamsazr" \h </w:instrText>
          </w:r>
          <w:r>
            <w:fldChar w:fldCharType="separate"/>
          </w:r>
          <w:r>
            <w:rPr>
              <w:color w:val="000000"/>
            </w:rPr>
            <w:t>5.6 Final Investment Recommendation</w:t>
          </w:r>
          <w:r>
            <w:rPr>
              <w:color w:val="000000"/>
            </w:rPr>
            <w:tab/>
          </w:r>
          <w:r>
            <w:rPr>
              <w:color w:val="000000"/>
            </w:rPr>
            <w:fldChar w:fldCharType="end"/>
          </w:r>
          <w:r>
            <w:fldChar w:fldCharType="begin"/>
          </w:r>
          <w:r>
            <w:instrText xml:space="preserve"> PAGEREF _vzb1apamsazr \h </w:instrText>
          </w:r>
          <w:r>
            <w:fldChar w:fldCharType="separate"/>
          </w:r>
          <w:r>
            <w:t>23</w:t>
          </w:r>
          <w:r>
            <w:fldChar w:fldCharType="end"/>
          </w:r>
        </w:p>
        <w:p w14:paraId="21FC80FA">
          <w:pPr>
            <w:widowControl w:val="0"/>
            <w:tabs>
              <w:tab w:val="right" w:leader="dot" w:pos="9360"/>
            </w:tabs>
            <w:spacing w:before="60" w:after="0" w:line="240" w:lineRule="auto"/>
            <w:jc w:val="left"/>
            <w:rPr>
              <w:b/>
              <w:color w:val="000000"/>
            </w:rPr>
          </w:pPr>
          <w:r>
            <w:fldChar w:fldCharType="begin"/>
          </w:r>
          <w:r>
            <w:instrText xml:space="preserve"> HYPERLINK \l "_ubmmjqj1kfg5" \h </w:instrText>
          </w:r>
          <w:r>
            <w:fldChar w:fldCharType="separate"/>
          </w:r>
          <w:r>
            <w:rPr>
              <w:b/>
              <w:color w:val="000000"/>
            </w:rPr>
            <w:t>6. Conclusion and Strategic Outlook</w:t>
          </w:r>
          <w:r>
            <w:rPr>
              <w:b/>
              <w:color w:val="000000"/>
            </w:rPr>
            <w:tab/>
          </w:r>
          <w:r>
            <w:rPr>
              <w:b/>
              <w:color w:val="000000"/>
            </w:rPr>
            <w:fldChar w:fldCharType="end"/>
          </w:r>
          <w:r>
            <w:fldChar w:fldCharType="begin"/>
          </w:r>
          <w:r>
            <w:instrText xml:space="preserve"> PAGEREF _ubmmjqj1kfg5 \h </w:instrText>
          </w:r>
          <w:r>
            <w:fldChar w:fldCharType="separate"/>
          </w:r>
          <w:r>
            <w:t>23</w:t>
          </w:r>
          <w:r>
            <w:fldChar w:fldCharType="end"/>
          </w:r>
        </w:p>
        <w:p w14:paraId="6EECBD1A">
          <w:pPr>
            <w:widowControl w:val="0"/>
            <w:tabs>
              <w:tab w:val="right" w:leader="dot" w:pos="9360"/>
            </w:tabs>
            <w:spacing w:before="60" w:after="0" w:line="240" w:lineRule="auto"/>
            <w:jc w:val="left"/>
            <w:rPr>
              <w:b/>
              <w:color w:val="000000"/>
            </w:rPr>
          </w:pPr>
          <w:r>
            <w:fldChar w:fldCharType="begin"/>
          </w:r>
          <w:r>
            <w:instrText xml:space="preserve"> HYPERLINK \l "_6tnfuo8ynhti" \h </w:instrText>
          </w:r>
          <w:r>
            <w:fldChar w:fldCharType="separate"/>
          </w:r>
          <w:r>
            <w:rPr>
              <w:b/>
              <w:color w:val="000000"/>
            </w:rPr>
            <w:t>7. Reference List</w:t>
          </w:r>
          <w:r>
            <w:rPr>
              <w:b/>
              <w:color w:val="000000"/>
            </w:rPr>
            <w:tab/>
          </w:r>
          <w:r>
            <w:rPr>
              <w:b/>
              <w:color w:val="000000"/>
            </w:rPr>
            <w:fldChar w:fldCharType="end"/>
          </w:r>
          <w:r>
            <w:fldChar w:fldCharType="begin"/>
          </w:r>
          <w:r>
            <w:instrText xml:space="preserve"> PAGEREF _6tnfuo8ynhti \h </w:instrText>
          </w:r>
          <w:r>
            <w:fldChar w:fldCharType="separate"/>
          </w:r>
          <w:r>
            <w:t>25</w:t>
          </w:r>
          <w:r>
            <w:fldChar w:fldCharType="end"/>
          </w:r>
        </w:p>
        <w:p w14:paraId="0B1F76D3">
          <w:pPr>
            <w:widowControl w:val="0"/>
            <w:tabs>
              <w:tab w:val="right" w:leader="dot" w:pos="9360"/>
            </w:tabs>
            <w:spacing w:before="60" w:after="0" w:line="240" w:lineRule="auto"/>
            <w:jc w:val="left"/>
            <w:rPr>
              <w:b/>
              <w:color w:val="000000"/>
            </w:rPr>
          </w:pPr>
          <w:r>
            <w:fldChar w:fldCharType="begin"/>
          </w:r>
          <w:r>
            <w:instrText xml:space="preserve"> HYPERLINK \l "_74po8c137k4k" \h </w:instrText>
          </w:r>
          <w:r>
            <w:fldChar w:fldCharType="separate"/>
          </w:r>
          <w:r>
            <w:rPr>
              <w:b/>
              <w:color w:val="000000"/>
            </w:rPr>
            <w:t>8. Appendices</w:t>
          </w:r>
          <w:r>
            <w:rPr>
              <w:b/>
              <w:color w:val="000000"/>
            </w:rPr>
            <w:tab/>
          </w:r>
          <w:r>
            <w:rPr>
              <w:b/>
              <w:color w:val="000000"/>
            </w:rPr>
            <w:fldChar w:fldCharType="end"/>
          </w:r>
          <w:r>
            <w:fldChar w:fldCharType="begin"/>
          </w:r>
          <w:r>
            <w:instrText xml:space="preserve"> PAGEREF _74po8c137k4k \h </w:instrText>
          </w:r>
          <w:r>
            <w:fldChar w:fldCharType="separate"/>
          </w:r>
          <w:r>
            <w:t>30</w:t>
          </w:r>
          <w:r>
            <w:fldChar w:fldCharType="end"/>
          </w:r>
        </w:p>
        <w:p w14:paraId="511E312D">
          <w:pPr>
            <w:widowControl w:val="0"/>
            <w:tabs>
              <w:tab w:val="right" w:leader="dot" w:pos="9360"/>
            </w:tabs>
            <w:spacing w:before="60" w:after="0" w:line="240" w:lineRule="auto"/>
            <w:ind w:left="360"/>
            <w:jc w:val="left"/>
            <w:rPr>
              <w:color w:val="000000"/>
            </w:rPr>
          </w:pPr>
          <w:r>
            <w:fldChar w:fldCharType="begin"/>
          </w:r>
          <w:r>
            <w:instrText xml:space="preserve"> HYPERLINK \l "_gtxna4dju2rj" \h </w:instrText>
          </w:r>
          <w:r>
            <w:fldChar w:fldCharType="separate"/>
          </w:r>
          <w:r>
            <w:rPr>
              <w:color w:val="000000"/>
            </w:rPr>
            <w:t>8.1 Ratio Calculation</w:t>
          </w:r>
          <w:r>
            <w:rPr>
              <w:color w:val="000000"/>
            </w:rPr>
            <w:tab/>
          </w:r>
          <w:r>
            <w:rPr>
              <w:color w:val="000000"/>
            </w:rPr>
            <w:fldChar w:fldCharType="end"/>
          </w:r>
          <w:r>
            <w:fldChar w:fldCharType="begin"/>
          </w:r>
          <w:r>
            <w:instrText xml:space="preserve"> PAGEREF _gtxna4dju2rj \h </w:instrText>
          </w:r>
          <w:r>
            <w:fldChar w:fldCharType="separate"/>
          </w:r>
          <w:r>
            <w:t>30</w:t>
          </w:r>
          <w:r>
            <w:fldChar w:fldCharType="end"/>
          </w:r>
        </w:p>
        <w:p w14:paraId="0E5171DA">
          <w:pPr>
            <w:widowControl w:val="0"/>
            <w:tabs>
              <w:tab w:val="right" w:leader="dot" w:pos="9360"/>
            </w:tabs>
            <w:spacing w:before="60" w:after="0" w:line="240" w:lineRule="auto"/>
            <w:ind w:left="360"/>
            <w:jc w:val="left"/>
            <w:rPr>
              <w:color w:val="000000"/>
            </w:rPr>
          </w:pPr>
          <w:r>
            <w:fldChar w:fldCharType="begin"/>
          </w:r>
          <w:r>
            <w:instrText xml:space="preserve"> HYPERLINK \l "_1l4z4myo2i85" \h </w:instrText>
          </w:r>
          <w:r>
            <w:fldChar w:fldCharType="separate"/>
          </w:r>
          <w:r>
            <w:rPr>
              <w:color w:val="000000"/>
            </w:rPr>
            <w:t>8.2 Investment Appraisal for Project A</w:t>
          </w:r>
          <w:r>
            <w:rPr>
              <w:color w:val="000000"/>
            </w:rPr>
            <w:tab/>
          </w:r>
          <w:r>
            <w:rPr>
              <w:color w:val="000000"/>
            </w:rPr>
            <w:fldChar w:fldCharType="end"/>
          </w:r>
          <w:r>
            <w:fldChar w:fldCharType="begin"/>
          </w:r>
          <w:r>
            <w:instrText xml:space="preserve"> PAGEREF _1l4z4myo2i85 \h </w:instrText>
          </w:r>
          <w:r>
            <w:fldChar w:fldCharType="separate"/>
          </w:r>
          <w:r>
            <w:t>30</w:t>
          </w:r>
          <w:r>
            <w:fldChar w:fldCharType="end"/>
          </w:r>
        </w:p>
        <w:p w14:paraId="65897E40">
          <w:pPr>
            <w:widowControl w:val="0"/>
            <w:tabs>
              <w:tab w:val="right" w:leader="dot" w:pos="9360"/>
            </w:tabs>
            <w:spacing w:before="60" w:after="0" w:line="240" w:lineRule="auto"/>
            <w:ind w:left="360"/>
            <w:jc w:val="left"/>
            <w:rPr>
              <w:color w:val="000000"/>
            </w:rPr>
          </w:pPr>
          <w:r>
            <w:fldChar w:fldCharType="begin"/>
          </w:r>
          <w:r>
            <w:instrText xml:space="preserve"> HYPERLINK \l "_phj14w8y5vtk" \h </w:instrText>
          </w:r>
          <w:r>
            <w:fldChar w:fldCharType="separate"/>
          </w:r>
          <w:r>
            <w:rPr>
              <w:color w:val="000000"/>
            </w:rPr>
            <w:t>8.3 Investment Appraisal for Project B</w:t>
          </w:r>
          <w:r>
            <w:rPr>
              <w:color w:val="000000"/>
            </w:rPr>
            <w:tab/>
          </w:r>
          <w:r>
            <w:rPr>
              <w:color w:val="000000"/>
            </w:rPr>
            <w:fldChar w:fldCharType="end"/>
          </w:r>
          <w:r>
            <w:fldChar w:fldCharType="begin"/>
          </w:r>
          <w:r>
            <w:instrText xml:space="preserve"> PAGEREF _phj14w8y5vtk \h </w:instrText>
          </w:r>
          <w:r>
            <w:fldChar w:fldCharType="separate"/>
          </w:r>
          <w:r>
            <w:t>32</w:t>
          </w:r>
          <w:r>
            <w:fldChar w:fldCharType="end"/>
          </w:r>
        </w:p>
        <w:p w14:paraId="66BD5715">
          <w:pPr>
            <w:widowControl w:val="0"/>
            <w:tabs>
              <w:tab w:val="right" w:leader="dot" w:pos="9360"/>
            </w:tabs>
            <w:spacing w:before="60" w:after="0" w:line="240" w:lineRule="auto"/>
            <w:ind w:left="360"/>
            <w:jc w:val="left"/>
            <w:rPr>
              <w:color w:val="000000"/>
            </w:rPr>
          </w:pPr>
          <w:r>
            <w:fldChar w:fldCharType="begin"/>
          </w:r>
          <w:r>
            <w:instrText xml:space="preserve"> HYPERLINK \l "_i57wkw9owyc1" \h </w:instrText>
          </w:r>
          <w:r>
            <w:fldChar w:fldCharType="separate"/>
          </w:r>
          <w:r>
            <w:rPr>
              <w:color w:val="000000"/>
            </w:rPr>
            <w:t>8.4 Investment Appraisal for Project C</w:t>
          </w:r>
          <w:r>
            <w:rPr>
              <w:color w:val="000000"/>
            </w:rPr>
            <w:tab/>
          </w:r>
          <w:r>
            <w:rPr>
              <w:color w:val="000000"/>
            </w:rPr>
            <w:fldChar w:fldCharType="end"/>
          </w:r>
          <w:r>
            <w:fldChar w:fldCharType="begin"/>
          </w:r>
          <w:r>
            <w:instrText xml:space="preserve"> PAGEREF _i57wkw9owyc1 \h </w:instrText>
          </w:r>
          <w:r>
            <w:fldChar w:fldCharType="separate"/>
          </w:r>
          <w:r>
            <w:t>34</w:t>
          </w:r>
          <w:r>
            <w:fldChar w:fldCharType="end"/>
          </w:r>
          <w:r>
            <w:fldChar w:fldCharType="end"/>
          </w:r>
        </w:p>
      </w:sdtContent>
    </w:sdt>
    <w:p w14:paraId="08C2A7CF">
      <w:pPr>
        <w:pStyle w:val="2"/>
        <w:keepNext w:val="0"/>
        <w:keepLines w:val="0"/>
        <w:spacing w:before="360" w:after="80"/>
      </w:pPr>
      <w:bookmarkStart w:id="0" w:name="_vy0rzgqkrcmz" w:colFirst="0" w:colLast="0"/>
      <w:bookmarkEnd w:id="0"/>
      <w:r>
        <w:t>1. Introduction</w:t>
      </w:r>
    </w:p>
    <w:p w14:paraId="2EAC683F">
      <w:r>
        <w:t>General Electronics (GE) is a multinational consumer electronics company that has been experiencing dire financial depreciation in the recent 5 years in the form of dwindling revenues, diminished profit margins and waning investor confidence within the harsh market competition and high turnover. Being the new CFO, this report will assess the financial health, working capital efficiency, and liquidity risks of GE and suggest a feasible reorganization strategy and an evaluation of investment opportunities subject to capital rationing. The study incorporates financial, strategic and ethical insights within four analytical sections using ratio analysis, the Z-score of Altman, and the capital budgeting tools (PBP, ARR, NPV, PI, IRR) that lead to turning around recommendations that are based on evidence.</w:t>
      </w:r>
    </w:p>
    <w:p w14:paraId="27280DA2">
      <w:pPr>
        <w:pStyle w:val="2"/>
        <w:keepNext w:val="0"/>
        <w:keepLines w:val="0"/>
        <w:spacing w:before="360" w:after="80"/>
      </w:pPr>
      <w:bookmarkStart w:id="1" w:name="_vimd2of7290u" w:colFirst="0" w:colLast="0"/>
      <w:bookmarkEnd w:id="1"/>
      <w:r>
        <w:rPr>
          <w:rFonts w:ascii="Gungsuh" w:hAnsi="Gungsuh" w:eastAsia="Gungsuh" w:cs="Gungsuh"/>
        </w:rPr>
        <w:t>2. Financial Health Check</w:t>
      </w:r>
    </w:p>
    <w:p w14:paraId="469FC409">
      <w:pPr>
        <w:pStyle w:val="3"/>
        <w:keepNext w:val="0"/>
        <w:keepLines w:val="0"/>
        <w:spacing w:before="280" w:after="80"/>
      </w:pPr>
      <w:bookmarkStart w:id="2" w:name="_4nbdd7be61fv" w:colFirst="0" w:colLast="0"/>
      <w:bookmarkEnd w:id="2"/>
      <w:r>
        <w:t>2.1 Overview of Financial Position</w:t>
      </w:r>
    </w:p>
    <w:p w14:paraId="7A307258">
      <w:pPr>
        <w:jc w:val="center"/>
      </w:pPr>
      <w:r>
        <w:rPr>
          <w:lang w:val="en-US"/>
        </w:rPr>
        <w:drawing>
          <wp:inline distT="0" distB="0" distL="0" distR="0">
            <wp:extent cx="5943600" cy="3346450"/>
            <wp:effectExtent l="0" t="0" r="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9F9B72">
      <w:pPr>
        <w:jc w:val="center"/>
        <w:rPr>
          <w:b/>
        </w:rPr>
      </w:pPr>
      <w:r>
        <w:rPr>
          <w:b/>
        </w:rPr>
        <w:t>Figure 1: Trend Analysis</w:t>
      </w:r>
    </w:p>
    <w:p w14:paraId="191B3976">
      <w:r>
        <w:t>Over the five-year period from 2020 to 2024, General Electronics (GE) has faced a steady financial deterioration. Net sales declined sharply from £614,680 in 2020 to £394,879 in 2024, reflecting weakened market competitiveness and declining product demand. Operating income turned negative after 2022, signalling rising costs and inefficiencies, while net income plunged to a loss of £24,029 in 2024. Total assets also fell significantly from £510,290 to £323,354, indicating asset erosion and potential divestments. This downward trend highlights a severe profitability crisis and liquidity strain. Within the global consumer electronics industry, intense price competition, technological obsolescence, and supply chain disruptions have further intensified GE’s operational and strategic challenges.</w:t>
      </w:r>
    </w:p>
    <w:p w14:paraId="44781D90">
      <w:pPr>
        <w:pStyle w:val="3"/>
        <w:keepNext w:val="0"/>
        <w:keepLines w:val="0"/>
        <w:spacing w:before="280" w:after="80"/>
      </w:pPr>
      <w:bookmarkStart w:id="3" w:name="_qv5tmxoswef5" w:colFirst="0" w:colLast="0"/>
      <w:bookmarkEnd w:id="3"/>
      <w:r>
        <w:t>2.2 Profitability Analysis</w:t>
      </w:r>
    </w:p>
    <w:p w14:paraId="4F12F1E8">
      <w:pPr>
        <w:jc w:val="center"/>
      </w:pPr>
      <w:r>
        <w:rPr>
          <w:lang w:val="en-US"/>
        </w:rPr>
        <w:drawing>
          <wp:inline distT="0" distB="0" distL="0" distR="0">
            <wp:extent cx="4968240" cy="2541270"/>
            <wp:effectExtent l="0" t="0" r="3810" b="1143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4D72DE5">
      <w:pPr>
        <w:jc w:val="center"/>
        <w:rPr>
          <w:b/>
        </w:rPr>
      </w:pPr>
      <w:r>
        <w:rPr>
          <w:b/>
        </w:rPr>
        <w:t>Figure 2: Profitability Ratio</w:t>
      </w:r>
    </w:p>
    <w:p w14:paraId="6E087125">
      <w:r>
        <w:t>The profitability ratios of General Electronics indicate that there is a strong and ongoing decline in profitability. In 2020 and 2024, the net margin was 6.28 per cent and -6.09 per cent, respectively, which implies that the company increases costs, decreases revenues, and fails to implement effective pricing policy. In a similar manner, the ROCE decreased to -9.27% as compared with 11.27% indicating that the capital is currently yielding no profit but losses to the company. The sudden drop in 2023 when operating income became negative by a significant margin indicates the existence of high operation inefficiency, lack of capacity utilisation, and failure in cost control. The performance of GE is underwhelming compared to the industry average ROCE (10-15%). The causes of profitability erosion are the increasing costs of inputs, the price war with the competitors, and the lack of product innovation. Cost restructuring and enhanced production efficiency are needed to make the current model sustainable for the firm. Profitability recovery is on the list of top priorities of the strategy (Sinaga and Hermawan, 2023).</w:t>
      </w:r>
    </w:p>
    <w:p w14:paraId="54E9992B">
      <w:pPr>
        <w:pStyle w:val="3"/>
        <w:keepNext w:val="0"/>
        <w:keepLines w:val="0"/>
        <w:spacing w:before="280" w:after="80"/>
      </w:pPr>
      <w:bookmarkStart w:id="4" w:name="_mt0ltx518v80" w:colFirst="0" w:colLast="0"/>
      <w:bookmarkEnd w:id="4"/>
      <w:r>
        <w:t>2.3 Liquidity Analysis</w:t>
      </w:r>
    </w:p>
    <w:p w14:paraId="20A5E2DC">
      <w:pPr>
        <w:jc w:val="center"/>
      </w:pPr>
      <w:r>
        <w:rPr>
          <w:lang w:val="en-US"/>
        </w:rPr>
        <w:drawing>
          <wp:inline distT="0" distB="0" distL="0" distR="0">
            <wp:extent cx="4945380" cy="2518410"/>
            <wp:effectExtent l="0" t="0" r="762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FCDC67">
      <w:pPr>
        <w:jc w:val="center"/>
        <w:rPr>
          <w:b/>
        </w:rPr>
      </w:pPr>
      <w:r>
        <w:rPr>
          <w:b/>
        </w:rPr>
        <w:t>Figure 3: Liquidity Ratio</w:t>
      </w:r>
    </w:p>
    <w:p w14:paraId="7DA02405">
      <w:r>
        <w:t>The GE liquidity position is weak and reflects reduced ability to meet short-term obligations. The current ratio decreased from 1.82 in 2020 to 1.06 in 2023, with a slight improvement of 1.53 in 2024. On the same note, the quick ratio ranged between 1.15 and 0.91 implying that current liabilities are just met by the liquid assets. This degradation indicates a decline in the cash flow and excessive reliance on short-term lending. Although the inventories decreased to £79,355 as compared to the previous level of £120,430, the decreasing trend can only be attributed to the decreasing demand and not efficiency. The liquidity limits increase the chances of cash scarcity particularly during fluctuating sales. A global electronics company should have a ratio of more than 1.5; therefore, the near solvency of GE reveals the immediate necessity to pay closer attention to its receivables collection, inventory operations, and improved cash flow management (CredAble Team, 2025).</w:t>
      </w:r>
    </w:p>
    <w:p w14:paraId="0392D466">
      <w:pPr>
        <w:pStyle w:val="3"/>
        <w:keepNext w:val="0"/>
        <w:keepLines w:val="0"/>
        <w:spacing w:before="280" w:after="80"/>
      </w:pPr>
      <w:bookmarkStart w:id="5" w:name="_n5u67j6o4yxe" w:colFirst="0" w:colLast="0"/>
      <w:bookmarkEnd w:id="5"/>
      <w:r>
        <w:t>2.4 Efficiency Management</w:t>
      </w:r>
    </w:p>
    <w:p w14:paraId="32EAF4D8">
      <w:pPr>
        <w:jc w:val="center"/>
      </w:pPr>
      <w:r>
        <w:rPr>
          <w:lang w:val="en-US"/>
        </w:rPr>
        <w:drawing>
          <wp:inline distT="0" distB="0" distL="0" distR="0">
            <wp:extent cx="5044440" cy="2392680"/>
            <wp:effectExtent l="0" t="0" r="381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BFC740">
      <w:pPr>
        <w:jc w:val="center"/>
        <w:rPr>
          <w:b/>
        </w:rPr>
      </w:pPr>
      <w:r>
        <w:rPr>
          <w:b/>
        </w:rPr>
        <w:t>Figure 4: Efficiency Ratio</w:t>
      </w:r>
    </w:p>
    <w:p w14:paraId="2A4BD8B7">
      <w:r>
        <w:t>The indicators of efficiency indicate inefficient use of assets and ineffective operational control. The inventory turnover days (50-57) are still high, which means that it is slow to move the stock and the holding costs increase. The number of days outstanding increased by 38 to 53 days indicating that the customers were paying at a slower rate with the payable days varying erratically. The outcome is the increased cash conversion cycle, which is consuming the liquidity and necessitating the increased dependence on the external financing. This kind of ineffectiveness in a dynamic electronic business that easily goes out of date is especially harmful. The working capital of the firm is tied up in unproductive assets which erode the cash flow and profitability. There should be better supply chain coordination, automation, and stricter management of credit that will help reduce the cycle and free working cash (Smith, 2024).</w:t>
      </w:r>
    </w:p>
    <w:p w14:paraId="3AC59EB3">
      <w:pPr>
        <w:pStyle w:val="3"/>
        <w:keepNext w:val="0"/>
        <w:keepLines w:val="0"/>
        <w:spacing w:before="280" w:after="80"/>
      </w:pPr>
      <w:bookmarkStart w:id="6" w:name="_xxfyme7bl7sl" w:colFirst="0" w:colLast="0"/>
      <w:bookmarkEnd w:id="6"/>
      <w:r>
        <w:t>2.5 Capital Structure and Gearing</w:t>
      </w:r>
    </w:p>
    <w:p w14:paraId="4A661809">
      <w:pPr>
        <w:jc w:val="center"/>
      </w:pPr>
      <w:r>
        <w:rPr>
          <w:lang w:val="en-US"/>
        </w:rPr>
        <w:drawing>
          <wp:inline distT="0" distB="0" distL="0" distR="0">
            <wp:extent cx="4960620" cy="2621280"/>
            <wp:effectExtent l="0" t="0" r="11430"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B4F766">
      <w:pPr>
        <w:jc w:val="center"/>
        <w:rPr>
          <w:b/>
        </w:rPr>
      </w:pPr>
      <w:r>
        <w:rPr>
          <w:b/>
        </w:rPr>
        <w:t>Figure 5: Capital Ratio</w:t>
      </w:r>
    </w:p>
    <w:p w14:paraId="3E83CDA2">
      <w:r>
        <w:t>The company's capital structure has been erratic. The debt-to-equity ratio increased to 0.99 in 2023, with the trend of increasing the dependence on debts and then reducing to 0.85 in 2024, which was a result of the erosion of equity rather than the repayment of debt. The interest coverage ratio fell to -0.41, which is lower than 1.86, indicating that GE is no longer in a position to cover interest payments using the operating income. The increasing leverage and the fact that it has incurred continuous losses has exposed the firm to default and credit downgrades. Over borrowing has also restrained financial flexibility and raised the cost of financing. It is necessary to restore a sustainable capital mix by restructuring the debt capital, injecting in equity, or disposing of the assets to lower the gearing, improve solvency, and to win the faith of the lenders (Cbonds, 2024).</w:t>
      </w:r>
    </w:p>
    <w:p w14:paraId="6174A7ED">
      <w:pPr>
        <w:pStyle w:val="3"/>
        <w:keepNext w:val="0"/>
        <w:keepLines w:val="0"/>
        <w:spacing w:before="280" w:after="80"/>
      </w:pPr>
      <w:bookmarkStart w:id="7" w:name="_qy9551m5yw4i" w:colFirst="0" w:colLast="0"/>
      <w:bookmarkEnd w:id="7"/>
      <w:r>
        <w:t>2.6 Investment Ratios</w:t>
      </w:r>
    </w:p>
    <w:p w14:paraId="535B1466">
      <w:pPr>
        <w:jc w:val="center"/>
      </w:pPr>
      <w:r>
        <w:rPr>
          <w:lang w:val="en-US"/>
        </w:rPr>
        <w:drawing>
          <wp:inline distT="0" distB="0" distL="0" distR="0">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2A7D12">
      <w:pPr>
        <w:jc w:val="center"/>
        <w:rPr>
          <w:b/>
        </w:rPr>
      </w:pPr>
      <w:r>
        <w:rPr>
          <w:b/>
        </w:rPr>
        <w:t>Figure 6: Investment Ratios</w:t>
      </w:r>
    </w:p>
    <w:p w14:paraId="410D0A95">
      <w:pPr>
        <w:spacing w:before="280" w:after="80"/>
      </w:pPr>
      <w:r>
        <w:t xml:space="preserve">The level of investment performance has declined drastically. ROA dropped at -0.02 in 2024 as compared to 0.09 in 2020, and the same can be said about ROE, which dropped to -0.16 as compared to 0.12, both of which confirm that both assets and shareholder capital are annihilating instead of generating value. Lack of utilisation of assets, sluggish innovation practices and insufficient strategic investments have reduced returns. The substantial decrease in the equity returns also indicates the loss of investor confidence. GE needs to unload unproductive assets, reinvest in high-margin segments, and implement more stringent investment appraisal techniques to rebuild value, which should be capital deployed with an efficient and effective approach and brings sustainable returns (ACCA, 2024). </w:t>
      </w:r>
    </w:p>
    <w:p w14:paraId="2C5BD750">
      <w:pPr>
        <w:pStyle w:val="3"/>
        <w:spacing w:before="240" w:after="240"/>
        <w:jc w:val="left"/>
      </w:pPr>
      <w:bookmarkStart w:id="8" w:name="_qwyn36a8c7i2" w:colFirst="0" w:colLast="0"/>
      <w:bookmarkEnd w:id="8"/>
      <w:r>
        <w:t>2.7 Market Ratios</w:t>
      </w:r>
    </w:p>
    <w:p w14:paraId="5A5FE217">
      <w:pPr>
        <w:jc w:val="center"/>
      </w:pPr>
      <w:r>
        <w:rPr>
          <w:lang w:val="en-US"/>
        </w:rPr>
        <w:drawing>
          <wp:inline distT="0" distB="0" distL="0" distR="0">
            <wp:extent cx="5013960" cy="3040380"/>
            <wp:effectExtent l="0" t="0" r="15240" b="762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B7177E1">
      <w:pPr>
        <w:jc w:val="center"/>
        <w:rPr>
          <w:b/>
        </w:rPr>
      </w:pPr>
      <w:r>
        <w:rPr>
          <w:b/>
        </w:rPr>
        <w:t>Figure 7: Market Ratios</w:t>
      </w:r>
    </w:p>
    <w:p w14:paraId="3B10BF51">
      <w:r>
        <w:t>Market ratios indicate a breakdown in the investor confidence. Earnings per share (EPS) dropped to -1.85 in 2024 or half of that in 2020, where the market price per share reduced by half to £11.81 or half of 22.55. The P/E ratio became negative and this indicated the pessimism of the investor and absence of visibility of profits. This is a fall which reflects financial turmoil and a non-breathing business environment. The market reaction indicates that shareholders desire restructuring or even dilution of equity. Overcoming the sentiment will need obvious signals of profitability recovery, strategic transparency, and new investment in innovation to recover the credibility and reinstate the valuation multiples (Ulbert, Takács and Csapi, 2022).</w:t>
      </w:r>
    </w:p>
    <w:p w14:paraId="0C885255">
      <w:pPr>
        <w:pStyle w:val="3"/>
        <w:spacing w:before="240" w:after="240"/>
        <w:jc w:val="left"/>
      </w:pPr>
      <w:bookmarkStart w:id="9" w:name="_g5312zlttn7o" w:colFirst="0" w:colLast="0"/>
      <w:bookmarkEnd w:id="9"/>
      <w:r>
        <w:t>2.8 Cashflow Ratio</w:t>
      </w:r>
    </w:p>
    <w:p w14:paraId="64CB3A6D">
      <w:pPr>
        <w:jc w:val="center"/>
      </w:pPr>
      <w:r>
        <w:rPr>
          <w:lang w:val="en-US"/>
        </w:rPr>
        <w:drawing>
          <wp:inline distT="0" distB="0" distL="0" distR="0">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38D6699">
      <w:pPr>
        <w:jc w:val="center"/>
        <w:rPr>
          <w:b/>
        </w:rPr>
      </w:pPr>
      <w:r>
        <w:rPr>
          <w:b/>
        </w:rPr>
        <w:t>Figure 8: Cashflow Ratio</w:t>
      </w:r>
    </w:p>
    <w:p w14:paraId="42A5F737">
      <w:r>
        <w:t>Acute liquidity stress is represented by cash flow ratios. The operating cash flow ratio declined to 0.02 in 2024 as compared to 0.43 in 2020, indicating that operating cash is barely enough to pay off liabilities. The ratio became negative in 2023 and it reflects both operational losses and poor cash conversion. The sales to cash flow ratio decreased as well, falling between 0.13 to 0.01 and the cash efficiency fell at a high rate. There is incessant negative cash flows, which is an indication of protracted credit terms and waning sales receipts. The working capital discipline, expense discipline and non-performing asset divestment should be reformed immediately to generate positive cash flow and avoid insolvency (Enoch, Marston and Taylor, 2022).</w:t>
      </w:r>
    </w:p>
    <w:p w14:paraId="7409C794">
      <w:pPr>
        <w:pStyle w:val="3"/>
        <w:keepNext w:val="0"/>
        <w:keepLines w:val="0"/>
        <w:spacing w:before="280" w:after="80"/>
      </w:pPr>
      <w:bookmarkStart w:id="10" w:name="_psmpy09o1c0w" w:colFirst="0" w:colLast="0"/>
      <w:bookmarkEnd w:id="10"/>
      <w:r>
        <w:t>2.9 Corporate Failure Prediction</w:t>
      </w:r>
    </w:p>
    <w:p w14:paraId="363A675C">
      <w:pPr>
        <w:jc w:val="center"/>
      </w:pPr>
      <w:r>
        <w:drawing>
          <wp:inline distT="0" distB="0" distL="0" distR="0">
            <wp:extent cx="5943600" cy="27965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5943600" cy="2796762"/>
                    </a:xfrm>
                    <a:prstGeom prst="rect">
                      <a:avLst/>
                    </a:prstGeom>
                    <a:noFill/>
                    <a:ln>
                      <a:noFill/>
                    </a:ln>
                  </pic:spPr>
                </pic:pic>
              </a:graphicData>
            </a:graphic>
          </wp:inline>
        </w:drawing>
      </w:r>
    </w:p>
    <w:p w14:paraId="799C1227">
      <w:pPr>
        <w:jc w:val="center"/>
        <w:rPr>
          <w:b/>
        </w:rPr>
      </w:pPr>
      <w:r>
        <w:rPr>
          <w:b/>
        </w:rPr>
        <w:t>Figure 9: Altman Z-Score of General Electronics</w:t>
      </w:r>
    </w:p>
    <w:p w14:paraId="73716B49">
      <w:r>
        <w:t>The Altman Z-Score of General Electronics is 2.98, and this results in the position of the firm being along the upper boundary of the Greys Zone, being a border region between financial stability and possible distress. It means that, so far the company is not under the threat of bankruptcy, but its financial standing is quite shaky and may only get worse without the proper intervention. The strong working capital and equity-to-assets ratio show some short-term solvency, but unfavorable profitability (X3 = - 0.06) undermines its performance. To enter the Safety Zone (Z &gt; 2.99) and be financially sustainable in the long-term, GE needs to enhance earnings and operational efficiency as soon as possible (CFI Team, 2023).</w:t>
      </w:r>
    </w:p>
    <w:p w14:paraId="612DB8F1">
      <w:pPr>
        <w:pStyle w:val="3"/>
        <w:keepNext w:val="0"/>
        <w:keepLines w:val="0"/>
        <w:spacing w:before="280" w:after="80"/>
      </w:pPr>
      <w:bookmarkStart w:id="11" w:name="_d4flhnfxcbvc" w:colFirst="0" w:colLast="0"/>
      <w:bookmarkEnd w:id="11"/>
      <w:r>
        <w:t>2.10 Summary of Key Findings (Trends, strengths and threats)</w:t>
      </w:r>
    </w:p>
    <w:p w14:paraId="321CE545">
      <w:r>
        <w:t>General Electronics demonstrates a definite negative shift in sales, profitability, and asset value over the five-year period, which is the indication of the continued decline in finances. Profit margins and all profitability ratios have become negative and liquidity ratios do not show much variation. It is a sign of short term strength, but long term weakness. Solvency position, decent asset base and re-structuring possibility are among the strengths of the company. Nonetheless, decreasing revenues, overuse of leverage, negative cash flows, and lack of investor trust can be considered as major weaknesses (Annapoorna, 2022). The rising competition in the market, coupled with the inefficiency in the operations, also pose further threats on the recovery and therefore the strategic restructuring and prioritising the investments is paramount in restoring profitability and stability.</w:t>
      </w:r>
    </w:p>
    <w:p w14:paraId="19945B3D">
      <w:pPr>
        <w:pStyle w:val="2"/>
        <w:keepNext w:val="0"/>
        <w:keepLines w:val="0"/>
        <w:spacing w:before="360" w:after="80"/>
      </w:pPr>
      <w:bookmarkStart w:id="12" w:name="_4x05n8sq1db0" w:colFirst="0" w:colLast="0"/>
      <w:bookmarkEnd w:id="12"/>
      <w:r>
        <w:rPr>
          <w:rFonts w:ascii="Gungsuh" w:hAnsi="Gungsuh" w:eastAsia="Gungsuh" w:cs="Gungsuh"/>
        </w:rPr>
        <w:t>3. Working Capital Management Analysis</w:t>
      </w:r>
    </w:p>
    <w:p w14:paraId="6B7CFE76">
      <w:pPr>
        <w:pStyle w:val="3"/>
        <w:keepNext w:val="0"/>
        <w:keepLines w:val="0"/>
        <w:spacing w:before="280" w:after="80"/>
      </w:pPr>
      <w:bookmarkStart w:id="13" w:name="_be2edwmktnst" w:colFirst="0" w:colLast="0"/>
      <w:bookmarkEnd w:id="13"/>
      <w:r>
        <w:t>3.1 Cash Operating Cycle Analysis</w:t>
      </w:r>
    </w:p>
    <w:p w14:paraId="353AE3C3">
      <w:pPr>
        <w:jc w:val="center"/>
      </w:pPr>
      <w:r>
        <w:rPr>
          <w:lang w:val="en-US"/>
        </w:rPr>
        <w:drawing>
          <wp:inline distT="0" distB="0" distL="0" distR="0">
            <wp:extent cx="47244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F408316">
      <w:pPr>
        <w:jc w:val="center"/>
        <w:rPr>
          <w:b/>
        </w:rPr>
      </w:pPr>
      <w:r>
        <w:rPr>
          <w:b/>
        </w:rPr>
        <w:t>Figure 10:</w:t>
      </w:r>
      <w:r>
        <w:t xml:space="preserve"> </w:t>
      </w:r>
      <w:r>
        <w:rPr>
          <w:b/>
        </w:rPr>
        <w:t>Cash Operating Cycle</w:t>
      </w:r>
    </w:p>
    <w:p w14:paraId="58F1B543">
      <w:r>
        <w:t>The cash conversion cycle (CCC) of General Electronics indicates that there is a steady decrease in efficiency of operation and management of liquidity within the five years of operation. The CCC ranged between 54 days in 2020 and 70 days in 2022, but it was slightly reduced (58 days) in 2024. This trend shows that there are delays in converting operational inputs into cash receipt. The days in inventory turnover increased to 50 to 66 and then settled to 52, which indicated ineffective inventory management and may have been overstocking the products that turn slowly. The average days outstanding debtors increased to 53 versus 38 indicating poor credit collection and increased dependency on generous customer credit terms. In 2024 the payables turnover days were established at 47, but the overall cash cycle is long and limits the liquidity status of the company and makes it fully reliant on external funding to sustain operations (Huynh, 2024).</w:t>
      </w:r>
    </w:p>
    <w:p w14:paraId="4BC3B61D">
      <w:pPr>
        <w:jc w:val="center"/>
        <w:rPr>
          <w:b/>
        </w:rPr>
      </w:pPr>
    </w:p>
    <w:p w14:paraId="2E2E4A28">
      <w:pPr>
        <w:jc w:val="center"/>
        <w:rPr>
          <w:b/>
        </w:rPr>
      </w:pPr>
    </w:p>
    <w:p w14:paraId="40DFAF48">
      <w:pPr>
        <w:jc w:val="center"/>
        <w:rPr>
          <w:b/>
        </w:rPr>
      </w:pPr>
      <w:r>
        <w:rPr>
          <w:lang w:val="en-US"/>
        </w:rPr>
        <w:drawing>
          <wp:inline distT="0" distB="0" distL="0" distR="0">
            <wp:extent cx="48006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0543352">
      <w:pPr>
        <w:jc w:val="center"/>
        <w:rPr>
          <w:b/>
        </w:rPr>
      </w:pPr>
      <w:r>
        <w:rPr>
          <w:b/>
        </w:rPr>
        <w:t>Figure 11: Working capital</w:t>
      </w:r>
    </w:p>
    <w:p w14:paraId="1941CCA6">
      <w:r>
        <w:t>On the same note, the working capital position of the company has been on the decline as the company declined to 84.2 million in 2024 compared to the period of 2020, 147.3 million. The loss comes due to decreasing current assets, especially the inventories and receivables and permanent current liabilities. The low working capital means that there is less internal liquidity available to finance the daily operations, a factor that causes a further burden on the short-term financing. This wearing is an indication of falling sales, ineffective conversion of cash and poor working capital. To regain financial stability, GE needs to improve its receivables management, optimize its inventory basis via demand forecast, and negotiate with their suppliers longer credit periods to ensure reduction in its cash conversion cycle and enhance liquidity sustainability (Woods, 2023).</w:t>
      </w:r>
    </w:p>
    <w:p w14:paraId="0C54B973">
      <w:pPr>
        <w:pStyle w:val="3"/>
        <w:keepNext w:val="0"/>
        <w:keepLines w:val="0"/>
        <w:spacing w:before="280" w:after="80"/>
      </w:pPr>
      <w:bookmarkStart w:id="14" w:name="_begbx116r3gk" w:colFirst="0" w:colLast="0"/>
      <w:bookmarkEnd w:id="14"/>
      <w:r>
        <w:t>3.2 Strategies to Improve Liquidity</w:t>
      </w:r>
    </w:p>
    <w:p w14:paraId="295B2CA6">
      <w:r>
        <w:t>In the effort to improve the liquidity General Electronics should aim at streamlining the working capital efficiency by undertaking vigorous reforms in inventory control and credit control. To optimize inventory control requires matching a stock level with actual demand by having accurate forecasting and automated inventory tracking systems. A Just-in-Time (JIT) strategy will assist in reducing surplus inventory, lessening holding expenses, and tying up cash. Moreover, the old or slow-moving goods can be identified and liquidated to increase the inventory turnover (Jenkins, 2024).</w:t>
      </w:r>
    </w:p>
    <w:p w14:paraId="29CC94CD">
      <w:r>
        <w:t xml:space="preserve">Concerning the receivables, credit policy needs to be revised so as to bring down the time taken to collect. These involve introduction of more stringent credit evaluation, early payment rates, and timely follow-ups to hasten influx of cash. The collection process can be optimized using digital invoicing and automated payment reminders to increase transparency (Farcas, 2023). </w:t>
      </w:r>
    </w:p>
    <w:p w14:paraId="287554AA">
      <w:r>
        <w:t>Also, supplier financing or reverse factoring may be realized through GE whose suppliers will have the advantage of getting early payments with the use of third-party financing at the cost of the GE, but with the benefit of the longer payment terms. This keeps the supply chain trusted as it conserves cash. Introduction of digital payment system may also quicken the settlements and also minimize the delays in the transactions (Jean, 2024). Collectively, these measures will enhance the liquidity position, decrease the dependence on the external loans of finance, and enhance the cash flow of operations so that such GE is in a better position to be financially more resilient and have a steadier flow of working capital.</w:t>
      </w:r>
    </w:p>
    <w:p w14:paraId="383DCF95">
      <w:pPr>
        <w:pStyle w:val="3"/>
        <w:keepNext w:val="0"/>
        <w:keepLines w:val="0"/>
        <w:spacing w:before="280" w:after="80"/>
      </w:pPr>
      <w:bookmarkStart w:id="15" w:name="_79uink2wqz9m" w:colFirst="0" w:colLast="0"/>
      <w:bookmarkEnd w:id="15"/>
      <w:r>
        <w:t>3.3 Short-term vs Long-term Financing</w:t>
      </w:r>
    </w:p>
    <w:tbl>
      <w:tblPr>
        <w:tblStyle w:val="13"/>
        <w:tblW w:w="9360" w:type="dxa"/>
        <w:tblInd w:w="0" w:type="dxa"/>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Layout w:type="fixed"/>
        <w:tblCellMar>
          <w:top w:w="100" w:type="dxa"/>
          <w:left w:w="100" w:type="dxa"/>
          <w:bottom w:w="100" w:type="dxa"/>
          <w:right w:w="100" w:type="dxa"/>
        </w:tblCellMar>
      </w:tblPr>
      <w:tblGrid>
        <w:gridCol w:w="1724"/>
        <w:gridCol w:w="2638"/>
        <w:gridCol w:w="2477"/>
        <w:gridCol w:w="2521"/>
      </w:tblGrid>
      <w:tr w14:paraId="7930F2A8">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785" w:hRule="atLeast"/>
        </w:trPr>
        <w:tc>
          <w:tcPr>
            <w:tcW w:w="172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6514818">
            <w:pPr>
              <w:jc w:val="center"/>
            </w:pPr>
            <w:r>
              <w:rPr>
                <w:b/>
              </w:rPr>
              <w:t>Financing Option</w:t>
            </w:r>
          </w:p>
        </w:tc>
        <w:tc>
          <w:tcPr>
            <w:tcW w:w="263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74786B3">
            <w:pPr>
              <w:jc w:val="center"/>
            </w:pPr>
            <w:r>
              <w:rPr>
                <w:b/>
              </w:rPr>
              <w:t>Description</w:t>
            </w:r>
          </w:p>
        </w:tc>
        <w:tc>
          <w:tcPr>
            <w:tcW w:w="247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E0773E5">
            <w:pPr>
              <w:jc w:val="center"/>
            </w:pPr>
            <w:r>
              <w:rPr>
                <w:b/>
              </w:rPr>
              <w:t>Impact on Liquidity Stability</w:t>
            </w:r>
          </w:p>
        </w:tc>
        <w:tc>
          <w:tcPr>
            <w:tcW w:w="25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EF5DD20">
            <w:pPr>
              <w:jc w:val="center"/>
            </w:pPr>
            <w:r>
              <w:rPr>
                <w:b/>
              </w:rPr>
              <w:t>Impact on Interest Cost</w:t>
            </w:r>
          </w:p>
        </w:tc>
      </w:tr>
      <w:tr w14:paraId="7A7DCD55">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558" w:hRule="atLeast"/>
        </w:trPr>
        <w:tc>
          <w:tcPr>
            <w:tcW w:w="9358" w:type="dxa"/>
            <w:gridSpan w:val="4"/>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5DA15A8">
            <w:pPr>
              <w:jc w:val="center"/>
              <w:rPr>
                <w:b/>
                <w:sz w:val="26"/>
                <w:szCs w:val="26"/>
              </w:rPr>
            </w:pPr>
            <w:r>
              <w:rPr>
                <w:b/>
                <w:sz w:val="26"/>
                <w:szCs w:val="26"/>
              </w:rPr>
              <w:t xml:space="preserve">Short Term Financing </w:t>
            </w:r>
          </w:p>
        </w:tc>
      </w:tr>
      <w:tr w14:paraId="31DD7015">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1910" w:hRule="atLeast"/>
        </w:trPr>
        <w:tc>
          <w:tcPr>
            <w:tcW w:w="172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73B2705">
            <w:r>
              <w:rPr>
                <w:b/>
              </w:rPr>
              <w:t>Trade Credit</w:t>
            </w:r>
          </w:p>
        </w:tc>
        <w:tc>
          <w:tcPr>
            <w:tcW w:w="263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354CF72">
            <w:r>
              <w:t>Trade credit allows GE to purchase goods and pay suppliers later, typically within 30–90 days.</w:t>
            </w:r>
          </w:p>
        </w:tc>
        <w:tc>
          <w:tcPr>
            <w:tcW w:w="247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7A72015">
            <w:r>
              <w:t>Enhances short-term liquidity by deferring cash outflows and maintaining inventory availability.</w:t>
            </w:r>
          </w:p>
        </w:tc>
        <w:tc>
          <w:tcPr>
            <w:tcW w:w="25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1868D09">
            <w:r>
              <w:t>Usually interest-free if paid within the credit period, but late payments may lead to penalties or loss of supplier goodwill (Corporate, 2025).</w:t>
            </w:r>
          </w:p>
        </w:tc>
      </w:tr>
      <w:tr w14:paraId="36F454D7">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1910" w:hRule="atLeast"/>
        </w:trPr>
        <w:tc>
          <w:tcPr>
            <w:tcW w:w="172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72198FE">
            <w:r>
              <w:rPr>
                <w:b/>
              </w:rPr>
              <w:t>Bank Overdraft</w:t>
            </w:r>
          </w:p>
        </w:tc>
        <w:tc>
          <w:tcPr>
            <w:tcW w:w="263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EF7070F">
            <w:r>
              <w:t>A flexible short-term borrowing facility that allows the firm to withdraw more than its account balance up to an agreed limit.</w:t>
            </w:r>
          </w:p>
        </w:tc>
        <w:tc>
          <w:tcPr>
            <w:tcW w:w="247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65D6D2E4">
            <w:r>
              <w:t>Provides immediate access to funds for day-to-day needs. Covers cash shortfalls, improving liquidity flexibility (van Eeghen, 2021).</w:t>
            </w:r>
          </w:p>
        </w:tc>
        <w:tc>
          <w:tcPr>
            <w:tcW w:w="25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7D656C2F">
            <w:r>
              <w:t>Interest is charged on the overdrawn amount, often at variable rates, making it costlier during extended use.</w:t>
            </w:r>
          </w:p>
        </w:tc>
      </w:tr>
      <w:tr w14:paraId="5D01CCD4">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525" w:hRule="atLeast"/>
        </w:trPr>
        <w:tc>
          <w:tcPr>
            <w:tcW w:w="9358" w:type="dxa"/>
            <w:gridSpan w:val="4"/>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5667890E">
            <w:pPr>
              <w:jc w:val="center"/>
              <w:rPr>
                <w:b/>
              </w:rPr>
            </w:pPr>
            <w:r>
              <w:rPr>
                <w:b/>
              </w:rPr>
              <w:t xml:space="preserve">Long Term Financing </w:t>
            </w:r>
          </w:p>
        </w:tc>
      </w:tr>
      <w:tr w14:paraId="528E3250">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1625" w:hRule="atLeast"/>
        </w:trPr>
        <w:tc>
          <w:tcPr>
            <w:tcW w:w="172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91BCCB0">
            <w:r>
              <w:rPr>
                <w:b/>
              </w:rPr>
              <w:t>Factoring (Receivables Financing)</w:t>
            </w:r>
          </w:p>
        </w:tc>
        <w:tc>
          <w:tcPr>
            <w:tcW w:w="263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A885674">
            <w:r>
              <w:t>GE can sell its accounts receivable to a financial institution at a discount to obtain immediate cash (The Hartford, 2025).</w:t>
            </w:r>
          </w:p>
        </w:tc>
        <w:tc>
          <w:tcPr>
            <w:tcW w:w="247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B6963CD">
            <w:r>
              <w:t>Strengthens liquidity by converting receivables into cash quickly, reducing collection delays.</w:t>
            </w:r>
          </w:p>
        </w:tc>
        <w:tc>
          <w:tcPr>
            <w:tcW w:w="25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25268A23">
            <w:r>
              <w:t>Carries higher implicit costs due to discount fees, reducing profit margins but improving cash availability.</w:t>
            </w:r>
          </w:p>
        </w:tc>
      </w:tr>
      <w:tr w14:paraId="7C9BB2C1">
        <w:tblPrEx>
          <w:tblBorders>
            <w:top w:val="single" w:color="000000" w:sz="12" w:space="0"/>
            <w:left w:val="single" w:color="000000" w:sz="12" w:space="0"/>
            <w:bottom w:val="single" w:color="000000" w:sz="12" w:space="0"/>
            <w:right w:val="single" w:color="000000" w:sz="12" w:space="0"/>
            <w:insideH w:val="single" w:color="000000" w:sz="12" w:space="0"/>
            <w:insideV w:val="single" w:color="000000" w:sz="12" w:space="0"/>
          </w:tblBorders>
          <w:tblCellMar>
            <w:top w:w="100" w:type="dxa"/>
            <w:left w:w="100" w:type="dxa"/>
            <w:bottom w:w="100" w:type="dxa"/>
            <w:right w:w="100" w:type="dxa"/>
          </w:tblCellMar>
        </w:tblPrEx>
        <w:trPr>
          <w:trHeight w:val="1910" w:hRule="atLeast"/>
        </w:trPr>
        <w:tc>
          <w:tcPr>
            <w:tcW w:w="1725"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42CF97C">
            <w:r>
              <w:rPr>
                <w:b/>
              </w:rPr>
              <w:t>Term Loans</w:t>
            </w:r>
          </w:p>
        </w:tc>
        <w:tc>
          <w:tcPr>
            <w:tcW w:w="2637"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3C6BDC65">
            <w:r>
              <w:t>Long-term borrowing repaid over several years, generally used for major restructuring or investments.</w:t>
            </w:r>
          </w:p>
        </w:tc>
        <w:tc>
          <w:tcPr>
            <w:tcW w:w="2476"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10F2DA13">
            <w:r>
              <w:t>Provides capital stability for long-term financing but does not directly enhance short-term liquidity (Reiter and Leopold Zessner-Spitzenberg, 2023).</w:t>
            </w:r>
          </w:p>
        </w:tc>
        <w:tc>
          <w:tcPr>
            <w:tcW w:w="2520" w:type="dxa"/>
            <w:tcBorders>
              <w:top w:val="single" w:color="000000" w:sz="12" w:space="0"/>
              <w:left w:val="single" w:color="000000" w:sz="12" w:space="0"/>
              <w:bottom w:val="single" w:color="000000" w:sz="12" w:space="0"/>
              <w:right w:val="single" w:color="000000" w:sz="12" w:space="0"/>
            </w:tcBorders>
            <w:tcMar>
              <w:top w:w="100" w:type="dxa"/>
              <w:left w:w="100" w:type="dxa"/>
              <w:bottom w:w="100" w:type="dxa"/>
              <w:right w:w="100" w:type="dxa"/>
            </w:tcMar>
          </w:tcPr>
          <w:p w14:paraId="4FA4B40A">
            <w:r>
              <w:t>Offers lower interest rates than short-term credit but increases long-term debt obligations and interest burden.</w:t>
            </w:r>
          </w:p>
        </w:tc>
      </w:tr>
    </w:tbl>
    <w:p w14:paraId="7C258F1E"/>
    <w:p w14:paraId="47F07F96">
      <w:r>
        <w:t>Such short-term funding sources as trade credit, overdrafts, or factoring can be used to manage the liquidities in the short term but at different prices. Term loans that are long term give stability to funding but should be balanced to not get over-leveraged and increase interest commitments.</w:t>
      </w:r>
    </w:p>
    <w:p w14:paraId="705B89E9">
      <w:pPr>
        <w:pStyle w:val="2"/>
        <w:keepNext w:val="0"/>
        <w:keepLines w:val="0"/>
        <w:spacing w:before="360" w:after="80"/>
      </w:pPr>
      <w:bookmarkStart w:id="16" w:name="_a7by9pqxkn1x" w:colFirst="0" w:colLast="0"/>
      <w:bookmarkEnd w:id="16"/>
      <w:r>
        <w:t xml:space="preserve">4. Strategic Financial Restructuring Plan </w:t>
      </w:r>
    </w:p>
    <w:p w14:paraId="02C6A97B">
      <w:pPr>
        <w:pStyle w:val="3"/>
        <w:keepNext w:val="0"/>
        <w:keepLines w:val="0"/>
        <w:spacing w:before="280" w:after="80"/>
      </w:pPr>
      <w:bookmarkStart w:id="17" w:name="_ur61zmclu0te" w:colFirst="0" w:colLast="0"/>
      <w:bookmarkEnd w:id="17"/>
      <w:r>
        <w:t>4.1 Objectives and Rationale</w:t>
      </w:r>
    </w:p>
    <w:p w14:paraId="1A6094A6">
      <w:r>
        <w:t xml:space="preserve">The main goal of the financial restructuring of General Electronics is to regain solvency, enhance efficiency of capital and regain investor confidence. Due to increasing leverage, incurred losses, and decreasing asset utilisation, the balance sheet and credit position of the firm has been undermined over the last five years. The objective of restructuring is to simplify the capital structure, decrease the level of debt, and access the liquidity that can be used to recover operations.  </w:t>
      </w:r>
    </w:p>
    <w:p w14:paraId="06336A4B">
      <w:pPr>
        <w:pStyle w:val="3"/>
        <w:keepNext w:val="0"/>
        <w:keepLines w:val="0"/>
        <w:spacing w:before="280" w:after="80"/>
      </w:pPr>
      <w:bookmarkStart w:id="18" w:name="_mbkt46imry7g" w:colFirst="0" w:colLast="0"/>
      <w:bookmarkEnd w:id="18"/>
      <w:r>
        <w:t>4.2 Strategic Restructuring Options</w:t>
      </w:r>
    </w:p>
    <w:p w14:paraId="7D817C62">
      <w:pPr>
        <w:spacing w:before="240" w:after="40"/>
        <w:rPr>
          <w:b/>
          <w:i/>
        </w:rPr>
      </w:pPr>
      <w:r>
        <w:rPr>
          <w:b/>
          <w:i/>
        </w:rPr>
        <w:t>Divestiture: Disposal of Non-Core Assets to Increase Liquidity</w:t>
      </w:r>
    </w:p>
    <w:p w14:paraId="6B8DC432">
      <w:pPr>
        <w:spacing w:before="240" w:after="240"/>
      </w:pPr>
      <w:r>
        <w:t>GE needs to embark on a focused programme of divestment of non core or poor performing business divisions. This can be put into effect with instant effect to increase liquidity and lessen the financial burden through the release of funds tied up in low yielding assets. Other possible divestiture points are old product lines or local subsidiaries whose focus does not accompany that of the core focused company of technology. The revenue generated can be invested back in high-margin areas like smart devices or IoT enabled electronics, assisting growth through innovation (Choudhary et al., 2025). Also, through the divestment, the overhead cost may be lowered, such that the management can concentrate on those operations that are profitable. Although, its implementation should be carefully controlled so that the markets are not subjected to negative perception or operational effects.</w:t>
      </w:r>
    </w:p>
    <w:p w14:paraId="38AC9119">
      <w:pPr>
        <w:spacing w:before="240" w:after="40"/>
        <w:rPr>
          <w:b/>
          <w:i/>
        </w:rPr>
      </w:pPr>
      <w:r>
        <w:rPr>
          <w:b/>
          <w:i/>
        </w:rPr>
        <w:t>Merger/Acquisition: Market Expansion and Cost Synergies</w:t>
      </w:r>
    </w:p>
    <w:p w14:paraId="4F474B51">
      <w:pPr>
        <w:spacing w:before="240" w:after="240"/>
      </w:pPr>
      <w:r>
        <w:t>Strategic merger / acquisition (M and A) is an activity that provides GE a chance to increase its market presence, thereby tapping economies of scale. The collaboration with a complementary company, especially one that is digitally innovative or production efficient, would be able to create cost scale efficiencies and common technological benefits. These team work can increase market availability, streamline supply chain, and evade supplier bargaining power. However, M&amp;A has to be helped by considering cultural integration, regulatory approvals and shareholder approval in order to succeed in the long term. The planning of post merger integration is vital so as to avert value dilution and inefficient operations (Fantaguzzi and Handscomb, 2024).</w:t>
      </w:r>
    </w:p>
    <w:p w14:paraId="7D213717">
      <w:pPr>
        <w:spacing w:before="240" w:after="40"/>
        <w:rPr>
          <w:b/>
          <w:i/>
        </w:rPr>
      </w:pPr>
      <w:r>
        <w:rPr>
          <w:b/>
          <w:i/>
        </w:rPr>
        <w:t>Equity or Debt Restructuring: Lowering Cost of Capital and Strengthening the Balance Sheet</w:t>
      </w:r>
    </w:p>
    <w:p w14:paraId="7E4B774C">
      <w:pPr>
        <w:spacing w:before="240" w:after="240"/>
      </w:pPr>
      <w:r>
        <w:t>The high gearing and a low interest coverage ratio of GE require capital structure optimisation. A part of previously obtained debt could be converted to equity, or new equity could be issued to minimize interests and enhance solvency. The cash flow pressures can be relieved also through debt restructuring, in the form of renegotiating the terms of the loans or extending the maturity or reducing the interest rates. This practice consolidates financial flexibility besides boosting the opinion of investors by indicating proactive governance (Gtreasury.com, 2025). Nonetheless, a high amount of equity issue can lead to the dilution of ownership so a balance of reduction of leverage and maintenance of value should be taken.</w:t>
      </w:r>
    </w:p>
    <w:p w14:paraId="302C87E3">
      <w:pPr>
        <w:pStyle w:val="3"/>
        <w:keepNext w:val="0"/>
        <w:keepLines w:val="0"/>
        <w:spacing w:before="280" w:after="80"/>
      </w:pPr>
      <w:bookmarkStart w:id="19" w:name="_l27tu361zrdl" w:colFirst="0" w:colLast="0"/>
      <w:bookmarkEnd w:id="19"/>
      <w:r>
        <w:t>4.3 Financial and Shareholder Impact</w:t>
      </w:r>
    </w:p>
    <w:p w14:paraId="3765CAE2">
      <w:r>
        <w:t>This plan of restructuring will imply substantial effects on the financial level and shareholder interests of GE.</w:t>
      </w:r>
    </w:p>
    <w:p w14:paraId="57251B83">
      <w:r>
        <w:t>Divestiture of non-core assets would be viewed positively in terms of liquidity in the short-term and at the same time it will reduce balance sheet risk. In the short-run, immediate losses on valuation can be recorded due to the assets being sold at less than book value. The distilled and long-term target of core operations will likely enhance profitability level, the rate of profit on assets (ROA), and bring in investors who are interested in cost-effective operations (Umi Hasanatun et al., 2025).</w:t>
      </w:r>
    </w:p>
    <w:p w14:paraId="459D6182">
      <w:r>
        <w:t>About the capital structure, debt- equity ratios would stabilise after equities issuance and debt renegotiation. Lower interest charges will reinforce cash flows and increase after interest and tax, earnings before interest and taxes (EBIT). Improved solvency would as well provide improved credit rating enabling GE to secure cheaper financing in days to come. All these changes reduce the weighted average cost of capital (WACC) in the company, increasing the effectiveness of capital allocation (Lynch, 2021).</w:t>
      </w:r>
    </w:p>
    <w:p w14:paraId="41B287CD">
      <w:r>
        <w:t>In the case of earnings per share, the short term dilution can be experienced due to new equity issues. Nevertheless, the higher profitability and lower interest charges would compel the changes in the medium-long term EPS. It is important to ensure confidence through clear communication with the shareholders regarding the reasoning and possible results (Ngoc, Nguyen and Pham, 2023).</w:t>
      </w:r>
    </w:p>
    <w:p w14:paraId="79109990">
      <w:r>
        <w:t>Investor confidence perspective, restructuring has been an indication to investors that management is committed to turnaround and fiscal discipline. Such measures are normally perceived to be positive by institutional investors as long as they are backed by an effective strategic implementation. GE can regain shareholder trust, boost market valuation, and get back to the safety net of financial stability by strengthening its governance, decreasing leverage and redressing its focus towards innovation-led growth (Rudevska et al., 2024).</w:t>
      </w:r>
    </w:p>
    <w:p w14:paraId="0CE01E34">
      <w:pPr>
        <w:pStyle w:val="3"/>
        <w:keepNext w:val="0"/>
        <w:keepLines w:val="0"/>
        <w:spacing w:before="280" w:after="80"/>
      </w:pPr>
      <w:bookmarkStart w:id="20" w:name="_ujo5u9rkx9q2" w:colFirst="0" w:colLast="0"/>
      <w:bookmarkEnd w:id="20"/>
      <w:r>
        <w:t>4.4 International Financial Considerations</w:t>
      </w:r>
    </w:p>
    <w:p w14:paraId="0CF37228">
      <w:r>
        <w:t>Since GE is a global company, foreign monetary aspects are crucial in the re-engineering effort. The compliance with transfer pricing and the effective utilisation of tax-efficient jurisdiction should be used to optimise tax planning reducing the effective tax rates. Where applicable, GE has to assess the capital gains tax position during asset divestitures or cross-border mergers and request the relief of a double tax position.</w:t>
      </w:r>
    </w:p>
    <w:p w14:paraId="726F2406">
      <w:r>
        <w:t>Another significant risk is exchange rate volatility, which is particularly a big risk within the context of high operations in Asia and Europe. A currency hedging instrument like forward contracts and natural hedges may be used to protect profit margins against unfavorable movement. Also the inflationary forces in the emerging markets would play down real returns and so, regional pricing strategies and cost management would have to be altered (Dekimpe and Heerde, 2023).</w:t>
      </w:r>
    </w:p>
    <w:p w14:paraId="2CC5DC90">
      <w:r>
        <w:t>The restructuring process also requires that foreign-denominated debt should be managed prudently since depreciation of foreign currency will grow bad debts. By centralising the treasury control activities and consolidating global operations, there will be effective utilisation of cash flows (JP Morgan, 2025). On the whole, a globally coordinated financial policy will stabilise the results of restructuring at GE and reduce the exposure of cross-border risks.</w:t>
      </w:r>
    </w:p>
    <w:p w14:paraId="3DAB46D2">
      <w:pPr>
        <w:pStyle w:val="3"/>
        <w:keepNext w:val="0"/>
        <w:keepLines w:val="0"/>
        <w:spacing w:before="280" w:after="80"/>
      </w:pPr>
      <w:bookmarkStart w:id="21" w:name="_8tyvc6v1xaf2" w:colFirst="0" w:colLast="0"/>
      <w:bookmarkEnd w:id="21"/>
      <w:r>
        <w:t>4.5 Ethical and CSR Considerations</w:t>
      </w:r>
    </w:p>
    <w:p w14:paraId="6EC8BD34">
      <w:r>
        <w:t>GE should use the principles of ethical and corporate social responsibility (CSR) to restructure the organisation so that it remains fair, transparent, and long-term stakeholder trust is secured. Asset sales, workforce cuts, or mergers should also be done prioritising the welfare of the employees, equity towards creditors and open dealings with the investors. Corporate integrity is enhanced by keeping restructuring goals and financial impact secret (Yang, Yue and Dong, 2024).</w:t>
      </w:r>
    </w:p>
    <w:p w14:paraId="260F68B5">
      <w:r>
        <w:t>The other aspect of CSR alignment would be to make sure that the environmental and social commitments are not breached in the process of cost-cutting. The ethos of its operations should continue to center on sustainable sourcing, the adoption of green technology and practices governing the entire supply chain as a responsible entity (McQuillen, 2024). Retraining and social support programs that deal with communities impacted by divestitures or layoffs are ethical leadership. The socially responsible restructuring will improve the reputation of GE, ease the resistance of the stakeholders and achieve a sustainable financial recovery in line with the best practices of corporate governance.</w:t>
      </w:r>
    </w:p>
    <w:p w14:paraId="3830A220">
      <w:pPr>
        <w:pStyle w:val="2"/>
        <w:keepNext w:val="0"/>
        <w:keepLines w:val="0"/>
        <w:spacing w:before="360" w:after="80"/>
      </w:pPr>
      <w:bookmarkStart w:id="22" w:name="_r2mmrhpiwf6k" w:colFirst="0" w:colLast="0"/>
      <w:bookmarkEnd w:id="22"/>
      <w:r>
        <w:t xml:space="preserve">5. Investment Appraisal and Capital Budgeting </w:t>
      </w:r>
    </w:p>
    <w:p w14:paraId="3CC86C35">
      <w:pPr>
        <w:pStyle w:val="3"/>
        <w:keepNext w:val="0"/>
        <w:keepLines w:val="0"/>
        <w:spacing w:before="280" w:after="80"/>
      </w:pPr>
      <w:bookmarkStart w:id="23" w:name="_du5fir4v55wa" w:colFirst="0" w:colLast="0"/>
      <w:bookmarkEnd w:id="23"/>
      <w:r>
        <w:t xml:space="preserve">5.1 Investment Context and Objectives </w:t>
      </w:r>
    </w:p>
    <w:p w14:paraId="6FEC0B23">
      <w:r>
        <w:t>General Electronics financial turn around strategy will include the new investment initiatives such as Project A, Project B and Project C. Individual projects are focused on reshaping the growth, reinforcing the profitability, and boosting efficiency of the operations after several years of financial downtrend. In tandem with the company restructuring goals, these investments aim at innovation, market expansion and value creation in the long term. Project A is seen as an incremental growth with moderate cash flows, Project B is seen as stable and steady returns and Project C is seen as high growth with higher volatility of cash flows. These efforts in totality will see the restoration of investor confidence and capital allocation will be optimised and GE will be positioned to secure long term competitiveness in the global electronics sector.</w:t>
      </w:r>
    </w:p>
    <w:p w14:paraId="4D742E68">
      <w:pPr>
        <w:pStyle w:val="3"/>
        <w:keepNext w:val="0"/>
        <w:keepLines w:val="0"/>
        <w:spacing w:before="280" w:after="80"/>
      </w:pPr>
      <w:bookmarkStart w:id="24" w:name="_hv50vxf9inn7" w:colFirst="0" w:colLast="0"/>
      <w:bookmarkEnd w:id="24"/>
      <w:r>
        <w:t>5.2 Project A Appraisal</w:t>
      </w:r>
    </w:p>
    <w:p w14:paraId="7D252CCF">
      <w:pPr>
        <w:jc w:val="center"/>
      </w:pPr>
      <w:r>
        <w:drawing>
          <wp:inline distT="0" distB="0" distL="0" distR="0">
            <wp:extent cx="3467100" cy="14097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a:xfrm>
                      <a:off x="0" y="0"/>
                      <a:ext cx="3467100" cy="1409700"/>
                    </a:xfrm>
                    <a:prstGeom prst="rect">
                      <a:avLst/>
                    </a:prstGeom>
                    <a:noFill/>
                    <a:ln>
                      <a:noFill/>
                    </a:ln>
                  </pic:spPr>
                </pic:pic>
              </a:graphicData>
            </a:graphic>
          </wp:inline>
        </w:drawing>
      </w:r>
    </w:p>
    <w:p w14:paraId="16350A05">
      <w:pPr>
        <w:jc w:val="center"/>
        <w:rPr>
          <w:b/>
        </w:rPr>
      </w:pPr>
      <w:r>
        <w:rPr>
          <w:b/>
        </w:rPr>
        <w:t>Figure 12: Project A Summary Appraisal</w:t>
      </w:r>
    </w:p>
    <w:p w14:paraId="0BCE2F5F">
      <w:r>
        <w:t>Project A involves initial investment of 40M pounds, and it is expected to have total cash inflows of 54M pounds after five years. According to the Payback Period (PBP) the payback period equals 3.4 years, which is acceptable in terms of liquidity and risk balance as it is a reasonable period of time to expect a project to be fulfilled in a middle-term project. Accounting Rate of Return (ARR) 7 is a moderate profitability which is slightly lower than the 10 percent target rate, meaning that the project is not feasible but the accounting results are not outstanding (Vipond, 2025).</w:t>
      </w:r>
    </w:p>
    <w:p w14:paraId="7FFC02E9">
      <w:r>
        <w:t>Considering the discounted cash flow, Net Present Value (NPV) at 10 percent discount rate stands at 1.32 million pounds, which will make a modest positive contribution to the shareholder value. The financial acceptability is also supported by the Profitability Index (PI) of 1.03 as much above 1 signifies that the benefits of the project will be more than the costs. Furthermore, the Internal Rate of Return (IRR) stands at 11.33, which is slightly above the cost of capital of the company (10%) and it is an indication that the project can generate a small real return (Zhang, 2022).</w:t>
      </w:r>
    </w:p>
    <w:p w14:paraId="020895B7">
      <w:r>
        <w:t>The NPV and ARR however are relatively low indicating that the margins have limited scope of error should the cash inflows fail to perform well. Thus, Project A can be considered financially viable- though it has mediocre returns and should be pursued provided there is a strategic fit, or operational synergies which would warrant the investment beyond mere financial consideration of the project.</w:t>
      </w:r>
    </w:p>
    <w:p w14:paraId="1E6444B4">
      <w:pPr>
        <w:pStyle w:val="3"/>
        <w:keepNext w:val="0"/>
        <w:keepLines w:val="0"/>
        <w:spacing w:before="280" w:after="80"/>
      </w:pPr>
      <w:bookmarkStart w:id="25" w:name="_pi0ecufsb00l" w:colFirst="0" w:colLast="0"/>
      <w:bookmarkEnd w:id="25"/>
      <w:r>
        <w:t>5.3 Project B Appraisal</w:t>
      </w:r>
    </w:p>
    <w:p w14:paraId="07AC8237">
      <w:pPr>
        <w:jc w:val="center"/>
      </w:pPr>
      <w:r>
        <w:drawing>
          <wp:inline distT="0" distB="0" distL="0" distR="0">
            <wp:extent cx="2788920" cy="22021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a:xfrm>
                      <a:off x="0" y="0"/>
                      <a:ext cx="2788920" cy="2202180"/>
                    </a:xfrm>
                    <a:prstGeom prst="rect">
                      <a:avLst/>
                    </a:prstGeom>
                    <a:noFill/>
                    <a:ln>
                      <a:noFill/>
                    </a:ln>
                  </pic:spPr>
                </pic:pic>
              </a:graphicData>
            </a:graphic>
          </wp:inline>
        </w:drawing>
      </w:r>
    </w:p>
    <w:p w14:paraId="000C33C7">
      <w:pPr>
        <w:jc w:val="center"/>
        <w:rPr>
          <w:b/>
        </w:rPr>
      </w:pPr>
      <w:r>
        <w:rPr>
          <w:b/>
        </w:rPr>
        <w:t>Figure 13: Project B Summary Appraisal</w:t>
      </w:r>
    </w:p>
    <w:p w14:paraId="6F2B0AD1">
      <w:r>
        <w:t>Project B needs a starting amount of investment of £30 million with the annual cash inflows of R 6M each year paid over five-year. Payback Period (PBP) is in fact 5 years, of which the project covers its cost right on time on the period when it concludes, thus it does not bring any liquidity benefit. Although there are predictable inflows in the project, the lack of excess cash in previous years undermines its functionality in allowing support of short-term liquidity (ClearTax, 2023). The Accounting rate of Return (ARR) stands at 0 showing no accounting profit accounting depreciation of £6 million in the year and hence no improvement in the reported profitability.</w:t>
      </w:r>
    </w:p>
    <w:p w14:paraId="614AF69A">
      <w:r>
        <w:t>Discounted cash flow viewpoint The project displays a negative Net Present Value (NPV) of -7.26 million at a discount rate of 10% indicating the fact that the future inflows of cash do not generate the necessary number of discount rate. The Profitability Index (PI) of 0.76 is also indicative of the fact that the profitability of the project is less than the costs and thus, the project is financially unappealing. Furthermore, the Environmental Internal rate of return (IRR) =0 shows that the project barely covers on a cash basis with no actual gain on top of the cost of capital of the firm (Amir Tavangar, 2024).</w:t>
      </w:r>
    </w:p>
    <w:p w14:paraId="13E3512F">
      <w:r>
        <w:t>Finally, although Project B is a low-risk and stable one, its overall financial performance is not viable, as it does not cause shareholder value creation or in the turn-around goal of GE, which is to recover their profitability and expansion.</w:t>
      </w:r>
    </w:p>
    <w:p w14:paraId="12AE2662">
      <w:pPr>
        <w:pStyle w:val="3"/>
        <w:keepNext w:val="0"/>
        <w:keepLines w:val="0"/>
        <w:spacing w:before="280" w:after="80"/>
      </w:pPr>
      <w:bookmarkStart w:id="26" w:name="_59ygc2ydclhf" w:colFirst="0" w:colLast="0"/>
      <w:bookmarkEnd w:id="26"/>
      <w:r>
        <w:t>5.4 Project C Appraisal</w:t>
      </w:r>
    </w:p>
    <w:p w14:paraId="3E033AD2">
      <w:pPr>
        <w:jc w:val="center"/>
      </w:pPr>
      <w:r>
        <w:drawing>
          <wp:inline distT="0" distB="0" distL="0" distR="0">
            <wp:extent cx="2506980" cy="2202180"/>
            <wp:effectExtent l="0"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a:xfrm>
                      <a:off x="0" y="0"/>
                      <a:ext cx="2506980" cy="2202180"/>
                    </a:xfrm>
                    <a:prstGeom prst="rect">
                      <a:avLst/>
                    </a:prstGeom>
                    <a:noFill/>
                    <a:ln>
                      <a:noFill/>
                    </a:ln>
                  </pic:spPr>
                </pic:pic>
              </a:graphicData>
            </a:graphic>
          </wp:inline>
        </w:drawing>
      </w:r>
    </w:p>
    <w:p w14:paraId="1CF44D21">
      <w:pPr>
        <w:jc w:val="center"/>
        <w:rPr>
          <w:b/>
        </w:rPr>
      </w:pPr>
      <w:r>
        <w:rPr>
          <w:b/>
        </w:rPr>
        <w:t>Figure 14: Project C Summary Appraisal</w:t>
      </w:r>
    </w:p>
    <w:p w14:paraId="633F9F5D">
      <w:r>
        <w:t>Project C incurs cost of an investment of £50m and realizes cash inflows within 5 years of a total of 5m, 10m, 20m, 25m and 15m respectively. Important appraisal outcomes: Payback = 3.6 years, ARR = 10 percent, NPV = 10 percent = 4.23m, PI = 1.08 and IRR = 12.72. All these metrics reveal that Project C is financially viable: NPV value is positive (value-addition), the IRR is greater than the 10% discount rate, PI is positive (greater than 1) and the payback falls within a mid-term horizon period, which are all favourable to proceed with the investment (Bajaj Finserv, 2023).</w:t>
      </w:r>
    </w:p>
    <w:p w14:paraId="1AD18B5A">
      <w:r>
        <w:t>This project provides growth in advance of the second year (high Year-3/4 cash flows) which will cause a comparatively low payback and a premium on the cost of capital. It is consistent with a turnaround priority of investing capital in more growth, more profitable projects and would presumably make a good investment to investors with a credible funding source.</w:t>
      </w:r>
    </w:p>
    <w:p w14:paraId="73DBC9FE">
      <w:r>
        <w:t>Although NPV is good, the positive margin is small based on lower sales compared to the longer delays (highly unfavorable base) where NPV can become negative. Project C is more vulnerable to implementation and market risk as compared to Project A/B because its cash-flow volatility is greater. Since GE is poorly liquidated and highly geared, the commitment of £50m will significantly affect the balance sheet and has limited the capacity to enter into other initiatives due to the capital ratios of not exceeding 30 percent which is the lower end of the rationing margin (Pietrovito and Michela Rancan, 2024).</w:t>
      </w:r>
    </w:p>
    <w:p w14:paraId="51E10E5B">
      <w:r>
        <w:t>Accept Project C under both secured, non-dilute or restructured financing (debt renegotiation or directed equity injection) and both rigorous and rigid stage-gates. Protect downside by doing sensitivity of runs and encircling contingency triggers (cost cap, go/no-go at the end of Year 2). In case GE would not be able to find stable funding without deepening solvency, wait for the enactment of balance-sheet repair mechanisms.</w:t>
      </w:r>
    </w:p>
    <w:p w14:paraId="41F0A747">
      <w:pPr>
        <w:pStyle w:val="3"/>
        <w:keepNext w:val="0"/>
        <w:keepLines w:val="0"/>
        <w:spacing w:before="280" w:after="80"/>
      </w:pPr>
      <w:bookmarkStart w:id="27" w:name="_uz7v7voekonw" w:colFirst="0" w:colLast="0"/>
      <w:bookmarkEnd w:id="27"/>
      <w:r>
        <w:t>5.5 Comparative Evaluation under Capital Rationing</w:t>
      </w:r>
    </w:p>
    <w:p w14:paraId="484E300D">
      <w:r>
        <w:t>The selection of one or a combination of projects within the imposed capital rationing limit of £60 million is possible only as far as this limit is a ceiling of the investment. According to the financial parameters, Project C is the best option (NPV of £4.23 million, IRR of 12.72, PI of 1.08, and payback period of 3.6 years) compared to the other two projects (Project A is averagely viable (NPV of 1.32m minus growth rate of 11.33), and Project B is not financially viable (NPV of -7.26m PI of 1.08).</w:t>
      </w:r>
    </w:p>
    <w:p w14:paraId="7A9633B8">
      <w:r>
        <w:t>Since the constraint on investment is £60m, project C (investment of£50m) would mean the use of 83 percent of the available investment but with the greatest return of the pounds invested. Alternatively, a combination of Project A (£40m) and Project B (£30m) would surpass the limit hence not feasible. Thus, Project C is of the first priority, then Project A, and Project B should be discarded. The best capital version in the existing limitations will be to allocate funds to Project C only, hence financial and strategic value generation within given resources.</w:t>
      </w:r>
    </w:p>
    <w:p w14:paraId="6F4B013E">
      <w:pPr>
        <w:pStyle w:val="3"/>
        <w:keepNext w:val="0"/>
        <w:keepLines w:val="0"/>
        <w:spacing w:before="280" w:after="80"/>
      </w:pPr>
      <w:bookmarkStart w:id="28" w:name="_vzb1apamsazr" w:colFirst="0" w:colLast="0"/>
      <w:bookmarkEnd w:id="28"/>
      <w:r>
        <w:t>5.6 Final Investment Recommendation</w:t>
      </w:r>
    </w:p>
    <w:p w14:paraId="2B7B9AD7">
      <w:r>
        <w:t>Project C is the most appropriate investment General Electronics should undertake based on the comprehensive appraisal and capital rationing conditions. It produces the best NPV (£4.23m) and IRR (12.72%) as compared to the cost of capital of a firm (10%), which poses actual potential of value addition and profitability improvement. Profitability Index (1.08) indicates efficient use of the capital and its payback period of 3.6 years is a good balance between recuperated liquidity and long-term growth (CFI Team, 2025).</w:t>
      </w:r>
    </w:p>
    <w:p w14:paraId="3FEFF290">
      <w:r>
        <w:t>Project C has been strategically, in line with the turnaround goals of GE to rebuild the competitiveness in the market, diversify into new product lines in which they have a higher growth potential, and regaining the shareholders confidence. The growing cash flow of the project starting in Year 2 reflects enhanced working capital operations and future reinvestment ability. But considering the liquidity position of GE is low some form of financing is necessary so as to avoid over-leveraging; which would be better done by a combination of retained earnings, part of the divestiture proceeds or restructured low-cost debt (Speedbooks.co.uk, 2025).</w:t>
      </w:r>
    </w:p>
    <w:p w14:paraId="73394A96">
      <w:r>
        <w:t>Finally, Project C must take precedence as the main growth project within the capital restriction limit (60m) of the financial standing since it provides the greatest contribution to financial revival, business re-establishment and sustainability in the long term of the business of General Electronics.</w:t>
      </w:r>
    </w:p>
    <w:p w14:paraId="77EF593F">
      <w:pPr>
        <w:pStyle w:val="2"/>
        <w:keepNext w:val="0"/>
        <w:keepLines w:val="0"/>
        <w:spacing w:before="360" w:after="80"/>
      </w:pPr>
      <w:bookmarkStart w:id="29" w:name="_ubmmjqj1kfg5" w:colFirst="0" w:colLast="0"/>
      <w:bookmarkEnd w:id="29"/>
      <w:r>
        <w:t>6. Conclusion and Strategic Outlook</w:t>
      </w:r>
    </w:p>
    <w:p w14:paraId="343FB05C">
      <w:r>
        <w:t>The financial analysis of General Electronics shows that the company has experienced a phase of consistent decreases in profitability, liquidity and asset efficiency which can be attributed to lack of control over cost, inability to optimally use the capital and over-leveraging. Ratio and trend analysis ratifies the falling returns, and the stress of solvency, and explicates the necessity of structural reform. The proposed financial restructuring proposal consisting of selective divestiture, debt renegotiation and increase in equity will replenish liquidity, improve balance sheet and lessen the financial risk. Investment wise, Project C can be seen as the best growth project to be executed under capital rationing with the greatest NPV and IRR that is consistent with the strategic turnaround objectives of GE. With the application of this project, the management of working capital would become more effective and dependable coupled with cash flow discipline which, in turn, is likely to generate profitability and increase solvency and shareholder value during the medium-term.</w:t>
      </w:r>
    </w:p>
    <w:p w14:paraId="0A5D979C">
      <w:r>
        <w:t>In the future, the vision of GE must focus on sustainability, ethicality, and scalability not only domestically, but internationally as well, which is possible by ensuring the digital transformation and developments of its products based on innovations, and responsible governance. With the financial prudence and social and environmental accountability, General Electronics may stop its recovery efforts and move on to leadership: becoming a robust, empirically transparent and competitive participant in the world consumer electronics market.</w:t>
      </w:r>
    </w:p>
    <w:p w14:paraId="438DFB83">
      <w:pPr>
        <w:pStyle w:val="2"/>
        <w:keepNext w:val="0"/>
        <w:keepLines w:val="0"/>
        <w:spacing w:before="360" w:after="80"/>
      </w:pPr>
      <w:bookmarkStart w:id="30" w:name="_ss8c6bs54ds3" w:colFirst="0" w:colLast="0"/>
      <w:bookmarkEnd w:id="30"/>
      <w:r>
        <w:br w:type="page"/>
      </w:r>
    </w:p>
    <w:p w14:paraId="38F6A123">
      <w:pPr>
        <w:pStyle w:val="2"/>
        <w:keepNext w:val="0"/>
        <w:keepLines w:val="0"/>
        <w:spacing w:before="360" w:after="80"/>
      </w:pPr>
      <w:bookmarkStart w:id="31" w:name="_6tnfuo8ynhti" w:colFirst="0" w:colLast="0"/>
      <w:bookmarkEnd w:id="31"/>
      <w:r>
        <w:t>7. Reference List</w:t>
      </w:r>
    </w:p>
    <w:p w14:paraId="68909FAB">
      <w:pPr>
        <w:spacing w:after="240"/>
      </w:pPr>
      <w:r>
        <w:t xml:space="preserve">ACCA (2024). </w:t>
      </w:r>
      <w:r>
        <w:rPr>
          <w:i/>
        </w:rPr>
        <w:t>Investment appraisal | ACCA Global</w:t>
      </w:r>
      <w:r>
        <w:t xml:space="preserve">. [online] Accaglobal.com. Available at: </w:t>
      </w:r>
      <w:r>
        <w:fldChar w:fldCharType="begin"/>
      </w:r>
      <w:r>
        <w:instrText xml:space="preserve"> HYPERLINK "https://www.accaglobal.com/gb/en/student/exam-support-resources/prodipsust-study-resources/technical-articles/investment-appraisal.html" \h </w:instrText>
      </w:r>
      <w:r>
        <w:fldChar w:fldCharType="separate"/>
      </w:r>
      <w:r>
        <w:rPr>
          <w:color w:val="1155CC"/>
          <w:u w:val="single"/>
        </w:rPr>
        <w:t>https://www.accaglobal.com/gb/en/student/exam-support-resources/prodipsust-study-resources/technical-articles/investment-appraisal.html</w:t>
      </w:r>
      <w:r>
        <w:rPr>
          <w:color w:val="1155CC"/>
          <w:u w:val="single"/>
        </w:rPr>
        <w:fldChar w:fldCharType="end"/>
      </w:r>
      <w:r>
        <w:t xml:space="preserve">. </w:t>
      </w:r>
    </w:p>
    <w:p w14:paraId="0F4A48CD">
      <w:pPr>
        <w:spacing w:after="240"/>
      </w:pPr>
      <w:r>
        <w:t xml:space="preserve">Amir Tavangar (2024). </w:t>
      </w:r>
      <w:r>
        <w:rPr>
          <w:i/>
        </w:rPr>
        <w:t>5.2 Net Present Value (NPV): Calculator Approach</w:t>
      </w:r>
      <w:r>
        <w:t xml:space="preserve">. [online] Pressbooks.pub. Available at: </w:t>
      </w:r>
      <w:r>
        <w:fldChar w:fldCharType="begin"/>
      </w:r>
      <w:r>
        <w:instrText xml:space="preserve"> HYPERLINK "https://ecampusontario.pressbooks.pub/financemath/chapter/5-2-net-present-value-npv-calculator-approach/" \h </w:instrText>
      </w:r>
      <w:r>
        <w:fldChar w:fldCharType="separate"/>
      </w:r>
      <w:r>
        <w:rPr>
          <w:color w:val="1155CC"/>
          <w:u w:val="single"/>
        </w:rPr>
        <w:t>https://ecampusontario.pressbooks.pub/financemath/chapter/5-2-net-present-value-npv-calculator-approach/</w:t>
      </w:r>
      <w:r>
        <w:rPr>
          <w:color w:val="1155CC"/>
          <w:u w:val="single"/>
        </w:rPr>
        <w:fldChar w:fldCharType="end"/>
      </w:r>
      <w:r>
        <w:t xml:space="preserve">. </w:t>
      </w:r>
    </w:p>
    <w:p w14:paraId="2FD7A69B">
      <w:pPr>
        <w:spacing w:after="240"/>
      </w:pPr>
      <w:r>
        <w:t xml:space="preserve">Annapoorna (2022). </w:t>
      </w:r>
      <w:r>
        <w:rPr>
          <w:i/>
        </w:rPr>
        <w:t>Cash flow from investing activities</w:t>
      </w:r>
      <w:r>
        <w:t xml:space="preserve">. [online] cleartax. Available at: </w:t>
      </w:r>
      <w:r>
        <w:fldChar w:fldCharType="begin"/>
      </w:r>
      <w:r>
        <w:instrText xml:space="preserve"> HYPERLINK "https://www.clear.in/s/cash-flow-investing-activities" \h </w:instrText>
      </w:r>
      <w:r>
        <w:fldChar w:fldCharType="separate"/>
      </w:r>
      <w:r>
        <w:rPr>
          <w:color w:val="1155CC"/>
          <w:u w:val="single"/>
        </w:rPr>
        <w:t>https://www.clear.in/s/cash-flow-investing-activities</w:t>
      </w:r>
      <w:r>
        <w:rPr>
          <w:color w:val="1155CC"/>
          <w:u w:val="single"/>
        </w:rPr>
        <w:fldChar w:fldCharType="end"/>
      </w:r>
      <w:r>
        <w:t xml:space="preserve"> </w:t>
      </w:r>
    </w:p>
    <w:p w14:paraId="7F1F62BE">
      <w:pPr>
        <w:spacing w:after="240"/>
      </w:pPr>
      <w:r>
        <w:t xml:space="preserve">Bajaj Finserv (2023). </w:t>
      </w:r>
      <w:r>
        <w:rPr>
          <w:i/>
        </w:rPr>
        <w:t>Profitability Index</w:t>
      </w:r>
      <w:r>
        <w:t xml:space="preserve">. [online] www.bajajfinserv.in. Available at: </w:t>
      </w:r>
      <w:r>
        <w:fldChar w:fldCharType="begin"/>
      </w:r>
      <w:r>
        <w:instrText xml:space="preserve"> HYPERLINK "https://www.bajajfinserv.in/investments/profitability-index" \h </w:instrText>
      </w:r>
      <w:r>
        <w:fldChar w:fldCharType="separate"/>
      </w:r>
      <w:r>
        <w:rPr>
          <w:color w:val="1155CC"/>
          <w:u w:val="single"/>
        </w:rPr>
        <w:t>https://www.bajajfinserv.in/investments/profitability-index</w:t>
      </w:r>
      <w:r>
        <w:rPr>
          <w:color w:val="1155CC"/>
          <w:u w:val="single"/>
        </w:rPr>
        <w:fldChar w:fldCharType="end"/>
      </w:r>
      <w:r>
        <w:t xml:space="preserve">. </w:t>
      </w:r>
    </w:p>
    <w:p w14:paraId="721C1C70">
      <w:pPr>
        <w:spacing w:after="240"/>
      </w:pPr>
      <w:r>
        <w:t xml:space="preserve">Cbonds. (2024). </w:t>
      </w:r>
      <w:r>
        <w:rPr>
          <w:i/>
        </w:rPr>
        <w:t>Limitation on Indebtedness</w:t>
      </w:r>
      <w:r>
        <w:t xml:space="preserve">. [online] Available at: </w:t>
      </w:r>
      <w:r>
        <w:fldChar w:fldCharType="begin"/>
      </w:r>
      <w:r>
        <w:instrText xml:space="preserve"> HYPERLINK "https://cbonds.com/glossary/limitation-on-indebtedness/" \h </w:instrText>
      </w:r>
      <w:r>
        <w:fldChar w:fldCharType="separate"/>
      </w:r>
      <w:r>
        <w:rPr>
          <w:color w:val="1155CC"/>
          <w:u w:val="single"/>
        </w:rPr>
        <w:t>https://cbonds.com/glossary/limitation-on-indebtedness/</w:t>
      </w:r>
      <w:r>
        <w:rPr>
          <w:color w:val="1155CC"/>
          <w:u w:val="single"/>
        </w:rPr>
        <w:fldChar w:fldCharType="end"/>
      </w:r>
      <w:r>
        <w:t xml:space="preserve">. </w:t>
      </w:r>
    </w:p>
    <w:p w14:paraId="3B7BF9FC">
      <w:pPr>
        <w:spacing w:after="240"/>
      </w:pPr>
      <w:r>
        <w:t xml:space="preserve">CFI Team (2023). </w:t>
      </w:r>
      <w:r>
        <w:rPr>
          <w:i/>
        </w:rPr>
        <w:t>Altman’s Z-Score Model</w:t>
      </w:r>
      <w:r>
        <w:t xml:space="preserve">. [online] Corporate Finance Institute. Available at: </w:t>
      </w:r>
      <w:r>
        <w:fldChar w:fldCharType="begin"/>
      </w:r>
      <w:r>
        <w:instrText xml:space="preserve"> HYPERLINK "https://corporatefinanceinstitute.com/resources/commercial-lending/altmans-z-score-model/" \h </w:instrText>
      </w:r>
      <w:r>
        <w:fldChar w:fldCharType="separate"/>
      </w:r>
      <w:r>
        <w:rPr>
          <w:color w:val="1155CC"/>
          <w:u w:val="single"/>
        </w:rPr>
        <w:t>https://corporatefinanceinstitute.com/resources/commercial-lending/altmans-z-score-model/</w:t>
      </w:r>
      <w:r>
        <w:rPr>
          <w:color w:val="1155CC"/>
          <w:u w:val="single"/>
        </w:rPr>
        <w:fldChar w:fldCharType="end"/>
      </w:r>
      <w:r>
        <w:t xml:space="preserve">. </w:t>
      </w:r>
    </w:p>
    <w:p w14:paraId="1E3217C8">
      <w:pPr>
        <w:spacing w:after="240"/>
      </w:pPr>
      <w:r>
        <w:t xml:space="preserve">CFI Team (2025). </w:t>
      </w:r>
      <w:r>
        <w:rPr>
          <w:i/>
        </w:rPr>
        <w:t>Capital Rationing</w:t>
      </w:r>
      <w:r>
        <w:t xml:space="preserve">. [online] Corporate Finance Institute. Available at: </w:t>
      </w:r>
      <w:r>
        <w:fldChar w:fldCharType="begin"/>
      </w:r>
      <w:r>
        <w:instrText xml:space="preserve"> HYPERLINK "https://corporatefinanceinstitute.com/resources/accounting/capital-rationing/" \h </w:instrText>
      </w:r>
      <w:r>
        <w:fldChar w:fldCharType="separate"/>
      </w:r>
      <w:r>
        <w:rPr>
          <w:color w:val="1155CC"/>
          <w:u w:val="single"/>
        </w:rPr>
        <w:t>https://corporatefinanceinstitute.com/resources/accounting/capital-rationing/</w:t>
      </w:r>
      <w:r>
        <w:rPr>
          <w:color w:val="1155CC"/>
          <w:u w:val="single"/>
        </w:rPr>
        <w:fldChar w:fldCharType="end"/>
      </w:r>
      <w:r>
        <w:t xml:space="preserve">. </w:t>
      </w:r>
    </w:p>
    <w:p w14:paraId="02C72854">
      <w:pPr>
        <w:spacing w:after="240"/>
      </w:pPr>
      <w:r>
        <w:t xml:space="preserve">Choudhary, V., Guha, P., Pau, G. and Mishra, S. (2025). An overview of smart agriculture using internet of things (IoT) and web services. </w:t>
      </w:r>
      <w:r>
        <w:rPr>
          <w:i/>
        </w:rPr>
        <w:t>Environmental and Sustainability Indicators</w:t>
      </w:r>
      <w:r>
        <w:t>, [online] 26, p.100607. doi:</w:t>
      </w:r>
      <w:r>
        <w:fldChar w:fldCharType="begin"/>
      </w:r>
      <w:r>
        <w:instrText xml:space="preserve"> HYPERLINK "https://doi.org/10.1016/j.indic.2025.100607" \h </w:instrText>
      </w:r>
      <w:r>
        <w:fldChar w:fldCharType="separate"/>
      </w:r>
      <w:r>
        <w:rPr>
          <w:color w:val="1155CC"/>
          <w:u w:val="single"/>
        </w:rPr>
        <w:t>https://doi.org/10.1016/j.indic.2025.100607</w:t>
      </w:r>
      <w:r>
        <w:rPr>
          <w:color w:val="1155CC"/>
          <w:u w:val="single"/>
        </w:rPr>
        <w:fldChar w:fldCharType="end"/>
      </w:r>
      <w:r>
        <w:t xml:space="preserve">. </w:t>
      </w:r>
    </w:p>
    <w:p w14:paraId="2D62DBBC">
      <w:pPr>
        <w:spacing w:after="240"/>
      </w:pPr>
      <w:r>
        <w:t xml:space="preserve">ClearTax (2023). </w:t>
      </w:r>
      <w:r>
        <w:rPr>
          <w:i/>
        </w:rPr>
        <w:t>Payback period – Meaning, Usage &amp; Illustrations</w:t>
      </w:r>
      <w:r>
        <w:t xml:space="preserve">. [online] Cleartax.in. Available at: </w:t>
      </w:r>
      <w:r>
        <w:fldChar w:fldCharType="begin"/>
      </w:r>
      <w:r>
        <w:instrText xml:space="preserve"> HYPERLINK "https://cleartax.in/s/payback-period" \h </w:instrText>
      </w:r>
      <w:r>
        <w:fldChar w:fldCharType="separate"/>
      </w:r>
      <w:r>
        <w:rPr>
          <w:color w:val="1155CC"/>
          <w:u w:val="single"/>
        </w:rPr>
        <w:t>https://cleartax.in/s/payback-period</w:t>
      </w:r>
      <w:r>
        <w:rPr>
          <w:color w:val="1155CC"/>
          <w:u w:val="single"/>
        </w:rPr>
        <w:fldChar w:fldCharType="end"/>
      </w:r>
      <w:r>
        <w:t xml:space="preserve">. </w:t>
      </w:r>
    </w:p>
    <w:p w14:paraId="44947E23">
      <w:pPr>
        <w:spacing w:after="240"/>
      </w:pPr>
      <w:r>
        <w:t xml:space="preserve">Corporate. (2025). </w:t>
      </w:r>
      <w:r>
        <w:rPr>
          <w:i/>
        </w:rPr>
        <w:t>The advantages of trade credit | Allianz Trade</w:t>
      </w:r>
      <w:r>
        <w:t xml:space="preserve">. [online] Available at: </w:t>
      </w:r>
      <w:r>
        <w:fldChar w:fldCharType="begin"/>
      </w:r>
      <w:r>
        <w:instrText xml:space="preserve"> HYPERLINK "https://www.allianz-trade.com/en_global/news-insights/business-tips-and-trade-advice/the-advantages-of-trade-credit.html" \h </w:instrText>
      </w:r>
      <w:r>
        <w:fldChar w:fldCharType="separate"/>
      </w:r>
      <w:r>
        <w:rPr>
          <w:color w:val="1155CC"/>
          <w:u w:val="single"/>
        </w:rPr>
        <w:t>https://www.allianz-trade.com/en_global/news-insights/business-tips-and-trade-advice/the-advantages-of-trade-credit.html</w:t>
      </w:r>
      <w:r>
        <w:rPr>
          <w:color w:val="1155CC"/>
          <w:u w:val="single"/>
        </w:rPr>
        <w:fldChar w:fldCharType="end"/>
      </w:r>
      <w:r>
        <w:t xml:space="preserve">. </w:t>
      </w:r>
    </w:p>
    <w:p w14:paraId="0FB7D019">
      <w:pPr>
        <w:spacing w:after="240"/>
      </w:pPr>
      <w:r>
        <w:t xml:space="preserve">CredAble Team (2025). </w:t>
      </w:r>
      <w:r>
        <w:rPr>
          <w:i/>
        </w:rPr>
        <w:t>Nirav Choksi</w:t>
      </w:r>
      <w:r>
        <w:t xml:space="preserve">. [online] Credable. Available at: </w:t>
      </w:r>
      <w:r>
        <w:fldChar w:fldCharType="begin"/>
      </w:r>
      <w:r>
        <w:instrText xml:space="preserve"> HYPERLINK "https://credable.in/insights-by-credable/business-insights/5-smart-ways-to-manage-your-cash-flow" \h </w:instrText>
      </w:r>
      <w:r>
        <w:fldChar w:fldCharType="separate"/>
      </w:r>
      <w:r>
        <w:rPr>
          <w:color w:val="1155CC"/>
          <w:u w:val="single"/>
        </w:rPr>
        <w:t>https://credable.in/insights-by-credable/business-insights/5-smart-ways-to-manage-your-cash-flow</w:t>
      </w:r>
      <w:r>
        <w:rPr>
          <w:color w:val="1155CC"/>
          <w:u w:val="single"/>
        </w:rPr>
        <w:fldChar w:fldCharType="end"/>
      </w:r>
      <w:r>
        <w:t xml:space="preserve"> </w:t>
      </w:r>
    </w:p>
    <w:p w14:paraId="19B6F838">
      <w:pPr>
        <w:spacing w:after="240"/>
      </w:pPr>
      <w:r>
        <w:t xml:space="preserve">Dekimpe, M.G. and Heerde, van (2023). Retailing in times of soaring inflation: What we know, what we don’t know, and a research agenda. </w:t>
      </w:r>
      <w:r>
        <w:rPr>
          <w:i/>
        </w:rPr>
        <w:t>Journal of Retailing</w:t>
      </w:r>
      <w:r>
        <w:t xml:space="preserve">, [online] 99(3). Available at: </w:t>
      </w:r>
      <w:r>
        <w:fldChar w:fldCharType="begin"/>
      </w:r>
      <w:r>
        <w:instrText xml:space="preserve"> HYPERLINK "https://www.sciencedirect.com/science/article/pii/S0022435923000301" \h </w:instrText>
      </w:r>
      <w:r>
        <w:fldChar w:fldCharType="separate"/>
      </w:r>
      <w:r>
        <w:rPr>
          <w:color w:val="1155CC"/>
          <w:u w:val="single"/>
        </w:rPr>
        <w:t>https://www.sciencedirect.com/science/article/pii/S0022435923000301</w:t>
      </w:r>
      <w:r>
        <w:rPr>
          <w:color w:val="1155CC"/>
          <w:u w:val="single"/>
        </w:rPr>
        <w:fldChar w:fldCharType="end"/>
      </w:r>
      <w:r>
        <w:t xml:space="preserve">. </w:t>
      </w:r>
    </w:p>
    <w:p w14:paraId="1B5D4B78">
      <w:pPr>
        <w:spacing w:after="240"/>
      </w:pPr>
      <w:r>
        <w:t>Enoch, C., Marston, D. and Taylor, M. (2022). 10. Two Approaches to Resolving Nonperforming Assets During Financial Crises. [online] doi:</w:t>
      </w:r>
      <w:r>
        <w:fldChar w:fldCharType="begin"/>
      </w:r>
      <w:r>
        <w:instrText xml:space="preserve"> HYPERLINK "https://doi.org/10.5089/9781589060432.071.ch010" \h </w:instrText>
      </w:r>
      <w:r>
        <w:fldChar w:fldCharType="separate"/>
      </w:r>
      <w:r>
        <w:rPr>
          <w:color w:val="1155CC"/>
          <w:u w:val="single"/>
        </w:rPr>
        <w:t>https://doi.org/10.5089/9781589060432.071.ch010</w:t>
      </w:r>
      <w:r>
        <w:rPr>
          <w:color w:val="1155CC"/>
          <w:u w:val="single"/>
        </w:rPr>
        <w:fldChar w:fldCharType="end"/>
      </w:r>
      <w:r>
        <w:t xml:space="preserve">. </w:t>
      </w:r>
    </w:p>
    <w:p w14:paraId="65250D3D">
      <w:pPr>
        <w:spacing w:after="240"/>
      </w:pPr>
      <w:r>
        <w:t xml:space="preserve">Fantaguzzi, I. and Handscomb, C. (2024). </w:t>
      </w:r>
      <w:r>
        <w:rPr>
          <w:i/>
        </w:rPr>
        <w:t>Culture has a huge impact on M&amp;A success | McKinsey</w:t>
      </w:r>
      <w:r>
        <w:t xml:space="preserve">. [online] www.mckinsey.com. Available at: </w:t>
      </w:r>
      <w:r>
        <w:fldChar w:fldCharType="begin"/>
      </w:r>
      <w:r>
        <w:instrText xml:space="preserve"> HYPERLINK "https://www.mckinsey.com/industries/oil-and-gas/our-insights/the-importance-of-cultural-integration-in-m-and-a-the-path-to-success" \h </w:instrText>
      </w:r>
      <w:r>
        <w:fldChar w:fldCharType="separate"/>
      </w:r>
      <w:r>
        <w:rPr>
          <w:color w:val="1155CC"/>
          <w:u w:val="single"/>
        </w:rPr>
        <w:t>https://www.mckinsey.com/industries/oil-and-gas/our-insights/the-importance-of-cultural-integration-in-m-and-a-the-path-to-success</w:t>
      </w:r>
      <w:r>
        <w:rPr>
          <w:color w:val="1155CC"/>
          <w:u w:val="single"/>
        </w:rPr>
        <w:fldChar w:fldCharType="end"/>
      </w:r>
      <w:r>
        <w:t xml:space="preserve">. </w:t>
      </w:r>
    </w:p>
    <w:p w14:paraId="5979C469">
      <w:pPr>
        <w:spacing w:after="240"/>
      </w:pPr>
      <w:r>
        <w:t xml:space="preserve">Farcas, S. (2023). </w:t>
      </w:r>
      <w:r>
        <w:rPr>
          <w:i/>
        </w:rPr>
        <w:t>10 best practices to improve your accounts receivable process | Chaser</w:t>
      </w:r>
      <w:r>
        <w:t xml:space="preserve">. [online] www.chaserhq.com. Available at: </w:t>
      </w:r>
      <w:r>
        <w:fldChar w:fldCharType="begin"/>
      </w:r>
      <w:r>
        <w:instrText xml:space="preserve"> HYPERLINK "https://www.chaserhq.com/blog/10-best-practices-to-improve-your-accounts-receivable-process" \h </w:instrText>
      </w:r>
      <w:r>
        <w:fldChar w:fldCharType="separate"/>
      </w:r>
      <w:r>
        <w:rPr>
          <w:color w:val="1155CC"/>
          <w:u w:val="single"/>
        </w:rPr>
        <w:t>https://www.chaserhq.com/blog/10-best-practices-to-improve-your-accounts-receivable-process</w:t>
      </w:r>
      <w:r>
        <w:rPr>
          <w:color w:val="1155CC"/>
          <w:u w:val="single"/>
        </w:rPr>
        <w:fldChar w:fldCharType="end"/>
      </w:r>
      <w:r>
        <w:t xml:space="preserve">. </w:t>
      </w:r>
    </w:p>
    <w:p w14:paraId="2F70D586">
      <w:pPr>
        <w:spacing w:after="240"/>
      </w:pPr>
      <w:r>
        <w:t xml:space="preserve">Gtreasury.com. (2025). </w:t>
      </w:r>
      <w:r>
        <w:rPr>
          <w:i/>
        </w:rPr>
        <w:t>How High Interest Rates and Inflation Eat Your Cash Flow | GTreasury</w:t>
      </w:r>
      <w:r>
        <w:t xml:space="preserve">. [online] Available at: </w:t>
      </w:r>
      <w:r>
        <w:fldChar w:fldCharType="begin"/>
      </w:r>
      <w:r>
        <w:instrText xml:space="preserve"> HYPERLINK "https://www.gtreasury.com/posts/how-high-interest-rates-and-inflation-eat-your-cash-flow" \h </w:instrText>
      </w:r>
      <w:r>
        <w:fldChar w:fldCharType="separate"/>
      </w:r>
      <w:r>
        <w:rPr>
          <w:color w:val="1155CC"/>
          <w:u w:val="single"/>
        </w:rPr>
        <w:t>https://www.gtreasury.com/posts/how-high-interest-rates-and-inflation-eat-your-cash-flow</w:t>
      </w:r>
      <w:r>
        <w:rPr>
          <w:color w:val="1155CC"/>
          <w:u w:val="single"/>
        </w:rPr>
        <w:fldChar w:fldCharType="end"/>
      </w:r>
      <w:r>
        <w:t xml:space="preserve">. </w:t>
      </w:r>
    </w:p>
    <w:p w14:paraId="16BC464E">
      <w:pPr>
        <w:spacing w:after="240"/>
      </w:pPr>
      <w:r>
        <w:t xml:space="preserve">Huynh, J. (2024). Banking uncertainty and cash conversion cycle. </w:t>
      </w:r>
      <w:r>
        <w:rPr>
          <w:i/>
        </w:rPr>
        <w:t>Pacific-Basin Finance Journal</w:t>
      </w:r>
      <w:r>
        <w:t>, 88, p.102552. doi:</w:t>
      </w:r>
      <w:r>
        <w:fldChar w:fldCharType="begin"/>
      </w:r>
      <w:r>
        <w:instrText xml:space="preserve"> HYPERLINK "https://doi.org/10.1016/j.pacfin.2024.102552" \h </w:instrText>
      </w:r>
      <w:r>
        <w:fldChar w:fldCharType="separate"/>
      </w:r>
      <w:r>
        <w:rPr>
          <w:color w:val="1155CC"/>
          <w:u w:val="single"/>
        </w:rPr>
        <w:t>https://doi.org/10.1016/j.pacfin.2024.102552</w:t>
      </w:r>
      <w:r>
        <w:rPr>
          <w:color w:val="1155CC"/>
          <w:u w:val="single"/>
        </w:rPr>
        <w:fldChar w:fldCharType="end"/>
      </w:r>
      <w:r>
        <w:t xml:space="preserve">. </w:t>
      </w:r>
    </w:p>
    <w:p w14:paraId="4FE1E2E5">
      <w:pPr>
        <w:spacing w:after="240"/>
      </w:pPr>
      <w:r>
        <w:t xml:space="preserve">Jean, G. (2024). </w:t>
      </w:r>
      <w:r>
        <w:rPr>
          <w:i/>
        </w:rPr>
        <w:t>Impact of Digital Payment Systems on Supplier Coordination and Financial Performance in E-supply Chains</w:t>
      </w:r>
      <w:r>
        <w:t xml:space="preserve">. [online] Available at: </w:t>
      </w:r>
      <w:r>
        <w:fldChar w:fldCharType="begin"/>
      </w:r>
      <w:r>
        <w:instrText xml:space="preserve"> HYPERLINK "https://www.researchgate.net/publication/384832570_Impact_of_Digital_Payment_Systems_on_Supplier_Coordination_and_Financial_Performance_in_E-supply_Chains" \h </w:instrText>
      </w:r>
      <w:r>
        <w:fldChar w:fldCharType="separate"/>
      </w:r>
      <w:r>
        <w:rPr>
          <w:color w:val="1155CC"/>
          <w:u w:val="single"/>
        </w:rPr>
        <w:t>https://www.researchgate.net/publication/384832570_Impact_of_Digital_Payment_Systems_on_Supplier_Coordination_and_Financial_Performance_in_E-supply_Chains</w:t>
      </w:r>
      <w:r>
        <w:rPr>
          <w:color w:val="1155CC"/>
          <w:u w:val="single"/>
        </w:rPr>
        <w:fldChar w:fldCharType="end"/>
      </w:r>
      <w:r>
        <w:t xml:space="preserve">. </w:t>
      </w:r>
    </w:p>
    <w:p w14:paraId="27CA4CC0">
      <w:pPr>
        <w:spacing w:after="240"/>
      </w:pPr>
      <w:r>
        <w:t xml:space="preserve">Jenkins, A. (2024). </w:t>
      </w:r>
      <w:r>
        <w:rPr>
          <w:i/>
        </w:rPr>
        <w:t>Just-in-Time (JIT) Inventory: A Definition and Comprehensive Guide</w:t>
      </w:r>
      <w:r>
        <w:t xml:space="preserve">. [online] Oracle NetSuite. Available at: </w:t>
      </w:r>
      <w:r>
        <w:fldChar w:fldCharType="begin"/>
      </w:r>
      <w:r>
        <w:instrText xml:space="preserve"> HYPERLINK "https://www.netsuite.com/portal/resource/articles/inventory-management/just-in-time-inventory.shtml" \h </w:instrText>
      </w:r>
      <w:r>
        <w:fldChar w:fldCharType="separate"/>
      </w:r>
      <w:r>
        <w:rPr>
          <w:color w:val="1155CC"/>
          <w:u w:val="single"/>
        </w:rPr>
        <w:t>https://www.netsuite.com/portal/resource/articles/inventory-management/just-in-time-inventory.shtml</w:t>
      </w:r>
      <w:r>
        <w:rPr>
          <w:color w:val="1155CC"/>
          <w:u w:val="single"/>
        </w:rPr>
        <w:fldChar w:fldCharType="end"/>
      </w:r>
      <w:r>
        <w:t xml:space="preserve">. </w:t>
      </w:r>
    </w:p>
    <w:p w14:paraId="16EF2843">
      <w:pPr>
        <w:spacing w:after="240"/>
      </w:pPr>
      <w:r>
        <w:t xml:space="preserve">JP Morgan (2025). </w:t>
      </w:r>
      <w:r>
        <w:rPr>
          <w:i/>
        </w:rPr>
        <w:t>The Centralized Treasury: Different Paths to Improved Control</w:t>
      </w:r>
      <w:r>
        <w:t xml:space="preserve">. [online] www.jpmorgan.com. Available at: </w:t>
      </w:r>
      <w:r>
        <w:fldChar w:fldCharType="begin"/>
      </w:r>
      <w:r>
        <w:instrText xml:space="preserve"> HYPERLINK "https://www.jpmorgan.com/insights/treasury/treasury-management/treasury-improved-control" \h </w:instrText>
      </w:r>
      <w:r>
        <w:fldChar w:fldCharType="separate"/>
      </w:r>
      <w:r>
        <w:rPr>
          <w:color w:val="1155CC"/>
          <w:u w:val="single"/>
        </w:rPr>
        <w:t>https://www.jpmorgan.com/insights/treasury/treasury-management/treasury-improved-control</w:t>
      </w:r>
      <w:r>
        <w:rPr>
          <w:color w:val="1155CC"/>
          <w:u w:val="single"/>
        </w:rPr>
        <w:fldChar w:fldCharType="end"/>
      </w:r>
      <w:r>
        <w:t xml:space="preserve">.  </w:t>
      </w:r>
    </w:p>
    <w:p w14:paraId="6FE842E4">
      <w:pPr>
        <w:spacing w:after="240"/>
      </w:pPr>
      <w:r>
        <w:t xml:space="preserve">Lynch, P. (2021). </w:t>
      </w:r>
      <w:r>
        <w:rPr>
          <w:i/>
        </w:rPr>
        <w:t>Optimum capital structure</w:t>
      </w:r>
      <w:r>
        <w:t xml:space="preserve">. [online] Accaglobal.com. Available at: </w:t>
      </w:r>
      <w:r>
        <w:fldChar w:fldCharType="begin"/>
      </w:r>
      <w:r>
        <w:instrText xml:space="preserve"> HYPERLINK "https://www.accaglobal.com/gb/en/student/exam-support-resources/fundamentals-exams-study-resources/f9/technical-articles/optimum-capital-structure.html" \h </w:instrText>
      </w:r>
      <w:r>
        <w:fldChar w:fldCharType="separate"/>
      </w:r>
      <w:r>
        <w:rPr>
          <w:color w:val="1155CC"/>
          <w:u w:val="single"/>
        </w:rPr>
        <w:t>https://www.accaglobal.com/gb/en/student/exam-support-resources/fundamentals-exams-study-resources/f9/technical-articles/optimum-capital-structure.html</w:t>
      </w:r>
      <w:r>
        <w:rPr>
          <w:color w:val="1155CC"/>
          <w:u w:val="single"/>
        </w:rPr>
        <w:fldChar w:fldCharType="end"/>
      </w:r>
      <w:r>
        <w:t xml:space="preserve">. </w:t>
      </w:r>
    </w:p>
    <w:p w14:paraId="3C5B19A4">
      <w:pPr>
        <w:spacing w:after="240"/>
      </w:pPr>
      <w:r>
        <w:t xml:space="preserve">McQuillen, B. (2024). </w:t>
      </w:r>
      <w:r>
        <w:rPr>
          <w:i/>
        </w:rPr>
        <w:t>Integrating Corporate Social Responsibility into Business Strategy</w:t>
      </w:r>
      <w:r>
        <w:t xml:space="preserve">. [online] www.ignitehcm.com. Available at: </w:t>
      </w:r>
      <w:r>
        <w:fldChar w:fldCharType="begin"/>
      </w:r>
      <w:r>
        <w:instrText xml:space="preserve"> HYPERLINK "https://www.ignitehcm.com/blog/integrating-corporate-social-responsibility-into-business-strategy" \h </w:instrText>
      </w:r>
      <w:r>
        <w:fldChar w:fldCharType="separate"/>
      </w:r>
      <w:r>
        <w:rPr>
          <w:color w:val="1155CC"/>
          <w:u w:val="single"/>
        </w:rPr>
        <w:t>https://www.ignitehcm.com/blog/integrating-corporate-social-responsibility-into-business-strategy</w:t>
      </w:r>
      <w:r>
        <w:rPr>
          <w:color w:val="1155CC"/>
          <w:u w:val="single"/>
        </w:rPr>
        <w:fldChar w:fldCharType="end"/>
      </w:r>
      <w:r>
        <w:t xml:space="preserve">. </w:t>
      </w:r>
    </w:p>
    <w:p w14:paraId="0DF38950">
      <w:pPr>
        <w:spacing w:after="240"/>
      </w:pPr>
      <w:r>
        <w:t xml:space="preserve">Ngoc, T., Nguyen, X.H. and Pham, K. (2023). The Effect of Capital Structure on Firm Value: A Study of Companies Listed on the Vietnamese Stock Market. </w:t>
      </w:r>
      <w:r>
        <w:rPr>
          <w:i/>
        </w:rPr>
        <w:t>International Journal of Financial Studies</w:t>
      </w:r>
      <w:r>
        <w:t>, 11(3), pp.100–100. doi:</w:t>
      </w:r>
      <w:r>
        <w:fldChar w:fldCharType="begin"/>
      </w:r>
      <w:r>
        <w:instrText xml:space="preserve"> HYPERLINK "https://doi.org/10.3390/ijfs11030100" \h </w:instrText>
      </w:r>
      <w:r>
        <w:fldChar w:fldCharType="separate"/>
      </w:r>
      <w:r>
        <w:rPr>
          <w:color w:val="1155CC"/>
          <w:u w:val="single"/>
        </w:rPr>
        <w:t>https://doi.org/10.3390/ijfs11030100</w:t>
      </w:r>
      <w:r>
        <w:rPr>
          <w:color w:val="1155CC"/>
          <w:u w:val="single"/>
        </w:rPr>
        <w:fldChar w:fldCharType="end"/>
      </w:r>
      <w:r>
        <w:t xml:space="preserve">. </w:t>
      </w:r>
    </w:p>
    <w:p w14:paraId="52E788A5">
      <w:pPr>
        <w:spacing w:after="240"/>
      </w:pPr>
      <w:r>
        <w:t xml:space="preserve">Pietrovito, F. and Michela Rancan (2024). Credit rationing and sustainable activities: A firm-level investigation. </w:t>
      </w:r>
      <w:r>
        <w:rPr>
          <w:i/>
        </w:rPr>
        <w:t>International Review of Economics &amp; Finance</w:t>
      </w:r>
      <w:r>
        <w:t>, 94, pp.103417–103417. doi:</w:t>
      </w:r>
      <w:r>
        <w:fldChar w:fldCharType="begin"/>
      </w:r>
      <w:r>
        <w:instrText xml:space="preserve"> HYPERLINK "https://doi.org/10.1016/j.iref.2024.103417" \h </w:instrText>
      </w:r>
      <w:r>
        <w:fldChar w:fldCharType="separate"/>
      </w:r>
      <w:r>
        <w:rPr>
          <w:color w:val="1155CC"/>
          <w:u w:val="single"/>
        </w:rPr>
        <w:t>https://doi.org/10.1016/j.iref.2024.103417</w:t>
      </w:r>
      <w:r>
        <w:rPr>
          <w:color w:val="1155CC"/>
          <w:u w:val="single"/>
        </w:rPr>
        <w:fldChar w:fldCharType="end"/>
      </w:r>
      <w:r>
        <w:t xml:space="preserve">. </w:t>
      </w:r>
    </w:p>
    <w:p w14:paraId="1771FFD4">
      <w:pPr>
        <w:spacing w:after="240"/>
      </w:pPr>
      <w:r>
        <w:t xml:space="preserve">Reiter, M. and Leopold Zessner-Spitzenberg (2023). Long-term bank lending and the transfer of aggregate risk. </w:t>
      </w:r>
      <w:r>
        <w:rPr>
          <w:i/>
        </w:rPr>
        <w:t>Journal of Economic Dynamics and Control</w:t>
      </w:r>
      <w:r>
        <w:t>, 151, pp.104651–104651. doi:</w:t>
      </w:r>
      <w:r>
        <w:fldChar w:fldCharType="begin"/>
      </w:r>
      <w:r>
        <w:instrText xml:space="preserve"> HYPERLINK "https://doi.org/10.1016/j.jedc.2023.104651" \h </w:instrText>
      </w:r>
      <w:r>
        <w:fldChar w:fldCharType="separate"/>
      </w:r>
      <w:r>
        <w:rPr>
          <w:color w:val="1155CC"/>
          <w:u w:val="single"/>
        </w:rPr>
        <w:t>https://doi.org/10.1016/j.jedc.2023.104651</w:t>
      </w:r>
      <w:r>
        <w:rPr>
          <w:color w:val="1155CC"/>
          <w:u w:val="single"/>
        </w:rPr>
        <w:fldChar w:fldCharType="end"/>
      </w:r>
      <w:r>
        <w:t xml:space="preserve">. </w:t>
      </w:r>
    </w:p>
    <w:p w14:paraId="0B703259">
      <w:pPr>
        <w:spacing w:after="240"/>
      </w:pPr>
      <w:r>
        <w:t xml:space="preserve">Rudevska, V., Riznyk, D., Tanase, V., Yatsenko, O. and Rak, R. (2024). Financial Stability and Innovation: Interconnection and Development Prospects. </w:t>
      </w:r>
      <w:r>
        <w:rPr>
          <w:i/>
        </w:rPr>
        <w:t>Futurity Economics&amp;Law</w:t>
      </w:r>
      <w:r>
        <w:t>, [online] 4(2), pp.214–228. doi:</w:t>
      </w:r>
      <w:r>
        <w:fldChar w:fldCharType="begin"/>
      </w:r>
      <w:r>
        <w:instrText xml:space="preserve"> HYPERLINK "https://doi.org/10.57125/FEL.2024.06.25.12" \h </w:instrText>
      </w:r>
      <w:r>
        <w:fldChar w:fldCharType="separate"/>
      </w:r>
      <w:r>
        <w:rPr>
          <w:color w:val="1155CC"/>
          <w:u w:val="single"/>
        </w:rPr>
        <w:t>https://doi.org/10.57125/FEL.2024.06.25.12</w:t>
      </w:r>
      <w:r>
        <w:rPr>
          <w:color w:val="1155CC"/>
          <w:u w:val="single"/>
        </w:rPr>
        <w:fldChar w:fldCharType="end"/>
      </w:r>
      <w:r>
        <w:t xml:space="preserve">. </w:t>
      </w:r>
    </w:p>
    <w:p w14:paraId="6A483B00">
      <w:pPr>
        <w:spacing w:after="240"/>
      </w:pPr>
      <w:r>
        <w:t xml:space="preserve">Sinaga, Y.D. and Hermawan, A.A. (2023). INCREASING THE COMPANY’S PROFITABILITY AND COST EFFICIENCY THROUGH THE IMPLEMENTATION OF ACTIVITY-BASED MANAGEMENT, VALUE CHAIN, AND PESTEL. </w:t>
      </w:r>
      <w:r>
        <w:rPr>
          <w:i/>
        </w:rPr>
        <w:t>Akurasi</w:t>
      </w:r>
      <w:r>
        <w:t xml:space="preserve">, [online] 6(2), pp.287–309. Available at: </w:t>
      </w:r>
      <w:r>
        <w:fldChar w:fldCharType="begin"/>
      </w:r>
      <w:r>
        <w:instrText xml:space="preserve"> HYPERLINK "https://www.researchgate.net/publication/376887560_INCREASING_THE_COMPANY'S_PROFITABILITY_AND_COST_EFFICIENCY_THROUGH_THE_IMPLEMENTATION_OF_ACTIVITY-BASED_MANAGEMENT_VALUE_CHAIN_AND_PESTEL" \h </w:instrText>
      </w:r>
      <w:r>
        <w:fldChar w:fldCharType="separate"/>
      </w:r>
      <w:r>
        <w:rPr>
          <w:color w:val="1155CC"/>
          <w:u w:val="single"/>
        </w:rPr>
        <w:t>https://www.researchgate.net/publication/376887560_INCREASING_THE_COMPANY'S_PROFITABILITY_AND_COST_EFFICIENCY_THROUGH_THE_IMPLEMENTATION_OF_ACTIVITY-BASED_MANAGEMENT_VALUE_CHAIN_AND_PESTEL</w:t>
      </w:r>
      <w:r>
        <w:rPr>
          <w:color w:val="1155CC"/>
          <w:u w:val="single"/>
        </w:rPr>
        <w:fldChar w:fldCharType="end"/>
      </w:r>
      <w:r>
        <w:t xml:space="preserve">. </w:t>
      </w:r>
    </w:p>
    <w:p w14:paraId="700C5174">
      <w:pPr>
        <w:spacing w:after="240"/>
      </w:pPr>
      <w:r>
        <w:t xml:space="preserve">Smith, H.K. (2024). </w:t>
      </w:r>
      <w:r>
        <w:rPr>
          <w:i/>
        </w:rPr>
        <w:t>Supply Chain Finance and Working Capital Management</w:t>
      </w:r>
      <w:r>
        <w:t xml:space="preserve">. [online] ResearchGate. Available at: </w:t>
      </w:r>
      <w:r>
        <w:fldChar w:fldCharType="begin"/>
      </w:r>
      <w:r>
        <w:instrText xml:space="preserve"> HYPERLINK "https://www.researchgate.net/publication/384362356_Supply_Chain_Finance_and_Working_Capital_Management" \h </w:instrText>
      </w:r>
      <w:r>
        <w:fldChar w:fldCharType="separate"/>
      </w:r>
      <w:r>
        <w:rPr>
          <w:color w:val="1155CC"/>
          <w:u w:val="single"/>
        </w:rPr>
        <w:t>https://www.researchgate.net/publication/384362356_Supply_Chain_Finance_and_Working_Capital_Management</w:t>
      </w:r>
      <w:r>
        <w:rPr>
          <w:color w:val="1155CC"/>
          <w:u w:val="single"/>
        </w:rPr>
        <w:fldChar w:fldCharType="end"/>
      </w:r>
      <w:r>
        <w:t xml:space="preserve">. </w:t>
      </w:r>
    </w:p>
    <w:p w14:paraId="239DC2E8">
      <w:pPr>
        <w:spacing w:after="240"/>
      </w:pPr>
      <w:r>
        <w:t xml:space="preserve">Speedbooks.co.uk. (2025). </w:t>
      </w:r>
      <w:r>
        <w:rPr>
          <w:i/>
        </w:rPr>
        <w:t>How to improve liquidity: Tips and Tricks | Speedbooks</w:t>
      </w:r>
      <w:r>
        <w:t xml:space="preserve">. [online] Available at: </w:t>
      </w:r>
      <w:r>
        <w:fldChar w:fldCharType="begin"/>
      </w:r>
      <w:r>
        <w:instrText xml:space="preserve"> HYPERLINK "https://www.speedbooks.co.uk/support/blogs/how-to-improve-liquidity-tips-and-tricks" \h </w:instrText>
      </w:r>
      <w:r>
        <w:fldChar w:fldCharType="separate"/>
      </w:r>
      <w:r>
        <w:rPr>
          <w:color w:val="1155CC"/>
          <w:u w:val="single"/>
        </w:rPr>
        <w:t>https://www.speedbooks.co.uk/support/blogs/how-to-improve-liquidity-tips-and-tricks</w:t>
      </w:r>
      <w:r>
        <w:rPr>
          <w:color w:val="1155CC"/>
          <w:u w:val="single"/>
        </w:rPr>
        <w:fldChar w:fldCharType="end"/>
      </w:r>
      <w:r>
        <w:t xml:space="preserve"> </w:t>
      </w:r>
    </w:p>
    <w:p w14:paraId="764B0A2E">
      <w:pPr>
        <w:spacing w:after="240"/>
      </w:pPr>
      <w:r>
        <w:t xml:space="preserve">The Hartford. (2025). </w:t>
      </w:r>
      <w:r>
        <w:rPr>
          <w:i/>
        </w:rPr>
        <w:t>Factoring: Sell Your Accounts Receivables for Fast Cash</w:t>
      </w:r>
      <w:r>
        <w:t xml:space="preserve">. [online] Available at: </w:t>
      </w:r>
      <w:r>
        <w:fldChar w:fldCharType="begin"/>
      </w:r>
      <w:r>
        <w:instrText xml:space="preserve"> HYPERLINK "https://www.thehartford.com/business-insurance/strategy/growing-business/sell-accounts-receivables" \h </w:instrText>
      </w:r>
      <w:r>
        <w:fldChar w:fldCharType="separate"/>
      </w:r>
      <w:r>
        <w:rPr>
          <w:color w:val="1155CC"/>
          <w:u w:val="single"/>
        </w:rPr>
        <w:t>https://www.thehartford.com/business-insurance/strategy/growing-business/sell-accounts-receivables</w:t>
      </w:r>
      <w:r>
        <w:rPr>
          <w:color w:val="1155CC"/>
          <w:u w:val="single"/>
        </w:rPr>
        <w:fldChar w:fldCharType="end"/>
      </w:r>
      <w:r>
        <w:t xml:space="preserve">. </w:t>
      </w:r>
    </w:p>
    <w:p w14:paraId="37D286FD">
      <w:pPr>
        <w:spacing w:after="240"/>
      </w:pPr>
      <w:r>
        <w:t xml:space="preserve">Ulbert, J., Takács, A. and Csapi, V. (2022). Golden ratio-based capital structure as a tool for boosting firm’s financial performance and market acceptance. </w:t>
      </w:r>
      <w:r>
        <w:rPr>
          <w:i/>
        </w:rPr>
        <w:t>Heliyon</w:t>
      </w:r>
      <w:r>
        <w:t>, [online] 8(6), p.e09671. doi:</w:t>
      </w:r>
      <w:r>
        <w:fldChar w:fldCharType="begin"/>
      </w:r>
      <w:r>
        <w:instrText xml:space="preserve"> HYPERLINK "https://doi.org/10.1016/j.heliyon.2022.e09671" \h </w:instrText>
      </w:r>
      <w:r>
        <w:fldChar w:fldCharType="separate"/>
      </w:r>
      <w:r>
        <w:rPr>
          <w:color w:val="1155CC"/>
          <w:u w:val="single"/>
        </w:rPr>
        <w:t>https://doi.org/10.1016/j.heliyon.2022.e09671</w:t>
      </w:r>
      <w:r>
        <w:rPr>
          <w:color w:val="1155CC"/>
          <w:u w:val="single"/>
        </w:rPr>
        <w:fldChar w:fldCharType="end"/>
      </w:r>
      <w:r>
        <w:t xml:space="preserve">. </w:t>
      </w:r>
    </w:p>
    <w:p w14:paraId="2291708D">
      <w:pPr>
        <w:spacing w:after="240"/>
      </w:pPr>
      <w:r>
        <w:t xml:space="preserve">Umi Hasanatun, Saragi, M.B., Wenny Tailisha, Delysia Angelyn and Mella Yunita (2025). The influence of debt to asset ratio, total asset turnover, and net profit margin on return on assets in the Banking Subsector listed on the Indonesia Stock Exchange (2019-2022). </w:t>
      </w:r>
      <w:r>
        <w:rPr>
          <w:i/>
        </w:rPr>
        <w:t>Journal of Economics and Business Letters</w:t>
      </w:r>
      <w:r>
        <w:t>, [online] 5(1), pp.12–28. doi:</w:t>
      </w:r>
      <w:r>
        <w:fldChar w:fldCharType="begin"/>
      </w:r>
      <w:r>
        <w:instrText xml:space="preserve"> HYPERLINK "https://doi.org/10.55942/jebl.v5i1.388" \h </w:instrText>
      </w:r>
      <w:r>
        <w:fldChar w:fldCharType="separate"/>
      </w:r>
      <w:r>
        <w:rPr>
          <w:color w:val="1155CC"/>
          <w:u w:val="single"/>
        </w:rPr>
        <w:t>https://doi.org/10.55942/jebl.v5i1.388</w:t>
      </w:r>
      <w:r>
        <w:rPr>
          <w:color w:val="1155CC"/>
          <w:u w:val="single"/>
        </w:rPr>
        <w:fldChar w:fldCharType="end"/>
      </w:r>
      <w:r>
        <w:t xml:space="preserve">. </w:t>
      </w:r>
    </w:p>
    <w:p w14:paraId="4097A67E">
      <w:pPr>
        <w:spacing w:after="240"/>
      </w:pPr>
      <w:r>
        <w:t xml:space="preserve">van Eeghen, P.-H. (2021). Funding money-creating banks: Cash funding, balance sheet funding and the moral hazard of currency elasticity. </w:t>
      </w:r>
      <w:r>
        <w:rPr>
          <w:i/>
        </w:rPr>
        <w:t>International Review of Financial Analysis</w:t>
      </w:r>
      <w:r>
        <w:t>, p.101736. doi:</w:t>
      </w:r>
      <w:r>
        <w:fldChar w:fldCharType="begin"/>
      </w:r>
      <w:r>
        <w:instrText xml:space="preserve"> HYPERLINK "https://doi.org/10.1016/j.irfa.2021.101736" \h </w:instrText>
      </w:r>
      <w:r>
        <w:fldChar w:fldCharType="separate"/>
      </w:r>
      <w:r>
        <w:rPr>
          <w:color w:val="1155CC"/>
          <w:u w:val="single"/>
        </w:rPr>
        <w:t>https://doi.org/10.1016/j.irfa.2021.101736</w:t>
      </w:r>
      <w:r>
        <w:rPr>
          <w:color w:val="1155CC"/>
          <w:u w:val="single"/>
        </w:rPr>
        <w:fldChar w:fldCharType="end"/>
      </w:r>
      <w:r>
        <w:t xml:space="preserve">. </w:t>
      </w:r>
    </w:p>
    <w:p w14:paraId="14DAFE60">
      <w:pPr>
        <w:spacing w:after="240"/>
      </w:pPr>
      <w:r>
        <w:t xml:space="preserve">Vipond, T. (2025). </w:t>
      </w:r>
      <w:r>
        <w:rPr>
          <w:i/>
        </w:rPr>
        <w:t>ARR - Accounting Rate of Return</w:t>
      </w:r>
      <w:r>
        <w:t xml:space="preserve">. [online] Corporate Finance Institute. Available at: </w:t>
      </w:r>
      <w:r>
        <w:fldChar w:fldCharType="begin"/>
      </w:r>
      <w:r>
        <w:instrText xml:space="preserve"> HYPERLINK "https://corporatefinanceinstitute.com/resources/accounting/arr-accounting-rate-of-return/" \h </w:instrText>
      </w:r>
      <w:r>
        <w:fldChar w:fldCharType="separate"/>
      </w:r>
      <w:r>
        <w:rPr>
          <w:color w:val="1155CC"/>
          <w:u w:val="single"/>
        </w:rPr>
        <w:t>https://corporatefinanceinstitute.com/resources/accounting/arr-accounting-rate-of-return/</w:t>
      </w:r>
      <w:r>
        <w:rPr>
          <w:color w:val="1155CC"/>
          <w:u w:val="single"/>
        </w:rPr>
        <w:fldChar w:fldCharType="end"/>
      </w:r>
      <w:r>
        <w:t xml:space="preserve">. </w:t>
      </w:r>
    </w:p>
    <w:p w14:paraId="305D711B">
      <w:pPr>
        <w:spacing w:after="240"/>
      </w:pPr>
      <w:r>
        <w:t xml:space="preserve">Woods, A. (2023). </w:t>
      </w:r>
      <w:r>
        <w:rPr>
          <w:i/>
        </w:rPr>
        <w:t>10 best practices to improve your accounts receivable process</w:t>
      </w:r>
      <w:r>
        <w:t xml:space="preserve">. [online] Chaserhq.com. Available at: </w:t>
      </w:r>
      <w:r>
        <w:fldChar w:fldCharType="begin"/>
      </w:r>
      <w:r>
        <w:instrText xml:space="preserve"> HYPERLINK "https://www.chaserhq.com/blog/improve-your-cash-conversion-cycle" \h </w:instrText>
      </w:r>
      <w:r>
        <w:fldChar w:fldCharType="separate"/>
      </w:r>
      <w:r>
        <w:rPr>
          <w:color w:val="1155CC"/>
          <w:u w:val="single"/>
        </w:rPr>
        <w:t>https://www.chaserhq.com/blog/improve-your-cash-conversion-cycle</w:t>
      </w:r>
      <w:r>
        <w:rPr>
          <w:color w:val="1155CC"/>
          <w:u w:val="single"/>
        </w:rPr>
        <w:fldChar w:fldCharType="end"/>
      </w:r>
      <w:r>
        <w:t xml:space="preserve"> </w:t>
      </w:r>
    </w:p>
    <w:p w14:paraId="0BC8F68C">
      <w:pPr>
        <w:spacing w:after="240"/>
      </w:pPr>
      <w:r>
        <w:t xml:space="preserve">Yang, M., Yue, S. and Dong, D. (2024). The Value of Integrity: The Impact of Management Integrity on Corporate Financial Distress. </w:t>
      </w:r>
      <w:r>
        <w:rPr>
          <w:i/>
        </w:rPr>
        <w:t>Emerging Markets Finance and Trade</w:t>
      </w:r>
      <w:r>
        <w:t>, pp.1–14. doi:</w:t>
      </w:r>
      <w:r>
        <w:fldChar w:fldCharType="begin"/>
      </w:r>
      <w:r>
        <w:instrText xml:space="preserve"> HYPERLINK "https://doi.org/10.1080/1540496x.2024.2392773" \h </w:instrText>
      </w:r>
      <w:r>
        <w:fldChar w:fldCharType="separate"/>
      </w:r>
      <w:r>
        <w:rPr>
          <w:color w:val="1155CC"/>
          <w:u w:val="single"/>
        </w:rPr>
        <w:t>https://doi.org/10.1080/1540496x.2024.2392773</w:t>
      </w:r>
      <w:r>
        <w:rPr>
          <w:color w:val="1155CC"/>
          <w:u w:val="single"/>
        </w:rPr>
        <w:fldChar w:fldCharType="end"/>
      </w:r>
      <w:r>
        <w:t xml:space="preserve">. </w:t>
      </w:r>
    </w:p>
    <w:p w14:paraId="37A71541">
      <w:pPr>
        <w:spacing w:after="240"/>
      </w:pPr>
      <w:r>
        <w:t xml:space="preserve">Zhang, Y. (2022). </w:t>
      </w:r>
      <w:r>
        <w:rPr>
          <w:i/>
        </w:rPr>
        <w:t>The Effectiveness of NPV and IRR Used in Fundamental Financial Markets</w:t>
      </w:r>
      <w:r>
        <w:t xml:space="preserve">. [online] Available at: </w:t>
      </w:r>
      <w:r>
        <w:fldChar w:fldCharType="begin"/>
      </w:r>
      <w:r>
        <w:instrText xml:space="preserve"> HYPERLINK "https://www.atlantis-press.com/article/125971781.pdf" \h </w:instrText>
      </w:r>
      <w:r>
        <w:fldChar w:fldCharType="separate"/>
      </w:r>
      <w:r>
        <w:rPr>
          <w:color w:val="1155CC"/>
          <w:u w:val="single"/>
        </w:rPr>
        <w:t>https://www.atlantis-press.com/article/125971781.pdf</w:t>
      </w:r>
      <w:r>
        <w:rPr>
          <w:color w:val="1155CC"/>
          <w:u w:val="single"/>
        </w:rPr>
        <w:fldChar w:fldCharType="end"/>
      </w:r>
      <w:r>
        <w:t xml:space="preserve">. </w:t>
      </w:r>
    </w:p>
    <w:p w14:paraId="1FE72187">
      <w:r>
        <w:br w:type="page"/>
      </w:r>
    </w:p>
    <w:p w14:paraId="00FDF364">
      <w:pPr>
        <w:pStyle w:val="2"/>
      </w:pPr>
      <w:bookmarkStart w:id="32" w:name="_74po8c137k4k" w:colFirst="0" w:colLast="0"/>
      <w:bookmarkEnd w:id="32"/>
      <w:r>
        <w:t>8. Appendices</w:t>
      </w:r>
    </w:p>
    <w:p w14:paraId="296EF169">
      <w:pPr>
        <w:pStyle w:val="3"/>
      </w:pPr>
      <w:bookmarkStart w:id="33" w:name="_gtxna4dju2rj" w:colFirst="0" w:colLast="0"/>
      <w:bookmarkEnd w:id="33"/>
      <w:r>
        <w:t>8.1 Ratio Calculation</w:t>
      </w:r>
    </w:p>
    <w:p w14:paraId="203017D3">
      <w:pPr>
        <w:pStyle w:val="3"/>
      </w:pPr>
      <w:bookmarkStart w:id="34" w:name="_1l4z4myo2i85" w:colFirst="0" w:colLast="0"/>
      <w:bookmarkEnd w:id="34"/>
      <w:r>
        <w:t>8.2 Investment Appraisal for Project A</w:t>
      </w:r>
    </w:p>
    <w:p w14:paraId="700EADFD">
      <w:pPr>
        <w:rPr>
          <w:b/>
          <w:i/>
        </w:rPr>
      </w:pPr>
      <w:r>
        <w:rPr>
          <w:b/>
          <w:i/>
        </w:rPr>
        <w:t>Payback Period</w:t>
      </w:r>
    </w:p>
    <w:p w14:paraId="7E35AB2B">
      <w:pPr>
        <w:jc w:val="center"/>
      </w:pPr>
      <w:r>
        <w:drawing>
          <wp:inline distT="0" distB="0" distL="0" distR="0">
            <wp:extent cx="5227320" cy="24079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a:xfrm>
                      <a:off x="0" y="0"/>
                      <a:ext cx="5227320" cy="2407920"/>
                    </a:xfrm>
                    <a:prstGeom prst="rect">
                      <a:avLst/>
                    </a:prstGeom>
                    <a:noFill/>
                    <a:ln>
                      <a:noFill/>
                    </a:ln>
                  </pic:spPr>
                </pic:pic>
              </a:graphicData>
            </a:graphic>
          </wp:inline>
        </w:drawing>
      </w:r>
    </w:p>
    <w:p w14:paraId="6BF49A90">
      <w:pPr>
        <w:rPr>
          <w:b/>
          <w:i/>
        </w:rPr>
      </w:pPr>
      <w:r>
        <w:rPr>
          <w:b/>
          <w:i/>
        </w:rPr>
        <w:t>Accounting Rate of Return</w:t>
      </w:r>
    </w:p>
    <w:p w14:paraId="21DA6F97">
      <w:pPr>
        <w:jc w:val="center"/>
      </w:pPr>
      <w:r>
        <w:drawing>
          <wp:inline distT="0" distB="0" distL="0" distR="0">
            <wp:extent cx="4191000" cy="28270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a:xfrm>
                      <a:off x="0" y="0"/>
                      <a:ext cx="4191000" cy="2827020"/>
                    </a:xfrm>
                    <a:prstGeom prst="rect">
                      <a:avLst/>
                    </a:prstGeom>
                    <a:noFill/>
                    <a:ln>
                      <a:noFill/>
                    </a:ln>
                  </pic:spPr>
                </pic:pic>
              </a:graphicData>
            </a:graphic>
          </wp:inline>
        </w:drawing>
      </w:r>
    </w:p>
    <w:p w14:paraId="53F7AF46">
      <w:pPr>
        <w:rPr>
          <w:b/>
          <w:i/>
        </w:rPr>
      </w:pPr>
      <w:r>
        <w:rPr>
          <w:b/>
          <w:i/>
        </w:rPr>
        <w:t>Net Present Value</w:t>
      </w:r>
    </w:p>
    <w:p w14:paraId="600BEBD7">
      <w:pPr>
        <w:jc w:val="center"/>
        <w:rPr>
          <w:i/>
        </w:rPr>
      </w:pPr>
      <w:r>
        <w:drawing>
          <wp:inline distT="0" distB="0" distL="0" distR="0">
            <wp:extent cx="5547360" cy="22174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a:xfrm>
                      <a:off x="0" y="0"/>
                      <a:ext cx="5547360" cy="2217420"/>
                    </a:xfrm>
                    <a:prstGeom prst="rect">
                      <a:avLst/>
                    </a:prstGeom>
                    <a:noFill/>
                    <a:ln>
                      <a:noFill/>
                    </a:ln>
                  </pic:spPr>
                </pic:pic>
              </a:graphicData>
            </a:graphic>
          </wp:inline>
        </w:drawing>
      </w:r>
    </w:p>
    <w:p w14:paraId="44638806">
      <w:pPr>
        <w:rPr>
          <w:b/>
          <w:i/>
        </w:rPr>
      </w:pPr>
      <w:r>
        <w:rPr>
          <w:b/>
          <w:i/>
        </w:rPr>
        <w:t>Profitability Ratio</w:t>
      </w:r>
    </w:p>
    <w:p w14:paraId="39661DC1">
      <w:pPr>
        <w:jc w:val="center"/>
        <w:rPr>
          <w:b/>
          <w:i/>
        </w:rPr>
      </w:pPr>
      <w:r>
        <w:drawing>
          <wp:inline distT="0" distB="0" distL="0" distR="0">
            <wp:extent cx="3627120" cy="24231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a:xfrm>
                      <a:off x="0" y="0"/>
                      <a:ext cx="3627120" cy="2423160"/>
                    </a:xfrm>
                    <a:prstGeom prst="rect">
                      <a:avLst/>
                    </a:prstGeom>
                    <a:noFill/>
                    <a:ln>
                      <a:noFill/>
                    </a:ln>
                  </pic:spPr>
                </pic:pic>
              </a:graphicData>
            </a:graphic>
          </wp:inline>
        </w:drawing>
      </w:r>
    </w:p>
    <w:p w14:paraId="1D904B35">
      <w:pPr>
        <w:rPr>
          <w:b/>
          <w:i/>
        </w:rPr>
      </w:pPr>
      <w:r>
        <w:rPr>
          <w:b/>
          <w:i/>
        </w:rPr>
        <w:t>Internal Rate of Return</w:t>
      </w:r>
    </w:p>
    <w:p w14:paraId="43A1FEC7">
      <w:pPr>
        <w:jc w:val="center"/>
      </w:pPr>
      <w:r>
        <w:drawing>
          <wp:inline distT="0" distB="0" distL="0" distR="0">
            <wp:extent cx="2689860" cy="20116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a:xfrm>
                      <a:off x="0" y="0"/>
                      <a:ext cx="2689860" cy="2011680"/>
                    </a:xfrm>
                    <a:prstGeom prst="rect">
                      <a:avLst/>
                    </a:prstGeom>
                    <a:noFill/>
                    <a:ln>
                      <a:noFill/>
                    </a:ln>
                  </pic:spPr>
                </pic:pic>
              </a:graphicData>
            </a:graphic>
          </wp:inline>
        </w:drawing>
      </w:r>
    </w:p>
    <w:p w14:paraId="38B7FFEB">
      <w:pPr>
        <w:pStyle w:val="3"/>
      </w:pPr>
      <w:bookmarkStart w:id="35" w:name="_phj14w8y5vtk" w:colFirst="0" w:colLast="0"/>
      <w:bookmarkEnd w:id="35"/>
      <w:r>
        <w:t>8.3 Investment Appraisal for Project B</w:t>
      </w:r>
    </w:p>
    <w:p w14:paraId="05E1BC3B">
      <w:pPr>
        <w:rPr>
          <w:b/>
          <w:i/>
        </w:rPr>
      </w:pPr>
      <w:r>
        <w:rPr>
          <w:b/>
          <w:i/>
        </w:rPr>
        <w:t>Payback Period</w:t>
      </w:r>
    </w:p>
    <w:p w14:paraId="3FFEDF74">
      <w:pPr>
        <w:jc w:val="center"/>
        <w:rPr>
          <w:b/>
          <w:i/>
        </w:rPr>
      </w:pPr>
      <w:r>
        <w:drawing>
          <wp:inline distT="0" distB="0" distL="0" distR="0">
            <wp:extent cx="5943600" cy="13347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a:xfrm>
                      <a:off x="0" y="0"/>
                      <a:ext cx="5943600" cy="1334792"/>
                    </a:xfrm>
                    <a:prstGeom prst="rect">
                      <a:avLst/>
                    </a:prstGeom>
                    <a:noFill/>
                    <a:ln>
                      <a:noFill/>
                    </a:ln>
                  </pic:spPr>
                </pic:pic>
              </a:graphicData>
            </a:graphic>
          </wp:inline>
        </w:drawing>
      </w:r>
    </w:p>
    <w:p w14:paraId="2FCF2B93">
      <w:pPr>
        <w:rPr>
          <w:b/>
          <w:i/>
        </w:rPr>
      </w:pPr>
      <w:r>
        <w:rPr>
          <w:b/>
          <w:i/>
        </w:rPr>
        <w:t>Accounting Rate of Return</w:t>
      </w:r>
    </w:p>
    <w:p w14:paraId="39C7765A">
      <w:pPr>
        <w:jc w:val="center"/>
        <w:rPr>
          <w:b/>
          <w:i/>
        </w:rPr>
      </w:pPr>
      <w:r>
        <w:drawing>
          <wp:inline distT="0" distB="0" distL="0" distR="0">
            <wp:extent cx="3733800" cy="28270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a:xfrm>
                      <a:off x="0" y="0"/>
                      <a:ext cx="3733800" cy="2827020"/>
                    </a:xfrm>
                    <a:prstGeom prst="rect">
                      <a:avLst/>
                    </a:prstGeom>
                    <a:noFill/>
                    <a:ln>
                      <a:noFill/>
                    </a:ln>
                  </pic:spPr>
                </pic:pic>
              </a:graphicData>
            </a:graphic>
          </wp:inline>
        </w:drawing>
      </w:r>
    </w:p>
    <w:p w14:paraId="34142D44">
      <w:pPr>
        <w:rPr>
          <w:b/>
          <w:i/>
        </w:rPr>
      </w:pPr>
      <w:r>
        <w:rPr>
          <w:b/>
          <w:i/>
        </w:rPr>
        <w:t>Net Present Value</w:t>
      </w:r>
    </w:p>
    <w:p w14:paraId="051969FD">
      <w:pPr>
        <w:jc w:val="center"/>
        <w:rPr>
          <w:b/>
          <w:i/>
        </w:rPr>
      </w:pPr>
      <w:r>
        <w:drawing>
          <wp:inline distT="0" distB="0" distL="0" distR="0">
            <wp:extent cx="5280660" cy="22174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a:xfrm>
                      <a:off x="0" y="0"/>
                      <a:ext cx="5280660" cy="2217420"/>
                    </a:xfrm>
                    <a:prstGeom prst="rect">
                      <a:avLst/>
                    </a:prstGeom>
                    <a:noFill/>
                    <a:ln>
                      <a:noFill/>
                    </a:ln>
                  </pic:spPr>
                </pic:pic>
              </a:graphicData>
            </a:graphic>
          </wp:inline>
        </w:drawing>
      </w:r>
    </w:p>
    <w:p w14:paraId="3B03D20C">
      <w:pPr>
        <w:rPr>
          <w:b/>
          <w:i/>
        </w:rPr>
      </w:pPr>
      <w:r>
        <w:rPr>
          <w:b/>
          <w:i/>
        </w:rPr>
        <w:t>Profitability Ratio</w:t>
      </w:r>
    </w:p>
    <w:p w14:paraId="1C9DE69C">
      <w:pPr>
        <w:jc w:val="center"/>
        <w:rPr>
          <w:b/>
          <w:i/>
        </w:rPr>
      </w:pPr>
      <w:r>
        <w:drawing>
          <wp:inline distT="0" distB="0" distL="0" distR="0">
            <wp:extent cx="4328160" cy="24231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a:xfrm>
                      <a:off x="0" y="0"/>
                      <a:ext cx="4328160" cy="2423160"/>
                    </a:xfrm>
                    <a:prstGeom prst="rect">
                      <a:avLst/>
                    </a:prstGeom>
                    <a:noFill/>
                    <a:ln>
                      <a:noFill/>
                    </a:ln>
                  </pic:spPr>
                </pic:pic>
              </a:graphicData>
            </a:graphic>
          </wp:inline>
        </w:drawing>
      </w:r>
    </w:p>
    <w:p w14:paraId="70A4B6C0">
      <w:pPr>
        <w:rPr>
          <w:b/>
          <w:i/>
        </w:rPr>
      </w:pPr>
      <w:r>
        <w:rPr>
          <w:b/>
          <w:i/>
        </w:rPr>
        <w:t>Internal Rate of Return</w:t>
      </w:r>
    </w:p>
    <w:p w14:paraId="7A03D9E9">
      <w:pPr>
        <w:jc w:val="center"/>
      </w:pPr>
      <w:r>
        <w:drawing>
          <wp:inline distT="0" distB="0" distL="0" distR="0">
            <wp:extent cx="2689860" cy="2011680"/>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a:xfrm>
                      <a:off x="0" y="0"/>
                      <a:ext cx="2689860" cy="2011680"/>
                    </a:xfrm>
                    <a:prstGeom prst="rect">
                      <a:avLst/>
                    </a:prstGeom>
                    <a:noFill/>
                    <a:ln>
                      <a:noFill/>
                    </a:ln>
                  </pic:spPr>
                </pic:pic>
              </a:graphicData>
            </a:graphic>
          </wp:inline>
        </w:drawing>
      </w:r>
    </w:p>
    <w:p w14:paraId="00CBAAB9">
      <w:pPr>
        <w:pStyle w:val="3"/>
      </w:pPr>
      <w:bookmarkStart w:id="36" w:name="_i57wkw9owyc1" w:colFirst="0" w:colLast="0"/>
      <w:bookmarkEnd w:id="36"/>
      <w:r>
        <w:t>8.4 Investment Appraisal for Project C</w:t>
      </w:r>
    </w:p>
    <w:p w14:paraId="20611E0D">
      <w:pPr>
        <w:rPr>
          <w:b/>
          <w:i/>
        </w:rPr>
      </w:pPr>
      <w:r>
        <w:rPr>
          <w:b/>
          <w:i/>
        </w:rPr>
        <w:t>Payback Period</w:t>
      </w:r>
    </w:p>
    <w:p w14:paraId="48CA9DF5">
      <w:pPr>
        <w:rPr>
          <w:b/>
          <w:i/>
        </w:rPr>
      </w:pPr>
      <w:r>
        <w:drawing>
          <wp:inline distT="0" distB="0" distL="0" distR="0">
            <wp:extent cx="5943600" cy="113982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a:xfrm>
                      <a:off x="0" y="0"/>
                      <a:ext cx="5943600" cy="1140311"/>
                    </a:xfrm>
                    <a:prstGeom prst="rect">
                      <a:avLst/>
                    </a:prstGeom>
                    <a:noFill/>
                    <a:ln>
                      <a:noFill/>
                    </a:ln>
                  </pic:spPr>
                </pic:pic>
              </a:graphicData>
            </a:graphic>
          </wp:inline>
        </w:drawing>
      </w:r>
    </w:p>
    <w:p w14:paraId="201A9F0D">
      <w:pPr>
        <w:rPr>
          <w:b/>
          <w:i/>
        </w:rPr>
      </w:pPr>
      <w:r>
        <w:rPr>
          <w:b/>
          <w:i/>
        </w:rPr>
        <w:t>Accounting Rate of Return</w:t>
      </w:r>
    </w:p>
    <w:p w14:paraId="38548C31">
      <w:pPr>
        <w:jc w:val="center"/>
        <w:rPr>
          <w:b/>
          <w:i/>
        </w:rPr>
      </w:pPr>
      <w:r>
        <w:drawing>
          <wp:inline distT="0" distB="0" distL="0" distR="0">
            <wp:extent cx="3733800" cy="28270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a:xfrm>
                      <a:off x="0" y="0"/>
                      <a:ext cx="3733800" cy="2827020"/>
                    </a:xfrm>
                    <a:prstGeom prst="rect">
                      <a:avLst/>
                    </a:prstGeom>
                    <a:noFill/>
                    <a:ln>
                      <a:noFill/>
                    </a:ln>
                  </pic:spPr>
                </pic:pic>
              </a:graphicData>
            </a:graphic>
          </wp:inline>
        </w:drawing>
      </w:r>
    </w:p>
    <w:p w14:paraId="1E92FECE">
      <w:pPr>
        <w:rPr>
          <w:b/>
          <w:i/>
        </w:rPr>
      </w:pPr>
      <w:r>
        <w:rPr>
          <w:b/>
          <w:i/>
        </w:rPr>
        <w:t>Net Present Value</w:t>
      </w:r>
    </w:p>
    <w:p w14:paraId="0845F7DC">
      <w:pPr>
        <w:jc w:val="center"/>
        <w:rPr>
          <w:b/>
          <w:i/>
        </w:rPr>
      </w:pPr>
      <w:r>
        <w:drawing>
          <wp:inline distT="0" distB="0" distL="0" distR="0">
            <wp:extent cx="5943600" cy="2148205"/>
            <wp:effectExtent l="0" t="0" r="0" b="444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a:xfrm>
                      <a:off x="0" y="0"/>
                      <a:ext cx="5943600" cy="2148556"/>
                    </a:xfrm>
                    <a:prstGeom prst="rect">
                      <a:avLst/>
                    </a:prstGeom>
                    <a:noFill/>
                    <a:ln>
                      <a:noFill/>
                    </a:ln>
                  </pic:spPr>
                </pic:pic>
              </a:graphicData>
            </a:graphic>
          </wp:inline>
        </w:drawing>
      </w:r>
    </w:p>
    <w:p w14:paraId="7F427049">
      <w:pPr>
        <w:rPr>
          <w:b/>
          <w:i/>
        </w:rPr>
      </w:pPr>
      <w:r>
        <w:rPr>
          <w:b/>
          <w:i/>
        </w:rPr>
        <w:t>Profitability Ratio</w:t>
      </w:r>
    </w:p>
    <w:p w14:paraId="32DA97A8">
      <w:pPr>
        <w:jc w:val="center"/>
        <w:rPr>
          <w:b/>
          <w:i/>
        </w:rPr>
      </w:pPr>
      <w:r>
        <w:drawing>
          <wp:inline distT="0" distB="0" distL="0" distR="0">
            <wp:extent cx="4328160" cy="24231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a:xfrm>
                      <a:off x="0" y="0"/>
                      <a:ext cx="4328160" cy="2423160"/>
                    </a:xfrm>
                    <a:prstGeom prst="rect">
                      <a:avLst/>
                    </a:prstGeom>
                    <a:noFill/>
                    <a:ln>
                      <a:noFill/>
                    </a:ln>
                  </pic:spPr>
                </pic:pic>
              </a:graphicData>
            </a:graphic>
          </wp:inline>
        </w:drawing>
      </w:r>
    </w:p>
    <w:p w14:paraId="06F8DAAE">
      <w:pPr>
        <w:rPr>
          <w:b/>
          <w:i/>
        </w:rPr>
      </w:pPr>
      <w:r>
        <w:rPr>
          <w:b/>
          <w:i/>
        </w:rPr>
        <w:t>Internal Rate of Return</w:t>
      </w:r>
    </w:p>
    <w:p w14:paraId="13EA061A">
      <w:pPr>
        <w:jc w:val="center"/>
      </w:pPr>
      <w:r>
        <w:drawing>
          <wp:inline distT="0" distB="0" distL="0" distR="0">
            <wp:extent cx="2689860" cy="2011680"/>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a:xfrm>
                      <a:off x="0" y="0"/>
                      <a:ext cx="2689860" cy="2011680"/>
                    </a:xfrm>
                    <a:prstGeom prst="rect">
                      <a:avLst/>
                    </a:prstGeom>
                    <a:noFill/>
                    <a:ln>
                      <a:noFill/>
                    </a:ln>
                  </pic:spPr>
                </pic:pic>
              </a:graphicData>
            </a:graphic>
          </wp:inline>
        </w:drawing>
      </w:r>
    </w:p>
    <w:sectPr>
      <w:headerReference r:id="rId5" w:type="first"/>
      <w:footerReference r:id="rId7" w:type="first"/>
      <w:footerReference r:id="rId6"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40DC5C1B-CB26-4BC5-9BDE-CBDB9C87F786}"/>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6B2DA18B-42B7-4730-B9B8-E4882D4FD641}"/>
  </w:font>
  <w:font w:name="Wingdings">
    <w:panose1 w:val="05000000000000000000"/>
    <w:charset w:val="02"/>
    <w:family w:val="auto"/>
    <w:pitch w:val="default"/>
    <w:sig w:usb0="00000000" w:usb1="00000000" w:usb2="00000000" w:usb3="00000000" w:csb0="80000000" w:csb1="00000000"/>
    <w:embedRegular r:id="rId3" w:fontKey="{07A921AB-952F-4027-BA5D-4170D97947AF}"/>
  </w:font>
  <w:font w:name="Calibri">
    <w:panose1 w:val="020F0502020204030204"/>
    <w:charset w:val="00"/>
    <w:family w:val="swiss"/>
    <w:pitch w:val="default"/>
    <w:sig w:usb0="E4002EFF" w:usb1="C200247B" w:usb2="00000009" w:usb3="00000000" w:csb0="200001FF" w:csb1="00000000"/>
    <w:embedRegular r:id="rId4" w:fontKey="{873B23D3-ED26-4B4E-96A8-548C385A5BFA}"/>
  </w:font>
  <w:font w:name="等线">
    <w:altName w:val="Microsoft YaHei"/>
    <w:panose1 w:val="00000000000000000000"/>
    <w:charset w:val="86"/>
    <w:family w:val="auto"/>
    <w:pitch w:val="default"/>
    <w:sig w:usb0="00000000" w:usb1="00000000" w:usb2="00000000" w:usb3="00000000" w:csb0="00000000" w:csb1="00000000"/>
  </w:font>
  <w:font w:name="Gungsuh">
    <w:panose1 w:val="02030600000101010101"/>
    <w:charset w:val="81"/>
    <w:family w:val="roman"/>
    <w:pitch w:val="default"/>
    <w:sig w:usb0="B00002AF" w:usb1="69D77CFB" w:usb2="00000030" w:usb3="00000000" w:csb0="4008009F" w:csb1="DFD70000"/>
    <w:embedRegular r:id="rId5" w:fontKey="{104EF057-E441-48C3-8246-1980D724FC27}"/>
  </w:font>
  <w:font w:name="Cambria">
    <w:panose1 w:val="02040503050406030204"/>
    <w:charset w:val="00"/>
    <w:family w:val="roman"/>
    <w:pitch w:val="default"/>
    <w:sig w:usb0="E00006FF" w:usb1="420024FF" w:usb2="02000000" w:usb3="00000000" w:csb0="2000019F" w:csb1="00000000"/>
    <w:embedRegular r:id="rId6" w:fontKey="{DB8F1CD0-7C4A-427E-8747-A70FD11DF3B4}"/>
  </w:font>
  <w:font w:name="Shruti">
    <w:panose1 w:val="020B0502040204020203"/>
    <w:charset w:val="00"/>
    <w:family w:val="auto"/>
    <w:pitch w:val="default"/>
    <w:sig w:usb0="00040003" w:usb1="00000000" w:usb2="00000000" w:usb3="00000000" w:csb0="00000001" w:csb1="00000000"/>
    <w:embedRegular r:id="rId7" w:fontKey="{A33E90F1-63C7-4B6B-B5C3-068778A7FA3D}"/>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45B4CF3">
    <w:pPr>
      <w:jc w:val="right"/>
    </w:pPr>
    <w:r>
      <w:fldChar w:fldCharType="begin"/>
    </w:r>
    <w:r>
      <w:instrText xml:space="preserve">PAGE</w:instrText>
    </w:r>
    <w:r>
      <w:fldChar w:fldCharType="separate"/>
    </w:r>
    <w:r>
      <w:t>35</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9D6F22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DD69F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339"/>
    <w:rsid w:val="0006547D"/>
    <w:rsid w:val="00074ABC"/>
    <w:rsid w:val="00097AB8"/>
    <w:rsid w:val="002B46D6"/>
    <w:rsid w:val="003B0860"/>
    <w:rsid w:val="00835339"/>
    <w:rsid w:val="008771E1"/>
    <w:rsid w:val="009151B9"/>
    <w:rsid w:val="00931375"/>
    <w:rsid w:val="009D3728"/>
    <w:rsid w:val="00A11BAF"/>
    <w:rsid w:val="00A377FC"/>
    <w:rsid w:val="00A47330"/>
    <w:rsid w:val="00CE2C8E"/>
    <w:rsid w:val="00E31BE9"/>
    <w:rsid w:val="40487AED"/>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200" w:line="360" w:lineRule="auto"/>
      <w:jc w:val="both"/>
    </w:pPr>
    <w:rPr>
      <w:rFonts w:ascii="Times New Roman" w:hAnsi="Times New Roman" w:eastAsia="Times New Roman" w:cs="Times New Roman"/>
      <w:sz w:val="24"/>
      <w:szCs w:val="24"/>
      <w:lang w:val="en" w:eastAsia="en-US" w:bidi="ar-SA"/>
    </w:rPr>
  </w:style>
  <w:style w:type="paragraph" w:styleId="2">
    <w:name w:val="heading 1"/>
    <w:basedOn w:val="1"/>
    <w:next w:val="1"/>
    <w:uiPriority w:val="0"/>
    <w:pPr>
      <w:keepNext/>
      <w:keepLines/>
      <w:outlineLvl w:val="0"/>
    </w:pPr>
    <w:rPr>
      <w:b/>
      <w:sz w:val="28"/>
      <w:szCs w:val="28"/>
    </w:rPr>
  </w:style>
  <w:style w:type="paragraph" w:styleId="3">
    <w:name w:val="heading 2"/>
    <w:basedOn w:val="1"/>
    <w:next w:val="1"/>
    <w:qFormat/>
    <w:uiPriority w:val="0"/>
    <w:pPr>
      <w:keepNext/>
      <w:keepLines/>
      <w:outlineLvl w:val="1"/>
    </w:pPr>
    <w:rPr>
      <w:b/>
    </w:rPr>
  </w:style>
  <w:style w:type="paragraph" w:styleId="4">
    <w:name w:val="heading 3"/>
    <w:basedOn w:val="1"/>
    <w:next w:val="1"/>
    <w:uiPriority w:val="0"/>
    <w:pPr>
      <w:keepNext/>
      <w:keepLines/>
      <w:outlineLvl w:val="2"/>
    </w:pPr>
    <w:rPr>
      <w:b/>
      <w:i/>
    </w:rPr>
  </w:style>
  <w:style w:type="paragraph" w:styleId="5">
    <w:name w:val="heading 4"/>
    <w:basedOn w:val="1"/>
    <w:next w:val="1"/>
    <w:uiPriority w:val="0"/>
    <w:pPr>
      <w:keepNext/>
      <w:keepLines/>
      <w:spacing w:before="280" w:after="80"/>
      <w:outlineLvl w:val="3"/>
    </w:pPr>
    <w:rPr>
      <w:color w:val="666666"/>
    </w:rPr>
  </w:style>
  <w:style w:type="paragraph" w:styleId="6">
    <w:name w:val="heading 5"/>
    <w:basedOn w:val="1"/>
    <w:next w:val="1"/>
    <w:uiPriority w:val="0"/>
    <w:pPr>
      <w:keepNext/>
      <w:keepLines/>
      <w:spacing w:before="240" w:after="80"/>
      <w:outlineLvl w:val="4"/>
    </w:pPr>
    <w:rPr>
      <w:color w:val="666666"/>
      <w:sz w:val="22"/>
      <w:szCs w:val="22"/>
    </w:rPr>
  </w:style>
  <w:style w:type="paragraph" w:styleId="7">
    <w:name w:val="heading 6"/>
    <w:basedOn w:val="1"/>
    <w:next w:val="1"/>
    <w:uiPriority w:val="0"/>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Subtitle"/>
    <w:basedOn w:val="1"/>
    <w:next w:val="1"/>
    <w:qFormat/>
    <w:uiPriority w:val="0"/>
    <w:pPr>
      <w:keepNext/>
      <w:keepLines/>
      <w:spacing w:after="320"/>
    </w:pPr>
    <w:rPr>
      <w:rFonts w:ascii="Arial" w:hAnsi="Arial" w:eastAsia="Arial" w:cs="Arial"/>
      <w:color w:val="666666"/>
      <w:sz w:val="30"/>
      <w:szCs w:val="30"/>
    </w:rPr>
  </w:style>
  <w:style w:type="paragraph" w:styleId="11">
    <w:name w:val="Title"/>
    <w:basedOn w:val="1"/>
    <w:next w:val="1"/>
    <w:qFormat/>
    <w:uiPriority w:val="0"/>
    <w:pPr>
      <w:keepNext/>
      <w:keepLines/>
      <w:spacing w:after="60"/>
    </w:pPr>
    <w:rPr>
      <w:sz w:val="52"/>
      <w:szCs w:val="52"/>
    </w:rPr>
  </w:style>
  <w:style w:type="table" w:customStyle="1" w:styleId="12">
    <w:name w:val="TableNormal"/>
    <w:qFormat/>
    <w:uiPriority w:val="0"/>
    <w:tblPr>
      <w:tblCellMar>
        <w:top w:w="100" w:type="dxa"/>
        <w:left w:w="100" w:type="dxa"/>
        <w:bottom w:w="100" w:type="dxa"/>
        <w:right w:w="100" w:type="dxa"/>
      </w:tblCellMar>
    </w:tblPr>
  </w:style>
  <w:style w:type="table" w:customStyle="1" w:styleId="13">
    <w:name w:val="_Style 12"/>
    <w:basedOn w:val="12"/>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9" Type="http://schemas.openxmlformats.org/officeDocument/2006/relationships/fontTable" Target="fontTable.xml"/><Relationship Id="rId38" Type="http://schemas.openxmlformats.org/officeDocument/2006/relationships/image" Target="media/image20.emf"/><Relationship Id="rId37" Type="http://schemas.openxmlformats.org/officeDocument/2006/relationships/image" Target="media/image19.emf"/><Relationship Id="rId36" Type="http://schemas.openxmlformats.org/officeDocument/2006/relationships/image" Target="media/image18.emf"/><Relationship Id="rId35" Type="http://schemas.openxmlformats.org/officeDocument/2006/relationships/image" Target="media/image17.emf"/><Relationship Id="rId34" Type="http://schemas.openxmlformats.org/officeDocument/2006/relationships/image" Target="media/image16.emf"/><Relationship Id="rId33" Type="http://schemas.openxmlformats.org/officeDocument/2006/relationships/image" Target="media/image15.emf"/><Relationship Id="rId32" Type="http://schemas.openxmlformats.org/officeDocument/2006/relationships/image" Target="media/image14.emf"/><Relationship Id="rId31" Type="http://schemas.openxmlformats.org/officeDocument/2006/relationships/image" Target="media/image13.emf"/><Relationship Id="rId30" Type="http://schemas.openxmlformats.org/officeDocument/2006/relationships/image" Target="media/image12.emf"/><Relationship Id="rId3" Type="http://schemas.openxmlformats.org/officeDocument/2006/relationships/footnotes" Target="footnotes.xml"/><Relationship Id="rId29" Type="http://schemas.openxmlformats.org/officeDocument/2006/relationships/image" Target="media/image11.emf"/><Relationship Id="rId28" Type="http://schemas.openxmlformats.org/officeDocument/2006/relationships/image" Target="media/image10.emf"/><Relationship Id="rId27" Type="http://schemas.openxmlformats.org/officeDocument/2006/relationships/image" Target="media/image9.emf"/><Relationship Id="rId26" Type="http://schemas.openxmlformats.org/officeDocument/2006/relationships/image" Target="media/image8.emf"/><Relationship Id="rId25" Type="http://schemas.openxmlformats.org/officeDocument/2006/relationships/image" Target="media/image7.emf"/><Relationship Id="rId24" Type="http://schemas.openxmlformats.org/officeDocument/2006/relationships/image" Target="media/image6.emf"/><Relationship Id="rId23" Type="http://schemas.openxmlformats.org/officeDocument/2006/relationships/image" Target="media/image5.emf"/><Relationship Id="rId22" Type="http://schemas.openxmlformats.org/officeDocument/2006/relationships/image" Target="media/image4.emf"/><Relationship Id="rId21" Type="http://schemas.openxmlformats.org/officeDocument/2006/relationships/image" Target="media/image3.emf"/><Relationship Id="rId20" Type="http://schemas.openxmlformats.org/officeDocument/2006/relationships/chart" Target="charts/chart10.xml"/><Relationship Id="rId2" Type="http://schemas.openxmlformats.org/officeDocument/2006/relationships/settings" Target="settings.xml"/><Relationship Id="rId19" Type="http://schemas.openxmlformats.org/officeDocument/2006/relationships/chart" Target="charts/chart9.xml"/><Relationship Id="rId18" Type="http://schemas.openxmlformats.org/officeDocument/2006/relationships/image" Target="media/image2.emf"/><Relationship Id="rId17" Type="http://schemas.openxmlformats.org/officeDocument/2006/relationships/chart" Target="charts/chart8.xml"/><Relationship Id="rId16" Type="http://schemas.openxmlformats.org/officeDocument/2006/relationships/chart" Target="charts/chart7.xml"/><Relationship Id="rId15" Type="http://schemas.openxmlformats.org/officeDocument/2006/relationships/chart" Target="charts/chart6.xml"/><Relationship Id="rId14" Type="http://schemas.openxmlformats.org/officeDocument/2006/relationships/chart" Target="charts/chart5.xml"/><Relationship Id="rId13" Type="http://schemas.openxmlformats.org/officeDocument/2006/relationships/chart" Target="charts/chart4.xml"/><Relationship Id="rId12" Type="http://schemas.openxmlformats.org/officeDocument/2006/relationships/chart" Target="charts/chart3.xml"/><Relationship Id="rId11" Type="http://schemas.openxmlformats.org/officeDocument/2006/relationships/chart" Target="charts/chart2.xml"/><Relationship Id="rId10" Type="http://schemas.openxmlformats.org/officeDocument/2006/relationships/chart" Target="charts/chart1.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microsoft.com/office/2011/relationships/chartColorStyle" Target="colors10.xml"/><Relationship Id="rId2" Type="http://schemas.microsoft.com/office/2011/relationships/chartStyle" Target="style10.xml"/><Relationship Id="rId1" Type="http://schemas.openxmlformats.org/officeDocument/2006/relationships/oleObject" Target="file:///D:\A2\BM12265\Calculation.xlsx" TargetMode="External"/></Relationships>
</file>

<file path=word/charts/_rels/chart2.xml.rels><?xml version="1.0" encoding="UTF-8" standalone="yes"?>
<Relationships xmlns="http://schemas.openxmlformats.org/package/2006/relationships"><Relationship Id="rId3" Type="http://schemas.microsoft.com/office/2011/relationships/chartColorStyle" Target="colors9.xml"/><Relationship Id="rId2" Type="http://schemas.microsoft.com/office/2011/relationships/chartStyle" Target="style9.xml"/><Relationship Id="rId1" Type="http://schemas.openxmlformats.org/officeDocument/2006/relationships/oleObject" Target="file:///D:\A2\BM12265\Calculation.xlsx" TargetMode="External"/></Relationships>
</file>

<file path=word/charts/_rels/chart3.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file:///D:\A2\BM12265\Calculation.xlsx" TargetMode="External"/></Relationships>
</file>

<file path=word/charts/_rels/chart4.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file:///D:\A2\BM12265\Calculation.xlsx"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D:\A2\BM12265\Calculation.xlsx" TargetMode="External"/></Relationships>
</file>

<file path=word/charts/_rels/chart6.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D:\A2\BM12265\Calculation.xlsx" TargetMode="External"/></Relationships>
</file>

<file path=word/charts/_rels/chart7.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D:\A2\BM12265\Calculation.xlsx" TargetMode="External"/></Relationships>
</file>

<file path=word/charts/_rels/chart8.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D:\A2\BM12265\Calculation.xlsx" TargetMode="External"/></Relationships>
</file>

<file path=word/charts/_rels/chart9.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D:\A2\BM12265\Calculation.xlsx" TargetMode="External"/></Relationships>
</file>

<file path=word/charts/_rels/chart10.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D:\A2\BM12265\Calcul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Trend Analysis</a:t>
            </a:r>
            <a:endParaRPr lang="en-US"/>
          </a:p>
        </c:rich>
      </c:tx>
      <c:layout/>
      <c:overlay val="0"/>
      <c:spPr>
        <a:noFill/>
        <a:ln>
          <a:noFill/>
        </a:ln>
        <a:effectLst/>
      </c:spPr>
    </c:title>
    <c:autoTitleDeleted val="0"/>
    <c:plotArea>
      <c:layout/>
      <c:barChart>
        <c:barDir val="col"/>
        <c:grouping val="clustered"/>
        <c:varyColors val="0"/>
        <c:ser>
          <c:idx val="0"/>
          <c:order val="0"/>
          <c:tx>
            <c:strRef>
              <c:f>'[Calculation.xlsx]Trend Analysis'!$B$3</c:f>
              <c:strCache>
                <c:ptCount val="1"/>
                <c:pt idx="0">
                  <c:v>Net sales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elete val="1"/>
          </c:dLbls>
          <c:cat>
            <c:numRef>
              <c:f>'[Calculation.xlsx]Trend Analysis'!$C$2:$G$2</c:f>
              <c:numCache>
                <c:formatCode>General</c:formatCode>
                <c:ptCount val="5"/>
                <c:pt idx="0">
                  <c:v>2020</c:v>
                </c:pt>
                <c:pt idx="1">
                  <c:v>2021</c:v>
                </c:pt>
                <c:pt idx="2">
                  <c:v>2022</c:v>
                </c:pt>
                <c:pt idx="3">
                  <c:v>2023</c:v>
                </c:pt>
                <c:pt idx="4">
                  <c:v>2024</c:v>
                </c:pt>
              </c:numCache>
            </c:numRef>
          </c:cat>
          <c:val>
            <c:numRef>
              <c:f>'[Calculation.xlsx]Trend Analysis'!$C$3:$G$3</c:f>
              <c:numCache>
                <c:formatCode>_-[$£-809]* #,##0.00_-;\-[$£-809]* #,##0.00_-;_-[$£-809]* "-"??_-;_-@_-</c:formatCode>
                <c:ptCount val="5"/>
                <c:pt idx="0">
                  <c:v>614680</c:v>
                </c:pt>
                <c:pt idx="1">
                  <c:v>601602</c:v>
                </c:pt>
                <c:pt idx="2">
                  <c:v>542751</c:v>
                </c:pt>
                <c:pt idx="3">
                  <c:v>420457</c:v>
                </c:pt>
                <c:pt idx="4">
                  <c:v>394879</c:v>
                </c:pt>
              </c:numCache>
            </c:numRef>
          </c:val>
        </c:ser>
        <c:ser>
          <c:idx val="1"/>
          <c:order val="1"/>
          <c:tx>
            <c:strRef>
              <c:f>'[Calculation.xlsx]Trend Analysis'!$B$4</c:f>
              <c:strCache>
                <c:ptCount val="1"/>
                <c:pt idx="0">
                  <c:v>Operating income (loss)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elete val="1"/>
          </c:dLbls>
          <c:cat>
            <c:numRef>
              <c:f>'[Calculation.xlsx]Trend Analysis'!$C$2:$G$2</c:f>
              <c:numCache>
                <c:formatCode>General</c:formatCode>
                <c:ptCount val="5"/>
                <c:pt idx="0">
                  <c:v>2020</c:v>
                </c:pt>
                <c:pt idx="1">
                  <c:v>2021</c:v>
                </c:pt>
                <c:pt idx="2">
                  <c:v>2022</c:v>
                </c:pt>
                <c:pt idx="3">
                  <c:v>2023</c:v>
                </c:pt>
                <c:pt idx="4">
                  <c:v>2024</c:v>
                </c:pt>
              </c:numCache>
            </c:numRef>
          </c:cat>
          <c:val>
            <c:numRef>
              <c:f>'[Calculation.xlsx]Trend Analysis'!$C$4:$G$4</c:f>
              <c:numCache>
                <c:formatCode>_-[$£-809]* #,##0.00_-;\-[$£-809]* #,##0.00_-;_-[$£-809]* "-"??_-;_-@_-</c:formatCode>
                <c:ptCount val="5"/>
                <c:pt idx="0">
                  <c:v>37267</c:v>
                </c:pt>
                <c:pt idx="1">
                  <c:v>23253</c:v>
                </c:pt>
                <c:pt idx="2">
                  <c:v>14548</c:v>
                </c:pt>
                <c:pt idx="3">
                  <c:v>-85301</c:v>
                </c:pt>
                <c:pt idx="4">
                  <c:v>-15297</c:v>
                </c:pt>
              </c:numCache>
            </c:numRef>
          </c:val>
        </c:ser>
        <c:ser>
          <c:idx val="2"/>
          <c:order val="2"/>
          <c:tx>
            <c:strRef>
              <c:f>'[Calculation.xlsx]Trend Analysis'!$B$5</c:f>
              <c:strCache>
                <c:ptCount val="1"/>
                <c:pt idx="0">
                  <c:v>Net income (loss)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elete val="1"/>
          </c:dLbls>
          <c:cat>
            <c:numRef>
              <c:f>'[Calculation.xlsx]Trend Analysis'!$C$2:$G$2</c:f>
              <c:numCache>
                <c:formatCode>General</c:formatCode>
                <c:ptCount val="5"/>
                <c:pt idx="0">
                  <c:v>2020</c:v>
                </c:pt>
                <c:pt idx="1">
                  <c:v>2021</c:v>
                </c:pt>
                <c:pt idx="2">
                  <c:v>2022</c:v>
                </c:pt>
                <c:pt idx="3">
                  <c:v>2023</c:v>
                </c:pt>
                <c:pt idx="4">
                  <c:v>2024</c:v>
                </c:pt>
              </c:numCache>
            </c:numRef>
          </c:cat>
          <c:val>
            <c:numRef>
              <c:f>'[Calculation.xlsx]Trend Analysis'!$C$5:$G$5</c:f>
              <c:numCache>
                <c:formatCode>_-[$£-809]* #,##0.00_-;\-[$£-809]* #,##0.00_-;_-[$£-809]* "-"??_-;_-@_-</c:formatCode>
                <c:ptCount val="5"/>
                <c:pt idx="0">
                  <c:v>38572</c:v>
                </c:pt>
                <c:pt idx="1">
                  <c:v>5301</c:v>
                </c:pt>
                <c:pt idx="2">
                  <c:v>407</c:v>
                </c:pt>
                <c:pt idx="3">
                  <c:v>-98238</c:v>
                </c:pt>
                <c:pt idx="4">
                  <c:v>-24029</c:v>
                </c:pt>
              </c:numCache>
            </c:numRef>
          </c:val>
        </c:ser>
        <c:ser>
          <c:idx val="3"/>
          <c:order val="3"/>
          <c:tx>
            <c:strRef>
              <c:f>'[Calculation.xlsx]Trend Analysis'!$B$6</c:f>
              <c:strCache>
                <c:ptCount val="1"/>
                <c:pt idx="0">
                  <c:v>Total assets</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delete val="1"/>
          </c:dLbls>
          <c:cat>
            <c:numRef>
              <c:f>'[Calculation.xlsx]Trend Analysis'!$C$2:$G$2</c:f>
              <c:numCache>
                <c:formatCode>General</c:formatCode>
                <c:ptCount val="5"/>
                <c:pt idx="0">
                  <c:v>2020</c:v>
                </c:pt>
                <c:pt idx="1">
                  <c:v>2021</c:v>
                </c:pt>
                <c:pt idx="2">
                  <c:v>2022</c:v>
                </c:pt>
                <c:pt idx="3">
                  <c:v>2023</c:v>
                </c:pt>
                <c:pt idx="4">
                  <c:v>2024</c:v>
                </c:pt>
              </c:numCache>
            </c:numRef>
          </c:cat>
          <c:val>
            <c:numRef>
              <c:f>'[Calculation.xlsx]Trend Analysis'!$C$6:$G$6</c:f>
              <c:numCache>
                <c:formatCode>_-[$£-809]* #,##0.00_-;\-[$£-809]* #,##0.00_-;_-[$£-809]* "-"??_-;_-@_-</c:formatCode>
                <c:ptCount val="5"/>
                <c:pt idx="0">
                  <c:v>510290</c:v>
                </c:pt>
                <c:pt idx="1">
                  <c:v>510348</c:v>
                </c:pt>
                <c:pt idx="2">
                  <c:v>504163</c:v>
                </c:pt>
                <c:pt idx="3">
                  <c:v>355872</c:v>
                </c:pt>
                <c:pt idx="4">
                  <c:v>323354</c:v>
                </c:pt>
              </c:numCache>
            </c:numRef>
          </c:val>
        </c:ser>
        <c:dLbls>
          <c:showLegendKey val="0"/>
          <c:showVal val="0"/>
          <c:showCatName val="0"/>
          <c:showSerName val="0"/>
          <c:showPercent val="0"/>
          <c:showBubbleSize val="0"/>
        </c:dLbls>
        <c:gapWidth val="100"/>
        <c:overlap val="-24"/>
        <c:axId val="1931244448"/>
        <c:axId val="1931229888"/>
      </c:barChart>
      <c:catAx>
        <c:axId val="193124444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931229888"/>
        <c:crosses val="autoZero"/>
        <c:auto val="1"/>
        <c:lblAlgn val="ctr"/>
        <c:lblOffset val="100"/>
        <c:noMultiLvlLbl val="0"/>
      </c:catAx>
      <c:valAx>
        <c:axId val="1931229888"/>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9312444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2e8543ba-dc09-44b7-9e52-bfc559b0e09d}"/>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Profitability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[Calculation.xlsx]Ratio!$B$9:$C$9</c:f>
              <c:strCache>
                <c:ptCount val="1"/>
                <c:pt idx="0">
                  <c:v>Net Margin C/A</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[Calculation.xlsx]Ratio!$D$3:$H$3</c:f>
              <c:numCache>
                <c:formatCode>General</c:formatCode>
                <c:ptCount val="5"/>
                <c:pt idx="0">
                  <c:v>2020</c:v>
                </c:pt>
                <c:pt idx="1">
                  <c:v>2021</c:v>
                </c:pt>
                <c:pt idx="2">
                  <c:v>2022</c:v>
                </c:pt>
                <c:pt idx="3">
                  <c:v>2023</c:v>
                </c:pt>
                <c:pt idx="4">
                  <c:v>2024</c:v>
                </c:pt>
              </c:numCache>
            </c:numRef>
          </c:cat>
          <c:val>
            <c:numRef>
              <c:f>[Calculation.xlsx]Ratio!$D$9:$H$9</c:f>
              <c:numCache>
                <c:formatCode>0.00%</c:formatCode>
                <c:ptCount val="5"/>
                <c:pt idx="0">
                  <c:v>0.062751350296089</c:v>
                </c:pt>
                <c:pt idx="1">
                  <c:v>0.00881147336611248</c:v>
                </c:pt>
                <c:pt idx="2">
                  <c:v>0.000749883464056262</c:v>
                </c:pt>
                <c:pt idx="3">
                  <c:v>-0.233645771149012</c:v>
                </c:pt>
                <c:pt idx="4">
                  <c:v>-0.0608515519944084</c:v>
                </c:pt>
              </c:numCache>
            </c:numRef>
          </c:val>
        </c:ser>
        <c:ser>
          <c:idx val="1"/>
          <c:order val="1"/>
          <c:tx>
            <c:strRef>
              <c:f>[Calculation.xlsx]Ratio!$B$10:$C$10</c:f>
              <c:strCache>
                <c:ptCount val="1"/>
                <c:pt idx="0">
                  <c:v>Return on Capital Employed (ROCE) B/(D-E)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[Calculation.xlsx]Ratio!$D$3:$H$3</c:f>
              <c:numCache>
                <c:formatCode>General</c:formatCode>
                <c:ptCount val="5"/>
                <c:pt idx="0">
                  <c:v>2020</c:v>
                </c:pt>
                <c:pt idx="1">
                  <c:v>2021</c:v>
                </c:pt>
                <c:pt idx="2">
                  <c:v>2022</c:v>
                </c:pt>
                <c:pt idx="3">
                  <c:v>2023</c:v>
                </c:pt>
                <c:pt idx="4">
                  <c:v>2024</c:v>
                </c:pt>
              </c:numCache>
            </c:numRef>
          </c:cat>
          <c:val>
            <c:numRef>
              <c:f>[Calculation.xlsx]Ratio!$D$10:$H$10</c:f>
              <c:numCache>
                <c:formatCode>0.00%</c:formatCode>
                <c:ptCount val="5"/>
                <c:pt idx="0">
                  <c:v>0.112664006288167</c:v>
                </c:pt>
                <c:pt idx="1">
                  <c:v>0.0792101130599773</c:v>
                </c:pt>
                <c:pt idx="2">
                  <c:v>0.0505683200667385</c:v>
                </c:pt>
                <c:pt idx="3">
                  <c:v>-0.43806105051252</c:v>
                </c:pt>
                <c:pt idx="4">
                  <c:v>-0.0926737064030098</c:v>
                </c:pt>
              </c:numCache>
            </c:numRef>
          </c:val>
        </c:ser>
        <c:dLbls>
          <c:showLegendKey val="0"/>
          <c:showVal val="1"/>
          <c:showCatName val="0"/>
          <c:showSerName val="0"/>
          <c:showPercent val="0"/>
          <c:showBubbleSize val="0"/>
        </c:dLbls>
        <c:gapWidth val="100"/>
        <c:overlap val="-24"/>
        <c:axId val="1340866224"/>
        <c:axId val="1340866768"/>
      </c:barChart>
      <c:catAx>
        <c:axId val="13408662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340866768"/>
        <c:crosses val="autoZero"/>
        <c:auto val="1"/>
        <c:lblAlgn val="ctr"/>
        <c:lblOffset val="100"/>
        <c:noMultiLvlLbl val="0"/>
      </c:catAx>
      <c:valAx>
        <c:axId val="13408667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34086622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24cc8977-e718-4d41-b540-6839f9c1e6b1}"/>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Liquidity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[Calculation.xlsx]Ratio!$B$17:$C$17</c:f>
              <c:strCache>
                <c:ptCount val="1"/>
                <c:pt idx="0">
                  <c:v>Current Ratio A/C</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[Calculation.xlsx]Ratio!$D$13:$H$13</c:f>
              <c:numCache>
                <c:formatCode>General</c:formatCode>
                <c:ptCount val="5"/>
                <c:pt idx="0">
                  <c:v>2020</c:v>
                </c:pt>
                <c:pt idx="1">
                  <c:v>2021</c:v>
                </c:pt>
                <c:pt idx="2">
                  <c:v>2022</c:v>
                </c:pt>
                <c:pt idx="3">
                  <c:v>2023</c:v>
                </c:pt>
                <c:pt idx="4">
                  <c:v>2024</c:v>
                </c:pt>
              </c:numCache>
            </c:numRef>
          </c:cat>
          <c:val>
            <c:numRef>
              <c:f>[Calculation.xlsx]Ratio!$D$17:$H$17</c:f>
              <c:numCache>
                <c:formatCode>_(* #,##0.00_);_(* \(#,##0.00\);_(* "-"??_);_(@_)</c:formatCode>
                <c:ptCount val="5"/>
                <c:pt idx="0">
                  <c:v>1.82075093309565</c:v>
                </c:pt>
                <c:pt idx="1">
                  <c:v>1.55519473031132</c:v>
                </c:pt>
                <c:pt idx="2">
                  <c:v>1.56158042804414</c:v>
                </c:pt>
                <c:pt idx="3">
                  <c:v>1.60629359346688</c:v>
                </c:pt>
                <c:pt idx="4">
                  <c:v>1.53195064785743</c:v>
                </c:pt>
              </c:numCache>
            </c:numRef>
          </c:val>
        </c:ser>
        <c:ser>
          <c:idx val="1"/>
          <c:order val="1"/>
          <c:tx>
            <c:strRef>
              <c:f>[Calculation.xlsx]Ratio!$B$18:$C$18</c:f>
              <c:strCache>
                <c:ptCount val="1"/>
                <c:pt idx="0">
                  <c:v>Quick Ratio (A-B)/C</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[Calculation.xlsx]Ratio!$D$13:$H$13</c:f>
              <c:numCache>
                <c:formatCode>General</c:formatCode>
                <c:ptCount val="5"/>
                <c:pt idx="0">
                  <c:v>2020</c:v>
                </c:pt>
                <c:pt idx="1">
                  <c:v>2021</c:v>
                </c:pt>
                <c:pt idx="2">
                  <c:v>2022</c:v>
                </c:pt>
                <c:pt idx="3">
                  <c:v>2023</c:v>
                </c:pt>
                <c:pt idx="4">
                  <c:v>2024</c:v>
                </c:pt>
              </c:numCache>
            </c:numRef>
          </c:cat>
          <c:val>
            <c:numRef>
              <c:f>[Calculation.xlsx]Ratio!$D$18:$H$18</c:f>
              <c:numCache>
                <c:formatCode>_(* #,##0.00_);_(* \(#,##0.00\);_(* "-"??_);_(@_)</c:formatCode>
                <c:ptCount val="5"/>
                <c:pt idx="0">
                  <c:v>1.14986908807309</c:v>
                </c:pt>
                <c:pt idx="1">
                  <c:v>0.934913071355755</c:v>
                </c:pt>
                <c:pt idx="2">
                  <c:v>0.914012371057822</c:v>
                </c:pt>
                <c:pt idx="3">
                  <c:v>1.05851763596197</c:v>
                </c:pt>
                <c:pt idx="4">
                  <c:v>1.03062713609744</c:v>
                </c:pt>
              </c:numCache>
            </c:numRef>
          </c:val>
        </c:ser>
        <c:dLbls>
          <c:showLegendKey val="0"/>
          <c:showVal val="1"/>
          <c:showCatName val="0"/>
          <c:showSerName val="0"/>
          <c:showPercent val="0"/>
          <c:showBubbleSize val="0"/>
        </c:dLbls>
        <c:gapWidth val="100"/>
        <c:overlap val="-24"/>
        <c:axId val="1340868944"/>
        <c:axId val="1340869488"/>
      </c:barChart>
      <c:catAx>
        <c:axId val="134086894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340869488"/>
        <c:crosses val="autoZero"/>
        <c:auto val="1"/>
        <c:lblAlgn val="ctr"/>
        <c:lblOffset val="100"/>
        <c:noMultiLvlLbl val="0"/>
      </c:catAx>
      <c:valAx>
        <c:axId val="1340869488"/>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34086894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ff4f88dc-3277-4e2c-a9ed-1ce86d04e29d}"/>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Efficiency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[Calculation.xlsx]Ratio!$B$36</c:f>
              <c:strCache>
                <c:ptCount val="1"/>
                <c:pt idx="0">
                  <c:v>Inventory Turnover Days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[Calculation.xlsx]Ratio!$C$41:$G$41</c:f>
              <c:numCache>
                <c:formatCode>General</c:formatCode>
                <c:ptCount val="5"/>
                <c:pt idx="0">
                  <c:v>2020</c:v>
                </c:pt>
                <c:pt idx="1">
                  <c:v>2021</c:v>
                </c:pt>
                <c:pt idx="2">
                  <c:v>2022</c:v>
                </c:pt>
                <c:pt idx="3">
                  <c:v>2023</c:v>
                </c:pt>
                <c:pt idx="4">
                  <c:v>2024</c:v>
                </c:pt>
              </c:numCache>
            </c:numRef>
          </c:cat>
          <c:val>
            <c:numRef>
              <c:f>[Calculation.xlsx]Ratio!$C$36:$G$36</c:f>
              <c:numCache>
                <c:formatCode>_(* #,##0_);_(* \(#,##0\);_(* "-"??_);_(@_)</c:formatCode>
                <c:ptCount val="5"/>
                <c:pt idx="0">
                  <c:v>50.1306383774611</c:v>
                </c:pt>
                <c:pt idx="1">
                  <c:v>57.2594356791869</c:v>
                </c:pt>
                <c:pt idx="2">
                  <c:v>65.5204067520534</c:v>
                </c:pt>
                <c:pt idx="3">
                  <c:v>49.8915211352227</c:v>
                </c:pt>
                <c:pt idx="4">
                  <c:v>51.5594905388326</c:v>
                </c:pt>
              </c:numCache>
            </c:numRef>
          </c:val>
        </c:ser>
        <c:ser>
          <c:idx val="1"/>
          <c:order val="1"/>
          <c:tx>
            <c:strRef>
              <c:f>[Calculation.xlsx]Ratio!$B$37</c:f>
              <c:strCache>
                <c:ptCount val="1"/>
                <c:pt idx="0">
                  <c:v>Receivables Turnover Days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[Calculation.xlsx]Ratio!$C$41:$G$41</c:f>
              <c:numCache>
                <c:formatCode>General</c:formatCode>
                <c:ptCount val="5"/>
                <c:pt idx="0">
                  <c:v>2020</c:v>
                </c:pt>
                <c:pt idx="1">
                  <c:v>2021</c:v>
                </c:pt>
                <c:pt idx="2">
                  <c:v>2022</c:v>
                </c:pt>
                <c:pt idx="3">
                  <c:v>2023</c:v>
                </c:pt>
                <c:pt idx="4">
                  <c:v>2024</c:v>
                </c:pt>
              </c:numCache>
            </c:numRef>
          </c:cat>
          <c:val>
            <c:numRef>
              <c:f>[Calculation.xlsx]Ratio!$C$37:$G$37</c:f>
              <c:numCache>
                <c:formatCode>_(* #,##0_);_(* \(#,##0\);_(* "-"??_);_(@_)</c:formatCode>
                <c:ptCount val="5"/>
                <c:pt idx="0">
                  <c:v>38.4289752391488</c:v>
                </c:pt>
                <c:pt idx="1">
                  <c:v>39.1982365417668</c:v>
                </c:pt>
                <c:pt idx="2">
                  <c:v>37.7763375839013</c:v>
                </c:pt>
                <c:pt idx="3">
                  <c:v>48.8724649607451</c:v>
                </c:pt>
                <c:pt idx="4">
                  <c:v>52.7711400201074</c:v>
                </c:pt>
              </c:numCache>
            </c:numRef>
          </c:val>
        </c:ser>
        <c:ser>
          <c:idx val="2"/>
          <c:order val="2"/>
          <c:tx>
            <c:strRef>
              <c:f>[Calculation.xlsx]Ratio!$B$38</c:f>
              <c:strCache>
                <c:ptCount val="1"/>
                <c:pt idx="0">
                  <c:v>Payables Turnover Days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[Calculation.xlsx]Ratio!$C$41:$G$41</c:f>
              <c:numCache>
                <c:formatCode>General</c:formatCode>
                <c:ptCount val="5"/>
                <c:pt idx="0">
                  <c:v>2020</c:v>
                </c:pt>
                <c:pt idx="1">
                  <c:v>2021</c:v>
                </c:pt>
                <c:pt idx="2">
                  <c:v>2022</c:v>
                </c:pt>
                <c:pt idx="3">
                  <c:v>2023</c:v>
                </c:pt>
                <c:pt idx="4">
                  <c:v>2024</c:v>
                </c:pt>
              </c:numCache>
            </c:numRef>
          </c:cat>
          <c:val>
            <c:numRef>
              <c:f>[Calculation.xlsx]Ratio!$C$38:$G$38</c:f>
              <c:numCache>
                <c:formatCode>_(* #,##0_);_(* \(#,##0\);_(* "-"??_);_(@_)</c:formatCode>
                <c:ptCount val="5"/>
                <c:pt idx="0">
                  <c:v>34.6452121690418</c:v>
                </c:pt>
                <c:pt idx="1">
                  <c:v>39.4763886361197</c:v>
                </c:pt>
                <c:pt idx="2">
                  <c:v>33.3596421135126</c:v>
                </c:pt>
                <c:pt idx="3">
                  <c:v>32.2348070747018</c:v>
                </c:pt>
                <c:pt idx="4">
                  <c:v>46.8008526621215</c:v>
                </c:pt>
              </c:numCache>
            </c:numRef>
          </c:val>
        </c:ser>
        <c:dLbls>
          <c:showLegendKey val="0"/>
          <c:showVal val="1"/>
          <c:showCatName val="0"/>
          <c:showSerName val="0"/>
          <c:showPercent val="0"/>
          <c:showBubbleSize val="0"/>
        </c:dLbls>
        <c:gapWidth val="100"/>
        <c:overlap val="-24"/>
        <c:axId val="1199536448"/>
        <c:axId val="1199529920"/>
      </c:barChart>
      <c:catAx>
        <c:axId val="119953644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99529920"/>
        <c:crosses val="autoZero"/>
        <c:auto val="1"/>
        <c:lblAlgn val="ctr"/>
        <c:lblOffset val="100"/>
        <c:noMultiLvlLbl val="0"/>
      </c:catAx>
      <c:valAx>
        <c:axId val="1199529920"/>
        <c:scaling>
          <c:orientation val="minMax"/>
        </c:scaling>
        <c:delete val="0"/>
        <c:axPos val="l"/>
        <c:majorGridlines>
          <c:spPr>
            <a:ln w="9525" cap="flat" cmpd="sng" algn="ctr">
              <a:solidFill>
                <a:schemeClr val="tx1">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9953644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160c41fd-3b8f-4a13-8bbb-df072bb55439}"/>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Gearing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[Calculation.xlsx]Ratio!$B$26</c:f>
              <c:strCache>
                <c:ptCount val="1"/>
                <c:pt idx="0">
                  <c:v>Debt/Equity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[Calculation.xlsx]Ratio!$C$21:$G$21</c:f>
              <c:numCache>
                <c:formatCode>General</c:formatCode>
                <c:ptCount val="5"/>
                <c:pt idx="0">
                  <c:v>2020</c:v>
                </c:pt>
                <c:pt idx="1">
                  <c:v>2021</c:v>
                </c:pt>
                <c:pt idx="2">
                  <c:v>2022</c:v>
                </c:pt>
                <c:pt idx="3">
                  <c:v>2023</c:v>
                </c:pt>
                <c:pt idx="4">
                  <c:v>2024</c:v>
                </c:pt>
              </c:numCache>
            </c:numRef>
          </c:cat>
          <c:val>
            <c:numRef>
              <c:f>[Calculation.xlsx]Ratio!$C$26:$G$26</c:f>
              <c:numCache>
                <c:formatCode>_(* #,##0.00_);_(* \(#,##0.00\);_(* "-"??_);_(@_)</c:formatCode>
                <c:ptCount val="5"/>
                <c:pt idx="0">
                  <c:v>0.62875317984941</c:v>
                </c:pt>
                <c:pt idx="1">
                  <c:v>0.849428698781297</c:v>
                </c:pt>
                <c:pt idx="2">
                  <c:v>0.87835964918817</c:v>
                </c:pt>
                <c:pt idx="3">
                  <c:v>0.989000670690812</c:v>
                </c:pt>
                <c:pt idx="4">
                  <c:v>1.11197544169034</c:v>
                </c:pt>
              </c:numCache>
            </c:numRef>
          </c:val>
        </c:ser>
        <c:ser>
          <c:idx val="1"/>
          <c:order val="1"/>
          <c:tx>
            <c:strRef>
              <c:f>[Calculation.xlsx]Ratio!$B$27</c:f>
              <c:strCache>
                <c:ptCount val="1"/>
                <c:pt idx="0">
                  <c:v>Interest Coverage Ratio</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[Calculation.xlsx]Ratio!$C$21:$G$21</c:f>
              <c:numCache>
                <c:formatCode>General</c:formatCode>
                <c:ptCount val="5"/>
                <c:pt idx="0">
                  <c:v>2020</c:v>
                </c:pt>
                <c:pt idx="1">
                  <c:v>2021</c:v>
                </c:pt>
                <c:pt idx="2">
                  <c:v>2022</c:v>
                </c:pt>
                <c:pt idx="3">
                  <c:v>2023</c:v>
                </c:pt>
                <c:pt idx="4">
                  <c:v>2024</c:v>
                </c:pt>
              </c:numCache>
            </c:numRef>
          </c:cat>
          <c:val>
            <c:numRef>
              <c:f>[Calculation.xlsx]Ratio!$C$27:$G$27</c:f>
              <c:numCache>
                <c:formatCode>_(* #,##0.00_);_(* \(#,##0.00\);_(* "-"??_);_(@_)</c:formatCode>
                <c:ptCount val="5"/>
                <c:pt idx="0">
                  <c:v>1.86335</c:v>
                </c:pt>
                <c:pt idx="1">
                  <c:v>0.415232142857143</c:v>
                </c:pt>
                <c:pt idx="2">
                  <c:v>0.165318181818182</c:v>
                </c:pt>
                <c:pt idx="3">
                  <c:v>-1.55092727272727</c:v>
                </c:pt>
                <c:pt idx="4">
                  <c:v>-0.41387987012987</c:v>
                </c:pt>
              </c:numCache>
            </c:numRef>
          </c:val>
        </c:ser>
        <c:dLbls>
          <c:showLegendKey val="0"/>
          <c:showVal val="1"/>
          <c:showCatName val="0"/>
          <c:showSerName val="0"/>
          <c:showPercent val="0"/>
          <c:showBubbleSize val="0"/>
        </c:dLbls>
        <c:gapWidth val="100"/>
        <c:overlap val="-24"/>
        <c:axId val="1199013408"/>
        <c:axId val="1199009600"/>
      </c:barChart>
      <c:catAx>
        <c:axId val="119901340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99009600"/>
        <c:crosses val="autoZero"/>
        <c:auto val="1"/>
        <c:lblAlgn val="ctr"/>
        <c:lblOffset val="100"/>
        <c:noMultiLvlLbl val="0"/>
      </c:catAx>
      <c:valAx>
        <c:axId val="1199009600"/>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19901340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fa9339af-f453-4906-a472-1d8c480225b6}"/>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Investment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[Calculation.xlsx]Ratio!$B$52</c:f>
              <c:strCache>
                <c:ptCount val="1"/>
                <c:pt idx="0">
                  <c:v>Return On Assest (ROA)</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[Calculation.xlsx]Ratio!$C$56:$G$56</c:f>
              <c:numCache>
                <c:formatCode>General</c:formatCode>
                <c:ptCount val="5"/>
                <c:pt idx="0">
                  <c:v>2020</c:v>
                </c:pt>
                <c:pt idx="1">
                  <c:v>2021</c:v>
                </c:pt>
                <c:pt idx="2">
                  <c:v>2022</c:v>
                </c:pt>
                <c:pt idx="3">
                  <c:v>2023</c:v>
                </c:pt>
                <c:pt idx="4">
                  <c:v>2024</c:v>
                </c:pt>
              </c:numCache>
            </c:numRef>
          </c:cat>
          <c:val>
            <c:numRef>
              <c:f>[Calculation.xlsx]Ratio!$C$52:$G$52</c:f>
              <c:numCache>
                <c:formatCode>_(* #,##0.00_);_(* \(#,##0.00\);_(* "-"??_);_(@_)</c:formatCode>
                <c:ptCount val="5"/>
                <c:pt idx="0">
                  <c:v>0.086039310980031</c:v>
                </c:pt>
                <c:pt idx="1">
                  <c:v>0.031507912248113</c:v>
                </c:pt>
                <c:pt idx="2">
                  <c:v>0.0225978502984154</c:v>
                </c:pt>
                <c:pt idx="3">
                  <c:v>-0.25923365704523</c:v>
                </c:pt>
                <c:pt idx="4">
                  <c:v>-0.0575159113541196</c:v>
                </c:pt>
              </c:numCache>
            </c:numRef>
          </c:val>
        </c:ser>
        <c:ser>
          <c:idx val="1"/>
          <c:order val="1"/>
          <c:tx>
            <c:strRef>
              <c:f>[Calculation.xlsx]Ratio!$B$53</c:f>
              <c:strCache>
                <c:ptCount val="1"/>
                <c:pt idx="0">
                  <c:v>Return On Equity</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[Calculation.xlsx]Ratio!$C$56:$G$56</c:f>
              <c:numCache>
                <c:formatCode>General</c:formatCode>
                <c:ptCount val="5"/>
                <c:pt idx="0">
                  <c:v>2020</c:v>
                </c:pt>
                <c:pt idx="1">
                  <c:v>2021</c:v>
                </c:pt>
                <c:pt idx="2">
                  <c:v>2022</c:v>
                </c:pt>
                <c:pt idx="3">
                  <c:v>2023</c:v>
                </c:pt>
                <c:pt idx="4">
                  <c:v>2024</c:v>
                </c:pt>
              </c:numCache>
            </c:numRef>
          </c:cat>
          <c:val>
            <c:numRef>
              <c:f>[Calculation.xlsx]Ratio!$C$53:$G$53</c:f>
              <c:numCache>
                <c:formatCode>_(* #,##0.00_);_(* \(#,##0.00\);_(* "-"??_);_(@_)</c:formatCode>
                <c:ptCount val="5"/>
                <c:pt idx="0">
                  <c:v>0.123114832062458</c:v>
                </c:pt>
                <c:pt idx="1">
                  <c:v>0.0192100714262418</c:v>
                </c:pt>
                <c:pt idx="2">
                  <c:v>0.00151635954486859</c:v>
                </c:pt>
                <c:pt idx="3">
                  <c:v>-0.54906103286385</c:v>
                </c:pt>
                <c:pt idx="4">
                  <c:v>-0.156944580516639</c:v>
                </c:pt>
              </c:numCache>
            </c:numRef>
          </c:val>
        </c:ser>
        <c:dLbls>
          <c:showLegendKey val="0"/>
          <c:showVal val="1"/>
          <c:showCatName val="0"/>
          <c:showSerName val="0"/>
          <c:showPercent val="0"/>
          <c:showBubbleSize val="0"/>
        </c:dLbls>
        <c:gapWidth val="100"/>
        <c:overlap val="-24"/>
        <c:axId val="2046080928"/>
        <c:axId val="2046069280"/>
      </c:barChart>
      <c:catAx>
        <c:axId val="204608092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2046069280"/>
        <c:crosses val="autoZero"/>
        <c:auto val="1"/>
        <c:lblAlgn val="ctr"/>
        <c:lblOffset val="100"/>
        <c:noMultiLvlLbl val="0"/>
      </c:catAx>
      <c:valAx>
        <c:axId val="2046069280"/>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2046080928"/>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a059529e-45ed-43e8-adf1-2f791163cc67}"/>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Market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[Calculation.xlsx]Ratio!$B$44</c:f>
              <c:strCache>
                <c:ptCount val="1"/>
                <c:pt idx="0">
                  <c:v>Price/Earnings Ratio</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[Calculation.xlsx]Ratio!$C$41:$G$41</c:f>
              <c:numCache>
                <c:formatCode>General</c:formatCode>
                <c:ptCount val="5"/>
                <c:pt idx="0">
                  <c:v>2020</c:v>
                </c:pt>
                <c:pt idx="1">
                  <c:v>2021</c:v>
                </c:pt>
                <c:pt idx="2">
                  <c:v>2022</c:v>
                </c:pt>
                <c:pt idx="3">
                  <c:v>2023</c:v>
                </c:pt>
                <c:pt idx="4">
                  <c:v>2024</c:v>
                </c:pt>
              </c:numCache>
            </c:numRef>
          </c:cat>
          <c:val>
            <c:numRef>
              <c:f>[Calculation.xlsx]Ratio!$C$44:$G$44</c:f>
              <c:numCache>
                <c:formatCode>_(* #,##0.00_);_(* \(#,##0.00\);_(* "-"??_);_(@_)</c:formatCode>
                <c:ptCount val="5"/>
                <c:pt idx="0">
                  <c:v>8.11186939025761</c:v>
                </c:pt>
                <c:pt idx="1">
                  <c:v>52.5482018909423</c:v>
                </c:pt>
                <c:pt idx="2">
                  <c:v>704.31131753654</c:v>
                </c:pt>
                <c:pt idx="3">
                  <c:v>-1.82176959685253</c:v>
                </c:pt>
                <c:pt idx="4">
                  <c:v>-6.38625352723663</c:v>
                </c:pt>
              </c:numCache>
            </c:numRef>
          </c:val>
        </c:ser>
        <c:dLbls>
          <c:showLegendKey val="0"/>
          <c:showVal val="1"/>
          <c:showCatName val="0"/>
          <c:showSerName val="0"/>
          <c:showPercent val="0"/>
          <c:showBubbleSize val="0"/>
        </c:dLbls>
        <c:gapWidth val="100"/>
        <c:overlap val="-24"/>
        <c:axId val="108280256"/>
        <c:axId val="108267744"/>
      </c:barChart>
      <c:catAx>
        <c:axId val="10828025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8267744"/>
        <c:crosses val="autoZero"/>
        <c:auto val="1"/>
        <c:lblAlgn val="ctr"/>
        <c:lblOffset val="100"/>
        <c:noMultiLvlLbl val="0"/>
      </c:catAx>
      <c:valAx>
        <c:axId val="108267744"/>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10828025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ad390cf5-bc7f-4029-8a08-c6095a5ba46b}"/>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600" b="1" i="0" u="none" strike="noStrike" kern="1200" baseline="0">
                <a:solidFill>
                  <a:schemeClr val="tx1">
                    <a:lumMod val="65000"/>
                    <a:lumOff val="35000"/>
                  </a:schemeClr>
                </a:solidFill>
                <a:latin typeface="+mn-lt"/>
                <a:ea typeface="+mn-ea"/>
                <a:cs typeface="+mn-cs"/>
              </a:defRPr>
            </a:pPr>
            <a:r>
              <a:rPr lang="en-US"/>
              <a:t>Cashflow Ratios</a:t>
            </a:r>
            <a:endParaRPr lang="en-US"/>
          </a:p>
        </c:rich>
      </c:tx>
      <c:layout/>
      <c:overlay val="0"/>
      <c:spPr>
        <a:noFill/>
        <a:ln>
          <a:noFill/>
        </a:ln>
        <a:effectLst/>
      </c:spPr>
    </c:title>
    <c:autoTitleDeleted val="0"/>
    <c:plotArea>
      <c:layout/>
      <c:barChart>
        <c:barDir val="col"/>
        <c:grouping val="clustered"/>
        <c:varyColors val="0"/>
        <c:ser>
          <c:idx val="0"/>
          <c:order val="0"/>
          <c:tx>
            <c:strRef>
              <c:f>[Calculation.xlsx]Ratio!$B$60</c:f>
              <c:strCache>
                <c:ptCount val="1"/>
                <c:pt idx="0">
                  <c:v>Operating Cash Flow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[Calculation.xlsx]Ratio!$C$56:$G$56</c:f>
              <c:numCache>
                <c:formatCode>General</c:formatCode>
                <c:ptCount val="5"/>
                <c:pt idx="0">
                  <c:v>2020</c:v>
                </c:pt>
                <c:pt idx="1">
                  <c:v>2021</c:v>
                </c:pt>
                <c:pt idx="2">
                  <c:v>2022</c:v>
                </c:pt>
                <c:pt idx="3">
                  <c:v>2023</c:v>
                </c:pt>
                <c:pt idx="4">
                  <c:v>2024</c:v>
                </c:pt>
              </c:numCache>
            </c:numRef>
          </c:cat>
          <c:val>
            <c:numRef>
              <c:f>[Calculation.xlsx]Ratio!$C$60:$G$60</c:f>
              <c:numCache>
                <c:formatCode>_(* #,##0.00_);_(* \(#,##0.00\);_(* "-"??_);_(@_)</c:formatCode>
                <c:ptCount val="5"/>
                <c:pt idx="0">
                  <c:v>0.437596791265111</c:v>
                </c:pt>
                <c:pt idx="1">
                  <c:v>0.207055773639563</c:v>
                </c:pt>
                <c:pt idx="2">
                  <c:v>0.183556378855562</c:v>
                </c:pt>
                <c:pt idx="3">
                  <c:v>-0.0574006503338546</c:v>
                </c:pt>
                <c:pt idx="4">
                  <c:v>0.0186365617754642</c:v>
                </c:pt>
              </c:numCache>
            </c:numRef>
          </c:val>
        </c:ser>
        <c:ser>
          <c:idx val="1"/>
          <c:order val="1"/>
          <c:tx>
            <c:strRef>
              <c:f>[Calculation.xlsx]Ratio!$B$61</c:f>
              <c:strCache>
                <c:ptCount val="1"/>
                <c:pt idx="0">
                  <c:v>Sales Ratio</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[Calculation.xlsx]Ratio!$C$56:$G$56</c:f>
              <c:numCache>
                <c:formatCode>General</c:formatCode>
                <c:ptCount val="5"/>
                <c:pt idx="0">
                  <c:v>2020</c:v>
                </c:pt>
                <c:pt idx="1">
                  <c:v>2021</c:v>
                </c:pt>
                <c:pt idx="2">
                  <c:v>2022</c:v>
                </c:pt>
                <c:pt idx="3">
                  <c:v>2023</c:v>
                </c:pt>
                <c:pt idx="4">
                  <c:v>2024</c:v>
                </c:pt>
              </c:numCache>
            </c:numRef>
          </c:cat>
          <c:val>
            <c:numRef>
              <c:f>[Calculation.xlsx]Ratio!$C$61:$G$61</c:f>
              <c:numCache>
                <c:formatCode>_(* #,##0.00_);_(* \(#,##0.00\);_(* "-"??_);_(@_)</c:formatCode>
                <c:ptCount val="5"/>
                <c:pt idx="0">
                  <c:v>0.127794950218</c:v>
                </c:pt>
                <c:pt idx="1">
                  <c:v>0.0746124514213716</c:v>
                </c:pt>
                <c:pt idx="2">
                  <c:v>0.0732103671849522</c:v>
                </c:pt>
                <c:pt idx="3">
                  <c:v>-0.0219998715683173</c:v>
                </c:pt>
                <c:pt idx="4">
                  <c:v>0.00747064290580152</c:v>
                </c:pt>
              </c:numCache>
            </c:numRef>
          </c:val>
        </c:ser>
        <c:dLbls>
          <c:showLegendKey val="0"/>
          <c:showVal val="1"/>
          <c:showCatName val="0"/>
          <c:showSerName val="0"/>
          <c:showPercent val="0"/>
          <c:showBubbleSize val="0"/>
        </c:dLbls>
        <c:gapWidth val="100"/>
        <c:overlap val="-24"/>
        <c:axId val="2045946336"/>
        <c:axId val="2045958816"/>
      </c:barChart>
      <c:catAx>
        <c:axId val="20459463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2045958816"/>
        <c:crosses val="autoZero"/>
        <c:auto val="1"/>
        <c:lblAlgn val="ctr"/>
        <c:lblOffset val="100"/>
        <c:noMultiLvlLbl val="0"/>
      </c:catAx>
      <c:valAx>
        <c:axId val="2045958816"/>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204594633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b2c8889f-eb55-40a9-833a-672229a1cbc5}"/>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p>
      </c:txPr>
    </c:title>
    <c:autoTitleDeleted val="0"/>
    <c:plotArea>
      <c:layout/>
      <c:barChart>
        <c:barDir val="col"/>
        <c:grouping val="clustered"/>
        <c:varyColors val="0"/>
        <c:ser>
          <c:idx val="0"/>
          <c:order val="0"/>
          <c:tx>
            <c:strRef>
              <c:f>'[Calculation.xlsx]Working Capital'!$B$7</c:f>
              <c:strCache>
                <c:ptCount val="1"/>
                <c:pt idx="0">
                  <c:v>Cash Conversion Cycle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2">
                          <a:lumMod val="35000"/>
                          <a:lumOff val="65000"/>
                        </a:schemeClr>
                      </a:solidFill>
                    </a:ln>
                    <a:effectLst/>
                  </c:spPr>
                </c15:leaderLines>
              </c:ext>
            </c:extLst>
          </c:dLbls>
          <c:cat>
            <c:numRef>
              <c:f>'[Calculation.xlsx]Working Capital'!$D$3:$H$3</c:f>
              <c:numCache>
                <c:formatCode>General</c:formatCode>
                <c:ptCount val="5"/>
                <c:pt idx="0">
                  <c:v>2020</c:v>
                </c:pt>
                <c:pt idx="1">
                  <c:v>2021</c:v>
                </c:pt>
                <c:pt idx="2">
                  <c:v>2022</c:v>
                </c:pt>
                <c:pt idx="3">
                  <c:v>2023</c:v>
                </c:pt>
                <c:pt idx="4">
                  <c:v>2024</c:v>
                </c:pt>
              </c:numCache>
            </c:numRef>
          </c:cat>
          <c:val>
            <c:numRef>
              <c:f>'[Calculation.xlsx]Working Capital'!$D$7:$H$7</c:f>
              <c:numCache>
                <c:formatCode>_(* #,##0_);_(* \(#,##0\);_(* "-"??_);_(@_)</c:formatCode>
                <c:ptCount val="5"/>
                <c:pt idx="0">
                  <c:v>53.9144014475681</c:v>
                </c:pt>
                <c:pt idx="1">
                  <c:v>56.981283584834</c:v>
                </c:pt>
                <c:pt idx="2">
                  <c:v>69.9371022224421</c:v>
                </c:pt>
                <c:pt idx="3">
                  <c:v>66.5291790212659</c:v>
                </c:pt>
                <c:pt idx="4">
                  <c:v>57.5297778968185</c:v>
                </c:pt>
              </c:numCache>
            </c:numRef>
          </c:val>
        </c:ser>
        <c:dLbls>
          <c:showLegendKey val="0"/>
          <c:showVal val="1"/>
          <c:showCatName val="0"/>
          <c:showSerName val="0"/>
          <c:showPercent val="0"/>
          <c:showBubbleSize val="0"/>
        </c:dLbls>
        <c:gapWidth val="100"/>
        <c:overlap val="-24"/>
        <c:axId val="2046066784"/>
        <c:axId val="2046085504"/>
      </c:barChart>
      <c:catAx>
        <c:axId val="20460667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crossAx val="2046085504"/>
        <c:crosses val="autoZero"/>
        <c:auto val="1"/>
        <c:lblAlgn val="ctr"/>
        <c:lblOffset val="100"/>
        <c:noMultiLvlLbl val="0"/>
      </c:catAx>
      <c:valAx>
        <c:axId val="2046085504"/>
        <c:scaling>
          <c:orientation val="minMax"/>
        </c:scaling>
        <c:delete val="0"/>
        <c:axPos val="l"/>
        <c:majorGridlines>
          <c:spPr>
            <a:ln w="9525" cap="flat" cmpd="sng" algn="ctr">
              <a:solidFill>
                <a:schemeClr val="tx2">
                  <a:lumMod val="15000"/>
                  <a:lumOff val="85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crossAx val="2046066784"/>
        <c:crosses val="autoZero"/>
        <c:crossBetween val="between"/>
      </c:valAx>
      <c:spPr>
        <a:noFill/>
        <a:ln>
          <a:noFill/>
        </a:ln>
        <a:effectLst/>
      </c:spPr>
    </c:plotArea>
    <c:plotVisOnly val="1"/>
    <c:dispBlanksAs val="gap"/>
    <c:showDLblsOverMax val="0"/>
    <c:extLst>
      <c:ext uri="{0b15fc19-7d7d-44ad-8c2d-2c3a37ce22c3}">
        <chartProps xmlns="https://web.wps.cn/et/2018/main" chartId="{3d440576-66d0-409a-951b-a96e7c9d44c3}"/>
      </c:ext>
    </c:extLst>
  </c:chart>
  <c:spPr>
    <a:solidFill>
      <a:schemeClr val="bg1"/>
    </a:solidFill>
    <a:ln w="9525" cap="flat" cmpd="sng" algn="ctr">
      <a:solidFill>
        <a:schemeClr val="tx2">
          <a:lumMod val="15000"/>
          <a:lumOff val="85000"/>
        </a:schemeClr>
      </a:solidFill>
      <a:round/>
    </a:ln>
    <a:effectLst/>
  </c:spPr>
  <c:txPr>
    <a:bodyPr/>
    <a:lstStyle/>
    <a:p>
      <a:pPr>
        <a:defRPr lang="en-US"/>
      </a:pPr>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600" b="1" i="0" u="none" strike="noStrike" kern="1200" baseline="0">
              <a:solidFill>
                <a:schemeClr val="tx2"/>
              </a:solidFill>
              <a:latin typeface="+mn-lt"/>
              <a:ea typeface="+mn-ea"/>
              <a:cs typeface="+mn-cs"/>
            </a:defRPr>
          </a:pPr>
        </a:p>
      </c:txPr>
    </c:title>
    <c:autoTitleDeleted val="0"/>
    <c:plotArea>
      <c:layout/>
      <c:barChart>
        <c:barDir val="col"/>
        <c:grouping val="clustered"/>
        <c:varyColors val="0"/>
        <c:ser>
          <c:idx val="0"/>
          <c:order val="0"/>
          <c:tx>
            <c:strRef>
              <c:f>'[Calculation.xlsx]Working Capital'!$B$13</c:f>
              <c:strCache>
                <c:ptCount val="1"/>
                <c:pt idx="0">
                  <c:v>Working Capital (£m)</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2"/>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tx2">
                          <a:lumMod val="35000"/>
                          <a:lumOff val="65000"/>
                        </a:schemeClr>
                      </a:solidFill>
                    </a:ln>
                    <a:effectLst/>
                  </c:spPr>
                </c15:leaderLines>
              </c:ext>
            </c:extLst>
          </c:dLbls>
          <c:cat>
            <c:numRef>
              <c:f>'[Calculation.xlsx]Working Capital'!$D$10:$H$10</c:f>
              <c:numCache>
                <c:formatCode>General</c:formatCode>
                <c:ptCount val="5"/>
                <c:pt idx="0">
                  <c:v>2020</c:v>
                </c:pt>
                <c:pt idx="1">
                  <c:v>2021</c:v>
                </c:pt>
                <c:pt idx="2">
                  <c:v>2022</c:v>
                </c:pt>
                <c:pt idx="3">
                  <c:v>2023</c:v>
                </c:pt>
                <c:pt idx="4">
                  <c:v>2024</c:v>
                </c:pt>
              </c:numCache>
            </c:numRef>
          </c:cat>
          <c:val>
            <c:numRef>
              <c:f>'[Calculation.xlsx]Working Capital'!$D$13:$H$13</c:f>
              <c:numCache>
                <c:formatCode>_(* #,##0.00_);_(* \(#,##0.00\);_(* "-"??_);_(@_)</c:formatCode>
                <c:ptCount val="5"/>
                <c:pt idx="0">
                  <c:v>147333</c:v>
                </c:pt>
                <c:pt idx="1">
                  <c:v>120359</c:v>
                </c:pt>
                <c:pt idx="2">
                  <c:v>121567</c:v>
                </c:pt>
                <c:pt idx="3">
                  <c:v>97703</c:v>
                </c:pt>
                <c:pt idx="4">
                  <c:v>84203</c:v>
                </c:pt>
              </c:numCache>
            </c:numRef>
          </c:val>
        </c:ser>
        <c:dLbls>
          <c:showLegendKey val="0"/>
          <c:showVal val="1"/>
          <c:showCatName val="0"/>
          <c:showSerName val="0"/>
          <c:showPercent val="0"/>
          <c:showBubbleSize val="0"/>
        </c:dLbls>
        <c:gapWidth val="100"/>
        <c:overlap val="-24"/>
        <c:axId val="2046068864"/>
        <c:axId val="2046076768"/>
      </c:barChart>
      <c:catAx>
        <c:axId val="204606886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crossAx val="2046076768"/>
        <c:crosses val="autoZero"/>
        <c:auto val="1"/>
        <c:lblAlgn val="ctr"/>
        <c:lblOffset val="100"/>
        <c:noMultiLvlLbl val="0"/>
      </c:catAx>
      <c:valAx>
        <c:axId val="2046076768"/>
        <c:scaling>
          <c:orientation val="minMax"/>
        </c:scaling>
        <c:delete val="0"/>
        <c:axPos val="l"/>
        <c:majorGridlines>
          <c:spPr>
            <a:ln w="9525" cap="flat" cmpd="sng" algn="ctr">
              <a:solidFill>
                <a:schemeClr val="tx2">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2"/>
                </a:solidFill>
                <a:latin typeface="+mn-lt"/>
                <a:ea typeface="+mn-ea"/>
                <a:cs typeface="+mn-cs"/>
              </a:defRPr>
            </a:pPr>
          </a:p>
        </c:txPr>
        <c:crossAx val="2046068864"/>
        <c:crosses val="autoZero"/>
        <c:crossBetween val="between"/>
      </c:valAx>
      <c:spPr>
        <a:noFill/>
        <a:ln>
          <a:noFill/>
        </a:ln>
        <a:effectLst/>
      </c:spPr>
    </c:plotArea>
    <c:plotVisOnly val="1"/>
    <c:dispBlanksAs val="gap"/>
    <c:showDLblsOverMax val="0"/>
    <c:extLst>
      <c:ext uri="{0b15fc19-7d7d-44ad-8c2d-2c3a37ce22c3}">
        <chartProps xmlns="https://web.wps.cn/et/2018/main" chartId="{6d34a8ea-df75-47d9-9426-2fafad949c9f}"/>
      </c:ext>
    </c:extLst>
  </c:chart>
  <c:spPr>
    <a:solidFill>
      <a:schemeClr val="bg1"/>
    </a:solidFill>
    <a:ln w="9525" cap="flat" cmpd="sng" algn="ctr">
      <a:solidFill>
        <a:schemeClr val="tx2">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9.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Template>
  <Pages>35</Pages>
  <Words>7114</Words>
  <Characters>43188</Characters>
  <Lines>785</Lines>
  <Paragraphs>284</Paragraphs>
  <TotalTime>3</TotalTime>
  <ScaleCrop>false</ScaleCrop>
  <LinksUpToDate>false</LinksUpToDate>
  <CharactersWithSpaces>50018</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2025-11-08T10:02:00Z</dcterms:created>
  <dc:creator>DELL</dc:creator>
  <cp:lastModifiedBy>Abhi Patel</cp:lastModifiedBy>
  <dcterms:modified xsi:type="dcterms:W3CDTF">2025-12-21T12:29:20Z</dcterms:modified>
  <cp:revision>11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7BA7AFE1DFA54EF2BAC3A28EDC1283C7_12</vt:lpwstr>
  </property>
</Properties>
</file>