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99DE7B" w14:textId="77777777" w:rsidR="007E6A88" w:rsidRDefault="007E6A88" w:rsidP="007E6A88">
      <w:pPr>
        <w:jc w:val="center"/>
      </w:pPr>
      <w:r>
        <w:rPr>
          <w:rFonts w:ascii="Times New Roman" w:hAnsi="Times New Roman" w:cs="Times New Roman"/>
          <w:b/>
          <w:bCs/>
          <w:noProof/>
          <w:sz w:val="32"/>
          <w:szCs w:val="32"/>
          <w:lang w:val="ru-RU" w:eastAsia="ru-RU"/>
        </w:rPr>
        <w:drawing>
          <wp:inline distT="0" distB="0" distL="0" distR="0" wp14:anchorId="58490822" wp14:editId="04C9D553">
            <wp:extent cx="4602480" cy="1526489"/>
            <wp:effectExtent l="0" t="0" r="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4649974" cy="1542241"/>
                    </a:xfrm>
                    <a:prstGeom prst="rect">
                      <a:avLst/>
                    </a:prstGeom>
                  </pic:spPr>
                </pic:pic>
              </a:graphicData>
            </a:graphic>
          </wp:inline>
        </w:drawing>
      </w:r>
    </w:p>
    <w:p w14:paraId="4A3BD421" w14:textId="77777777" w:rsidR="007E6A88" w:rsidRDefault="007E6A88" w:rsidP="007E6A88">
      <w:pPr>
        <w:jc w:val="center"/>
      </w:pPr>
    </w:p>
    <w:p w14:paraId="2B458F10" w14:textId="77777777" w:rsidR="007E6A88" w:rsidRDefault="007E6A88" w:rsidP="007E6A88">
      <w:pPr>
        <w:jc w:val="center"/>
      </w:pPr>
    </w:p>
    <w:p w14:paraId="3CCD0F84" w14:textId="77777777" w:rsidR="007E6A88" w:rsidRDefault="007E6A88" w:rsidP="007E6A88">
      <w:pPr>
        <w:jc w:val="center"/>
      </w:pPr>
    </w:p>
    <w:p w14:paraId="245272B5" w14:textId="1AA2BA0C" w:rsidR="007E6A88" w:rsidRDefault="007E6A88" w:rsidP="007E6A88">
      <w:pPr>
        <w:jc w:val="center"/>
        <w:rPr>
          <w:rStyle w:val="ad"/>
          <w:rFonts w:ascii="Times New Roman" w:hAnsi="Times New Roman" w:cs="Times New Roman"/>
          <w:sz w:val="32"/>
          <w:szCs w:val="32"/>
        </w:rPr>
      </w:pPr>
      <w:r>
        <w:rPr>
          <w:rStyle w:val="ad"/>
          <w:rFonts w:ascii="Times New Roman" w:hAnsi="Times New Roman" w:cs="Times New Roman"/>
          <w:sz w:val="32"/>
          <w:szCs w:val="32"/>
        </w:rPr>
        <w:t>ACADEMIC and EMLOYABILITY SKILLS</w:t>
      </w:r>
      <w:r>
        <w:rPr>
          <w:rStyle w:val="ad"/>
          <w:rFonts w:ascii="Times New Roman" w:hAnsi="Times New Roman" w:cs="Times New Roman"/>
          <w:sz w:val="32"/>
          <w:szCs w:val="32"/>
        </w:rPr>
        <w:br/>
      </w:r>
    </w:p>
    <w:p w14:paraId="0A073D29" w14:textId="77777777" w:rsidR="007E6A88" w:rsidRDefault="007E6A88" w:rsidP="007E6A88">
      <w:pPr>
        <w:jc w:val="center"/>
        <w:rPr>
          <w:rStyle w:val="ad"/>
          <w:rFonts w:ascii="Times New Roman" w:hAnsi="Times New Roman" w:cs="Times New Roman"/>
          <w:sz w:val="32"/>
          <w:szCs w:val="32"/>
        </w:rPr>
      </w:pPr>
      <w:r>
        <w:rPr>
          <w:rStyle w:val="ad"/>
          <w:rFonts w:ascii="Times New Roman" w:hAnsi="Times New Roman" w:cs="Times New Roman"/>
          <w:sz w:val="32"/>
          <w:szCs w:val="32"/>
        </w:rPr>
        <w:t>Name of Student:  ALEXANDRU TOPOR</w:t>
      </w:r>
    </w:p>
    <w:p w14:paraId="52C1F23C" w14:textId="77777777" w:rsidR="007E6A88" w:rsidRDefault="007E6A88" w:rsidP="007E6A88">
      <w:pPr>
        <w:jc w:val="center"/>
        <w:rPr>
          <w:rStyle w:val="ad"/>
          <w:rFonts w:ascii="Times New Roman" w:hAnsi="Times New Roman" w:cs="Times New Roman"/>
          <w:sz w:val="32"/>
          <w:szCs w:val="32"/>
        </w:rPr>
      </w:pPr>
    </w:p>
    <w:p w14:paraId="7576C54E" w14:textId="77777777" w:rsidR="007E6A88" w:rsidRDefault="007E6A88" w:rsidP="007E6A88">
      <w:pPr>
        <w:jc w:val="center"/>
        <w:rPr>
          <w:rStyle w:val="ad"/>
          <w:rFonts w:ascii="Times New Roman" w:hAnsi="Times New Roman" w:cs="Times New Roman"/>
          <w:sz w:val="32"/>
          <w:szCs w:val="32"/>
        </w:rPr>
      </w:pPr>
      <w:r>
        <w:rPr>
          <w:rStyle w:val="ad"/>
          <w:rFonts w:ascii="Times New Roman" w:hAnsi="Times New Roman" w:cs="Times New Roman"/>
          <w:sz w:val="32"/>
          <w:szCs w:val="32"/>
        </w:rPr>
        <w:t>Student ID: 1918684</w:t>
      </w:r>
    </w:p>
    <w:p w14:paraId="687C358C" w14:textId="77777777" w:rsidR="007E6A88" w:rsidRDefault="007E6A88" w:rsidP="007E6A88">
      <w:pPr>
        <w:jc w:val="center"/>
        <w:rPr>
          <w:rStyle w:val="ad"/>
          <w:rFonts w:ascii="Times New Roman" w:hAnsi="Times New Roman" w:cs="Times New Roman"/>
          <w:sz w:val="32"/>
          <w:szCs w:val="32"/>
        </w:rPr>
      </w:pPr>
    </w:p>
    <w:p w14:paraId="001F3193" w14:textId="3F3A4630" w:rsidR="007E6A88" w:rsidRDefault="007E6A88" w:rsidP="007E6A88">
      <w:pPr>
        <w:jc w:val="center"/>
        <w:rPr>
          <w:rStyle w:val="ad"/>
          <w:rFonts w:ascii="Times New Roman" w:hAnsi="Times New Roman" w:cs="Times New Roman"/>
          <w:sz w:val="32"/>
          <w:szCs w:val="32"/>
        </w:rPr>
      </w:pPr>
      <w:r>
        <w:rPr>
          <w:rStyle w:val="ad"/>
          <w:rFonts w:ascii="Times New Roman" w:hAnsi="Times New Roman" w:cs="Times New Roman"/>
          <w:sz w:val="32"/>
          <w:szCs w:val="32"/>
        </w:rPr>
        <w:t xml:space="preserve">Professor: </w:t>
      </w:r>
      <w:r>
        <w:rPr>
          <w:rStyle w:val="ad"/>
          <w:rFonts w:ascii="Times New Roman" w:hAnsi="Times New Roman" w:cs="Times New Roman"/>
          <w:sz w:val="32"/>
          <w:szCs w:val="32"/>
        </w:rPr>
        <w:t>MOHAMMAD RAHMAN</w:t>
      </w:r>
    </w:p>
    <w:p w14:paraId="47BD9597" w14:textId="77777777" w:rsidR="007E6A88" w:rsidRDefault="007E6A88" w:rsidP="007E6A88">
      <w:pPr>
        <w:jc w:val="center"/>
        <w:rPr>
          <w:rStyle w:val="ad"/>
          <w:rFonts w:ascii="Times New Roman" w:hAnsi="Times New Roman" w:cs="Times New Roman"/>
          <w:sz w:val="32"/>
          <w:szCs w:val="32"/>
        </w:rPr>
      </w:pPr>
    </w:p>
    <w:p w14:paraId="4F209CBF" w14:textId="77777777" w:rsidR="007E6A88" w:rsidRDefault="007E6A88" w:rsidP="007E6A88">
      <w:pPr>
        <w:jc w:val="center"/>
        <w:rPr>
          <w:rStyle w:val="ad"/>
          <w:rFonts w:ascii="Times New Roman" w:hAnsi="Times New Roman" w:cs="Times New Roman"/>
          <w:sz w:val="32"/>
          <w:szCs w:val="32"/>
        </w:rPr>
      </w:pPr>
      <w:r>
        <w:rPr>
          <w:rStyle w:val="ad"/>
          <w:rFonts w:ascii="Times New Roman" w:hAnsi="Times New Roman" w:cs="Times New Roman"/>
          <w:sz w:val="32"/>
          <w:szCs w:val="32"/>
        </w:rPr>
        <w:t>BMSW4003_LON</w:t>
      </w:r>
    </w:p>
    <w:p w14:paraId="312A19EA" w14:textId="77777777" w:rsidR="007E6A88" w:rsidRDefault="007E6A88" w:rsidP="007E6A88">
      <w:pPr>
        <w:jc w:val="center"/>
        <w:rPr>
          <w:rStyle w:val="ad"/>
          <w:rFonts w:ascii="Times New Roman" w:hAnsi="Times New Roman" w:cs="Times New Roman"/>
          <w:sz w:val="32"/>
          <w:szCs w:val="32"/>
        </w:rPr>
      </w:pPr>
    </w:p>
    <w:p w14:paraId="3730E745" w14:textId="5087B4F4" w:rsidR="007E6A88" w:rsidRDefault="007E6A88" w:rsidP="007E6A88">
      <w:pPr>
        <w:jc w:val="center"/>
        <w:rPr>
          <w:rStyle w:val="ad"/>
          <w:rFonts w:ascii="Times New Roman" w:hAnsi="Times New Roman" w:cs="Times New Roman"/>
          <w:sz w:val="32"/>
          <w:szCs w:val="32"/>
        </w:rPr>
      </w:pPr>
      <w:r>
        <w:rPr>
          <w:rStyle w:val="ad"/>
          <w:rFonts w:ascii="Times New Roman" w:hAnsi="Times New Roman" w:cs="Times New Roman"/>
          <w:sz w:val="32"/>
          <w:szCs w:val="32"/>
        </w:rPr>
        <w:t>Submission Date: 04</w:t>
      </w:r>
      <w:r>
        <w:rPr>
          <w:rStyle w:val="ad"/>
          <w:rFonts w:ascii="Times New Roman" w:hAnsi="Times New Roman" w:cs="Times New Roman"/>
          <w:sz w:val="32"/>
          <w:szCs w:val="32"/>
        </w:rPr>
        <w:t>.01.2021</w:t>
      </w:r>
    </w:p>
    <w:p w14:paraId="453A4C86" w14:textId="6A2523EC" w:rsidR="00FF3641" w:rsidRDefault="007E6A88" w:rsidP="007E6A88">
      <w:pPr>
        <w:jc w:val="center"/>
        <w:rPr>
          <w:rFonts w:ascii="Times New Roman" w:eastAsiaTheme="majorEastAsia" w:hAnsi="Times New Roman" w:cstheme="majorBidi"/>
          <w:b/>
          <w:bCs/>
          <w:color w:val="000000" w:themeColor="text1"/>
          <w:sz w:val="28"/>
          <w:szCs w:val="28"/>
        </w:rPr>
      </w:pPr>
      <w:r>
        <w:rPr>
          <w:rStyle w:val="ad"/>
          <w:rFonts w:ascii="Times New Roman" w:hAnsi="Times New Roman" w:cs="Times New Roman"/>
          <w:sz w:val="32"/>
          <w:szCs w:val="32"/>
        </w:rPr>
        <w:t>Word Count: 2000</w:t>
      </w:r>
      <w:r w:rsidR="00964034">
        <w:br w:type="page"/>
      </w:r>
    </w:p>
    <w:sdt>
      <w:sdtPr>
        <w:rPr>
          <w:rFonts w:asciiTheme="minorHAnsi" w:eastAsiaTheme="minorHAnsi" w:hAnsiTheme="minorHAnsi" w:cstheme="minorBidi"/>
          <w:b w:val="0"/>
          <w:bCs w:val="0"/>
          <w:color w:val="auto"/>
          <w:sz w:val="22"/>
          <w:szCs w:val="22"/>
          <w:lang w:val="en-IN"/>
        </w:rPr>
        <w:id w:val="7474123"/>
        <w:docPartObj>
          <w:docPartGallery w:val="Table of Contents"/>
          <w:docPartUnique/>
        </w:docPartObj>
      </w:sdtPr>
      <w:sdtEndPr>
        <w:rPr>
          <w:rFonts w:ascii="Times New Roman" w:hAnsi="Times New Roman" w:cs="Times New Roman"/>
          <w:sz w:val="24"/>
          <w:szCs w:val="24"/>
        </w:rPr>
      </w:sdtEndPr>
      <w:sdtContent>
        <w:p w14:paraId="68968413" w14:textId="77777777" w:rsidR="00FF3641" w:rsidRDefault="00964034" w:rsidP="00FF3641">
          <w:pPr>
            <w:pStyle w:val="aa"/>
            <w:spacing w:line="360" w:lineRule="auto"/>
            <w:jc w:val="center"/>
          </w:pPr>
          <w:r w:rsidRPr="00FF3641">
            <w:rPr>
              <w:rFonts w:ascii="Times New Roman" w:hAnsi="Times New Roman" w:cs="Times New Roman"/>
              <w:color w:val="000000" w:themeColor="text1"/>
            </w:rPr>
            <w:t>Table of Contents</w:t>
          </w:r>
        </w:p>
        <w:p w14:paraId="263F7E1D" w14:textId="574040AC" w:rsidR="00791288" w:rsidRPr="00791288" w:rsidRDefault="00663392" w:rsidP="00791288">
          <w:pPr>
            <w:pStyle w:val="11"/>
            <w:tabs>
              <w:tab w:val="right" w:leader="dot" w:pos="9016"/>
            </w:tabs>
            <w:spacing w:line="360" w:lineRule="auto"/>
            <w:jc w:val="both"/>
            <w:rPr>
              <w:rFonts w:ascii="Times New Roman" w:eastAsiaTheme="minorEastAsia" w:hAnsi="Times New Roman" w:cs="Times New Roman"/>
              <w:noProof/>
              <w:sz w:val="24"/>
              <w:szCs w:val="24"/>
              <w:lang w:eastAsia="en-IN"/>
            </w:rPr>
          </w:pPr>
          <w:r w:rsidRPr="00791288">
            <w:rPr>
              <w:rFonts w:ascii="Times New Roman" w:hAnsi="Times New Roman" w:cs="Times New Roman"/>
              <w:sz w:val="24"/>
              <w:szCs w:val="24"/>
            </w:rPr>
            <w:fldChar w:fldCharType="begin"/>
          </w:r>
          <w:r w:rsidR="00964034" w:rsidRPr="00791288">
            <w:rPr>
              <w:rFonts w:ascii="Times New Roman" w:hAnsi="Times New Roman" w:cs="Times New Roman"/>
              <w:sz w:val="24"/>
              <w:szCs w:val="24"/>
            </w:rPr>
            <w:instrText xml:space="preserve"> TOC \o "1-3" \h \z \u </w:instrText>
          </w:r>
          <w:r w:rsidRPr="00791288">
            <w:rPr>
              <w:rFonts w:ascii="Times New Roman" w:hAnsi="Times New Roman" w:cs="Times New Roman"/>
              <w:sz w:val="24"/>
              <w:szCs w:val="24"/>
            </w:rPr>
            <w:fldChar w:fldCharType="separate"/>
          </w:r>
          <w:hyperlink w:anchor="_Toc60162924" w:history="1">
            <w:r w:rsidR="00791288" w:rsidRPr="00791288">
              <w:rPr>
                <w:rStyle w:val="a3"/>
                <w:rFonts w:ascii="Times New Roman" w:hAnsi="Times New Roman" w:cs="Times New Roman"/>
                <w:noProof/>
                <w:sz w:val="24"/>
                <w:szCs w:val="24"/>
              </w:rPr>
              <w:t>Task 1</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_Toc60162924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2</w:t>
            </w:r>
            <w:r w:rsidR="00791288" w:rsidRPr="00791288">
              <w:rPr>
                <w:rFonts w:ascii="Times New Roman" w:hAnsi="Times New Roman" w:cs="Times New Roman"/>
                <w:noProof/>
                <w:webHidden/>
                <w:sz w:val="24"/>
                <w:szCs w:val="24"/>
              </w:rPr>
              <w:fldChar w:fldCharType="end"/>
            </w:r>
          </w:hyperlink>
        </w:p>
        <w:p w14:paraId="6CD5E604" w14:textId="78CEF79E" w:rsidR="00791288" w:rsidRPr="00791288" w:rsidRDefault="00D41EEE" w:rsidP="00791288">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60162925" w:history="1">
            <w:r w:rsidR="00791288" w:rsidRPr="00791288">
              <w:rPr>
                <w:rStyle w:val="a3"/>
                <w:rFonts w:ascii="Times New Roman" w:hAnsi="Times New Roman" w:cs="Times New Roman"/>
                <w:noProof/>
                <w:sz w:val="24"/>
                <w:szCs w:val="24"/>
              </w:rPr>
              <w:t>Introduction</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_Toc60162925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2</w:t>
            </w:r>
            <w:r w:rsidR="00791288" w:rsidRPr="00791288">
              <w:rPr>
                <w:rFonts w:ascii="Times New Roman" w:hAnsi="Times New Roman" w:cs="Times New Roman"/>
                <w:noProof/>
                <w:webHidden/>
                <w:sz w:val="24"/>
                <w:szCs w:val="24"/>
              </w:rPr>
              <w:fldChar w:fldCharType="end"/>
            </w:r>
          </w:hyperlink>
        </w:p>
        <w:p w14:paraId="64E60C3B" w14:textId="3F313D24" w:rsidR="00791288" w:rsidRPr="00791288" w:rsidRDefault="00D41EEE" w:rsidP="00791288">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60162926" w:history="1">
            <w:r w:rsidR="00791288" w:rsidRPr="00791288">
              <w:rPr>
                <w:rStyle w:val="a3"/>
                <w:rFonts w:ascii="Times New Roman" w:hAnsi="Times New Roman" w:cs="Times New Roman"/>
                <w:noProof/>
                <w:sz w:val="24"/>
                <w:szCs w:val="24"/>
              </w:rPr>
              <w:t>Article 1</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_Toc60162926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2</w:t>
            </w:r>
            <w:r w:rsidR="00791288" w:rsidRPr="00791288">
              <w:rPr>
                <w:rFonts w:ascii="Times New Roman" w:hAnsi="Times New Roman" w:cs="Times New Roman"/>
                <w:noProof/>
                <w:webHidden/>
                <w:sz w:val="24"/>
                <w:szCs w:val="24"/>
              </w:rPr>
              <w:fldChar w:fldCharType="end"/>
            </w:r>
          </w:hyperlink>
        </w:p>
        <w:p w14:paraId="6870191C" w14:textId="7A69FBD5" w:rsidR="00791288" w:rsidRPr="00791288" w:rsidRDefault="00D41EEE" w:rsidP="00791288">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60162927" w:history="1">
            <w:r w:rsidR="00791288" w:rsidRPr="00791288">
              <w:rPr>
                <w:rStyle w:val="a3"/>
                <w:rFonts w:ascii="Times New Roman" w:hAnsi="Times New Roman" w:cs="Times New Roman"/>
                <w:noProof/>
                <w:sz w:val="24"/>
                <w:szCs w:val="24"/>
              </w:rPr>
              <w:t>Article 2</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_Toc60162927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3</w:t>
            </w:r>
            <w:r w:rsidR="00791288" w:rsidRPr="00791288">
              <w:rPr>
                <w:rFonts w:ascii="Times New Roman" w:hAnsi="Times New Roman" w:cs="Times New Roman"/>
                <w:noProof/>
                <w:webHidden/>
                <w:sz w:val="24"/>
                <w:szCs w:val="24"/>
              </w:rPr>
              <w:fldChar w:fldCharType="end"/>
            </w:r>
          </w:hyperlink>
        </w:p>
        <w:p w14:paraId="2F8033AB" w14:textId="67AA831B" w:rsidR="00791288" w:rsidRPr="00791288" w:rsidRDefault="00D41EEE" w:rsidP="00791288">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60162928" w:history="1">
            <w:r w:rsidR="00791288" w:rsidRPr="00791288">
              <w:rPr>
                <w:rStyle w:val="a3"/>
                <w:rFonts w:ascii="Times New Roman" w:hAnsi="Times New Roman" w:cs="Times New Roman"/>
                <w:noProof/>
                <w:sz w:val="24"/>
                <w:szCs w:val="24"/>
              </w:rPr>
              <w:t>Article 3</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_Toc60162928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3</w:t>
            </w:r>
            <w:r w:rsidR="00791288" w:rsidRPr="00791288">
              <w:rPr>
                <w:rFonts w:ascii="Times New Roman" w:hAnsi="Times New Roman" w:cs="Times New Roman"/>
                <w:noProof/>
                <w:webHidden/>
                <w:sz w:val="24"/>
                <w:szCs w:val="24"/>
              </w:rPr>
              <w:fldChar w:fldCharType="end"/>
            </w:r>
          </w:hyperlink>
        </w:p>
        <w:p w14:paraId="644B018F" w14:textId="589F75A4" w:rsidR="00791288" w:rsidRPr="00791288" w:rsidRDefault="00D41EEE" w:rsidP="00791288">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60162929" w:history="1">
            <w:r w:rsidR="00791288" w:rsidRPr="00791288">
              <w:rPr>
                <w:rStyle w:val="a3"/>
                <w:rFonts w:ascii="Times New Roman" w:hAnsi="Times New Roman" w:cs="Times New Roman"/>
                <w:noProof/>
                <w:sz w:val="24"/>
                <w:szCs w:val="24"/>
              </w:rPr>
              <w:t>Article 4</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_Toc60162929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4</w:t>
            </w:r>
            <w:r w:rsidR="00791288" w:rsidRPr="00791288">
              <w:rPr>
                <w:rFonts w:ascii="Times New Roman" w:hAnsi="Times New Roman" w:cs="Times New Roman"/>
                <w:noProof/>
                <w:webHidden/>
                <w:sz w:val="24"/>
                <w:szCs w:val="24"/>
              </w:rPr>
              <w:fldChar w:fldCharType="end"/>
            </w:r>
          </w:hyperlink>
        </w:p>
        <w:p w14:paraId="2C87AE02" w14:textId="2ECEC4F9" w:rsidR="00791288" w:rsidRPr="00791288" w:rsidRDefault="00D41EEE" w:rsidP="00791288">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60162930" w:history="1">
            <w:r w:rsidR="00791288" w:rsidRPr="00791288">
              <w:rPr>
                <w:rStyle w:val="a3"/>
                <w:rFonts w:ascii="Times New Roman" w:hAnsi="Times New Roman" w:cs="Times New Roman"/>
                <w:noProof/>
                <w:sz w:val="24"/>
                <w:szCs w:val="24"/>
              </w:rPr>
              <w:t>Analysis of own employability skills</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_Toc60162930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5</w:t>
            </w:r>
            <w:r w:rsidR="00791288" w:rsidRPr="00791288">
              <w:rPr>
                <w:rFonts w:ascii="Times New Roman" w:hAnsi="Times New Roman" w:cs="Times New Roman"/>
                <w:noProof/>
                <w:webHidden/>
                <w:sz w:val="24"/>
                <w:szCs w:val="24"/>
              </w:rPr>
              <w:fldChar w:fldCharType="end"/>
            </w:r>
          </w:hyperlink>
        </w:p>
        <w:p w14:paraId="6C2B3B25" w14:textId="05469878" w:rsidR="00791288" w:rsidRPr="00791288" w:rsidRDefault="00D41EEE" w:rsidP="00791288">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60162931" w:history="1">
            <w:r w:rsidR="00791288" w:rsidRPr="00791288">
              <w:rPr>
                <w:rStyle w:val="a3"/>
                <w:rFonts w:ascii="Times New Roman" w:hAnsi="Times New Roman" w:cs="Times New Roman"/>
                <w:noProof/>
                <w:sz w:val="24"/>
                <w:szCs w:val="24"/>
              </w:rPr>
              <w:t>Conclusion</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_Toc60162931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6</w:t>
            </w:r>
            <w:r w:rsidR="00791288" w:rsidRPr="00791288">
              <w:rPr>
                <w:rFonts w:ascii="Times New Roman" w:hAnsi="Times New Roman" w:cs="Times New Roman"/>
                <w:noProof/>
                <w:webHidden/>
                <w:sz w:val="24"/>
                <w:szCs w:val="24"/>
              </w:rPr>
              <w:fldChar w:fldCharType="end"/>
            </w:r>
          </w:hyperlink>
        </w:p>
        <w:p w14:paraId="5188F207" w14:textId="0D6A3102" w:rsidR="00791288" w:rsidRPr="00791288" w:rsidRDefault="00D41EEE" w:rsidP="00791288">
          <w:pPr>
            <w:pStyle w:val="1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60162932" w:history="1">
            <w:r w:rsidR="00791288" w:rsidRPr="00791288">
              <w:rPr>
                <w:rStyle w:val="a3"/>
                <w:rFonts w:ascii="Times New Roman" w:hAnsi="Times New Roman" w:cs="Times New Roman"/>
                <w:noProof/>
                <w:sz w:val="24"/>
                <w:szCs w:val="24"/>
              </w:rPr>
              <w:t>Reference list</w:t>
            </w:r>
            <w:r w:rsidR="00791288" w:rsidRPr="00791288">
              <w:rPr>
                <w:rFonts w:ascii="Times New Roman" w:hAnsi="Times New Roman" w:cs="Times New Roman"/>
                <w:noProof/>
                <w:webHidden/>
                <w:sz w:val="24"/>
                <w:szCs w:val="24"/>
              </w:rPr>
              <w:tab/>
            </w:r>
            <w:r w:rsidR="00791288" w:rsidRPr="00791288">
              <w:rPr>
                <w:rFonts w:ascii="Times New Roman" w:hAnsi="Times New Roman" w:cs="Times New Roman"/>
                <w:noProof/>
                <w:webHidden/>
                <w:sz w:val="24"/>
                <w:szCs w:val="24"/>
              </w:rPr>
              <w:fldChar w:fldCharType="begin"/>
            </w:r>
            <w:r w:rsidR="00791288" w:rsidRPr="00791288">
              <w:rPr>
                <w:rFonts w:ascii="Times New Roman" w:hAnsi="Times New Roman" w:cs="Times New Roman"/>
                <w:noProof/>
                <w:webHidden/>
                <w:sz w:val="24"/>
                <w:szCs w:val="24"/>
              </w:rPr>
              <w:instrText xml:space="preserve"> PAGEREF _Toc60162932 \h </w:instrText>
            </w:r>
            <w:r w:rsidR="00791288" w:rsidRPr="00791288">
              <w:rPr>
                <w:rFonts w:ascii="Times New Roman" w:hAnsi="Times New Roman" w:cs="Times New Roman"/>
                <w:noProof/>
                <w:webHidden/>
                <w:sz w:val="24"/>
                <w:szCs w:val="24"/>
              </w:rPr>
            </w:r>
            <w:r w:rsidR="00791288" w:rsidRPr="00791288">
              <w:rPr>
                <w:rFonts w:ascii="Times New Roman" w:hAnsi="Times New Roman" w:cs="Times New Roman"/>
                <w:noProof/>
                <w:webHidden/>
                <w:sz w:val="24"/>
                <w:szCs w:val="24"/>
              </w:rPr>
              <w:fldChar w:fldCharType="separate"/>
            </w:r>
            <w:r w:rsidR="00791288" w:rsidRPr="00791288">
              <w:rPr>
                <w:rFonts w:ascii="Times New Roman" w:hAnsi="Times New Roman" w:cs="Times New Roman"/>
                <w:noProof/>
                <w:webHidden/>
                <w:sz w:val="24"/>
                <w:szCs w:val="24"/>
              </w:rPr>
              <w:t>7</w:t>
            </w:r>
            <w:r w:rsidR="00791288" w:rsidRPr="00791288">
              <w:rPr>
                <w:rFonts w:ascii="Times New Roman" w:hAnsi="Times New Roman" w:cs="Times New Roman"/>
                <w:noProof/>
                <w:webHidden/>
                <w:sz w:val="24"/>
                <w:szCs w:val="24"/>
              </w:rPr>
              <w:fldChar w:fldCharType="end"/>
            </w:r>
          </w:hyperlink>
        </w:p>
        <w:p w14:paraId="41F67576" w14:textId="0DB9CC7D" w:rsidR="00FF3641" w:rsidRPr="00FF3641" w:rsidRDefault="00663392" w:rsidP="00791288">
          <w:pPr>
            <w:spacing w:line="360" w:lineRule="auto"/>
            <w:jc w:val="both"/>
            <w:rPr>
              <w:rFonts w:ascii="Times New Roman" w:hAnsi="Times New Roman" w:cs="Times New Roman"/>
              <w:sz w:val="24"/>
              <w:szCs w:val="24"/>
            </w:rPr>
          </w:pPr>
          <w:r w:rsidRPr="00791288">
            <w:rPr>
              <w:rFonts w:ascii="Times New Roman" w:hAnsi="Times New Roman" w:cs="Times New Roman"/>
              <w:sz w:val="24"/>
              <w:szCs w:val="24"/>
            </w:rPr>
            <w:fldChar w:fldCharType="end"/>
          </w:r>
        </w:p>
      </w:sdtContent>
    </w:sdt>
    <w:p w14:paraId="2704F63A" w14:textId="77777777" w:rsidR="00FF3641" w:rsidRDefault="00FF3641" w:rsidP="00FF3641"/>
    <w:p w14:paraId="0466D80E" w14:textId="77777777" w:rsidR="00FF3641" w:rsidRDefault="00964034">
      <w:pPr>
        <w:rPr>
          <w:rFonts w:ascii="Times New Roman" w:eastAsiaTheme="majorEastAsia" w:hAnsi="Times New Roman" w:cstheme="majorBidi"/>
          <w:b/>
          <w:bCs/>
          <w:color w:val="000000" w:themeColor="text1"/>
          <w:sz w:val="28"/>
          <w:szCs w:val="28"/>
        </w:rPr>
      </w:pPr>
      <w:r>
        <w:br w:type="page"/>
      </w:r>
    </w:p>
    <w:p w14:paraId="787B4169" w14:textId="77777777" w:rsidR="000223C4" w:rsidRDefault="00964034" w:rsidP="00FF3641">
      <w:pPr>
        <w:pStyle w:val="1"/>
      </w:pPr>
      <w:bookmarkStart w:id="0" w:name="_Toc60162924"/>
      <w:r>
        <w:lastRenderedPageBreak/>
        <w:t>Task 1</w:t>
      </w:r>
      <w:bookmarkEnd w:id="0"/>
      <w:r>
        <w:t> </w:t>
      </w:r>
    </w:p>
    <w:p w14:paraId="2B895F6B" w14:textId="77777777" w:rsidR="000223C4" w:rsidRDefault="00964034" w:rsidP="00FF3641">
      <w:pPr>
        <w:pStyle w:val="2"/>
      </w:pPr>
      <w:bookmarkStart w:id="1" w:name="_Toc60162925"/>
      <w:r>
        <w:t>Introduction</w:t>
      </w:r>
      <w:bookmarkEnd w:id="1"/>
      <w:r>
        <w:t> </w:t>
      </w:r>
    </w:p>
    <w:p w14:paraId="501E5287" w14:textId="77777777" w:rsidR="000223C4" w:rsidRDefault="00964034" w:rsidP="000223C4">
      <w:pPr>
        <w:pStyle w:val="a4"/>
        <w:spacing w:before="0" w:beforeAutospacing="0" w:after="0" w:afterAutospacing="0" w:line="360" w:lineRule="auto"/>
        <w:jc w:val="both"/>
        <w:rPr>
          <w:color w:val="0E101A"/>
        </w:rPr>
      </w:pPr>
      <w:r>
        <w:rPr>
          <w:color w:val="0E101A"/>
        </w:rPr>
        <w:t>The main aspect of this research paper is to look into the employability skills, and several articles will be taken into consideration for summarising and evaluating the mean spectrums. With looking into this article's the own employability skills will be evaluated as well. Therefore articles are considered for the discussion of employability. The four articles' revolve around employability with the aspect of education and the relationship with human development. The information gathered in this research paper is taken from several articles and journals, and it can also be used further in research in a specific field.</w:t>
      </w:r>
    </w:p>
    <w:p w14:paraId="3650E9E6" w14:textId="77777777" w:rsidR="000223C4" w:rsidRDefault="00964034" w:rsidP="00FF3641">
      <w:pPr>
        <w:pStyle w:val="2"/>
      </w:pPr>
      <w:bookmarkStart w:id="2" w:name="_Toc60162926"/>
      <w:r>
        <w:t>Article 1</w:t>
      </w:r>
      <w:bookmarkEnd w:id="2"/>
      <w:r>
        <w:t> </w:t>
      </w:r>
    </w:p>
    <w:p w14:paraId="5929E2C3" w14:textId="77777777" w:rsidR="000223C4" w:rsidRDefault="00964034" w:rsidP="000223C4">
      <w:pPr>
        <w:pStyle w:val="a4"/>
        <w:spacing w:before="0" w:beforeAutospacing="0" w:after="0" w:afterAutospacing="0" w:line="360" w:lineRule="auto"/>
        <w:jc w:val="both"/>
        <w:rPr>
          <w:color w:val="0E101A"/>
        </w:rPr>
      </w:pPr>
      <w:r>
        <w:rPr>
          <w:color w:val="0E101A"/>
        </w:rPr>
        <w:t xml:space="preserve">The first article which is taken is "Students' perceptions of education and employability" of 2018. This article looks into how to perceive where the students their future career options are seen. It is also considered that how the universities are preparing that kind of students to look into the world and also to enter the global Labour market through which the perception of the students can get the associated costs as well as benefit for pursuing the different aspects with earnings employability and anticipating different barriers to work on the different persuasions of career sustainability in the ecosystem of career maintenance (Donald </w:t>
      </w:r>
      <w:r>
        <w:rPr>
          <w:rStyle w:val="a5"/>
          <w:color w:val="0E101A"/>
        </w:rPr>
        <w:t>et al</w:t>
      </w:r>
      <w:r>
        <w:rPr>
          <w:color w:val="0E101A"/>
        </w:rPr>
        <w:t xml:space="preserve">., 2018). This article's value looks into the different types of opportunities given on the employability of the students and the people. They are graduating through which the contribution to political economy and social aspects can be seen. It can be seen that certain types of contemporary social challenges are faced by students all over the world in different facets of life. These are also interconnected to the development of the students. With the landscape of professions, technology plays a significant role and a key role in the economy's stability. The employees can also be shaped by education, particularly the graduates' determination (Donald </w:t>
      </w:r>
      <w:r>
        <w:rPr>
          <w:rStyle w:val="a5"/>
          <w:color w:val="0E101A"/>
        </w:rPr>
        <w:t>et al</w:t>
      </w:r>
      <w:r>
        <w:rPr>
          <w:color w:val="0E101A"/>
        </w:rPr>
        <w:t>., 2018). This article investigates the comprehension through which the understudies with their future careerist's alternatives are seen. It is additionally viewed as that how the colleges are setting up those sort of understudies also investigate the world and to enter the worldwide Labor market through which the impression of the understudies can get the related expenses just as an advantage for seeking after the various angles with income employability and envisioning various obstructions to take a shot at the various influences of profession manageability in the biological system of vocation support (Donald </w:t>
      </w:r>
      <w:r>
        <w:rPr>
          <w:rStyle w:val="a5"/>
          <w:color w:val="0E101A"/>
        </w:rPr>
        <w:t>et al</w:t>
      </w:r>
      <w:r>
        <w:rPr>
          <w:color w:val="0E101A"/>
        </w:rPr>
        <w:t xml:space="preserve">., 2018). The estimation of this article investigates the various sorts of changes </w:t>
      </w:r>
      <w:r>
        <w:rPr>
          <w:color w:val="0E101A"/>
        </w:rPr>
        <w:lastRenderedPageBreak/>
        <w:t>that have been given on the employability of the understudies and the individuals who are graduating through which the commitment to political prudent just as social angles can be seen. </w:t>
      </w:r>
    </w:p>
    <w:p w14:paraId="36ED343F" w14:textId="77777777" w:rsidR="000223C4" w:rsidRDefault="00964034" w:rsidP="00FF3641">
      <w:pPr>
        <w:pStyle w:val="2"/>
      </w:pPr>
      <w:bookmarkStart w:id="3" w:name="_Toc60162927"/>
      <w:r>
        <w:t>Article 2</w:t>
      </w:r>
      <w:bookmarkEnd w:id="3"/>
    </w:p>
    <w:p w14:paraId="44FA33D2" w14:textId="77777777" w:rsidR="000223C4" w:rsidRDefault="00964034" w:rsidP="000223C4">
      <w:pPr>
        <w:pStyle w:val="a4"/>
        <w:spacing w:before="0" w:beforeAutospacing="0" w:after="0" w:afterAutospacing="0" w:line="360" w:lineRule="auto"/>
        <w:jc w:val="both"/>
        <w:rPr>
          <w:color w:val="0E101A"/>
        </w:rPr>
      </w:pPr>
      <w:r>
        <w:rPr>
          <w:color w:val="0E101A"/>
        </w:rPr>
        <w:t>The second article, which is taken is "Forms of graduate capital and their relationship to graduate employability," written in 2017. This article looks into the different types of changes that are far-reaching made in the Labour market and also in the higher education through which different types of discussions are also extended by looking into the constitution employability and how the different types of shapes are going through the graduation and the markets of their outcomes. It can also be seen that there are few discussions through which the skill centers approaches are looking into the logic, and this supply-side logic also related to the higher education and employability skills (Tomlinson, 2017). The main purpose of this research paper or this Journal is to develop the alternative through which employability can be based upon the concept of different spectrums in capitals. The relation of conceptualism can also be seen in employability by establishing the purpose. After that, there are discussions on which the multidimensional details and accounts are seen through which the graduates and the higher education students are transitioning the Labour and the markets (Tomlinson, 2017). This article investigates the various kinds of changes that are expansive made in the Labor market and in the advanced education through which various sorts of conversations are additionally stretched out by investigating the constitution employability and how the various sorts of shapes are experiencing the graduation and the business sectors of their results (Tomlinson, 2017). It can likewise be seen that there are not many conversations through which the expertise places approaches are investigating the rationale. This flexibly side-sensitivity is also related to advanced education and employability abilities. The primary reason for this examination paper or this Journal is to build up the option through which the employability can be based upon the idea of various ranges in capitals. The connection of conceptualism can likewise be found in employability by setting up the reason.</w:t>
      </w:r>
    </w:p>
    <w:p w14:paraId="4DA2DE73" w14:textId="77777777" w:rsidR="000223C4" w:rsidRDefault="00964034" w:rsidP="00FF3641">
      <w:pPr>
        <w:pStyle w:val="2"/>
      </w:pPr>
      <w:bookmarkStart w:id="4" w:name="_Toc60162928"/>
      <w:r>
        <w:t>Article 3</w:t>
      </w:r>
      <w:bookmarkEnd w:id="4"/>
      <w:r>
        <w:t> </w:t>
      </w:r>
    </w:p>
    <w:p w14:paraId="7C3CAF7A" w14:textId="77777777" w:rsidR="000223C4" w:rsidRDefault="00964034" w:rsidP="000223C4">
      <w:pPr>
        <w:pStyle w:val="a4"/>
        <w:spacing w:before="0" w:beforeAutospacing="0" w:after="0" w:afterAutospacing="0" w:line="360" w:lineRule="auto"/>
        <w:jc w:val="both"/>
        <w:rPr>
          <w:color w:val="0E101A"/>
        </w:rPr>
      </w:pPr>
      <w:r>
        <w:rPr>
          <w:color w:val="0E101A"/>
        </w:rPr>
        <w:t>The third article taken is “</w:t>
      </w:r>
      <w:r>
        <w:rPr>
          <w:rStyle w:val="a5"/>
          <w:color w:val="0E101A"/>
        </w:rPr>
        <w:t>Universities, employability and human development,"</w:t>
      </w:r>
      <w:r>
        <w:rPr>
          <w:color w:val="0E101A"/>
        </w:rPr>
        <w:t xml:space="preserve"> written in 2017. This article looks into the contextual and the conditions of policy through which the graduates are scene and taking into employability. It can be well established that there are different types of projects with their relationship and the concern between higher education </w:t>
      </w:r>
      <w:r>
        <w:rPr>
          <w:color w:val="0E101A"/>
        </w:rPr>
        <w:lastRenderedPageBreak/>
        <w:t xml:space="preserve">and different types of government policies and the societies are changed. With these changes, the social aspects and the Labour markets can also see a certain shift where the operation of investigation in how the universities are treating the employees who are going to graduate and the students who are going to include in the different types of development are also evaluated (Walker and Fongwa, 2017). The article also focuses on the opportunities given by the universities to the students who are about to graduate and how they, including access to participation in different types of colleges and universities, can contribute to society's future wellbeing. The aspects of politics and sciences of social aspects are also intertwined by transforming certain education potentials to a higher level. There are certain changes in societies as well, which moves into the employment and graduation of students (Walker and Fongwa, 2017). This article investigates the logical and the states of strategy through which the alumni are scene and taking into the parts of employability. It tends to be entrenched that there are various kinds of ventures with their relationship and the worry between the advanced education and various sorts of administrative arrangements just as the social orders are changed. With these progressions, the social angles and the Labor markets can likewise observe certain moves where the activity of examination in how the colleges are treating the workers who will graduate and the understudies who will remember for the various sorts of improvement are also assessed. The article additionally centers around the open doors that are given by the colleges to the understudies who are going to graduate and how the incorporating of access in the interest in various sorts of schools and colleges can add to the future prosperity of the general public (Walker and Fongwa, 2017). The parts of governmental issues, a science of social viewpoints, are additionally mediated by changing certain possibilities of schooling at a more elevated level. There are sure changes in social orders also move into the work and graduation understudies. </w:t>
      </w:r>
    </w:p>
    <w:p w14:paraId="3F24C305" w14:textId="77777777" w:rsidR="000223C4" w:rsidRDefault="00964034" w:rsidP="00FF3641">
      <w:pPr>
        <w:pStyle w:val="2"/>
      </w:pPr>
      <w:bookmarkStart w:id="5" w:name="_Toc60162929"/>
      <w:r>
        <w:t>Article 4</w:t>
      </w:r>
      <w:bookmarkEnd w:id="5"/>
      <w:r>
        <w:t> </w:t>
      </w:r>
    </w:p>
    <w:p w14:paraId="005A7FA5" w14:textId="77777777" w:rsidR="000223C4" w:rsidRDefault="00964034" w:rsidP="000223C4">
      <w:pPr>
        <w:pStyle w:val="a4"/>
        <w:spacing w:before="0" w:beforeAutospacing="0" w:after="0" w:afterAutospacing="0" w:line="360" w:lineRule="auto"/>
        <w:jc w:val="both"/>
        <w:rPr>
          <w:color w:val="0E101A"/>
        </w:rPr>
      </w:pPr>
      <w:r>
        <w:rPr>
          <w:color w:val="0E101A"/>
        </w:rPr>
        <w:t xml:space="preserve">The fourth article written is “Employability: A review of the literature 2012-2016” in 2017. In this research paper and the Journal, the exploration of employable student and employability in future creation will be constructed going through several educative aspects of higher studies and placements in the sector of creativity. This article looks into the qualitative study and researchers through which the student Staff and the employers can identify different types of practices and discourses through which their graduate students and the students in universities can benefit (Artess </w:t>
      </w:r>
      <w:r>
        <w:rPr>
          <w:rStyle w:val="a5"/>
          <w:color w:val="0E101A"/>
        </w:rPr>
        <w:t>et al.,</w:t>
      </w:r>
      <w:r>
        <w:rPr>
          <w:color w:val="0E101A"/>
        </w:rPr>
        <w:t xml:space="preserve"> 2017). The projection of students as neoliberal is seen on a high scale. These will be concerned with certain subjects where the </w:t>
      </w:r>
      <w:r>
        <w:rPr>
          <w:color w:val="0E101A"/>
        </w:rPr>
        <w:lastRenderedPageBreak/>
        <w:t xml:space="preserve">students are excluding several evaluation processes of success and employability to create the workplace which may be ideal for that particular setting and through which the arguments will also be placed looking into the domains of qualities through the Labour market where products are sustained and often qualities are addressed. Several types of tools and research methods and approaches have been used in this article, which looks into the survey tools and different accepted statements and mapping those results in classification and evaluation. In this examination paper and the Journal, the investigation of employable understudy and employability throughout future creation will be built experiencing a few educative parts of higher examinations and situations in inventiveness (Artess </w:t>
      </w:r>
      <w:r>
        <w:rPr>
          <w:rStyle w:val="a5"/>
          <w:color w:val="0E101A"/>
        </w:rPr>
        <w:t>et al.,</w:t>
      </w:r>
      <w:r>
        <w:rPr>
          <w:color w:val="0E101A"/>
        </w:rPr>
        <w:t xml:space="preserve"> 2017). This article investigates the subjective examination and analysts through which the understudy Staff and the businesses can recognize various kinds of practices and talks through which their alumni understudies and the understudies in colleges can help. The projection of understudies as neoliberal is found in a high scale, and these will be worried about specific subjects where the understudies are barring a few assessment cycles of effective and utilize capacity to make the working environment which might be ideal for that specific setting and through which the contentions will likewise be put investigating the spaces of characteristics through the Labor market where items are supported, and regularly characteristics are tended to (Artess </w:t>
      </w:r>
      <w:r>
        <w:rPr>
          <w:rStyle w:val="a5"/>
          <w:color w:val="0E101A"/>
        </w:rPr>
        <w:t>et al.,</w:t>
      </w:r>
      <w:r>
        <w:rPr>
          <w:color w:val="0E101A"/>
        </w:rPr>
        <w:t xml:space="preserve"> 2017). A few kinds of instruments and exploration techniques and approaches have been utilized in this article, which investigates the overview devices a likewise extraordinary acknowledge articulations and planning those outcomes into arrangement and assessment. </w:t>
      </w:r>
    </w:p>
    <w:p w14:paraId="2ADF94D7" w14:textId="77777777" w:rsidR="000223C4" w:rsidRDefault="00964034" w:rsidP="00FF3641">
      <w:pPr>
        <w:pStyle w:val="2"/>
      </w:pPr>
      <w:bookmarkStart w:id="6" w:name="_Toc60162930"/>
      <w:r>
        <w:t>Analysis of own employability skills</w:t>
      </w:r>
      <w:bookmarkEnd w:id="6"/>
      <w:r>
        <w:t> </w:t>
      </w:r>
    </w:p>
    <w:p w14:paraId="5E5DC2EA" w14:textId="77777777" w:rsidR="000223C4" w:rsidRDefault="00964034" w:rsidP="000223C4">
      <w:pPr>
        <w:pStyle w:val="a4"/>
        <w:spacing w:before="0" w:beforeAutospacing="0" w:after="0" w:afterAutospacing="0" w:line="360" w:lineRule="auto"/>
        <w:jc w:val="both"/>
        <w:rPr>
          <w:color w:val="0E101A"/>
        </w:rPr>
      </w:pPr>
      <w:r>
        <w:rPr>
          <w:color w:val="0E101A"/>
        </w:rPr>
        <w:t xml:space="preserve">I feel like my employability skills are extremely important, and they are also needed, and I feel like my employability skills are extremely valuable in my case scenario. Though the development of the society is increasing rapidly and with it the competitors are also increasing their employees' perspectives so that the competition in the market can be maintained in a proper manner and in this spectrum the employability skills should have more attention than ever. Employability skills can be described as the skill through which employees can be gained and the process of progression through which the successful contribution can be made and achieve the potential of one person. The strategic directions, as well as the understanding skills, are important for employability, and I feel I have all these qualities. It can be easily understood, and I have also evaluated myself to see that I have communication skills, team working skills, self-management skills, technological skills, problem-solving skills, etc. which are the key attributes to my aspect of employment, and I </w:t>
      </w:r>
      <w:r>
        <w:rPr>
          <w:color w:val="0E101A"/>
        </w:rPr>
        <w:lastRenderedPageBreak/>
        <w:t>can also maintain a good relationship with the people I am working with as well as my superiors. I feel like my employability aptitudes are critical and are also required, and I feel like my employability abilities are amazingly significant for my situation. Despite the fact that improvement of the general public is expanding quickly and with it, the contenders are likewise expanding their viewpoints of workers so the opposition in the market can be kept up in an appropriate way and in this range, the employability aptitudes ought to have more consideration than any other time in recent memory. Employability aptitudes can be portrayed as the ability through which the work can be picked up and the cycle of movement through which the effective commitment can be made just as accomplishing one individual's capability. Just as getting abilities, the vital bearings are significant for employability, and I believe I have every one of these characteristics. It tends to be effortlessly perceived, and I have likewise assessed myself to see that I have relational abilities, group working aptitudes, self-administration aptitudes, mechanical abilities, critical thinking abilities, and so forth, which are the vital properties to my part of the business and I can likewise keep up a decent connection with the individuals.</w:t>
      </w:r>
    </w:p>
    <w:p w14:paraId="4E0B65D2" w14:textId="77777777" w:rsidR="000223C4" w:rsidRDefault="00964034" w:rsidP="00FF3641">
      <w:pPr>
        <w:pStyle w:val="2"/>
      </w:pPr>
      <w:bookmarkStart w:id="7" w:name="_Toc60162931"/>
      <w:r>
        <w:t>Conclusion</w:t>
      </w:r>
      <w:bookmarkEnd w:id="7"/>
      <w:r>
        <w:t> </w:t>
      </w:r>
    </w:p>
    <w:p w14:paraId="264E08D3" w14:textId="77777777" w:rsidR="000223C4" w:rsidRDefault="00964034" w:rsidP="000223C4">
      <w:pPr>
        <w:pStyle w:val="a4"/>
        <w:spacing w:before="0" w:beforeAutospacing="0" w:after="0" w:afterAutospacing="0" w:line="360" w:lineRule="auto"/>
        <w:jc w:val="both"/>
        <w:rPr>
          <w:color w:val="0E101A"/>
        </w:rPr>
      </w:pPr>
      <w:r>
        <w:rPr>
          <w:color w:val="0E101A"/>
        </w:rPr>
        <w:t>The primary part of this examination paper is to investigate the employability abilities, and a few articles will be contemplated for summing up and assessing the mean ranges. With investigating this current article's the own employability aptitudes will also be assessed. In this way, articles are considered for the conversation of employability. The four articles rotate around the idea of employability with the part of schooling and, furthermore, the relationship with the human turn of events. The data which is accumulated in this examination paper is taken from a few articles and diaries, and it can likewise be utilized further in exploration in the particular field.</w:t>
      </w:r>
    </w:p>
    <w:p w14:paraId="01E56706" w14:textId="47CE0672" w:rsidR="000223C4" w:rsidRDefault="000223C4" w:rsidP="000223C4">
      <w:pPr>
        <w:pStyle w:val="a4"/>
        <w:spacing w:before="0" w:beforeAutospacing="0" w:after="0" w:afterAutospacing="0" w:line="360" w:lineRule="auto"/>
        <w:jc w:val="both"/>
        <w:rPr>
          <w:color w:val="0E101A"/>
        </w:rPr>
      </w:pPr>
    </w:p>
    <w:p w14:paraId="58ADF811" w14:textId="77777777" w:rsidR="00FF3641" w:rsidRDefault="00964034">
      <w:pPr>
        <w:rPr>
          <w:rFonts w:ascii="Times New Roman" w:eastAsiaTheme="majorEastAsia" w:hAnsi="Times New Roman" w:cstheme="majorBidi"/>
          <w:b/>
          <w:bCs/>
          <w:color w:val="000000" w:themeColor="text1"/>
          <w:sz w:val="28"/>
          <w:szCs w:val="28"/>
        </w:rPr>
      </w:pPr>
      <w:r>
        <w:br w:type="page"/>
      </w:r>
    </w:p>
    <w:p w14:paraId="2512886F" w14:textId="77777777" w:rsidR="000223C4" w:rsidRDefault="00964034" w:rsidP="00FF3641">
      <w:pPr>
        <w:pStyle w:val="1"/>
      </w:pPr>
      <w:bookmarkStart w:id="8" w:name="_Toc60162932"/>
      <w:r>
        <w:lastRenderedPageBreak/>
        <w:t>Reference list</w:t>
      </w:r>
      <w:bookmarkEnd w:id="8"/>
    </w:p>
    <w:p w14:paraId="150C691E" w14:textId="77777777" w:rsidR="000223C4" w:rsidRDefault="00964034" w:rsidP="000223C4">
      <w:pPr>
        <w:pStyle w:val="a4"/>
        <w:spacing w:before="0" w:beforeAutospacing="0" w:after="0" w:afterAutospacing="0" w:line="360" w:lineRule="auto"/>
        <w:jc w:val="both"/>
        <w:rPr>
          <w:color w:val="0E101A"/>
        </w:rPr>
      </w:pPr>
      <w:r>
        <w:rPr>
          <w:color w:val="0E101A"/>
        </w:rPr>
        <w:t>Artess, J., Mellors-Bourne, R. and Hooley, T., 2017. Employability: A review of the literature 2012-2016. </w:t>
      </w:r>
      <w:hyperlink r:id="rId8" w:tgtFrame="_blank" w:history="1">
        <w:r>
          <w:rPr>
            <w:rStyle w:val="a3"/>
            <w:color w:val="4A6EE0"/>
          </w:rPr>
          <w:t>https://derby.openrepository.com/bitstream/handle/10545/621285/dataset_for_employability_literature_review_2012_to_2016.pdf?sequence=8&amp;isAllowed=y</w:t>
        </w:r>
      </w:hyperlink>
    </w:p>
    <w:p w14:paraId="0579EA82" w14:textId="77777777" w:rsidR="000223C4" w:rsidRDefault="00964034" w:rsidP="000223C4">
      <w:pPr>
        <w:pStyle w:val="a4"/>
        <w:spacing w:before="0" w:beforeAutospacing="0" w:after="0" w:afterAutospacing="0" w:line="360" w:lineRule="auto"/>
        <w:jc w:val="both"/>
        <w:rPr>
          <w:color w:val="0E101A"/>
        </w:rPr>
      </w:pPr>
      <w:r>
        <w:rPr>
          <w:color w:val="0E101A"/>
        </w:rPr>
        <w:t>Donald, W.E., Ashleigh, M.J., and Baruch, Y., 2018. Students’ perceptions of education and employability. </w:t>
      </w:r>
      <w:r>
        <w:rPr>
          <w:rStyle w:val="a5"/>
          <w:color w:val="0E101A"/>
        </w:rPr>
        <w:t>Career Development International</w:t>
      </w:r>
      <w:r>
        <w:rPr>
          <w:color w:val="0E101A"/>
        </w:rPr>
        <w:t>. </w:t>
      </w:r>
      <w:hyperlink r:id="rId9" w:tgtFrame="_blank" w:history="1">
        <w:r>
          <w:rPr>
            <w:rStyle w:val="a3"/>
            <w:color w:val="4A6EE0"/>
          </w:rPr>
          <w:t>https://www.researchgate.net/profile/Melanie_Ashleigh/publication/328466676_Students%27_perceptions_of_education_and_employability_Facilitating_career_transition_from_higher_education_into_the_labor_market/links/5bf511e9299bf1124fe257b7/Students-perceptions-of-education-and-employability-Facilitating-career-transition-from-higher-education-into-the-labor-market.pdf</w:t>
        </w:r>
      </w:hyperlink>
    </w:p>
    <w:p w14:paraId="43E3D6A5" w14:textId="77777777" w:rsidR="000223C4" w:rsidRDefault="00964034" w:rsidP="000223C4">
      <w:pPr>
        <w:pStyle w:val="a4"/>
        <w:spacing w:before="0" w:beforeAutospacing="0" w:after="0" w:afterAutospacing="0" w:line="360" w:lineRule="auto"/>
        <w:jc w:val="both"/>
        <w:rPr>
          <w:color w:val="0E101A"/>
        </w:rPr>
      </w:pPr>
      <w:r>
        <w:rPr>
          <w:color w:val="0E101A"/>
        </w:rPr>
        <w:t>Sekarwinahyu, M., Rustaman, N.Y., Widodo, A. and Riandi, R., 2019, February. Development of problem-based learning for the online tutorial program in plant development using Gibbs’ reflective cycle and e-portfolio to enhance reflective thinking skills. In </w:t>
      </w:r>
      <w:r>
        <w:rPr>
          <w:rStyle w:val="a5"/>
          <w:color w:val="0E101A"/>
        </w:rPr>
        <w:t>Journal of Physics: Conference Series</w:t>
      </w:r>
      <w:r>
        <w:rPr>
          <w:color w:val="0E101A"/>
        </w:rPr>
        <w:t> (Vol. 1157, No. 2, p. 022099). IOP Publishing.</w:t>
      </w:r>
    </w:p>
    <w:p w14:paraId="25CB2518" w14:textId="77777777" w:rsidR="000223C4" w:rsidRDefault="00964034" w:rsidP="000223C4">
      <w:pPr>
        <w:pStyle w:val="a4"/>
        <w:spacing w:before="0" w:beforeAutospacing="0" w:after="0" w:afterAutospacing="0" w:line="360" w:lineRule="auto"/>
        <w:jc w:val="both"/>
        <w:rPr>
          <w:color w:val="0E101A"/>
        </w:rPr>
      </w:pPr>
      <w:r>
        <w:rPr>
          <w:color w:val="0E101A"/>
        </w:rPr>
        <w:t>Tomlinson, M., 2017. Forms of graduate capital and their relationship to graduate employability. </w:t>
      </w:r>
      <w:r>
        <w:rPr>
          <w:rStyle w:val="a5"/>
          <w:color w:val="0E101A"/>
        </w:rPr>
        <w:t>Education+ Training</w:t>
      </w:r>
      <w:r>
        <w:rPr>
          <w:color w:val="0E101A"/>
        </w:rPr>
        <w:t>. </w:t>
      </w:r>
      <w:hyperlink r:id="rId10" w:tgtFrame="_blank" w:history="1">
        <w:r>
          <w:rPr>
            <w:rStyle w:val="a3"/>
            <w:color w:val="4A6EE0"/>
          </w:rPr>
          <w:t>https://eprints.soton.ac.uk/405329/1/PDF_Proof.PDF</w:t>
        </w:r>
      </w:hyperlink>
    </w:p>
    <w:p w14:paraId="7D5AD073" w14:textId="77777777" w:rsidR="000223C4" w:rsidRDefault="00964034" w:rsidP="000223C4">
      <w:pPr>
        <w:pStyle w:val="a4"/>
        <w:spacing w:before="0" w:beforeAutospacing="0" w:after="0" w:afterAutospacing="0" w:line="360" w:lineRule="auto"/>
        <w:jc w:val="both"/>
        <w:rPr>
          <w:color w:val="0E101A"/>
        </w:rPr>
      </w:pPr>
      <w:r>
        <w:rPr>
          <w:color w:val="0E101A"/>
        </w:rPr>
        <w:t>Walker, M. and Fongwa, S., 2017. </w:t>
      </w:r>
      <w:r>
        <w:rPr>
          <w:rStyle w:val="a5"/>
          <w:color w:val="0E101A"/>
        </w:rPr>
        <w:t>Universities, employability and human development</w:t>
      </w:r>
      <w:r>
        <w:rPr>
          <w:color w:val="0E101A"/>
        </w:rPr>
        <w:t>. Springer. </w:t>
      </w:r>
      <w:hyperlink r:id="rId11" w:tgtFrame="_blank" w:history="1">
        <w:r>
          <w:rPr>
            <w:rStyle w:val="a3"/>
            <w:color w:val="4A6EE0"/>
          </w:rPr>
          <w:t>https://books.google.com/books?hl=en&amp;lr=&amp;id=emf1DQAAQBAJ&amp;oi=fnd&amp;pg=PR3&amp;dq=employability&amp;ots=x3hjg9HXBL&amp;sig=-knYwj2PXhJRFTRf6qeAAtAWAKs</w:t>
        </w:r>
      </w:hyperlink>
    </w:p>
    <w:p w14:paraId="1FFBB79A" w14:textId="77777777" w:rsidR="00BD3F6E" w:rsidRPr="000223C4" w:rsidRDefault="00BD3F6E" w:rsidP="000223C4">
      <w:pPr>
        <w:spacing w:line="360" w:lineRule="auto"/>
        <w:jc w:val="both"/>
      </w:pPr>
      <w:bookmarkStart w:id="9" w:name="_GoBack"/>
      <w:bookmarkEnd w:id="9"/>
    </w:p>
    <w:sectPr w:rsidR="00BD3F6E" w:rsidRPr="000223C4" w:rsidSect="00FF3641">
      <w:headerReference w:type="default"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FFD9F4" w14:textId="77777777" w:rsidR="00D41EEE" w:rsidRDefault="00D41EEE" w:rsidP="00663392">
      <w:pPr>
        <w:spacing w:after="0" w:line="240" w:lineRule="auto"/>
      </w:pPr>
      <w:r>
        <w:separator/>
      </w:r>
    </w:p>
  </w:endnote>
  <w:endnote w:type="continuationSeparator" w:id="0">
    <w:p w14:paraId="24EE7102" w14:textId="77777777" w:rsidR="00D41EEE" w:rsidRDefault="00D41EEE" w:rsidP="00663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74118"/>
      <w:docPartObj>
        <w:docPartGallery w:val="Page Numbers (Bottom of Page)"/>
        <w:docPartUnique/>
      </w:docPartObj>
    </w:sdtPr>
    <w:sdtEndPr/>
    <w:sdtContent>
      <w:sdt>
        <w:sdtPr>
          <w:id w:val="565050523"/>
          <w:docPartObj>
            <w:docPartGallery w:val="Page Numbers (Top of Page)"/>
            <w:docPartUnique/>
          </w:docPartObj>
        </w:sdtPr>
        <w:sdtEndPr/>
        <w:sdtContent>
          <w:p w14:paraId="6492327C" w14:textId="772F178E" w:rsidR="00FF3641" w:rsidRDefault="00964034">
            <w:pPr>
              <w:pStyle w:val="a8"/>
              <w:jc w:val="right"/>
            </w:pPr>
            <w:r w:rsidRPr="00FF3641">
              <w:rPr>
                <w:rFonts w:ascii="Times New Roman" w:hAnsi="Times New Roman" w:cs="Times New Roman"/>
              </w:rPr>
              <w:t xml:space="preserve">Page </w:t>
            </w:r>
            <w:r w:rsidR="00663392" w:rsidRPr="00FF3641">
              <w:rPr>
                <w:rFonts w:ascii="Times New Roman" w:hAnsi="Times New Roman" w:cs="Times New Roman"/>
                <w:b/>
                <w:sz w:val="24"/>
                <w:szCs w:val="24"/>
              </w:rPr>
              <w:fldChar w:fldCharType="begin"/>
            </w:r>
            <w:r w:rsidRPr="00FF3641">
              <w:rPr>
                <w:rFonts w:ascii="Times New Roman" w:hAnsi="Times New Roman" w:cs="Times New Roman"/>
                <w:b/>
              </w:rPr>
              <w:instrText xml:space="preserve"> PAGE </w:instrText>
            </w:r>
            <w:r w:rsidR="00663392" w:rsidRPr="00FF3641">
              <w:rPr>
                <w:rFonts w:ascii="Times New Roman" w:hAnsi="Times New Roman" w:cs="Times New Roman"/>
                <w:b/>
                <w:sz w:val="24"/>
                <w:szCs w:val="24"/>
              </w:rPr>
              <w:fldChar w:fldCharType="separate"/>
            </w:r>
            <w:r w:rsidR="007E6A88">
              <w:rPr>
                <w:rFonts w:ascii="Times New Roman" w:hAnsi="Times New Roman" w:cs="Times New Roman"/>
                <w:b/>
                <w:noProof/>
              </w:rPr>
              <w:t>7</w:t>
            </w:r>
            <w:r w:rsidR="00663392" w:rsidRPr="00FF3641">
              <w:rPr>
                <w:rFonts w:ascii="Times New Roman" w:hAnsi="Times New Roman" w:cs="Times New Roman"/>
                <w:b/>
                <w:sz w:val="24"/>
                <w:szCs w:val="24"/>
              </w:rPr>
              <w:fldChar w:fldCharType="end"/>
            </w:r>
            <w:r w:rsidRPr="00FF3641">
              <w:rPr>
                <w:rFonts w:ascii="Times New Roman" w:hAnsi="Times New Roman" w:cs="Times New Roman"/>
              </w:rPr>
              <w:t xml:space="preserve"> of </w:t>
            </w:r>
            <w:r w:rsidR="00663392" w:rsidRPr="00FF3641">
              <w:rPr>
                <w:rFonts w:ascii="Times New Roman" w:hAnsi="Times New Roman" w:cs="Times New Roman"/>
                <w:b/>
                <w:sz w:val="24"/>
                <w:szCs w:val="24"/>
              </w:rPr>
              <w:fldChar w:fldCharType="begin"/>
            </w:r>
            <w:r w:rsidRPr="00FF3641">
              <w:rPr>
                <w:rFonts w:ascii="Times New Roman" w:hAnsi="Times New Roman" w:cs="Times New Roman"/>
                <w:b/>
              </w:rPr>
              <w:instrText xml:space="preserve"> NUMPAGES  </w:instrText>
            </w:r>
            <w:r w:rsidR="00663392" w:rsidRPr="00FF3641">
              <w:rPr>
                <w:rFonts w:ascii="Times New Roman" w:hAnsi="Times New Roman" w:cs="Times New Roman"/>
                <w:b/>
                <w:sz w:val="24"/>
                <w:szCs w:val="24"/>
              </w:rPr>
              <w:fldChar w:fldCharType="separate"/>
            </w:r>
            <w:r w:rsidR="007E6A88">
              <w:rPr>
                <w:rFonts w:ascii="Times New Roman" w:hAnsi="Times New Roman" w:cs="Times New Roman"/>
                <w:b/>
                <w:noProof/>
              </w:rPr>
              <w:t>8</w:t>
            </w:r>
            <w:r w:rsidR="00663392" w:rsidRPr="00FF3641">
              <w:rPr>
                <w:rFonts w:ascii="Times New Roman" w:hAnsi="Times New Roman" w:cs="Times New Roman"/>
                <w:b/>
                <w:sz w:val="24"/>
                <w:szCs w:val="24"/>
              </w:rPr>
              <w:fldChar w:fldCharType="end"/>
            </w:r>
          </w:p>
        </w:sdtContent>
      </w:sdt>
    </w:sdtContent>
  </w:sdt>
  <w:p w14:paraId="57A7B2E3" w14:textId="77777777" w:rsidR="00FF3641" w:rsidRDefault="00FF3641">
    <w:pPr>
      <w:pStyle w:val="a8"/>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C1B24C" w14:textId="77777777" w:rsidR="00D41EEE" w:rsidRDefault="00D41EEE" w:rsidP="00663392">
      <w:pPr>
        <w:spacing w:after="0" w:line="240" w:lineRule="auto"/>
      </w:pPr>
      <w:r>
        <w:separator/>
      </w:r>
    </w:p>
  </w:footnote>
  <w:footnote w:type="continuationSeparator" w:id="0">
    <w:p w14:paraId="2E42866B" w14:textId="77777777" w:rsidR="00D41EEE" w:rsidRDefault="00D41EEE" w:rsidP="006633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0A9AB8" w14:textId="77777777" w:rsidR="00FF3641" w:rsidRPr="00FF3641" w:rsidRDefault="00964034">
    <w:pPr>
      <w:pStyle w:val="a6"/>
      <w:rPr>
        <w:rFonts w:ascii="Times New Roman" w:hAnsi="Times New Roman" w:cs="Times New Roman"/>
      </w:rPr>
    </w:pPr>
    <w:r w:rsidRPr="00FF3641">
      <w:rPr>
        <w:rFonts w:ascii="Times New Roman" w:hAnsi="Times New Roman" w:cs="Times New Roman"/>
      </w:rPr>
      <w:t>ASSESSMENT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EE255E"/>
    <w:rsid w:val="000223C4"/>
    <w:rsid w:val="001D6DC0"/>
    <w:rsid w:val="00382E05"/>
    <w:rsid w:val="004C2746"/>
    <w:rsid w:val="00641B0E"/>
    <w:rsid w:val="00663392"/>
    <w:rsid w:val="00791288"/>
    <w:rsid w:val="007E6A88"/>
    <w:rsid w:val="00964034"/>
    <w:rsid w:val="0097710A"/>
    <w:rsid w:val="00BD3F6E"/>
    <w:rsid w:val="00D41EEE"/>
    <w:rsid w:val="00DC66C0"/>
    <w:rsid w:val="00DF6524"/>
    <w:rsid w:val="00EE255E"/>
    <w:rsid w:val="00FF3641"/>
    <w:rsid w:val="00FF3E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6210"/>
  <w15:docId w15:val="{8BBBA585-9C52-473F-A242-69E02AE86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C66C0"/>
  </w:style>
  <w:style w:type="paragraph" w:styleId="1">
    <w:name w:val="heading 1"/>
    <w:basedOn w:val="a"/>
    <w:next w:val="a"/>
    <w:link w:val="10"/>
    <w:autoRedefine/>
    <w:uiPriority w:val="9"/>
    <w:qFormat/>
    <w:rsid w:val="00FF3641"/>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paragraph" w:styleId="2">
    <w:name w:val="heading 2"/>
    <w:basedOn w:val="a"/>
    <w:next w:val="a"/>
    <w:link w:val="20"/>
    <w:autoRedefine/>
    <w:uiPriority w:val="9"/>
    <w:unhideWhenUsed/>
    <w:qFormat/>
    <w:rsid w:val="00FF3641"/>
    <w:pPr>
      <w:keepNext/>
      <w:keepLines/>
      <w:spacing w:before="200" w:after="0" w:line="360" w:lineRule="auto"/>
      <w:outlineLvl w:val="1"/>
    </w:pPr>
    <w:rPr>
      <w:rFonts w:ascii="Times New Roman" w:eastAsiaTheme="majorEastAsia" w:hAnsi="Times New Roman" w:cstheme="majorBidi"/>
      <w:b/>
      <w:bCs/>
      <w:color w:val="000000" w:themeColor="tex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BD3F6E"/>
    <w:rPr>
      <w:color w:val="0000FF" w:themeColor="hyperlink"/>
      <w:u w:val="single"/>
    </w:rPr>
  </w:style>
  <w:style w:type="paragraph" w:styleId="a4">
    <w:name w:val="Normal (Web)"/>
    <w:basedOn w:val="a"/>
    <w:uiPriority w:val="99"/>
    <w:semiHidden/>
    <w:unhideWhenUsed/>
    <w:rsid w:val="000223C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a5">
    <w:name w:val="Emphasis"/>
    <w:basedOn w:val="a0"/>
    <w:uiPriority w:val="20"/>
    <w:qFormat/>
    <w:rsid w:val="000223C4"/>
    <w:rPr>
      <w:i/>
      <w:iCs/>
    </w:rPr>
  </w:style>
  <w:style w:type="character" w:customStyle="1" w:styleId="10">
    <w:name w:val="Заголовок 1 Знак"/>
    <w:basedOn w:val="a0"/>
    <w:link w:val="1"/>
    <w:uiPriority w:val="9"/>
    <w:rsid w:val="00FF3641"/>
    <w:rPr>
      <w:rFonts w:ascii="Times New Roman" w:eastAsiaTheme="majorEastAsia" w:hAnsi="Times New Roman" w:cstheme="majorBidi"/>
      <w:b/>
      <w:bCs/>
      <w:color w:val="000000" w:themeColor="text1"/>
      <w:sz w:val="28"/>
      <w:szCs w:val="28"/>
    </w:rPr>
  </w:style>
  <w:style w:type="character" w:customStyle="1" w:styleId="20">
    <w:name w:val="Заголовок 2 Знак"/>
    <w:basedOn w:val="a0"/>
    <w:link w:val="2"/>
    <w:uiPriority w:val="9"/>
    <w:rsid w:val="00FF3641"/>
    <w:rPr>
      <w:rFonts w:ascii="Times New Roman" w:eastAsiaTheme="majorEastAsia" w:hAnsi="Times New Roman" w:cstheme="majorBidi"/>
      <w:b/>
      <w:bCs/>
      <w:color w:val="000000" w:themeColor="text1"/>
      <w:sz w:val="26"/>
      <w:szCs w:val="26"/>
    </w:rPr>
  </w:style>
  <w:style w:type="paragraph" w:styleId="a6">
    <w:name w:val="header"/>
    <w:basedOn w:val="a"/>
    <w:link w:val="a7"/>
    <w:uiPriority w:val="99"/>
    <w:semiHidden/>
    <w:unhideWhenUsed/>
    <w:rsid w:val="00FF3641"/>
    <w:pPr>
      <w:tabs>
        <w:tab w:val="center" w:pos="4513"/>
        <w:tab w:val="right" w:pos="9026"/>
      </w:tabs>
      <w:spacing w:after="0" w:line="240" w:lineRule="auto"/>
    </w:pPr>
  </w:style>
  <w:style w:type="character" w:customStyle="1" w:styleId="a7">
    <w:name w:val="Верхний колонтитул Знак"/>
    <w:basedOn w:val="a0"/>
    <w:link w:val="a6"/>
    <w:uiPriority w:val="99"/>
    <w:semiHidden/>
    <w:rsid w:val="00FF3641"/>
  </w:style>
  <w:style w:type="paragraph" w:styleId="a8">
    <w:name w:val="footer"/>
    <w:basedOn w:val="a"/>
    <w:link w:val="a9"/>
    <w:uiPriority w:val="99"/>
    <w:unhideWhenUsed/>
    <w:rsid w:val="00FF3641"/>
    <w:pPr>
      <w:tabs>
        <w:tab w:val="center" w:pos="4513"/>
        <w:tab w:val="right" w:pos="9026"/>
      </w:tabs>
      <w:spacing w:after="0" w:line="240" w:lineRule="auto"/>
    </w:pPr>
  </w:style>
  <w:style w:type="character" w:customStyle="1" w:styleId="a9">
    <w:name w:val="Нижний колонтитул Знак"/>
    <w:basedOn w:val="a0"/>
    <w:link w:val="a8"/>
    <w:uiPriority w:val="99"/>
    <w:rsid w:val="00FF3641"/>
  </w:style>
  <w:style w:type="paragraph" w:styleId="aa">
    <w:name w:val="TOC Heading"/>
    <w:basedOn w:val="1"/>
    <w:next w:val="a"/>
    <w:uiPriority w:val="39"/>
    <w:semiHidden/>
    <w:unhideWhenUsed/>
    <w:qFormat/>
    <w:rsid w:val="00FF3641"/>
    <w:pPr>
      <w:spacing w:line="276" w:lineRule="auto"/>
      <w:outlineLvl w:val="9"/>
    </w:pPr>
    <w:rPr>
      <w:rFonts w:asciiTheme="majorHAnsi" w:hAnsiTheme="majorHAnsi"/>
      <w:color w:val="365F91" w:themeColor="accent1" w:themeShade="BF"/>
      <w:lang w:val="en-US"/>
    </w:rPr>
  </w:style>
  <w:style w:type="paragraph" w:styleId="11">
    <w:name w:val="toc 1"/>
    <w:basedOn w:val="a"/>
    <w:next w:val="a"/>
    <w:autoRedefine/>
    <w:uiPriority w:val="39"/>
    <w:unhideWhenUsed/>
    <w:rsid w:val="00FF3641"/>
    <w:pPr>
      <w:spacing w:after="100"/>
    </w:pPr>
  </w:style>
  <w:style w:type="paragraph" w:styleId="21">
    <w:name w:val="toc 2"/>
    <w:basedOn w:val="a"/>
    <w:next w:val="a"/>
    <w:autoRedefine/>
    <w:uiPriority w:val="39"/>
    <w:unhideWhenUsed/>
    <w:rsid w:val="00FF3641"/>
    <w:pPr>
      <w:spacing w:after="100"/>
      <w:ind w:left="220"/>
    </w:pPr>
  </w:style>
  <w:style w:type="paragraph" w:styleId="ab">
    <w:name w:val="Balloon Text"/>
    <w:basedOn w:val="a"/>
    <w:link w:val="ac"/>
    <w:uiPriority w:val="99"/>
    <w:semiHidden/>
    <w:unhideWhenUsed/>
    <w:rsid w:val="00FF3641"/>
    <w:pPr>
      <w:spacing w:after="0" w:line="240" w:lineRule="auto"/>
    </w:pPr>
    <w:rPr>
      <w:rFonts w:ascii="Tahoma" w:hAnsi="Tahoma" w:cs="Tahoma"/>
      <w:sz w:val="16"/>
      <w:szCs w:val="16"/>
    </w:rPr>
  </w:style>
  <w:style w:type="character" w:customStyle="1" w:styleId="ac">
    <w:name w:val="Текст выноски Знак"/>
    <w:basedOn w:val="a0"/>
    <w:link w:val="ab"/>
    <w:uiPriority w:val="99"/>
    <w:semiHidden/>
    <w:rsid w:val="00FF3641"/>
    <w:rPr>
      <w:rFonts w:ascii="Tahoma" w:hAnsi="Tahoma" w:cs="Tahoma"/>
      <w:sz w:val="16"/>
      <w:szCs w:val="16"/>
    </w:rPr>
  </w:style>
  <w:style w:type="character" w:styleId="ad">
    <w:name w:val="Strong"/>
    <w:basedOn w:val="a0"/>
    <w:uiPriority w:val="22"/>
    <w:qFormat/>
    <w:rsid w:val="007E6A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erby.openrepository.com/bitstream/handle/10545/621285/dataset_for_employability_literature_review_2012_to_2016.pdf?sequence=8&amp;isAllowed=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emf1DQAAQBAJ&amp;oi=fnd&amp;pg=PR3&amp;dq=employability&amp;ots=x3hjg9HXBL&amp;sig=-knYwj2PXhJRFTRf6qeAAtAWAK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prints.soton.ac.uk/405329/1/PDF_Proof.PDF" TargetMode="External"/><Relationship Id="rId4" Type="http://schemas.openxmlformats.org/officeDocument/2006/relationships/webSettings" Target="webSettings.xml"/><Relationship Id="rId9" Type="http://schemas.openxmlformats.org/officeDocument/2006/relationships/hyperlink" Target="https://www.researchgate.net/profile/Melanie_Ashleigh/publication/328466676_Students%27_perceptions_of_education_and_employability_Facilitating_career_transition_from_higher_education_into_the_labor_market/links/5bf511e9299bf1124fe257b7/Students-perceptions-of-education-and-employability-Facilitating-career-transition-from-higher-education-into-the-labor-marke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71A782-C64C-4B72-A85E-CBFEC44D0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2460</Words>
  <Characters>14025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Admin</cp:lastModifiedBy>
  <cp:revision>4</cp:revision>
  <dcterms:created xsi:type="dcterms:W3CDTF">2020-11-30T20:12:00Z</dcterms:created>
  <dcterms:modified xsi:type="dcterms:W3CDTF">2021-01-02T16:16:00Z</dcterms:modified>
</cp:coreProperties>
</file>