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ED05B1"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Module:</w:t>
      </w:r>
    </w:p>
    <w:p w14:paraId="66006104" w14:textId="740F3002" w:rsidR="00E46FE9" w:rsidRPr="008E6FEB" w:rsidRDefault="000543E2"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sz w:val="40"/>
          <w:szCs w:val="40"/>
        </w:rPr>
      </w:pPr>
      <w:r w:rsidRPr="008E6FEB">
        <w:rPr>
          <w:rFonts w:ascii="Times New Roman" w:eastAsia="Times New Roman" w:hAnsi="Times New Roman" w:cs="Times New Roman"/>
          <w:color w:val="000000" w:themeColor="text1"/>
          <w:kern w:val="36"/>
          <w:sz w:val="40"/>
          <w:szCs w:val="40"/>
        </w:rPr>
        <w:t>Islamic Law in the Contemporary World</w:t>
      </w:r>
      <w:r w:rsidR="00E46FE9" w:rsidRPr="008E6FEB">
        <w:rPr>
          <w:rFonts w:ascii="Times New Roman" w:eastAsia="Times New Roman" w:hAnsi="Times New Roman" w:cs="Times New Roman"/>
          <w:color w:val="000000" w:themeColor="text1"/>
          <w:kern w:val="36"/>
          <w:sz w:val="40"/>
          <w:szCs w:val="40"/>
        </w:rPr>
        <w:t xml:space="preserve"> (TRDL 7</w:t>
      </w:r>
      <w:r w:rsidRPr="008E6FEB">
        <w:rPr>
          <w:rFonts w:ascii="Times New Roman" w:eastAsia="Times New Roman" w:hAnsi="Times New Roman" w:cs="Times New Roman"/>
          <w:color w:val="000000" w:themeColor="text1"/>
          <w:kern w:val="36"/>
          <w:sz w:val="40"/>
          <w:szCs w:val="40"/>
        </w:rPr>
        <w:t>064</w:t>
      </w:r>
      <w:r w:rsidR="00E46FE9" w:rsidRPr="008E6FEB">
        <w:rPr>
          <w:rFonts w:ascii="Times New Roman" w:eastAsia="Times New Roman" w:hAnsi="Times New Roman" w:cs="Times New Roman"/>
          <w:color w:val="000000" w:themeColor="text1"/>
          <w:kern w:val="36"/>
          <w:sz w:val="40"/>
          <w:szCs w:val="40"/>
        </w:rPr>
        <w:t>)</w:t>
      </w:r>
    </w:p>
    <w:p w14:paraId="3796D143"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2FE6C604" w14:textId="08BC6FDD" w:rsidR="00E46FE9" w:rsidRPr="008E6FEB" w:rsidRDefault="001E539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Pr>
          <w:rFonts w:ascii="Times New Roman" w:eastAsia="Times New Roman" w:hAnsi="Times New Roman" w:cs="Times New Roman"/>
          <w:color w:val="000000" w:themeColor="text1"/>
          <w:kern w:val="36"/>
        </w:rPr>
        <w:t>Encyclopaedia</w:t>
      </w:r>
      <w:r w:rsidR="00E46FE9" w:rsidRPr="008E6FEB">
        <w:rPr>
          <w:rFonts w:ascii="Times New Roman" w:eastAsia="Times New Roman" w:hAnsi="Times New Roman" w:cs="Times New Roman"/>
          <w:color w:val="000000" w:themeColor="text1"/>
          <w:kern w:val="36"/>
        </w:rPr>
        <w:t>:</w:t>
      </w:r>
      <w:r>
        <w:rPr>
          <w:rFonts w:ascii="Times New Roman" w:eastAsia="Times New Roman" w:hAnsi="Times New Roman" w:cs="Times New Roman"/>
          <w:color w:val="000000" w:themeColor="text1"/>
          <w:kern w:val="36"/>
        </w:rPr>
        <w:t xml:space="preserve"> Essay 2</w:t>
      </w:r>
    </w:p>
    <w:p w14:paraId="42E1E85C" w14:textId="68CE603E" w:rsidR="001E5399" w:rsidRPr="001E5399" w:rsidRDefault="001E5399" w:rsidP="001E5399">
      <w:pPr>
        <w:jc w:val="center"/>
        <w:rPr>
          <w:b/>
          <w:sz w:val="28"/>
          <w:szCs w:val="28"/>
        </w:rPr>
      </w:pPr>
      <w:r w:rsidRPr="001E5399">
        <w:rPr>
          <w:b/>
          <w:sz w:val="28"/>
          <w:szCs w:val="28"/>
        </w:rPr>
        <w:t xml:space="preserve">Usul al </w:t>
      </w:r>
      <w:r>
        <w:rPr>
          <w:b/>
          <w:sz w:val="28"/>
          <w:szCs w:val="28"/>
        </w:rPr>
        <w:t>Fi</w:t>
      </w:r>
      <w:r w:rsidRPr="001E5399">
        <w:rPr>
          <w:b/>
          <w:sz w:val="28"/>
          <w:szCs w:val="28"/>
        </w:rPr>
        <w:t>qh</w:t>
      </w:r>
    </w:p>
    <w:p w14:paraId="6F687387"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1524FEBA"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474CE2A3"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6B9F627A" w14:textId="3C67FF5E"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Tutor:</w:t>
      </w:r>
    </w:p>
    <w:p w14:paraId="5C91C54D" w14:textId="056EDD25"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 xml:space="preserve">Prof </w:t>
      </w:r>
      <w:r w:rsidR="000543E2" w:rsidRPr="008E6FEB">
        <w:rPr>
          <w:rFonts w:ascii="Times New Roman" w:eastAsia="Times New Roman" w:hAnsi="Times New Roman" w:cs="Times New Roman"/>
          <w:color w:val="000000" w:themeColor="text1"/>
          <w:kern w:val="36"/>
        </w:rPr>
        <w:t>Gary Bunt</w:t>
      </w:r>
    </w:p>
    <w:p w14:paraId="5F4AF2DD"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5953E498"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02759308"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73965E63"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6AAFFCEB"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7C86A500"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p>
    <w:p w14:paraId="5474E4D7" w14:textId="2381FF79" w:rsidR="00E46FE9" w:rsidRPr="008E6FEB" w:rsidRDefault="000543E2" w:rsidP="00E46FE9">
      <w:pPr>
        <w:shd w:val="clear" w:color="auto" w:fill="FFFFFF"/>
        <w:spacing w:after="100" w:afterAutospacing="1"/>
        <w:jc w:val="center"/>
        <w:outlineLvl w:val="0"/>
        <w:rPr>
          <w:rFonts w:ascii="Times New Roman" w:eastAsia="Times New Roman" w:hAnsi="Times New Roman" w:cs="Times New Roman"/>
          <w:i/>
          <w:color w:val="000000" w:themeColor="text1"/>
          <w:kern w:val="36"/>
        </w:rPr>
      </w:pPr>
      <w:r w:rsidRPr="008E6FEB">
        <w:rPr>
          <w:rFonts w:ascii="Times New Roman" w:eastAsia="Times New Roman" w:hAnsi="Times New Roman" w:cs="Times New Roman"/>
          <w:i/>
          <w:color w:val="000000" w:themeColor="text1"/>
          <w:kern w:val="36"/>
        </w:rPr>
        <w:t>Submitt</w:t>
      </w:r>
      <w:r w:rsidR="00E46FE9" w:rsidRPr="008E6FEB">
        <w:rPr>
          <w:rFonts w:ascii="Times New Roman" w:eastAsia="Times New Roman" w:hAnsi="Times New Roman" w:cs="Times New Roman"/>
          <w:i/>
          <w:color w:val="000000" w:themeColor="text1"/>
          <w:kern w:val="36"/>
        </w:rPr>
        <w:t>ed by:</w:t>
      </w:r>
    </w:p>
    <w:p w14:paraId="237BDF0E"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b/>
          <w:color w:val="000000" w:themeColor="text1"/>
          <w:kern w:val="36"/>
          <w:sz w:val="32"/>
          <w:szCs w:val="32"/>
        </w:rPr>
      </w:pPr>
      <w:r w:rsidRPr="008E6FEB">
        <w:rPr>
          <w:rFonts w:ascii="Times New Roman" w:eastAsia="Times New Roman" w:hAnsi="Times New Roman" w:cs="Times New Roman"/>
          <w:b/>
          <w:color w:val="000000" w:themeColor="text1"/>
          <w:kern w:val="36"/>
          <w:sz w:val="32"/>
          <w:szCs w:val="32"/>
        </w:rPr>
        <w:t>Mohammed Adebayo (1603804)</w:t>
      </w:r>
    </w:p>
    <w:p w14:paraId="6228D27B"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 xml:space="preserve">University of Wales Trinity Saint David </w:t>
      </w:r>
    </w:p>
    <w:p w14:paraId="531FB3F1" w14:textId="77777777" w:rsidR="00E46FE9" w:rsidRPr="008E6FEB" w:rsidRDefault="00E46FE9"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sidRPr="008E6FEB">
        <w:rPr>
          <w:rFonts w:ascii="Times New Roman" w:eastAsia="Times New Roman" w:hAnsi="Times New Roman" w:cs="Times New Roman"/>
          <w:color w:val="000000" w:themeColor="text1"/>
          <w:kern w:val="36"/>
        </w:rPr>
        <w:t>Lampeter Campus</w:t>
      </w:r>
    </w:p>
    <w:p w14:paraId="0246F6AD" w14:textId="4A03F8E6" w:rsidR="00E46FE9" w:rsidRPr="008E6FEB" w:rsidRDefault="002246FB" w:rsidP="00E46FE9">
      <w:pPr>
        <w:shd w:val="clear" w:color="auto" w:fill="FFFFFF"/>
        <w:spacing w:after="100" w:afterAutospacing="1"/>
        <w:jc w:val="center"/>
        <w:outlineLvl w:val="0"/>
        <w:rPr>
          <w:rFonts w:ascii="Times New Roman" w:eastAsia="Times New Roman" w:hAnsi="Times New Roman" w:cs="Times New Roman"/>
          <w:color w:val="000000" w:themeColor="text1"/>
          <w:kern w:val="36"/>
        </w:rPr>
      </w:pPr>
      <w:r>
        <w:rPr>
          <w:rFonts w:ascii="Times New Roman" w:eastAsia="Times New Roman" w:hAnsi="Times New Roman" w:cs="Times New Roman"/>
          <w:color w:val="000000" w:themeColor="text1"/>
          <w:kern w:val="36"/>
        </w:rPr>
        <w:t>May</w:t>
      </w:r>
      <w:r w:rsidR="00E46FE9" w:rsidRPr="008E6FEB">
        <w:rPr>
          <w:rFonts w:ascii="Times New Roman" w:eastAsia="Times New Roman" w:hAnsi="Times New Roman" w:cs="Times New Roman"/>
          <w:color w:val="000000" w:themeColor="text1"/>
          <w:kern w:val="36"/>
        </w:rPr>
        <w:t xml:space="preserve"> 2019</w:t>
      </w:r>
    </w:p>
    <w:p w14:paraId="0F5868E4" w14:textId="4D51EAD0" w:rsidR="00E46FE9" w:rsidRPr="008E6FEB" w:rsidRDefault="00E46FE9">
      <w:pPr>
        <w:rPr>
          <w:rFonts w:ascii="Times New Roman" w:hAnsi="Times New Roman" w:cs="Times New Roman"/>
        </w:rPr>
      </w:pPr>
    </w:p>
    <w:p w14:paraId="5AAA08C0" w14:textId="481E89C3" w:rsidR="000543E2" w:rsidRPr="008E6FEB" w:rsidRDefault="000543E2">
      <w:pPr>
        <w:rPr>
          <w:rFonts w:ascii="Times New Roman" w:hAnsi="Times New Roman" w:cs="Times New Roman"/>
        </w:rPr>
      </w:pPr>
    </w:p>
    <w:p w14:paraId="5697D9C7" w14:textId="1A8A7C44" w:rsidR="000543E2" w:rsidRPr="008E6FEB" w:rsidRDefault="000543E2">
      <w:pPr>
        <w:rPr>
          <w:rFonts w:ascii="Times New Roman" w:hAnsi="Times New Roman" w:cs="Times New Roman"/>
        </w:rPr>
      </w:pPr>
    </w:p>
    <w:p w14:paraId="4DCDEF6E" w14:textId="706727AC" w:rsidR="000543E2" w:rsidRPr="008E6FEB" w:rsidRDefault="000543E2">
      <w:pPr>
        <w:rPr>
          <w:rFonts w:ascii="Times New Roman" w:hAnsi="Times New Roman" w:cs="Times New Roman"/>
        </w:rPr>
      </w:pPr>
    </w:p>
    <w:p w14:paraId="4069F416" w14:textId="3BC5BA8C" w:rsidR="000543E2" w:rsidRPr="008E6FEB" w:rsidRDefault="000543E2">
      <w:pPr>
        <w:rPr>
          <w:rFonts w:ascii="Times New Roman" w:hAnsi="Times New Roman" w:cs="Times New Roman"/>
        </w:rPr>
      </w:pPr>
    </w:p>
    <w:p w14:paraId="039507E2" w14:textId="77777777" w:rsidR="001E5399" w:rsidRDefault="001E5399" w:rsidP="00D81F3C">
      <w:pPr>
        <w:rPr>
          <w:b/>
          <w:sz w:val="28"/>
          <w:szCs w:val="28"/>
        </w:rPr>
      </w:pPr>
    </w:p>
    <w:p w14:paraId="7214DEB4" w14:textId="77777777" w:rsidR="001E5399" w:rsidRDefault="001E5399" w:rsidP="00D81F3C">
      <w:pPr>
        <w:rPr>
          <w:b/>
          <w:sz w:val="28"/>
          <w:szCs w:val="28"/>
        </w:rPr>
      </w:pPr>
    </w:p>
    <w:p w14:paraId="2F308C01" w14:textId="77777777" w:rsidR="001E5399" w:rsidRDefault="001E5399" w:rsidP="001E5399">
      <w:pPr>
        <w:spacing w:line="480" w:lineRule="auto"/>
        <w:jc w:val="both"/>
        <w:rPr>
          <w:rFonts w:ascii="Times New Roman" w:hAnsi="Times New Roman" w:cs="Times New Roman"/>
          <w:b/>
        </w:rPr>
      </w:pPr>
    </w:p>
    <w:p w14:paraId="111AC807" w14:textId="60DA3BAF" w:rsidR="0041017D" w:rsidRPr="001E5399" w:rsidRDefault="0041017D" w:rsidP="001E5399">
      <w:pPr>
        <w:spacing w:line="480" w:lineRule="auto"/>
        <w:jc w:val="both"/>
        <w:rPr>
          <w:rFonts w:ascii="Times New Roman" w:hAnsi="Times New Roman" w:cs="Times New Roman"/>
          <w:b/>
          <w:sz w:val="28"/>
          <w:szCs w:val="28"/>
        </w:rPr>
      </w:pPr>
      <w:r w:rsidRPr="001E5399">
        <w:rPr>
          <w:rFonts w:ascii="Times New Roman" w:hAnsi="Times New Roman" w:cs="Times New Roman"/>
          <w:b/>
          <w:sz w:val="28"/>
          <w:szCs w:val="28"/>
        </w:rPr>
        <w:t>Usul al fiqh</w:t>
      </w:r>
    </w:p>
    <w:p w14:paraId="646F42AB" w14:textId="77777777" w:rsidR="0041017D" w:rsidRPr="001E5399" w:rsidRDefault="0041017D" w:rsidP="001E5399">
      <w:pPr>
        <w:spacing w:line="480" w:lineRule="auto"/>
        <w:jc w:val="both"/>
        <w:rPr>
          <w:rFonts w:ascii="Times New Roman" w:hAnsi="Times New Roman" w:cs="Times New Roman"/>
        </w:rPr>
      </w:pPr>
    </w:p>
    <w:p w14:paraId="1A4F4401" w14:textId="2FB228F6" w:rsidR="00D81F3C" w:rsidRPr="001E5399" w:rsidRDefault="00D81F3C" w:rsidP="001E5399">
      <w:pPr>
        <w:spacing w:line="480" w:lineRule="auto"/>
        <w:jc w:val="both"/>
        <w:rPr>
          <w:rFonts w:ascii="Times New Roman" w:hAnsi="Times New Roman" w:cs="Times New Roman"/>
        </w:rPr>
      </w:pPr>
      <w:r w:rsidRPr="001E5399">
        <w:rPr>
          <w:rFonts w:ascii="Times New Roman" w:hAnsi="Times New Roman" w:cs="Times New Roman"/>
        </w:rPr>
        <w:t xml:space="preserve">Usul al fiqh interpreted as the roots of Islamic exegesis, narrates the methodology used in deducing rulings in Islam from the agreeable sources. These sources are the Qur’an and the Sunnah of the holy prophet Muhammad (Peace Be Upon Him) which are the confirmed sources of Islamic law. Fiqh is derived from Sharia and thus Sharia is deduced from Qur’an and Sunnah in which it conforms with set of methods and principles that are known collectively as Usul al fiqh. It is also the methodology of law as described by some </w:t>
      </w:r>
      <w:r w:rsidR="0041017D" w:rsidRPr="001E5399">
        <w:rPr>
          <w:rFonts w:ascii="Times New Roman" w:hAnsi="Times New Roman" w:cs="Times New Roman"/>
        </w:rPr>
        <w:t>scholars;</w:t>
      </w:r>
      <w:r w:rsidRPr="001E5399">
        <w:rPr>
          <w:rFonts w:ascii="Times New Roman" w:hAnsi="Times New Roman" w:cs="Times New Roman"/>
        </w:rPr>
        <w:t xml:space="preserve"> this definition is accurate but not comprehensive.</w:t>
      </w:r>
      <w:r w:rsidR="004C7194" w:rsidRPr="001E5399">
        <w:rPr>
          <w:rFonts w:ascii="Times New Roman" w:hAnsi="Times New Roman" w:cs="Times New Roman"/>
        </w:rPr>
        <w:t xml:space="preserve"> Saying that Usul al fiqh is the scientific source and methods of deducing law is correct in the sense that the sources are derived from Qur’an and Sunnah of which Usul al Fiqh is constituted and the methodology by which Usul al Fiqh can be applied. By way of methodology, the Qur’an and Sunnah themselves have very little contribution but they both provide directions towards which the rule of Shari’a law can be extracted. Usul al Fiqh consist of methodology which refers to the reasoning methods like </w:t>
      </w:r>
      <w:r w:rsidR="00EA4765" w:rsidRPr="001E5399">
        <w:rPr>
          <w:rFonts w:ascii="Times New Roman" w:hAnsi="Times New Roman" w:cs="Times New Roman"/>
        </w:rPr>
        <w:t>(</w:t>
      </w:r>
      <w:r w:rsidR="004C7194" w:rsidRPr="001E5399">
        <w:rPr>
          <w:rFonts w:ascii="Times New Roman" w:hAnsi="Times New Roman" w:cs="Times New Roman"/>
        </w:rPr>
        <w:t>Qiyás</w:t>
      </w:r>
      <w:r w:rsidR="00EA4765" w:rsidRPr="001E5399">
        <w:rPr>
          <w:rFonts w:ascii="Times New Roman" w:hAnsi="Times New Roman" w:cs="Times New Roman"/>
        </w:rPr>
        <w:t>) analogy, (Istihsán) juristic preference, (Istisháb) presumption of continuity and the deduction and interpretation rules and guidelines. These methodologies mentioned are designed for application in understanding the source and the doing Ijtihád.</w:t>
      </w:r>
    </w:p>
    <w:p w14:paraId="12E48FB4" w14:textId="6569978C" w:rsidR="00EA4765" w:rsidRPr="001E5399" w:rsidRDefault="00EA4765" w:rsidP="001E5399">
      <w:pPr>
        <w:spacing w:line="480" w:lineRule="auto"/>
        <w:jc w:val="both"/>
        <w:rPr>
          <w:rFonts w:ascii="Times New Roman" w:hAnsi="Times New Roman" w:cs="Times New Roman"/>
        </w:rPr>
      </w:pPr>
    </w:p>
    <w:p w14:paraId="1EE7C7AE" w14:textId="1BA8974A" w:rsidR="00EA4765" w:rsidRPr="001E5399" w:rsidRDefault="00EA4765" w:rsidP="001E5399">
      <w:pPr>
        <w:spacing w:line="480" w:lineRule="auto"/>
        <w:jc w:val="both"/>
        <w:rPr>
          <w:rFonts w:ascii="Times New Roman" w:hAnsi="Times New Roman" w:cs="Times New Roman"/>
          <w:b/>
          <w:sz w:val="28"/>
          <w:szCs w:val="28"/>
        </w:rPr>
      </w:pPr>
      <w:r w:rsidRPr="001E5399">
        <w:rPr>
          <w:rFonts w:ascii="Times New Roman" w:hAnsi="Times New Roman" w:cs="Times New Roman"/>
          <w:b/>
          <w:sz w:val="28"/>
          <w:szCs w:val="28"/>
        </w:rPr>
        <w:t xml:space="preserve">Usul al Fiqh and the Approaches to its </w:t>
      </w:r>
      <w:r w:rsidR="00B60C81" w:rsidRPr="001E5399">
        <w:rPr>
          <w:rFonts w:ascii="Times New Roman" w:hAnsi="Times New Roman" w:cs="Times New Roman"/>
          <w:b/>
          <w:sz w:val="28"/>
          <w:szCs w:val="28"/>
        </w:rPr>
        <w:t>Application</w:t>
      </w:r>
    </w:p>
    <w:p w14:paraId="77C2CD09" w14:textId="0740DBEB" w:rsidR="00EA4765" w:rsidRPr="001E5399" w:rsidRDefault="00EA4765" w:rsidP="001E5399">
      <w:pPr>
        <w:spacing w:line="480" w:lineRule="auto"/>
        <w:jc w:val="both"/>
        <w:rPr>
          <w:rFonts w:ascii="Times New Roman" w:hAnsi="Times New Roman" w:cs="Times New Roman"/>
        </w:rPr>
      </w:pPr>
    </w:p>
    <w:p w14:paraId="5E416D68" w14:textId="03DEBC48" w:rsidR="00EA4765" w:rsidRPr="001E5399" w:rsidRDefault="00EA4765" w:rsidP="001E5399">
      <w:pPr>
        <w:spacing w:line="480" w:lineRule="auto"/>
        <w:jc w:val="both"/>
        <w:rPr>
          <w:rFonts w:ascii="Times New Roman" w:hAnsi="Times New Roman" w:cs="Times New Roman"/>
        </w:rPr>
      </w:pPr>
      <w:r w:rsidRPr="001E5399">
        <w:rPr>
          <w:rFonts w:ascii="Times New Roman" w:hAnsi="Times New Roman" w:cs="Times New Roman"/>
        </w:rPr>
        <w:t>After the establishment of the schools of thought (Madhaahib), scholars of different schools of thoughts sought for two separate approaches in the field of studying Usul al Fiqh</w:t>
      </w:r>
      <w:r w:rsidR="009B625D" w:rsidRPr="001E5399">
        <w:rPr>
          <w:rFonts w:ascii="Times New Roman" w:hAnsi="Times New Roman" w:cs="Times New Roman"/>
        </w:rPr>
        <w:t>, they are theoretical approach and deductive approach. Orientation is one the main difference between the two approaches apart from substance, whereas orientation is basically concerned with theoretical doctrines exposition and the deductive method is pragmatic in nature because if formulates theories when applicable to relevant cases. The work of a legal draftsman as compare to the work of a judge</w:t>
      </w:r>
      <w:r w:rsidR="00212D57" w:rsidRPr="001E5399">
        <w:rPr>
          <w:rFonts w:ascii="Times New Roman" w:hAnsi="Times New Roman" w:cs="Times New Roman"/>
        </w:rPr>
        <w:t>, this</w:t>
      </w:r>
      <w:r w:rsidR="009B625D" w:rsidRPr="001E5399">
        <w:rPr>
          <w:rFonts w:ascii="Times New Roman" w:hAnsi="Times New Roman" w:cs="Times New Roman"/>
        </w:rPr>
        <w:t xml:space="preserve"> is a typical example of the difference between the two approaches</w:t>
      </w:r>
      <w:r w:rsidR="00212D57" w:rsidRPr="001E5399">
        <w:rPr>
          <w:rFonts w:ascii="Times New Roman" w:hAnsi="Times New Roman" w:cs="Times New Roman"/>
        </w:rPr>
        <w:t xml:space="preserve">. Theoretical approach is mainly concern with a theoretical doctrines exposition while the deductive approach is concerned more about developing synthesis between the rules and the what a particular case requires. Usul al Fiqh and its theoretical approach are adopted method by the </w:t>
      </w:r>
      <w:r w:rsidR="001E5399">
        <w:rPr>
          <w:rFonts w:ascii="Times New Roman" w:hAnsi="Times New Roman" w:cs="Times New Roman"/>
        </w:rPr>
        <w:t>S</w:t>
      </w:r>
      <w:r w:rsidR="00212D57" w:rsidRPr="001E5399">
        <w:rPr>
          <w:rFonts w:ascii="Times New Roman" w:hAnsi="Times New Roman" w:cs="Times New Roman"/>
        </w:rPr>
        <w:t>hafi’i school of thought and the school of Mutakallimun, these are the scholars of Mu’tazila and Kalam</w:t>
      </w:r>
      <w:r w:rsidR="002B454E" w:rsidRPr="001E5399">
        <w:rPr>
          <w:rFonts w:ascii="Times New Roman" w:hAnsi="Times New Roman" w:cs="Times New Roman"/>
        </w:rPr>
        <w:t xml:space="preserve"> while Usul al Fiqh and Its deductive approach is on the other hand specifically attached to the Hanafiyyahs. Theoretical approach of Usul al Fiqh is also known as Usul al Shafi’iyyah otherwise known as Tariqah al Mutakallimin, while the deductive approach is attributed to Hanafis also known as the Usul al Hanafiyyah otherwise known as Tariqah al Fuqaha.</w:t>
      </w:r>
    </w:p>
    <w:p w14:paraId="71966E6F" w14:textId="247211F5" w:rsidR="00B20C4A" w:rsidRPr="001E5399" w:rsidRDefault="00B20C4A" w:rsidP="001E5399">
      <w:pPr>
        <w:spacing w:line="480" w:lineRule="auto"/>
        <w:jc w:val="both"/>
        <w:rPr>
          <w:rFonts w:ascii="Times New Roman" w:eastAsia="Times New Roman" w:hAnsi="Times New Roman" w:cs="Times New Roman"/>
        </w:rPr>
      </w:pPr>
    </w:p>
    <w:p w14:paraId="4727AE8F" w14:textId="00019631" w:rsidR="002B454E" w:rsidRPr="001E5399" w:rsidRDefault="002B454E" w:rsidP="001E5399">
      <w:pPr>
        <w:spacing w:line="480" w:lineRule="auto"/>
        <w:jc w:val="both"/>
        <w:rPr>
          <w:rFonts w:ascii="Times New Roman" w:eastAsia="Times New Roman" w:hAnsi="Times New Roman" w:cs="Times New Roman"/>
        </w:rPr>
      </w:pPr>
      <w:r w:rsidRPr="001E5399">
        <w:rPr>
          <w:rFonts w:ascii="Times New Roman" w:eastAsia="Times New Roman" w:hAnsi="Times New Roman" w:cs="Times New Roman"/>
        </w:rPr>
        <w:t xml:space="preserve">The major aims of Usul al Fiqh is to </w:t>
      </w:r>
      <w:r w:rsidR="00B60C81" w:rsidRPr="001E5399">
        <w:rPr>
          <w:rFonts w:ascii="Times New Roman" w:eastAsia="Times New Roman" w:hAnsi="Times New Roman" w:cs="Times New Roman"/>
        </w:rPr>
        <w:t>check Ijtihad and regulate its application and also to give direction to the Jurist while making efforts towards deducing law from the primary source Qur’an and Sunnah. Usul al Fiqh also helps the jurist by regulating the application of other methodologies such as Qiyas, Istihsan, Istishab, Istislah and so on, in which case these methodologies assist the jurist in choosing and distinguishing which of the methods is well suited for which case when applying ‘hukm’ rulings for a particular issue.</w:t>
      </w:r>
    </w:p>
    <w:p w14:paraId="57EB93EA" w14:textId="0396681B" w:rsidR="00B60C81" w:rsidRPr="001E5399" w:rsidRDefault="00B60C81" w:rsidP="001E5399">
      <w:pPr>
        <w:spacing w:line="480" w:lineRule="auto"/>
        <w:jc w:val="both"/>
        <w:rPr>
          <w:rFonts w:ascii="Times New Roman" w:eastAsia="Times New Roman" w:hAnsi="Times New Roman" w:cs="Times New Roman"/>
        </w:rPr>
      </w:pPr>
    </w:p>
    <w:p w14:paraId="3C248AF5" w14:textId="69A32185" w:rsidR="00B60C81" w:rsidRPr="001E5399" w:rsidRDefault="00B60C81" w:rsidP="001E5399">
      <w:pPr>
        <w:spacing w:line="480" w:lineRule="auto"/>
        <w:jc w:val="both"/>
        <w:rPr>
          <w:rFonts w:ascii="Times New Roman" w:eastAsia="Times New Roman" w:hAnsi="Times New Roman" w:cs="Times New Roman"/>
          <w:b/>
          <w:sz w:val="28"/>
          <w:szCs w:val="28"/>
        </w:rPr>
      </w:pPr>
      <w:r w:rsidRPr="001E5399">
        <w:rPr>
          <w:rFonts w:ascii="Times New Roman" w:eastAsia="Times New Roman" w:hAnsi="Times New Roman" w:cs="Times New Roman"/>
          <w:b/>
          <w:sz w:val="28"/>
          <w:szCs w:val="28"/>
        </w:rPr>
        <w:t>Reference:</w:t>
      </w:r>
    </w:p>
    <w:p w14:paraId="55DE479A" w14:textId="3C5A7E20" w:rsidR="00B60C81" w:rsidRPr="001E5399" w:rsidRDefault="00B60C81" w:rsidP="001E5399">
      <w:pPr>
        <w:widowControl w:val="0"/>
        <w:spacing w:line="480" w:lineRule="auto"/>
        <w:jc w:val="both"/>
        <w:rPr>
          <w:rFonts w:ascii="Times New Roman" w:hAnsi="Times New Roman" w:cs="Times New Roman"/>
          <w:bCs/>
          <w:i/>
          <w:iCs/>
        </w:rPr>
      </w:pPr>
      <w:r w:rsidRPr="001E5399">
        <w:rPr>
          <w:rFonts w:ascii="Times New Roman" w:hAnsi="Times New Roman" w:cs="Times New Roman"/>
          <w:bCs/>
        </w:rPr>
        <w:t xml:space="preserve">Kamali, </w:t>
      </w:r>
      <w:r w:rsidR="001E5399" w:rsidRPr="001E5399">
        <w:rPr>
          <w:rFonts w:ascii="Times New Roman" w:hAnsi="Times New Roman" w:cs="Times New Roman"/>
          <w:bCs/>
        </w:rPr>
        <w:t>M. (1991</w:t>
      </w:r>
      <w:bookmarkStart w:id="0" w:name="_GoBack"/>
      <w:bookmarkEnd w:id="0"/>
      <w:r w:rsidR="001E5399" w:rsidRPr="001E5399">
        <w:rPr>
          <w:rFonts w:ascii="Times New Roman" w:hAnsi="Times New Roman" w:cs="Times New Roman"/>
          <w:bCs/>
        </w:rPr>
        <w:t xml:space="preserve">). </w:t>
      </w:r>
      <w:r w:rsidR="001E5399" w:rsidRPr="001E5399">
        <w:rPr>
          <w:rFonts w:ascii="Times New Roman" w:hAnsi="Times New Roman" w:cs="Times New Roman"/>
          <w:bCs/>
          <w:i/>
          <w:iCs/>
        </w:rPr>
        <w:t>Principles of Islamic Jurisprudence.</w:t>
      </w:r>
      <w:r w:rsidR="001E5399" w:rsidRPr="001E5399">
        <w:rPr>
          <w:rFonts w:ascii="Times New Roman" w:hAnsi="Times New Roman" w:cs="Times New Roman"/>
          <w:bCs/>
          <w:i/>
          <w:iCs/>
        </w:rPr>
        <w:t xml:space="preserve"> </w:t>
      </w:r>
      <w:r w:rsidRPr="001E5399">
        <w:rPr>
          <w:rFonts w:ascii="Times New Roman" w:hAnsi="Times New Roman" w:cs="Times New Roman"/>
          <w:bCs/>
        </w:rPr>
        <w:t>Islamic Text Society,</w:t>
      </w:r>
      <w:r w:rsidR="001E5399" w:rsidRPr="001E5399">
        <w:rPr>
          <w:rFonts w:ascii="Times New Roman" w:hAnsi="Times New Roman" w:cs="Times New Roman"/>
          <w:bCs/>
        </w:rPr>
        <w:t xml:space="preserve"> </w:t>
      </w:r>
      <w:r w:rsidRPr="001E5399">
        <w:rPr>
          <w:rFonts w:ascii="Times New Roman" w:hAnsi="Times New Roman" w:cs="Times New Roman"/>
          <w:bCs/>
        </w:rPr>
        <w:t>Cambridge</w:t>
      </w:r>
    </w:p>
    <w:p w14:paraId="3249DC3C" w14:textId="77777777" w:rsidR="00B60C81" w:rsidRPr="001E5399" w:rsidRDefault="00B60C81" w:rsidP="001E5399">
      <w:pPr>
        <w:spacing w:line="480" w:lineRule="auto"/>
        <w:jc w:val="both"/>
        <w:rPr>
          <w:rFonts w:ascii="Times New Roman" w:eastAsia="Times New Roman" w:hAnsi="Times New Roman" w:cs="Times New Roman"/>
        </w:rPr>
      </w:pPr>
    </w:p>
    <w:sectPr w:rsidR="00B60C81" w:rsidRPr="001E5399" w:rsidSect="001F68FD">
      <w:headerReference w:type="default" r:id="rId7"/>
      <w:footerReference w:type="even" r:id="rId8"/>
      <w:footerReference w:type="default" r:id="rId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123C66F" w14:textId="77777777" w:rsidR="007D7843" w:rsidRDefault="007D7843" w:rsidP="00B20C4A">
      <w:r>
        <w:separator/>
      </w:r>
    </w:p>
  </w:endnote>
  <w:endnote w:type="continuationSeparator" w:id="0">
    <w:p w14:paraId="6A9E5FA6" w14:textId="77777777" w:rsidR="007D7843" w:rsidRDefault="007D7843" w:rsidP="00B20C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218662593"/>
      <w:docPartObj>
        <w:docPartGallery w:val="Page Numbers (Bottom of Page)"/>
        <w:docPartUnique/>
      </w:docPartObj>
    </w:sdtPr>
    <w:sdtEndPr>
      <w:rPr>
        <w:rStyle w:val="PageNumber"/>
      </w:rPr>
    </w:sdtEndPr>
    <w:sdtContent>
      <w:p w14:paraId="23B160A2" w14:textId="12FBA9D3" w:rsidR="00B20C4A" w:rsidRDefault="00B20C4A" w:rsidP="00BB2DD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8530345" w14:textId="77777777" w:rsidR="00B20C4A" w:rsidRDefault="00B20C4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87158747"/>
      <w:docPartObj>
        <w:docPartGallery w:val="Page Numbers (Bottom of Page)"/>
        <w:docPartUnique/>
      </w:docPartObj>
    </w:sdtPr>
    <w:sdtEndPr>
      <w:rPr>
        <w:rStyle w:val="PageNumber"/>
      </w:rPr>
    </w:sdtEndPr>
    <w:sdtContent>
      <w:p w14:paraId="55F55437" w14:textId="6E7A39A6" w:rsidR="00B20C4A" w:rsidRDefault="00B20C4A" w:rsidP="00BB2DD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F3D83C7" w14:textId="77777777" w:rsidR="00B20C4A" w:rsidRDefault="00B20C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A3C37F" w14:textId="77777777" w:rsidR="007D7843" w:rsidRDefault="007D7843" w:rsidP="00B20C4A">
      <w:r>
        <w:separator/>
      </w:r>
    </w:p>
  </w:footnote>
  <w:footnote w:type="continuationSeparator" w:id="0">
    <w:p w14:paraId="7697FF75" w14:textId="77777777" w:rsidR="007D7843" w:rsidRDefault="007D7843" w:rsidP="00B20C4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4A900F" w14:textId="601F1B80" w:rsidR="00B20C4A" w:rsidRDefault="00B20C4A">
    <w:pPr>
      <w:pStyle w:val="Header"/>
    </w:pPr>
    <w:r>
      <w:t>TRDL7064</w:t>
    </w:r>
    <w:r>
      <w:ptab w:relativeTo="margin" w:alignment="center" w:leader="none"/>
    </w:r>
    <w:r>
      <w:t>Islamic Law in the Contemporary World</w:t>
    </w:r>
    <w:r>
      <w:ptab w:relativeTo="margin" w:alignment="right" w:leader="none"/>
    </w:r>
    <w:r>
      <w:t>1603804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7E700BB"/>
    <w:multiLevelType w:val="hybridMultilevel"/>
    <w:tmpl w:val="A1E2D3D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8"/>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6FE9"/>
    <w:rsid w:val="000010EC"/>
    <w:rsid w:val="000543E2"/>
    <w:rsid w:val="000613CD"/>
    <w:rsid w:val="000B6799"/>
    <w:rsid w:val="00167AA4"/>
    <w:rsid w:val="001C0644"/>
    <w:rsid w:val="001E5399"/>
    <w:rsid w:val="001F68FD"/>
    <w:rsid w:val="00212D57"/>
    <w:rsid w:val="002246FB"/>
    <w:rsid w:val="00227AD4"/>
    <w:rsid w:val="002301FC"/>
    <w:rsid w:val="002873B7"/>
    <w:rsid w:val="002A480D"/>
    <w:rsid w:val="002B454E"/>
    <w:rsid w:val="002E3576"/>
    <w:rsid w:val="003432DD"/>
    <w:rsid w:val="00385E61"/>
    <w:rsid w:val="003C5D0E"/>
    <w:rsid w:val="00400174"/>
    <w:rsid w:val="0041017D"/>
    <w:rsid w:val="0049542A"/>
    <w:rsid w:val="004955D7"/>
    <w:rsid w:val="004A59D4"/>
    <w:rsid w:val="004C7194"/>
    <w:rsid w:val="004E0B4F"/>
    <w:rsid w:val="00597FB1"/>
    <w:rsid w:val="005C4E79"/>
    <w:rsid w:val="00604C0A"/>
    <w:rsid w:val="0061258A"/>
    <w:rsid w:val="00653E6C"/>
    <w:rsid w:val="00692F46"/>
    <w:rsid w:val="006A6460"/>
    <w:rsid w:val="00707D1B"/>
    <w:rsid w:val="0071262C"/>
    <w:rsid w:val="007342C9"/>
    <w:rsid w:val="00736FE5"/>
    <w:rsid w:val="007402FE"/>
    <w:rsid w:val="00764BA3"/>
    <w:rsid w:val="0077797F"/>
    <w:rsid w:val="007D6AA3"/>
    <w:rsid w:val="007D7843"/>
    <w:rsid w:val="008C4040"/>
    <w:rsid w:val="008E6FEB"/>
    <w:rsid w:val="00940A20"/>
    <w:rsid w:val="00973722"/>
    <w:rsid w:val="00992496"/>
    <w:rsid w:val="009B372B"/>
    <w:rsid w:val="009B5591"/>
    <w:rsid w:val="009B625D"/>
    <w:rsid w:val="009C625F"/>
    <w:rsid w:val="00A272B3"/>
    <w:rsid w:val="00A74863"/>
    <w:rsid w:val="00B20C4A"/>
    <w:rsid w:val="00B4030C"/>
    <w:rsid w:val="00B60C81"/>
    <w:rsid w:val="00B7387D"/>
    <w:rsid w:val="00B83B73"/>
    <w:rsid w:val="00BA463B"/>
    <w:rsid w:val="00BC02B6"/>
    <w:rsid w:val="00BD11E9"/>
    <w:rsid w:val="00C10240"/>
    <w:rsid w:val="00C12497"/>
    <w:rsid w:val="00C16764"/>
    <w:rsid w:val="00C7157F"/>
    <w:rsid w:val="00D37EA9"/>
    <w:rsid w:val="00D81F3C"/>
    <w:rsid w:val="00D95E97"/>
    <w:rsid w:val="00DB3DAA"/>
    <w:rsid w:val="00DC6C9A"/>
    <w:rsid w:val="00DD476A"/>
    <w:rsid w:val="00DF1338"/>
    <w:rsid w:val="00E05411"/>
    <w:rsid w:val="00E35B2E"/>
    <w:rsid w:val="00E46FE9"/>
    <w:rsid w:val="00E92E6E"/>
    <w:rsid w:val="00EA4342"/>
    <w:rsid w:val="00EA4765"/>
    <w:rsid w:val="00F24017"/>
    <w:rsid w:val="00F55A6C"/>
    <w:rsid w:val="00FF34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69ABCC"/>
  <w15:chartTrackingRefBased/>
  <w15:docId w15:val="{B9827C51-3182-5A47-BBB7-F6572C8AB6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46FE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C0644"/>
    <w:pPr>
      <w:ind w:left="720"/>
      <w:contextualSpacing/>
    </w:pPr>
  </w:style>
  <w:style w:type="paragraph" w:styleId="Header">
    <w:name w:val="header"/>
    <w:basedOn w:val="Normal"/>
    <w:link w:val="HeaderChar"/>
    <w:uiPriority w:val="99"/>
    <w:unhideWhenUsed/>
    <w:rsid w:val="00B20C4A"/>
    <w:pPr>
      <w:tabs>
        <w:tab w:val="center" w:pos="4680"/>
        <w:tab w:val="right" w:pos="9360"/>
      </w:tabs>
    </w:pPr>
  </w:style>
  <w:style w:type="character" w:customStyle="1" w:styleId="HeaderChar">
    <w:name w:val="Header Char"/>
    <w:basedOn w:val="DefaultParagraphFont"/>
    <w:link w:val="Header"/>
    <w:uiPriority w:val="99"/>
    <w:rsid w:val="00B20C4A"/>
  </w:style>
  <w:style w:type="paragraph" w:styleId="Footer">
    <w:name w:val="footer"/>
    <w:basedOn w:val="Normal"/>
    <w:link w:val="FooterChar"/>
    <w:uiPriority w:val="99"/>
    <w:unhideWhenUsed/>
    <w:rsid w:val="00B20C4A"/>
    <w:pPr>
      <w:tabs>
        <w:tab w:val="center" w:pos="4680"/>
        <w:tab w:val="right" w:pos="9360"/>
      </w:tabs>
    </w:pPr>
  </w:style>
  <w:style w:type="character" w:customStyle="1" w:styleId="FooterChar">
    <w:name w:val="Footer Char"/>
    <w:basedOn w:val="DefaultParagraphFont"/>
    <w:link w:val="Footer"/>
    <w:uiPriority w:val="99"/>
    <w:rsid w:val="00B20C4A"/>
  </w:style>
  <w:style w:type="character" w:styleId="PageNumber">
    <w:name w:val="page number"/>
    <w:basedOn w:val="DefaultParagraphFont"/>
    <w:uiPriority w:val="99"/>
    <w:semiHidden/>
    <w:unhideWhenUsed/>
    <w:rsid w:val="00B20C4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4235914">
      <w:bodyDiv w:val="1"/>
      <w:marLeft w:val="0"/>
      <w:marRight w:val="0"/>
      <w:marTop w:val="0"/>
      <w:marBottom w:val="0"/>
      <w:divBdr>
        <w:top w:val="none" w:sz="0" w:space="0" w:color="auto"/>
        <w:left w:val="none" w:sz="0" w:space="0" w:color="auto"/>
        <w:bottom w:val="none" w:sz="0" w:space="0" w:color="auto"/>
        <w:right w:val="none" w:sz="0" w:space="0" w:color="auto"/>
      </w:divBdr>
    </w:div>
    <w:div w:id="405297536">
      <w:bodyDiv w:val="1"/>
      <w:marLeft w:val="0"/>
      <w:marRight w:val="0"/>
      <w:marTop w:val="0"/>
      <w:marBottom w:val="0"/>
      <w:divBdr>
        <w:top w:val="none" w:sz="0" w:space="0" w:color="auto"/>
        <w:left w:val="none" w:sz="0" w:space="0" w:color="auto"/>
        <w:bottom w:val="none" w:sz="0" w:space="0" w:color="auto"/>
        <w:right w:val="none" w:sz="0" w:space="0" w:color="auto"/>
      </w:divBdr>
    </w:div>
    <w:div w:id="496964576">
      <w:bodyDiv w:val="1"/>
      <w:marLeft w:val="0"/>
      <w:marRight w:val="0"/>
      <w:marTop w:val="0"/>
      <w:marBottom w:val="0"/>
      <w:divBdr>
        <w:top w:val="none" w:sz="0" w:space="0" w:color="auto"/>
        <w:left w:val="none" w:sz="0" w:space="0" w:color="auto"/>
        <w:bottom w:val="none" w:sz="0" w:space="0" w:color="auto"/>
        <w:right w:val="none" w:sz="0" w:space="0" w:color="auto"/>
      </w:divBdr>
    </w:div>
    <w:div w:id="543326099">
      <w:bodyDiv w:val="1"/>
      <w:marLeft w:val="0"/>
      <w:marRight w:val="0"/>
      <w:marTop w:val="0"/>
      <w:marBottom w:val="0"/>
      <w:divBdr>
        <w:top w:val="none" w:sz="0" w:space="0" w:color="auto"/>
        <w:left w:val="none" w:sz="0" w:space="0" w:color="auto"/>
        <w:bottom w:val="none" w:sz="0" w:space="0" w:color="auto"/>
        <w:right w:val="none" w:sz="0" w:space="0" w:color="auto"/>
      </w:divBdr>
    </w:div>
    <w:div w:id="1186752912">
      <w:bodyDiv w:val="1"/>
      <w:marLeft w:val="0"/>
      <w:marRight w:val="0"/>
      <w:marTop w:val="0"/>
      <w:marBottom w:val="0"/>
      <w:divBdr>
        <w:top w:val="none" w:sz="0" w:space="0" w:color="auto"/>
        <w:left w:val="none" w:sz="0" w:space="0" w:color="auto"/>
        <w:bottom w:val="none" w:sz="0" w:space="0" w:color="auto"/>
        <w:right w:val="none" w:sz="0" w:space="0" w:color="auto"/>
      </w:divBdr>
    </w:div>
    <w:div w:id="1208955403">
      <w:bodyDiv w:val="1"/>
      <w:marLeft w:val="0"/>
      <w:marRight w:val="0"/>
      <w:marTop w:val="0"/>
      <w:marBottom w:val="0"/>
      <w:divBdr>
        <w:top w:val="none" w:sz="0" w:space="0" w:color="auto"/>
        <w:left w:val="none" w:sz="0" w:space="0" w:color="auto"/>
        <w:bottom w:val="none" w:sz="0" w:space="0" w:color="auto"/>
        <w:right w:val="none" w:sz="0" w:space="0" w:color="auto"/>
      </w:divBdr>
    </w:div>
    <w:div w:id="1230530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74</TotalTime>
  <Pages>3</Pages>
  <Words>549</Words>
  <Characters>3130</Characters>
  <Application>Microsoft Office Word</Application>
  <DocSecurity>0</DocSecurity>
  <Lines>26</Lines>
  <Paragraphs>7</Paragraphs>
  <ScaleCrop>false</ScaleCrop>
  <HeadingPairs>
    <vt:vector size="4" baseType="variant">
      <vt:variant>
        <vt:lpstr>Title</vt:lpstr>
      </vt:variant>
      <vt:variant>
        <vt:i4>1</vt:i4>
      </vt:variant>
      <vt:variant>
        <vt:lpstr>Headings</vt:lpstr>
      </vt:variant>
      <vt:variant>
        <vt:i4>21</vt:i4>
      </vt:variant>
    </vt:vector>
  </HeadingPairs>
  <TitlesOfParts>
    <vt:vector size="22" baseType="lpstr">
      <vt:lpstr/>
      <vt:lpstr>Module:</vt:lpstr>
      <vt:lpstr>Islamic Law in the Contemporary World (TRDL 7064)</vt:lpstr>
      <vt:lpstr/>
      <vt:lpstr>Assignment One:</vt:lpstr>
      <vt:lpstr>Outline and evaluate the interaction and relationship between the Qur’an and oth</vt:lpstr>
      <vt:lpstr/>
      <vt:lpstr/>
      <vt:lpstr/>
      <vt:lpstr>Tutor:</vt:lpstr>
      <vt:lpstr>Prof Gary Bunt</vt:lpstr>
      <vt:lpstr/>
      <vt:lpstr/>
      <vt:lpstr/>
      <vt:lpstr/>
      <vt:lpstr/>
      <vt:lpstr/>
      <vt:lpstr>Submitted by:</vt:lpstr>
      <vt:lpstr>Mohammed Adebayo (1603804)</vt:lpstr>
      <vt:lpstr>University of Wales Trinity Saint David </vt:lpstr>
      <vt:lpstr>Lampeter Campus</vt:lpstr>
      <vt:lpstr>May 2019</vt:lpstr>
    </vt:vector>
  </TitlesOfParts>
  <Company/>
  <LinksUpToDate>false</LinksUpToDate>
  <CharactersWithSpaces>3672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5</cp:revision>
  <dcterms:created xsi:type="dcterms:W3CDTF">2019-05-07T15:13:00Z</dcterms:created>
  <dcterms:modified xsi:type="dcterms:W3CDTF">2019-05-24T00:01:00Z</dcterms:modified>
</cp:coreProperties>
</file>