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896465708"/>
        <w:docPartObj>
          <w:docPartGallery w:val="Cover Pages"/>
          <w:docPartUnique/>
        </w:docPartObj>
      </w:sdtPr>
      <w:sdtEndPr>
        <w:rPr>
          <w:rFonts w:ascii="Arial" w:hAnsi="Arial" w:cs="Arial"/>
          <w:color w:val="auto"/>
        </w:rPr>
      </w:sdtEndPr>
      <w:sdtContent>
        <w:p w14:paraId="11B93BD9" w14:textId="73E1062E" w:rsidR="00A0725A" w:rsidRPr="00E57E10" w:rsidRDefault="00A0725A">
          <w:pPr>
            <w:pStyle w:val="NoSpacing"/>
            <w:spacing w:before="1540" w:after="240"/>
            <w:jc w:val="center"/>
            <w:rPr>
              <w:rFonts w:ascii="Arial" w:hAnsi="Arial" w:cs="Arial"/>
              <w:color w:val="156082" w:themeColor="accent1"/>
            </w:rPr>
          </w:pPr>
          <w:r w:rsidRPr="00E57E10">
            <w:rPr>
              <w:rFonts w:ascii="Arial" w:hAnsi="Arial" w:cs="Arial"/>
              <w:noProof/>
              <w:color w:val="156082" w:themeColor="accent1"/>
            </w:rPr>
            <w:drawing>
              <wp:inline distT="0" distB="0" distL="0" distR="0" wp14:anchorId="683D6BFA" wp14:editId="1764350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A5BD24E12F5D431D84A349699AB8EEB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39A2D1" w14:textId="5B13CEFA" w:rsidR="00A0725A" w:rsidRPr="00E57E10" w:rsidRDefault="00EF1AC2">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Pr>
                  <w:rFonts w:ascii="Arial" w:eastAsiaTheme="majorEastAsia" w:hAnsi="Arial" w:cs="Arial"/>
                  <w:caps/>
                  <w:color w:val="156082" w:themeColor="accent1"/>
                  <w:sz w:val="72"/>
                  <w:szCs w:val="72"/>
                </w:rPr>
                <w:t>Ethics and law</w:t>
              </w:r>
            </w:p>
          </w:sdtContent>
        </w:sdt>
        <w:sdt>
          <w:sdtPr>
            <w:rPr>
              <w:rFonts w:ascii="Arial" w:hAnsi="Arial" w:cs="Arial"/>
              <w:color w:val="156082" w:themeColor="accent1"/>
              <w:sz w:val="28"/>
              <w:szCs w:val="28"/>
            </w:rPr>
            <w:alias w:val="Subtitle"/>
            <w:tag w:val=""/>
            <w:id w:val="328029620"/>
            <w:placeholder>
              <w:docPart w:val="AFB117F4F9824BC990F3C8C6F0600D19"/>
            </w:placeholder>
            <w:dataBinding w:prefixMappings="xmlns:ns0='http://purl.org/dc/elements/1.1/' xmlns:ns1='http://schemas.openxmlformats.org/package/2006/metadata/core-properties' " w:xpath="/ns1:coreProperties[1]/ns0:subject[1]" w:storeItemID="{6C3C8BC8-F283-45AE-878A-BAB7291924A1}"/>
            <w:text/>
          </w:sdtPr>
          <w:sdtContent>
            <w:p w14:paraId="6027DB21" w14:textId="396F1EC8" w:rsidR="00A0725A" w:rsidRPr="00E57E10" w:rsidRDefault="008B127F">
              <w:pPr>
                <w:pStyle w:val="NoSpacing"/>
                <w:jc w:val="center"/>
                <w:rPr>
                  <w:rFonts w:ascii="Arial" w:hAnsi="Arial" w:cs="Arial"/>
                  <w:color w:val="156082" w:themeColor="accent1"/>
                  <w:sz w:val="28"/>
                  <w:szCs w:val="28"/>
                </w:rPr>
              </w:pPr>
              <w:r>
                <w:rPr>
                  <w:rFonts w:ascii="Arial" w:hAnsi="Arial" w:cs="Arial"/>
                  <w:color w:val="156082" w:themeColor="accent1"/>
                  <w:sz w:val="28"/>
                  <w:szCs w:val="28"/>
                </w:rPr>
                <w:t>ACMA</w:t>
              </w:r>
              <w:r w:rsidR="00607F8C">
                <w:rPr>
                  <w:rFonts w:ascii="Arial" w:hAnsi="Arial" w:cs="Arial"/>
                  <w:color w:val="156082" w:themeColor="accent1"/>
                  <w:sz w:val="28"/>
                  <w:szCs w:val="28"/>
                </w:rPr>
                <w:t>5015</w:t>
              </w:r>
            </w:p>
          </w:sdtContent>
        </w:sdt>
        <w:p w14:paraId="740E6B75" w14:textId="77777777" w:rsidR="00A0725A" w:rsidRPr="00E57E10" w:rsidRDefault="00A0725A">
          <w:pPr>
            <w:pStyle w:val="NoSpacing"/>
            <w:spacing w:before="480"/>
            <w:jc w:val="center"/>
            <w:rPr>
              <w:rFonts w:ascii="Arial" w:hAnsi="Arial" w:cs="Arial"/>
              <w:color w:val="156082" w:themeColor="accent1"/>
            </w:rPr>
          </w:pPr>
          <w:r w:rsidRPr="00E57E10">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7A542EC0" wp14:editId="0A9285B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12T00:00:00Z">
                                    <w:dateFormat w:val="MMMM d, yyyy"/>
                                    <w:lid w:val="en-US"/>
                                    <w:storeMappedDataAs w:val="dateTime"/>
                                    <w:calendar w:val="gregorian"/>
                                  </w:date>
                                </w:sdtPr>
                                <w:sdtContent>
                                  <w:p w14:paraId="302BF9F7" w14:textId="2BD117EB" w:rsidR="00A0725A" w:rsidRDefault="00C26C35">
                                    <w:pPr>
                                      <w:pStyle w:val="NoSpacing"/>
                                      <w:spacing w:after="40"/>
                                      <w:jc w:val="center"/>
                                      <w:rPr>
                                        <w:caps/>
                                        <w:color w:val="156082" w:themeColor="accent1"/>
                                        <w:sz w:val="28"/>
                                        <w:szCs w:val="28"/>
                                      </w:rPr>
                                    </w:pPr>
                                    <w:r>
                                      <w:rPr>
                                        <w:caps/>
                                        <w:color w:val="156082" w:themeColor="accent1"/>
                                        <w:sz w:val="28"/>
                                        <w:szCs w:val="28"/>
                                      </w:rPr>
                                      <w:t>June 12, 2026</w:t>
                                    </w:r>
                                  </w:p>
                                </w:sdtContent>
                              </w:sdt>
                              <w:p w14:paraId="222144A3" w14:textId="6726C3D2" w:rsidR="00A0725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92BDC">
                                      <w:rPr>
                                        <w:caps/>
                                        <w:color w:val="156082" w:themeColor="accent1"/>
                                      </w:rPr>
                                      <w:t>University of Wales Trinity Saint David</w:t>
                                    </w:r>
                                  </w:sdtContent>
                                </w:sdt>
                              </w:p>
                              <w:p w14:paraId="7152D4C3" w14:textId="13A2D8AA" w:rsidR="00A0725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26C35">
                                      <w:rPr>
                                        <w:color w:val="156082" w:themeColor="accent1"/>
                                      </w:rPr>
                                      <w:t>Darrell Byrne 2421060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542EC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12T00:00:00Z">
                              <w:dateFormat w:val="MMMM d, yyyy"/>
                              <w:lid w:val="en-US"/>
                              <w:storeMappedDataAs w:val="dateTime"/>
                              <w:calendar w:val="gregorian"/>
                            </w:date>
                          </w:sdtPr>
                          <w:sdtContent>
                            <w:p w14:paraId="302BF9F7" w14:textId="2BD117EB" w:rsidR="00A0725A" w:rsidRDefault="00C26C35">
                              <w:pPr>
                                <w:pStyle w:val="NoSpacing"/>
                                <w:spacing w:after="40"/>
                                <w:jc w:val="center"/>
                                <w:rPr>
                                  <w:caps/>
                                  <w:color w:val="156082" w:themeColor="accent1"/>
                                  <w:sz w:val="28"/>
                                  <w:szCs w:val="28"/>
                                </w:rPr>
                              </w:pPr>
                              <w:r>
                                <w:rPr>
                                  <w:caps/>
                                  <w:color w:val="156082" w:themeColor="accent1"/>
                                  <w:sz w:val="28"/>
                                  <w:szCs w:val="28"/>
                                </w:rPr>
                                <w:t>June 12, 2026</w:t>
                              </w:r>
                            </w:p>
                          </w:sdtContent>
                        </w:sdt>
                        <w:p w14:paraId="222144A3" w14:textId="6726C3D2" w:rsidR="00A0725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92BDC">
                                <w:rPr>
                                  <w:caps/>
                                  <w:color w:val="156082" w:themeColor="accent1"/>
                                </w:rPr>
                                <w:t>University of Wales Trinity Saint David</w:t>
                              </w:r>
                            </w:sdtContent>
                          </w:sdt>
                        </w:p>
                        <w:p w14:paraId="7152D4C3" w14:textId="13A2D8AA" w:rsidR="00A0725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26C35">
                                <w:rPr>
                                  <w:color w:val="156082" w:themeColor="accent1"/>
                                </w:rPr>
                                <w:t>Darrell Byrne 2421060</w:t>
                              </w:r>
                            </w:sdtContent>
                          </w:sdt>
                        </w:p>
                      </w:txbxContent>
                    </v:textbox>
                    <w10:wrap anchorx="margin" anchory="page"/>
                  </v:shape>
                </w:pict>
              </mc:Fallback>
            </mc:AlternateContent>
          </w:r>
          <w:r w:rsidRPr="00E57E10">
            <w:rPr>
              <w:rFonts w:ascii="Arial" w:hAnsi="Arial" w:cs="Arial"/>
              <w:noProof/>
              <w:color w:val="156082" w:themeColor="accent1"/>
            </w:rPr>
            <w:drawing>
              <wp:inline distT="0" distB="0" distL="0" distR="0" wp14:anchorId="321FC094" wp14:editId="072BA91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07E6BF" w14:textId="4C2CC2DC" w:rsidR="00A0725A" w:rsidRPr="00E57E10" w:rsidRDefault="00A0725A">
          <w:pPr>
            <w:rPr>
              <w:rFonts w:ascii="Arial" w:hAnsi="Arial" w:cs="Arial"/>
            </w:rPr>
          </w:pPr>
          <w:r w:rsidRPr="00E57E10">
            <w:rPr>
              <w:rFonts w:ascii="Arial" w:hAnsi="Arial" w:cs="Arial"/>
            </w:rPr>
            <w:br w:type="page"/>
          </w:r>
        </w:p>
      </w:sdtContent>
    </w:sdt>
    <w:p w14:paraId="23378BA3" w14:textId="77777777" w:rsidR="00A0725A" w:rsidRPr="00E57E10" w:rsidRDefault="00A0725A">
      <w:pPr>
        <w:rPr>
          <w:rFonts w:ascii="Arial" w:hAnsi="Arial" w:cs="Arial"/>
        </w:rPr>
      </w:pPr>
    </w:p>
    <w:sdt>
      <w:sdtPr>
        <w:rPr>
          <w:rFonts w:ascii="Arial" w:eastAsiaTheme="minorEastAsia" w:hAnsi="Arial" w:cs="Arial"/>
          <w:color w:val="auto"/>
          <w:kern w:val="2"/>
          <w:sz w:val="24"/>
          <w:szCs w:val="24"/>
          <w:lang w:val="en-GB" w:eastAsia="zh-CN"/>
          <w14:ligatures w14:val="standardContextual"/>
        </w:rPr>
        <w:id w:val="-1952855440"/>
        <w:docPartObj>
          <w:docPartGallery w:val="Table of Contents"/>
          <w:docPartUnique/>
        </w:docPartObj>
      </w:sdtPr>
      <w:sdtEndPr>
        <w:rPr>
          <w:b/>
          <w:bCs/>
          <w:noProof/>
        </w:rPr>
      </w:sdtEndPr>
      <w:sdtContent>
        <w:p w14:paraId="3AC52565" w14:textId="365DC14A" w:rsidR="00A0725A" w:rsidRPr="00E57E10" w:rsidRDefault="00A0725A">
          <w:pPr>
            <w:pStyle w:val="TOCHeading"/>
            <w:rPr>
              <w:rFonts w:ascii="Arial" w:hAnsi="Arial" w:cs="Arial"/>
            </w:rPr>
          </w:pPr>
          <w:r w:rsidRPr="00E57E10">
            <w:rPr>
              <w:rFonts w:ascii="Arial" w:hAnsi="Arial" w:cs="Arial"/>
            </w:rPr>
            <w:t>Contents</w:t>
          </w:r>
        </w:p>
        <w:p w14:paraId="1D7025B9" w14:textId="1922F5FE" w:rsidR="00A0725A" w:rsidRPr="00E57E10" w:rsidRDefault="00A0725A">
          <w:pPr>
            <w:pStyle w:val="TOC1"/>
            <w:tabs>
              <w:tab w:val="right" w:leader="dot" w:pos="9016"/>
            </w:tabs>
            <w:rPr>
              <w:rFonts w:ascii="Arial" w:hAnsi="Arial" w:cs="Arial"/>
              <w:noProof/>
              <w:sz w:val="22"/>
              <w:szCs w:val="22"/>
            </w:rPr>
          </w:pPr>
          <w:r w:rsidRPr="00E57E10">
            <w:rPr>
              <w:rFonts w:ascii="Arial" w:hAnsi="Arial" w:cs="Arial"/>
            </w:rPr>
            <w:fldChar w:fldCharType="begin"/>
          </w:r>
          <w:r w:rsidRPr="00E57E10">
            <w:rPr>
              <w:rFonts w:ascii="Arial" w:hAnsi="Arial" w:cs="Arial"/>
            </w:rPr>
            <w:instrText xml:space="preserve"> TOC \o "1-3" \h \z \u </w:instrText>
          </w:r>
          <w:r w:rsidRPr="00E57E10">
            <w:rPr>
              <w:rFonts w:ascii="Arial" w:hAnsi="Arial" w:cs="Arial"/>
            </w:rPr>
            <w:fldChar w:fldCharType="separate"/>
          </w:r>
          <w:hyperlink w:anchor="_Toc231546742" w:history="1">
            <w:r w:rsidRPr="00E57E10">
              <w:rPr>
                <w:rStyle w:val="Hyperlink"/>
                <w:rFonts w:ascii="Arial" w:hAnsi="Arial" w:cs="Arial"/>
                <w:noProof/>
                <w:sz w:val="22"/>
                <w:szCs w:val="22"/>
              </w:rPr>
              <w:t>Question 1</w:t>
            </w:r>
            <w:r w:rsidRPr="00E57E10">
              <w:rPr>
                <w:rFonts w:ascii="Arial" w:hAnsi="Arial" w:cs="Arial"/>
                <w:noProof/>
                <w:webHidden/>
                <w:sz w:val="22"/>
                <w:szCs w:val="22"/>
              </w:rPr>
              <w:tab/>
            </w:r>
            <w:r w:rsidRPr="00E57E10">
              <w:rPr>
                <w:rFonts w:ascii="Arial" w:hAnsi="Arial" w:cs="Arial"/>
                <w:noProof/>
                <w:webHidden/>
                <w:sz w:val="22"/>
                <w:szCs w:val="22"/>
              </w:rPr>
              <w:fldChar w:fldCharType="begin"/>
            </w:r>
            <w:r w:rsidRPr="00E57E10">
              <w:rPr>
                <w:rFonts w:ascii="Arial" w:hAnsi="Arial" w:cs="Arial"/>
                <w:noProof/>
                <w:webHidden/>
                <w:sz w:val="22"/>
                <w:szCs w:val="22"/>
              </w:rPr>
              <w:instrText xml:space="preserve"> PAGEREF _Toc231546742 \h </w:instrText>
            </w:r>
            <w:r w:rsidRPr="00E57E10">
              <w:rPr>
                <w:rFonts w:ascii="Arial" w:hAnsi="Arial" w:cs="Arial"/>
                <w:noProof/>
                <w:webHidden/>
                <w:sz w:val="22"/>
                <w:szCs w:val="22"/>
              </w:rPr>
            </w:r>
            <w:r w:rsidRPr="00E57E10">
              <w:rPr>
                <w:rFonts w:ascii="Arial" w:hAnsi="Arial" w:cs="Arial"/>
                <w:noProof/>
                <w:webHidden/>
                <w:sz w:val="22"/>
                <w:szCs w:val="22"/>
              </w:rPr>
              <w:fldChar w:fldCharType="separate"/>
            </w:r>
            <w:r w:rsidRPr="00E57E10">
              <w:rPr>
                <w:rFonts w:ascii="Arial" w:hAnsi="Arial" w:cs="Arial"/>
                <w:noProof/>
                <w:webHidden/>
                <w:sz w:val="22"/>
                <w:szCs w:val="22"/>
              </w:rPr>
              <w:t>2</w:t>
            </w:r>
            <w:r w:rsidRPr="00E57E10">
              <w:rPr>
                <w:rFonts w:ascii="Arial" w:hAnsi="Arial" w:cs="Arial"/>
                <w:noProof/>
                <w:webHidden/>
                <w:sz w:val="22"/>
                <w:szCs w:val="22"/>
              </w:rPr>
              <w:fldChar w:fldCharType="end"/>
            </w:r>
          </w:hyperlink>
        </w:p>
        <w:p w14:paraId="7263E9AB" w14:textId="5D5B3A59" w:rsidR="00A0725A" w:rsidRPr="00E57E10" w:rsidRDefault="00A0725A">
          <w:pPr>
            <w:pStyle w:val="TOC1"/>
            <w:tabs>
              <w:tab w:val="right" w:leader="dot" w:pos="9016"/>
            </w:tabs>
            <w:rPr>
              <w:rFonts w:ascii="Arial" w:hAnsi="Arial" w:cs="Arial"/>
              <w:noProof/>
              <w:sz w:val="22"/>
              <w:szCs w:val="22"/>
            </w:rPr>
          </w:pPr>
          <w:hyperlink w:anchor="_Toc231546743" w:history="1">
            <w:r w:rsidRPr="00E57E10">
              <w:rPr>
                <w:rStyle w:val="Hyperlink"/>
                <w:rFonts w:ascii="Arial" w:hAnsi="Arial" w:cs="Arial"/>
                <w:noProof/>
                <w:sz w:val="22"/>
                <w:szCs w:val="22"/>
              </w:rPr>
              <w:t>Question 2</w:t>
            </w:r>
            <w:r w:rsidRPr="00E57E10">
              <w:rPr>
                <w:rFonts w:ascii="Arial" w:hAnsi="Arial" w:cs="Arial"/>
                <w:noProof/>
                <w:webHidden/>
                <w:sz w:val="22"/>
                <w:szCs w:val="22"/>
              </w:rPr>
              <w:tab/>
            </w:r>
            <w:r w:rsidRPr="00E57E10">
              <w:rPr>
                <w:rFonts w:ascii="Arial" w:hAnsi="Arial" w:cs="Arial"/>
                <w:noProof/>
                <w:webHidden/>
                <w:sz w:val="22"/>
                <w:szCs w:val="22"/>
              </w:rPr>
              <w:fldChar w:fldCharType="begin"/>
            </w:r>
            <w:r w:rsidRPr="00E57E10">
              <w:rPr>
                <w:rFonts w:ascii="Arial" w:hAnsi="Arial" w:cs="Arial"/>
                <w:noProof/>
                <w:webHidden/>
                <w:sz w:val="22"/>
                <w:szCs w:val="22"/>
              </w:rPr>
              <w:instrText xml:space="preserve"> PAGEREF _Toc231546743 \h </w:instrText>
            </w:r>
            <w:r w:rsidRPr="00E57E10">
              <w:rPr>
                <w:rFonts w:ascii="Arial" w:hAnsi="Arial" w:cs="Arial"/>
                <w:noProof/>
                <w:webHidden/>
                <w:sz w:val="22"/>
                <w:szCs w:val="22"/>
              </w:rPr>
            </w:r>
            <w:r w:rsidRPr="00E57E10">
              <w:rPr>
                <w:rFonts w:ascii="Arial" w:hAnsi="Arial" w:cs="Arial"/>
                <w:noProof/>
                <w:webHidden/>
                <w:sz w:val="22"/>
                <w:szCs w:val="22"/>
              </w:rPr>
              <w:fldChar w:fldCharType="separate"/>
            </w:r>
            <w:r w:rsidRPr="00E57E10">
              <w:rPr>
                <w:rFonts w:ascii="Arial" w:hAnsi="Arial" w:cs="Arial"/>
                <w:noProof/>
                <w:webHidden/>
                <w:sz w:val="22"/>
                <w:szCs w:val="22"/>
              </w:rPr>
              <w:t>3</w:t>
            </w:r>
            <w:r w:rsidRPr="00E57E10">
              <w:rPr>
                <w:rFonts w:ascii="Arial" w:hAnsi="Arial" w:cs="Arial"/>
                <w:noProof/>
                <w:webHidden/>
                <w:sz w:val="22"/>
                <w:szCs w:val="22"/>
              </w:rPr>
              <w:fldChar w:fldCharType="end"/>
            </w:r>
          </w:hyperlink>
        </w:p>
        <w:p w14:paraId="7E083F8D" w14:textId="47D52DDB" w:rsidR="00A0725A" w:rsidRPr="00E57E10" w:rsidRDefault="00A0725A">
          <w:pPr>
            <w:pStyle w:val="TOC1"/>
            <w:tabs>
              <w:tab w:val="right" w:leader="dot" w:pos="9016"/>
            </w:tabs>
            <w:rPr>
              <w:rFonts w:ascii="Arial" w:hAnsi="Arial" w:cs="Arial"/>
              <w:noProof/>
              <w:sz w:val="22"/>
              <w:szCs w:val="22"/>
            </w:rPr>
          </w:pPr>
          <w:hyperlink w:anchor="_Toc231546744" w:history="1">
            <w:r w:rsidRPr="00E57E10">
              <w:rPr>
                <w:rStyle w:val="Hyperlink"/>
                <w:rFonts w:ascii="Arial" w:hAnsi="Arial" w:cs="Arial"/>
                <w:noProof/>
                <w:sz w:val="22"/>
                <w:szCs w:val="22"/>
              </w:rPr>
              <w:t>Question 3</w:t>
            </w:r>
            <w:r w:rsidRPr="00E57E10">
              <w:rPr>
                <w:rFonts w:ascii="Arial" w:hAnsi="Arial" w:cs="Arial"/>
                <w:noProof/>
                <w:webHidden/>
                <w:sz w:val="22"/>
                <w:szCs w:val="22"/>
              </w:rPr>
              <w:tab/>
            </w:r>
            <w:r w:rsidRPr="00E57E10">
              <w:rPr>
                <w:rFonts w:ascii="Arial" w:hAnsi="Arial" w:cs="Arial"/>
                <w:noProof/>
                <w:webHidden/>
                <w:sz w:val="22"/>
                <w:szCs w:val="22"/>
              </w:rPr>
              <w:fldChar w:fldCharType="begin"/>
            </w:r>
            <w:r w:rsidRPr="00E57E10">
              <w:rPr>
                <w:rFonts w:ascii="Arial" w:hAnsi="Arial" w:cs="Arial"/>
                <w:noProof/>
                <w:webHidden/>
                <w:sz w:val="22"/>
                <w:szCs w:val="22"/>
              </w:rPr>
              <w:instrText xml:space="preserve"> PAGEREF _Toc231546744 \h </w:instrText>
            </w:r>
            <w:r w:rsidRPr="00E57E10">
              <w:rPr>
                <w:rFonts w:ascii="Arial" w:hAnsi="Arial" w:cs="Arial"/>
                <w:noProof/>
                <w:webHidden/>
                <w:sz w:val="22"/>
                <w:szCs w:val="22"/>
              </w:rPr>
            </w:r>
            <w:r w:rsidRPr="00E57E10">
              <w:rPr>
                <w:rFonts w:ascii="Arial" w:hAnsi="Arial" w:cs="Arial"/>
                <w:noProof/>
                <w:webHidden/>
                <w:sz w:val="22"/>
                <w:szCs w:val="22"/>
              </w:rPr>
              <w:fldChar w:fldCharType="separate"/>
            </w:r>
            <w:r w:rsidRPr="00E57E10">
              <w:rPr>
                <w:rFonts w:ascii="Arial" w:hAnsi="Arial" w:cs="Arial"/>
                <w:noProof/>
                <w:webHidden/>
                <w:sz w:val="22"/>
                <w:szCs w:val="22"/>
              </w:rPr>
              <w:t>4</w:t>
            </w:r>
            <w:r w:rsidRPr="00E57E10">
              <w:rPr>
                <w:rFonts w:ascii="Arial" w:hAnsi="Arial" w:cs="Arial"/>
                <w:noProof/>
                <w:webHidden/>
                <w:sz w:val="22"/>
                <w:szCs w:val="22"/>
              </w:rPr>
              <w:fldChar w:fldCharType="end"/>
            </w:r>
          </w:hyperlink>
        </w:p>
        <w:p w14:paraId="1D7AFCEF" w14:textId="1F693AD0" w:rsidR="00A0725A" w:rsidRPr="00E57E10" w:rsidRDefault="00A0725A">
          <w:pPr>
            <w:pStyle w:val="TOC1"/>
            <w:tabs>
              <w:tab w:val="right" w:leader="dot" w:pos="9016"/>
            </w:tabs>
            <w:rPr>
              <w:rFonts w:ascii="Arial" w:hAnsi="Arial" w:cs="Arial"/>
              <w:noProof/>
              <w:sz w:val="22"/>
              <w:szCs w:val="22"/>
            </w:rPr>
          </w:pPr>
          <w:hyperlink w:anchor="_Toc231546745" w:history="1">
            <w:r w:rsidRPr="00E57E10">
              <w:rPr>
                <w:rStyle w:val="Hyperlink"/>
                <w:rFonts w:ascii="Arial" w:hAnsi="Arial" w:cs="Arial"/>
                <w:noProof/>
                <w:sz w:val="22"/>
                <w:szCs w:val="22"/>
              </w:rPr>
              <w:t>Reference List</w:t>
            </w:r>
            <w:r w:rsidRPr="00E57E10">
              <w:rPr>
                <w:rFonts w:ascii="Arial" w:hAnsi="Arial" w:cs="Arial"/>
                <w:noProof/>
                <w:webHidden/>
                <w:sz w:val="22"/>
                <w:szCs w:val="22"/>
              </w:rPr>
              <w:tab/>
            </w:r>
            <w:r w:rsidRPr="00E57E10">
              <w:rPr>
                <w:rFonts w:ascii="Arial" w:hAnsi="Arial" w:cs="Arial"/>
                <w:noProof/>
                <w:webHidden/>
                <w:sz w:val="22"/>
                <w:szCs w:val="22"/>
              </w:rPr>
              <w:fldChar w:fldCharType="begin"/>
            </w:r>
            <w:r w:rsidRPr="00E57E10">
              <w:rPr>
                <w:rFonts w:ascii="Arial" w:hAnsi="Arial" w:cs="Arial"/>
                <w:noProof/>
                <w:webHidden/>
                <w:sz w:val="22"/>
                <w:szCs w:val="22"/>
              </w:rPr>
              <w:instrText xml:space="preserve"> PAGEREF _Toc231546745 \h </w:instrText>
            </w:r>
            <w:r w:rsidRPr="00E57E10">
              <w:rPr>
                <w:rFonts w:ascii="Arial" w:hAnsi="Arial" w:cs="Arial"/>
                <w:noProof/>
                <w:webHidden/>
                <w:sz w:val="22"/>
                <w:szCs w:val="22"/>
              </w:rPr>
            </w:r>
            <w:r w:rsidRPr="00E57E10">
              <w:rPr>
                <w:rFonts w:ascii="Arial" w:hAnsi="Arial" w:cs="Arial"/>
                <w:noProof/>
                <w:webHidden/>
                <w:sz w:val="22"/>
                <w:szCs w:val="22"/>
              </w:rPr>
              <w:fldChar w:fldCharType="separate"/>
            </w:r>
            <w:r w:rsidRPr="00E57E10">
              <w:rPr>
                <w:rFonts w:ascii="Arial" w:hAnsi="Arial" w:cs="Arial"/>
                <w:noProof/>
                <w:webHidden/>
                <w:sz w:val="22"/>
                <w:szCs w:val="22"/>
              </w:rPr>
              <w:t>5</w:t>
            </w:r>
            <w:r w:rsidRPr="00E57E10">
              <w:rPr>
                <w:rFonts w:ascii="Arial" w:hAnsi="Arial" w:cs="Arial"/>
                <w:noProof/>
                <w:webHidden/>
                <w:sz w:val="22"/>
                <w:szCs w:val="22"/>
              </w:rPr>
              <w:fldChar w:fldCharType="end"/>
            </w:r>
          </w:hyperlink>
        </w:p>
        <w:p w14:paraId="12462848" w14:textId="1F1840D2" w:rsidR="00A0725A" w:rsidRPr="00E57E10" w:rsidRDefault="00A0725A">
          <w:pPr>
            <w:pStyle w:val="TOC1"/>
            <w:tabs>
              <w:tab w:val="right" w:leader="dot" w:pos="9016"/>
            </w:tabs>
            <w:rPr>
              <w:rFonts w:ascii="Arial" w:hAnsi="Arial" w:cs="Arial"/>
              <w:noProof/>
              <w:sz w:val="22"/>
              <w:szCs w:val="22"/>
            </w:rPr>
          </w:pPr>
          <w:hyperlink w:anchor="_Toc231546746" w:history="1">
            <w:r w:rsidRPr="00E57E10">
              <w:rPr>
                <w:rStyle w:val="Hyperlink"/>
                <w:rFonts w:ascii="Arial" w:hAnsi="Arial" w:cs="Arial"/>
                <w:noProof/>
                <w:sz w:val="22"/>
                <w:szCs w:val="22"/>
              </w:rPr>
              <w:t>END PAGE</w:t>
            </w:r>
            <w:r w:rsidRPr="00E57E10">
              <w:rPr>
                <w:rFonts w:ascii="Arial" w:hAnsi="Arial" w:cs="Arial"/>
                <w:noProof/>
                <w:webHidden/>
                <w:sz w:val="22"/>
                <w:szCs w:val="22"/>
              </w:rPr>
              <w:tab/>
            </w:r>
            <w:r w:rsidRPr="00E57E10">
              <w:rPr>
                <w:rFonts w:ascii="Arial" w:hAnsi="Arial" w:cs="Arial"/>
                <w:noProof/>
                <w:webHidden/>
                <w:sz w:val="22"/>
                <w:szCs w:val="22"/>
              </w:rPr>
              <w:fldChar w:fldCharType="begin"/>
            </w:r>
            <w:r w:rsidRPr="00E57E10">
              <w:rPr>
                <w:rFonts w:ascii="Arial" w:hAnsi="Arial" w:cs="Arial"/>
                <w:noProof/>
                <w:webHidden/>
                <w:sz w:val="22"/>
                <w:szCs w:val="22"/>
              </w:rPr>
              <w:instrText xml:space="preserve"> PAGEREF _Toc231546746 \h </w:instrText>
            </w:r>
            <w:r w:rsidRPr="00E57E10">
              <w:rPr>
                <w:rFonts w:ascii="Arial" w:hAnsi="Arial" w:cs="Arial"/>
                <w:noProof/>
                <w:webHidden/>
                <w:sz w:val="22"/>
                <w:szCs w:val="22"/>
              </w:rPr>
            </w:r>
            <w:r w:rsidRPr="00E57E10">
              <w:rPr>
                <w:rFonts w:ascii="Arial" w:hAnsi="Arial" w:cs="Arial"/>
                <w:noProof/>
                <w:webHidden/>
                <w:sz w:val="22"/>
                <w:szCs w:val="22"/>
              </w:rPr>
              <w:fldChar w:fldCharType="separate"/>
            </w:r>
            <w:r w:rsidRPr="00E57E10">
              <w:rPr>
                <w:rFonts w:ascii="Arial" w:hAnsi="Arial" w:cs="Arial"/>
                <w:noProof/>
                <w:webHidden/>
                <w:sz w:val="22"/>
                <w:szCs w:val="22"/>
              </w:rPr>
              <w:t>6</w:t>
            </w:r>
            <w:r w:rsidRPr="00E57E10">
              <w:rPr>
                <w:rFonts w:ascii="Arial" w:hAnsi="Arial" w:cs="Arial"/>
                <w:noProof/>
                <w:webHidden/>
                <w:sz w:val="22"/>
                <w:szCs w:val="22"/>
              </w:rPr>
              <w:fldChar w:fldCharType="end"/>
            </w:r>
          </w:hyperlink>
        </w:p>
        <w:p w14:paraId="383876AC" w14:textId="7EFBE605" w:rsidR="00A0725A" w:rsidRPr="00E57E10" w:rsidRDefault="00A0725A">
          <w:pPr>
            <w:rPr>
              <w:rFonts w:ascii="Arial" w:hAnsi="Arial" w:cs="Arial"/>
            </w:rPr>
          </w:pPr>
          <w:r w:rsidRPr="00E57E10">
            <w:rPr>
              <w:rFonts w:ascii="Arial" w:hAnsi="Arial" w:cs="Arial"/>
              <w:b/>
              <w:bCs/>
              <w:noProof/>
            </w:rPr>
            <w:fldChar w:fldCharType="end"/>
          </w:r>
        </w:p>
      </w:sdtContent>
    </w:sdt>
    <w:p w14:paraId="58E3906C" w14:textId="7E0941C6" w:rsidR="00A0725A" w:rsidRPr="00E57E10" w:rsidRDefault="00A0725A">
      <w:pPr>
        <w:rPr>
          <w:rFonts w:ascii="Arial" w:hAnsi="Arial" w:cs="Arial"/>
        </w:rPr>
      </w:pPr>
    </w:p>
    <w:p w14:paraId="7FDFA038" w14:textId="640E70BA" w:rsidR="00A0725A" w:rsidRPr="00E57E10" w:rsidRDefault="00A0725A">
      <w:pPr>
        <w:rPr>
          <w:rFonts w:ascii="Arial" w:hAnsi="Arial" w:cs="Arial"/>
        </w:rPr>
      </w:pPr>
    </w:p>
    <w:p w14:paraId="7BB93FF4" w14:textId="3A742BDF" w:rsidR="00A0725A" w:rsidRPr="00E57E10" w:rsidRDefault="00A0725A">
      <w:pPr>
        <w:rPr>
          <w:rFonts w:ascii="Arial" w:hAnsi="Arial" w:cs="Arial"/>
        </w:rPr>
      </w:pPr>
    </w:p>
    <w:p w14:paraId="410B1136" w14:textId="7CEEE3D5" w:rsidR="00A0725A" w:rsidRPr="00E57E10" w:rsidRDefault="00A0725A">
      <w:pPr>
        <w:rPr>
          <w:rFonts w:ascii="Arial" w:hAnsi="Arial" w:cs="Arial"/>
        </w:rPr>
      </w:pPr>
    </w:p>
    <w:p w14:paraId="7B7ACC20" w14:textId="11CD9224" w:rsidR="00A0725A" w:rsidRPr="00E57E10" w:rsidRDefault="00A0725A">
      <w:pPr>
        <w:rPr>
          <w:rFonts w:ascii="Arial" w:hAnsi="Arial" w:cs="Arial"/>
        </w:rPr>
      </w:pPr>
    </w:p>
    <w:p w14:paraId="66BCCB50" w14:textId="471D9953" w:rsidR="00A0725A" w:rsidRPr="00E57E10" w:rsidRDefault="00A0725A">
      <w:pPr>
        <w:rPr>
          <w:rFonts w:ascii="Arial" w:hAnsi="Arial" w:cs="Arial"/>
        </w:rPr>
      </w:pPr>
    </w:p>
    <w:p w14:paraId="266695D2" w14:textId="36C47DFA" w:rsidR="00A0725A" w:rsidRPr="00E57E10" w:rsidRDefault="00A0725A">
      <w:pPr>
        <w:rPr>
          <w:rFonts w:ascii="Arial" w:hAnsi="Arial" w:cs="Arial"/>
        </w:rPr>
      </w:pPr>
    </w:p>
    <w:p w14:paraId="1A795AF5" w14:textId="60120745" w:rsidR="00A0725A" w:rsidRPr="00E57E10" w:rsidRDefault="00A0725A">
      <w:pPr>
        <w:rPr>
          <w:rFonts w:ascii="Arial" w:hAnsi="Arial" w:cs="Arial"/>
        </w:rPr>
      </w:pPr>
    </w:p>
    <w:p w14:paraId="5B8AC9B2" w14:textId="58092285" w:rsidR="00A0725A" w:rsidRPr="00E57E10" w:rsidRDefault="00A0725A">
      <w:pPr>
        <w:rPr>
          <w:rFonts w:ascii="Arial" w:hAnsi="Arial" w:cs="Arial"/>
        </w:rPr>
      </w:pPr>
    </w:p>
    <w:p w14:paraId="24E1D859" w14:textId="7DB7D72F" w:rsidR="00A0725A" w:rsidRPr="00E57E10" w:rsidRDefault="00A0725A">
      <w:pPr>
        <w:rPr>
          <w:rFonts w:ascii="Arial" w:hAnsi="Arial" w:cs="Arial"/>
        </w:rPr>
      </w:pPr>
    </w:p>
    <w:p w14:paraId="2AEFB1CE" w14:textId="06DEB43A" w:rsidR="00A0725A" w:rsidRPr="00E57E10" w:rsidRDefault="00A0725A">
      <w:pPr>
        <w:rPr>
          <w:rFonts w:ascii="Arial" w:hAnsi="Arial" w:cs="Arial"/>
        </w:rPr>
      </w:pPr>
    </w:p>
    <w:p w14:paraId="2E047FE4" w14:textId="1F2587FA" w:rsidR="00A0725A" w:rsidRPr="00E57E10" w:rsidRDefault="00A0725A">
      <w:pPr>
        <w:rPr>
          <w:rFonts w:ascii="Arial" w:hAnsi="Arial" w:cs="Arial"/>
        </w:rPr>
      </w:pPr>
    </w:p>
    <w:p w14:paraId="254F5425" w14:textId="09143FAC" w:rsidR="00A0725A" w:rsidRPr="00E57E10" w:rsidRDefault="00A0725A">
      <w:pPr>
        <w:rPr>
          <w:rFonts w:ascii="Arial" w:hAnsi="Arial" w:cs="Arial"/>
        </w:rPr>
      </w:pPr>
    </w:p>
    <w:p w14:paraId="33E342E6" w14:textId="7BB33BFA" w:rsidR="00A0725A" w:rsidRPr="00E57E10" w:rsidRDefault="00A0725A">
      <w:pPr>
        <w:rPr>
          <w:rFonts w:ascii="Arial" w:hAnsi="Arial" w:cs="Arial"/>
        </w:rPr>
      </w:pPr>
    </w:p>
    <w:p w14:paraId="42D1C681" w14:textId="78280B67" w:rsidR="00A0725A" w:rsidRPr="00E57E10" w:rsidRDefault="00A0725A">
      <w:pPr>
        <w:rPr>
          <w:rFonts w:ascii="Arial" w:hAnsi="Arial" w:cs="Arial"/>
        </w:rPr>
      </w:pPr>
    </w:p>
    <w:p w14:paraId="4BE83E90" w14:textId="53194CCD" w:rsidR="00A0725A" w:rsidRPr="00E57E10" w:rsidRDefault="00A0725A">
      <w:pPr>
        <w:rPr>
          <w:rFonts w:ascii="Arial" w:hAnsi="Arial" w:cs="Arial"/>
        </w:rPr>
      </w:pPr>
    </w:p>
    <w:p w14:paraId="7CFC8F11" w14:textId="677F2297" w:rsidR="00A0725A" w:rsidRDefault="00A0725A">
      <w:pPr>
        <w:rPr>
          <w:rFonts w:ascii="Arial" w:hAnsi="Arial" w:cs="Arial"/>
        </w:rPr>
      </w:pPr>
    </w:p>
    <w:p w14:paraId="14C8954F" w14:textId="77777777" w:rsidR="008E0710" w:rsidRDefault="008E0710" w:rsidP="00A0725A">
      <w:pPr>
        <w:pStyle w:val="Heading1"/>
        <w:rPr>
          <w:rFonts w:ascii="Arial" w:hAnsi="Arial" w:cs="Arial"/>
        </w:rPr>
      </w:pPr>
      <w:bookmarkStart w:id="0" w:name="_Toc231546689"/>
      <w:bookmarkStart w:id="1" w:name="_Toc231546742"/>
    </w:p>
    <w:p w14:paraId="15D06858" w14:textId="77777777" w:rsidR="008E0710" w:rsidRDefault="008E0710" w:rsidP="008E0710"/>
    <w:p w14:paraId="64E554F1" w14:textId="77777777" w:rsidR="008E0710" w:rsidRPr="008E0710" w:rsidRDefault="008E0710" w:rsidP="008E0710"/>
    <w:p w14:paraId="50BEE064" w14:textId="04C1AAF8" w:rsidR="00A0725A" w:rsidRPr="00E57E10" w:rsidRDefault="00A0725A" w:rsidP="00A0725A">
      <w:pPr>
        <w:pStyle w:val="Heading1"/>
        <w:rPr>
          <w:rFonts w:ascii="Arial" w:hAnsi="Arial" w:cs="Arial"/>
        </w:rPr>
      </w:pPr>
      <w:r w:rsidRPr="00E57E10">
        <w:rPr>
          <w:rFonts w:ascii="Arial" w:hAnsi="Arial" w:cs="Arial"/>
        </w:rPr>
        <w:lastRenderedPageBreak/>
        <w:t>Question 1</w:t>
      </w:r>
      <w:bookmarkEnd w:id="0"/>
      <w:bookmarkEnd w:id="1"/>
      <w:r w:rsidRPr="00E57E10">
        <w:rPr>
          <w:rFonts w:ascii="Arial" w:hAnsi="Arial" w:cs="Arial"/>
        </w:rPr>
        <w:t xml:space="preserve"> </w:t>
      </w:r>
    </w:p>
    <w:p w14:paraId="6004F311" w14:textId="77777777" w:rsidR="000831BE" w:rsidRPr="009E65CF" w:rsidRDefault="000831BE" w:rsidP="003405D1">
      <w:pPr>
        <w:spacing w:line="360" w:lineRule="auto"/>
        <w:rPr>
          <w:rFonts w:ascii="Arial" w:hAnsi="Arial" w:cs="Arial"/>
        </w:rPr>
      </w:pPr>
      <w:r w:rsidRPr="009E65CF">
        <w:rPr>
          <w:rFonts w:ascii="Arial" w:hAnsi="Arial" w:cs="Arial"/>
        </w:rPr>
        <w:t>A breach of contract occurs when one party fails to fulfil obligations within a legally binding agreement. Such breaches arise in a variety of circumstances, typically categorised according to the nature and timing of the failure to perform, including actual breach, anticipatory breach, defective performance and breach of contractual terms (LexisNexis, 2026). These distinctions are significant, as they determine the remedies available, particularly whether the innocent party may claim damages or terminate the contract. Importantly, the law has evolved to balance strict contractual enforcement with fairness and commercial practicality.</w:t>
      </w:r>
    </w:p>
    <w:p w14:paraId="38EDB4CF" w14:textId="77777777" w:rsidR="000831BE" w:rsidRPr="009E65CF" w:rsidRDefault="000831BE" w:rsidP="003405D1">
      <w:pPr>
        <w:spacing w:line="360" w:lineRule="auto"/>
        <w:rPr>
          <w:rFonts w:ascii="Arial" w:hAnsi="Arial" w:cs="Arial"/>
        </w:rPr>
      </w:pPr>
      <w:r w:rsidRPr="009E65CF">
        <w:rPr>
          <w:rFonts w:ascii="Arial" w:hAnsi="Arial" w:cs="Arial"/>
        </w:rPr>
        <w:t xml:space="preserve">One key circumstance is actual breach, which occurs when a party fails to perform their contractual obligations on the due date. This may involve complete non-performance or late performance where time is of the essence (LexisNexis, 2026). In </w:t>
      </w:r>
      <w:r w:rsidRPr="009E65CF">
        <w:rPr>
          <w:rFonts w:ascii="Arial" w:hAnsi="Arial" w:cs="Arial"/>
          <w:i/>
          <w:iCs/>
        </w:rPr>
        <w:t>Cutter v Powell</w:t>
      </w:r>
      <w:r w:rsidRPr="009E65CF">
        <w:rPr>
          <w:rFonts w:ascii="Arial" w:hAnsi="Arial" w:cs="Arial"/>
        </w:rPr>
        <w:t xml:space="preserve"> (1795), the court held that full performance was required before payment could be claimed, demonstrating that incomplete performance constitutes a breach (Bailii, 1795). However, this strict approach has been criticised for its rigidity, as it may produce harsh outcomes even where substantial performance has occurred. This highlights a tension between certainty and fairness, which has driven the development of more flexible legal principles.</w:t>
      </w:r>
    </w:p>
    <w:p w14:paraId="123E36AE" w14:textId="77777777" w:rsidR="000831BE" w:rsidRPr="009E65CF" w:rsidRDefault="000831BE" w:rsidP="003405D1">
      <w:pPr>
        <w:spacing w:line="360" w:lineRule="auto"/>
        <w:rPr>
          <w:rFonts w:ascii="Arial" w:hAnsi="Arial" w:cs="Arial"/>
        </w:rPr>
      </w:pPr>
      <w:r w:rsidRPr="009E65CF">
        <w:rPr>
          <w:rFonts w:ascii="Arial" w:hAnsi="Arial" w:cs="Arial"/>
        </w:rPr>
        <w:t xml:space="preserve">Another significant form is anticipatory breach, where a party indicates, before performance is due, that they will not fulfil their obligations (LexisNexis, 2026). In </w:t>
      </w:r>
      <w:r w:rsidRPr="009E65CF">
        <w:rPr>
          <w:rFonts w:ascii="Arial" w:hAnsi="Arial" w:cs="Arial"/>
          <w:i/>
          <w:iCs/>
        </w:rPr>
        <w:t>Hochster v De la Tour</w:t>
      </w:r>
      <w:r w:rsidRPr="009E65CF">
        <w:rPr>
          <w:rFonts w:ascii="Arial" w:hAnsi="Arial" w:cs="Arial"/>
        </w:rPr>
        <w:t xml:space="preserve"> (1853), the defendant repudiated the agreement prior to the performance date, and the court allowed the claimant to sue immediately (Bailii, 1853). This principle enables the innocent party to mitigate losses early and reflects a practical approach to contractual disputes. It demonstrates how the law has adapted to commercial realities by prioritising efficiency and loss prevention.</w:t>
      </w:r>
    </w:p>
    <w:p w14:paraId="77C45DA4" w14:textId="77777777" w:rsidR="000831BE" w:rsidRPr="009E65CF" w:rsidRDefault="000831BE" w:rsidP="003405D1">
      <w:pPr>
        <w:spacing w:line="360" w:lineRule="auto"/>
        <w:rPr>
          <w:rFonts w:ascii="Arial" w:hAnsi="Arial" w:cs="Arial"/>
        </w:rPr>
      </w:pPr>
      <w:r w:rsidRPr="009E65CF">
        <w:rPr>
          <w:rFonts w:ascii="Arial" w:hAnsi="Arial" w:cs="Arial"/>
        </w:rPr>
        <w:t xml:space="preserve">A further circumstance arises through defective or incomplete performance, where obligations are performed improperly (LexisNexis, 2026). In </w:t>
      </w:r>
      <w:r w:rsidRPr="009E65CF">
        <w:rPr>
          <w:rFonts w:ascii="Arial" w:hAnsi="Arial" w:cs="Arial"/>
          <w:i/>
          <w:iCs/>
        </w:rPr>
        <w:t>Bolton v Mahadeva</w:t>
      </w:r>
      <w:r w:rsidRPr="009E65CF">
        <w:rPr>
          <w:rFonts w:ascii="Arial" w:hAnsi="Arial" w:cs="Arial"/>
        </w:rPr>
        <w:t xml:space="preserve"> (1972), the installation of a defective heating system was held not to amount to substantial performance, meaning payment could be withheld (Bailii, 1972). This case shows that performance must meet agreed qualitative standards. However, the distinction between substantial and insufficient performance can be subjective, creating uncertainty in practice and encouraging more flexible judicial assessment.</w:t>
      </w:r>
    </w:p>
    <w:p w14:paraId="434951C4" w14:textId="77777777" w:rsidR="000831BE" w:rsidRPr="009E65CF" w:rsidRDefault="000831BE" w:rsidP="003405D1">
      <w:pPr>
        <w:spacing w:line="360" w:lineRule="auto"/>
        <w:rPr>
          <w:rFonts w:ascii="Arial" w:hAnsi="Arial" w:cs="Arial"/>
        </w:rPr>
      </w:pPr>
      <w:r w:rsidRPr="009E65CF">
        <w:rPr>
          <w:rFonts w:ascii="Arial" w:hAnsi="Arial" w:cs="Arial"/>
        </w:rPr>
        <w:lastRenderedPageBreak/>
        <w:t xml:space="preserve">Breaches may also arise through failure to comply with contractual terms, particularly where terms are classified as conditions or warranties. In </w:t>
      </w:r>
      <w:r w:rsidRPr="009E65CF">
        <w:rPr>
          <w:rFonts w:ascii="Arial" w:hAnsi="Arial" w:cs="Arial"/>
          <w:i/>
          <w:iCs/>
        </w:rPr>
        <w:t>Poussard v Spiers</w:t>
      </w:r>
      <w:r w:rsidRPr="009E65CF">
        <w:rPr>
          <w:rFonts w:ascii="Arial" w:hAnsi="Arial" w:cs="Arial"/>
        </w:rPr>
        <w:t xml:space="preserve"> (1876), breach of a condition entitled termination, whereas in </w:t>
      </w:r>
      <w:r w:rsidRPr="009E65CF">
        <w:rPr>
          <w:rFonts w:ascii="Arial" w:hAnsi="Arial" w:cs="Arial"/>
          <w:i/>
          <w:iCs/>
        </w:rPr>
        <w:t>Bettini v Gye</w:t>
      </w:r>
      <w:r w:rsidRPr="009E65CF">
        <w:rPr>
          <w:rFonts w:ascii="Arial" w:hAnsi="Arial" w:cs="Arial"/>
        </w:rPr>
        <w:t xml:space="preserve"> (1876), breach of a warranty allowed only damages (Bailii, 1876a; Bailii, 1876b). However, this rigid classification has been softened by a more flexible approach, allowing courts to consider the seriousness of the breach and avoid unfair outcomes.</w:t>
      </w:r>
    </w:p>
    <w:p w14:paraId="6ED2A956" w14:textId="77777777" w:rsidR="000831BE" w:rsidRPr="009E65CF" w:rsidRDefault="000831BE" w:rsidP="003405D1">
      <w:pPr>
        <w:spacing w:line="360" w:lineRule="auto"/>
        <w:rPr>
          <w:rFonts w:ascii="Arial" w:hAnsi="Arial" w:cs="Arial"/>
        </w:rPr>
      </w:pPr>
      <w:r w:rsidRPr="009E65CF">
        <w:rPr>
          <w:rFonts w:ascii="Arial" w:hAnsi="Arial" w:cs="Arial"/>
        </w:rPr>
        <w:t xml:space="preserve">Finally, breach may occur where one party prevents performance. In </w:t>
      </w:r>
      <w:r w:rsidRPr="009E65CF">
        <w:rPr>
          <w:rFonts w:ascii="Arial" w:hAnsi="Arial" w:cs="Arial"/>
          <w:i/>
          <w:iCs/>
        </w:rPr>
        <w:t>Mackay v Dick</w:t>
      </w:r>
      <w:r w:rsidRPr="009E65CF">
        <w:rPr>
          <w:rFonts w:ascii="Arial" w:hAnsi="Arial" w:cs="Arial"/>
        </w:rPr>
        <w:t xml:space="preserve"> (1881), it was established that a party cannot rely on non-performance where they themselves have prevented completion (Bailii, 1881). This principle promotes fairness and prevents parties from benefiting from their own wrongdoing.</w:t>
      </w:r>
    </w:p>
    <w:p w14:paraId="06A8D8F4" w14:textId="715A65A0" w:rsidR="008262F8" w:rsidRPr="003405D1" w:rsidRDefault="000831BE" w:rsidP="003405D1">
      <w:pPr>
        <w:spacing w:line="360" w:lineRule="auto"/>
        <w:rPr>
          <w:rFonts w:ascii="Arial" w:hAnsi="Arial" w:cs="Arial"/>
        </w:rPr>
      </w:pPr>
      <w:r w:rsidRPr="009E65CF">
        <w:rPr>
          <w:rFonts w:ascii="Arial" w:hAnsi="Arial" w:cs="Arial"/>
        </w:rPr>
        <w:t>In conclusion, breaches of contract arise in several forms, each influencing the remedies available. While traditional rules emphasised strict performance, modern developments reflect a shift towards flexibility and fairness, ensuring contract law remains both effective and just.</w:t>
      </w:r>
    </w:p>
    <w:p w14:paraId="51364814" w14:textId="77777777" w:rsidR="003405D1" w:rsidRDefault="003405D1" w:rsidP="00A0725A">
      <w:pPr>
        <w:pStyle w:val="Heading1"/>
        <w:rPr>
          <w:rFonts w:ascii="Arial" w:hAnsi="Arial" w:cs="Arial"/>
        </w:rPr>
      </w:pPr>
      <w:bookmarkStart w:id="2" w:name="_Toc231546690"/>
      <w:bookmarkStart w:id="3" w:name="_Toc231546743"/>
    </w:p>
    <w:p w14:paraId="5BDD174D" w14:textId="77777777" w:rsidR="003405D1" w:rsidRDefault="003405D1" w:rsidP="00A0725A">
      <w:pPr>
        <w:pStyle w:val="Heading1"/>
        <w:rPr>
          <w:rFonts w:ascii="Arial" w:hAnsi="Arial" w:cs="Arial"/>
        </w:rPr>
      </w:pPr>
    </w:p>
    <w:p w14:paraId="19B89048" w14:textId="77777777" w:rsidR="003405D1" w:rsidRDefault="003405D1" w:rsidP="00A0725A">
      <w:pPr>
        <w:pStyle w:val="Heading1"/>
        <w:rPr>
          <w:rFonts w:ascii="Arial" w:hAnsi="Arial" w:cs="Arial"/>
        </w:rPr>
      </w:pPr>
    </w:p>
    <w:p w14:paraId="5745E58D" w14:textId="77777777" w:rsidR="003405D1" w:rsidRDefault="003405D1" w:rsidP="00A0725A">
      <w:pPr>
        <w:pStyle w:val="Heading1"/>
        <w:rPr>
          <w:rFonts w:ascii="Arial" w:hAnsi="Arial" w:cs="Arial"/>
        </w:rPr>
      </w:pPr>
    </w:p>
    <w:p w14:paraId="7F4754B4" w14:textId="77777777" w:rsidR="003405D1" w:rsidRDefault="003405D1" w:rsidP="00A0725A">
      <w:pPr>
        <w:pStyle w:val="Heading1"/>
        <w:rPr>
          <w:rFonts w:ascii="Arial" w:hAnsi="Arial" w:cs="Arial"/>
        </w:rPr>
      </w:pPr>
    </w:p>
    <w:p w14:paraId="765474C5" w14:textId="77777777" w:rsidR="003405D1" w:rsidRDefault="003405D1" w:rsidP="00A0725A">
      <w:pPr>
        <w:pStyle w:val="Heading1"/>
        <w:rPr>
          <w:rFonts w:ascii="Arial" w:hAnsi="Arial" w:cs="Arial"/>
        </w:rPr>
      </w:pPr>
    </w:p>
    <w:p w14:paraId="478F8D0A" w14:textId="77777777" w:rsidR="003405D1" w:rsidRDefault="003405D1" w:rsidP="003405D1"/>
    <w:p w14:paraId="6F87D00C" w14:textId="77777777" w:rsidR="003405D1" w:rsidRPr="003405D1" w:rsidRDefault="003405D1" w:rsidP="003405D1"/>
    <w:p w14:paraId="7E2E24D1" w14:textId="0C4CB8A6" w:rsidR="00A0725A" w:rsidRPr="00E57E10" w:rsidRDefault="00A0725A" w:rsidP="00A0725A">
      <w:pPr>
        <w:pStyle w:val="Heading1"/>
        <w:rPr>
          <w:rFonts w:ascii="Arial" w:hAnsi="Arial" w:cs="Arial"/>
        </w:rPr>
      </w:pPr>
      <w:r w:rsidRPr="00E57E10">
        <w:rPr>
          <w:rFonts w:ascii="Arial" w:hAnsi="Arial" w:cs="Arial"/>
        </w:rPr>
        <w:lastRenderedPageBreak/>
        <w:t>Question 2</w:t>
      </w:r>
      <w:bookmarkEnd w:id="2"/>
      <w:bookmarkEnd w:id="3"/>
      <w:r w:rsidRPr="00E57E10">
        <w:rPr>
          <w:rFonts w:ascii="Arial" w:hAnsi="Arial" w:cs="Arial"/>
        </w:rPr>
        <w:t xml:space="preserve"> </w:t>
      </w:r>
    </w:p>
    <w:p w14:paraId="26E261FB" w14:textId="77E38B49" w:rsidR="00A0725A" w:rsidRPr="003405D1" w:rsidRDefault="00B82BE5" w:rsidP="003405D1">
      <w:pPr>
        <w:spacing w:line="360" w:lineRule="auto"/>
        <w:rPr>
          <w:rFonts w:ascii="Arial" w:hAnsi="Arial" w:cs="Arial"/>
        </w:rPr>
      </w:pPr>
      <w:r w:rsidRPr="003405D1">
        <w:rPr>
          <w:rFonts w:ascii="Arial" w:hAnsi="Arial" w:cs="Arial"/>
        </w:rPr>
        <w:t xml:space="preserve">Licenses and permits are regulatory mechanisms used by governments and authorities to ensure that organisations operate </w:t>
      </w:r>
      <w:r w:rsidR="00755EC1" w:rsidRPr="003405D1">
        <w:rPr>
          <w:rFonts w:ascii="Arial" w:hAnsi="Arial" w:cs="Arial"/>
        </w:rPr>
        <w:t xml:space="preserve">lawfully, </w:t>
      </w:r>
      <w:r w:rsidR="00D56388" w:rsidRPr="003405D1">
        <w:rPr>
          <w:rFonts w:ascii="Arial" w:hAnsi="Arial" w:cs="Arial"/>
        </w:rPr>
        <w:t xml:space="preserve">safely and </w:t>
      </w:r>
      <w:r w:rsidR="00675C51" w:rsidRPr="003405D1">
        <w:rPr>
          <w:rFonts w:ascii="Arial" w:hAnsi="Arial" w:cs="Arial"/>
        </w:rPr>
        <w:t xml:space="preserve">in compliance </w:t>
      </w:r>
      <w:r w:rsidR="00C66AD3" w:rsidRPr="003405D1">
        <w:rPr>
          <w:rFonts w:ascii="Arial" w:hAnsi="Arial" w:cs="Arial"/>
        </w:rPr>
        <w:t xml:space="preserve">with environmental </w:t>
      </w:r>
      <w:r w:rsidR="00362200" w:rsidRPr="003405D1">
        <w:rPr>
          <w:rFonts w:ascii="Arial" w:hAnsi="Arial" w:cs="Arial"/>
        </w:rPr>
        <w:t>and industrial standards</w:t>
      </w:r>
      <w:r w:rsidR="004933E4" w:rsidRPr="003405D1">
        <w:rPr>
          <w:rFonts w:ascii="Arial" w:hAnsi="Arial" w:cs="Arial"/>
        </w:rPr>
        <w:t xml:space="preserve"> (LexisNexis, 2026). </w:t>
      </w:r>
      <w:r w:rsidR="00DA0EF0" w:rsidRPr="003405D1">
        <w:rPr>
          <w:rFonts w:ascii="Arial" w:hAnsi="Arial" w:cs="Arial"/>
        </w:rPr>
        <w:t xml:space="preserve">A licence provides </w:t>
      </w:r>
      <w:r w:rsidR="0079278D" w:rsidRPr="003405D1">
        <w:rPr>
          <w:rFonts w:ascii="Arial" w:hAnsi="Arial" w:cs="Arial"/>
        </w:rPr>
        <w:t xml:space="preserve">general authorisation to </w:t>
      </w:r>
      <w:r w:rsidR="00B03EA5" w:rsidRPr="003405D1">
        <w:rPr>
          <w:rFonts w:ascii="Arial" w:hAnsi="Arial" w:cs="Arial"/>
        </w:rPr>
        <w:t xml:space="preserve">carry out </w:t>
      </w:r>
      <w:r w:rsidR="00504639" w:rsidRPr="003405D1">
        <w:rPr>
          <w:rFonts w:ascii="Arial" w:hAnsi="Arial" w:cs="Arial"/>
        </w:rPr>
        <w:t>a regulated activity</w:t>
      </w:r>
      <w:r w:rsidR="00271C99" w:rsidRPr="003405D1">
        <w:rPr>
          <w:rFonts w:ascii="Arial" w:hAnsi="Arial" w:cs="Arial"/>
        </w:rPr>
        <w:t xml:space="preserve">, whereas a permit </w:t>
      </w:r>
      <w:r w:rsidR="00262AD8" w:rsidRPr="003405D1">
        <w:rPr>
          <w:rFonts w:ascii="Arial" w:hAnsi="Arial" w:cs="Arial"/>
        </w:rPr>
        <w:t xml:space="preserve">imposes specific </w:t>
      </w:r>
      <w:r w:rsidR="00EB4A38" w:rsidRPr="003405D1">
        <w:rPr>
          <w:rFonts w:ascii="Arial" w:hAnsi="Arial" w:cs="Arial"/>
        </w:rPr>
        <w:t>operational conditions</w:t>
      </w:r>
      <w:r w:rsidR="00D1183D" w:rsidRPr="003405D1">
        <w:rPr>
          <w:rFonts w:ascii="Arial" w:hAnsi="Arial" w:cs="Arial"/>
        </w:rPr>
        <w:t>, often relat</w:t>
      </w:r>
      <w:r w:rsidR="007B0D4D" w:rsidRPr="003405D1">
        <w:rPr>
          <w:rFonts w:ascii="Arial" w:hAnsi="Arial" w:cs="Arial"/>
        </w:rPr>
        <w:t xml:space="preserve">ing to </w:t>
      </w:r>
      <w:r w:rsidR="00DF2B89" w:rsidRPr="003405D1">
        <w:rPr>
          <w:rFonts w:ascii="Arial" w:hAnsi="Arial" w:cs="Arial"/>
        </w:rPr>
        <w:t>safety or environmental risk</w:t>
      </w:r>
      <w:r w:rsidR="00A44B8F" w:rsidRPr="003405D1">
        <w:rPr>
          <w:rFonts w:ascii="Arial" w:hAnsi="Arial" w:cs="Arial"/>
        </w:rPr>
        <w:t xml:space="preserve">. This distinction </w:t>
      </w:r>
      <w:r w:rsidR="008256E1" w:rsidRPr="003405D1">
        <w:rPr>
          <w:rFonts w:ascii="Arial" w:hAnsi="Arial" w:cs="Arial"/>
        </w:rPr>
        <w:t xml:space="preserve">is </w:t>
      </w:r>
      <w:r w:rsidR="00CE1248" w:rsidRPr="003405D1">
        <w:rPr>
          <w:rFonts w:ascii="Arial" w:hAnsi="Arial" w:cs="Arial"/>
        </w:rPr>
        <w:t>particularly</w:t>
      </w:r>
      <w:r w:rsidR="008256E1" w:rsidRPr="003405D1">
        <w:rPr>
          <w:rFonts w:ascii="Arial" w:hAnsi="Arial" w:cs="Arial"/>
        </w:rPr>
        <w:t xml:space="preserve"> important </w:t>
      </w:r>
      <w:r w:rsidR="00AD7CFF" w:rsidRPr="003405D1">
        <w:rPr>
          <w:rFonts w:ascii="Arial" w:hAnsi="Arial" w:cs="Arial"/>
        </w:rPr>
        <w:t>in heavy industry such as Tata Steel UK</w:t>
      </w:r>
      <w:r w:rsidR="008E7232" w:rsidRPr="003405D1">
        <w:rPr>
          <w:rFonts w:ascii="Arial" w:hAnsi="Arial" w:cs="Arial"/>
        </w:rPr>
        <w:t xml:space="preserve">, where operations </w:t>
      </w:r>
      <w:r w:rsidR="00B10B4B" w:rsidRPr="003405D1">
        <w:rPr>
          <w:rFonts w:ascii="Arial" w:hAnsi="Arial" w:cs="Arial"/>
        </w:rPr>
        <w:t xml:space="preserve">involve high-risk </w:t>
      </w:r>
      <w:r w:rsidR="00615113" w:rsidRPr="003405D1">
        <w:rPr>
          <w:rFonts w:ascii="Arial" w:hAnsi="Arial" w:cs="Arial"/>
        </w:rPr>
        <w:t xml:space="preserve">processes </w:t>
      </w:r>
      <w:r w:rsidR="00A95A6C" w:rsidRPr="003405D1">
        <w:rPr>
          <w:rFonts w:ascii="Arial" w:hAnsi="Arial" w:cs="Arial"/>
        </w:rPr>
        <w:t>and strict regulatory oversight</w:t>
      </w:r>
      <w:r w:rsidR="0011368F" w:rsidRPr="003405D1">
        <w:rPr>
          <w:rFonts w:ascii="Arial" w:hAnsi="Arial" w:cs="Arial"/>
        </w:rPr>
        <w:t xml:space="preserve">. These controls </w:t>
      </w:r>
      <w:r w:rsidR="00BA5091" w:rsidRPr="003405D1">
        <w:rPr>
          <w:rFonts w:ascii="Arial" w:hAnsi="Arial" w:cs="Arial"/>
        </w:rPr>
        <w:t xml:space="preserve">are essential not only </w:t>
      </w:r>
      <w:r w:rsidR="000A5B3D" w:rsidRPr="003405D1">
        <w:rPr>
          <w:rFonts w:ascii="Arial" w:hAnsi="Arial" w:cs="Arial"/>
        </w:rPr>
        <w:t xml:space="preserve">for legal compliance </w:t>
      </w:r>
      <w:r w:rsidR="006F0F4F" w:rsidRPr="003405D1">
        <w:rPr>
          <w:rFonts w:ascii="Arial" w:hAnsi="Arial" w:cs="Arial"/>
        </w:rPr>
        <w:t xml:space="preserve">but also for managing </w:t>
      </w:r>
      <w:r w:rsidR="002713EC" w:rsidRPr="003405D1">
        <w:rPr>
          <w:rFonts w:ascii="Arial" w:hAnsi="Arial" w:cs="Arial"/>
        </w:rPr>
        <w:t xml:space="preserve">operational risk </w:t>
      </w:r>
      <w:r w:rsidR="00CE1248" w:rsidRPr="003405D1">
        <w:rPr>
          <w:rFonts w:ascii="Arial" w:hAnsi="Arial" w:cs="Arial"/>
        </w:rPr>
        <w:t>and maintaining public trust.</w:t>
      </w:r>
    </w:p>
    <w:p w14:paraId="36E9E1AD" w14:textId="1421ECB3" w:rsidR="000070DD" w:rsidRPr="003405D1" w:rsidRDefault="000070DD" w:rsidP="003405D1">
      <w:pPr>
        <w:spacing w:line="360" w:lineRule="auto"/>
        <w:rPr>
          <w:rFonts w:ascii="Arial" w:hAnsi="Arial" w:cs="Arial"/>
        </w:rPr>
      </w:pPr>
      <w:r w:rsidRPr="003405D1">
        <w:rPr>
          <w:rFonts w:ascii="Arial" w:hAnsi="Arial" w:cs="Arial"/>
        </w:rPr>
        <w:t xml:space="preserve">In an industrial </w:t>
      </w:r>
      <w:r w:rsidR="004651A4" w:rsidRPr="003405D1">
        <w:rPr>
          <w:rFonts w:ascii="Arial" w:hAnsi="Arial" w:cs="Arial"/>
        </w:rPr>
        <w:t>context</w:t>
      </w:r>
      <w:r w:rsidR="00C038FD" w:rsidRPr="003405D1">
        <w:rPr>
          <w:rFonts w:ascii="Arial" w:hAnsi="Arial" w:cs="Arial"/>
        </w:rPr>
        <w:t xml:space="preserve">, licenses </w:t>
      </w:r>
      <w:r w:rsidR="0039432D" w:rsidRPr="003405D1">
        <w:rPr>
          <w:rFonts w:ascii="Arial" w:hAnsi="Arial" w:cs="Arial"/>
        </w:rPr>
        <w:t xml:space="preserve">and permits primarily </w:t>
      </w:r>
      <w:r w:rsidR="00F7075E" w:rsidRPr="003405D1">
        <w:rPr>
          <w:rFonts w:ascii="Arial" w:hAnsi="Arial" w:cs="Arial"/>
        </w:rPr>
        <w:t xml:space="preserve">relate to </w:t>
      </w:r>
      <w:r w:rsidR="00742975" w:rsidRPr="003405D1">
        <w:rPr>
          <w:rFonts w:ascii="Arial" w:hAnsi="Arial" w:cs="Arial"/>
        </w:rPr>
        <w:t xml:space="preserve">environmental </w:t>
      </w:r>
      <w:r w:rsidR="00B67C56" w:rsidRPr="003405D1">
        <w:rPr>
          <w:rFonts w:ascii="Arial" w:hAnsi="Arial" w:cs="Arial"/>
        </w:rPr>
        <w:t xml:space="preserve">regulation. Tata Steel UK </w:t>
      </w:r>
      <w:r w:rsidR="00B717F0" w:rsidRPr="003405D1">
        <w:rPr>
          <w:rFonts w:ascii="Arial" w:hAnsi="Arial" w:cs="Arial"/>
        </w:rPr>
        <w:t>require</w:t>
      </w:r>
      <w:r w:rsidR="009B4B09" w:rsidRPr="003405D1">
        <w:rPr>
          <w:rFonts w:ascii="Arial" w:hAnsi="Arial" w:cs="Arial"/>
        </w:rPr>
        <w:t>s</w:t>
      </w:r>
      <w:r w:rsidR="00B717F0" w:rsidRPr="003405D1">
        <w:rPr>
          <w:rFonts w:ascii="Arial" w:hAnsi="Arial" w:cs="Arial"/>
        </w:rPr>
        <w:t xml:space="preserve"> environmental permits </w:t>
      </w:r>
      <w:r w:rsidR="00A40389" w:rsidRPr="003405D1">
        <w:rPr>
          <w:rFonts w:ascii="Arial" w:hAnsi="Arial" w:cs="Arial"/>
        </w:rPr>
        <w:t xml:space="preserve">governing </w:t>
      </w:r>
      <w:r w:rsidR="009F3294" w:rsidRPr="003405D1">
        <w:rPr>
          <w:rFonts w:ascii="Arial" w:hAnsi="Arial" w:cs="Arial"/>
        </w:rPr>
        <w:t xml:space="preserve">emissions to air, </w:t>
      </w:r>
      <w:r w:rsidR="00FD417C" w:rsidRPr="003405D1">
        <w:rPr>
          <w:rFonts w:ascii="Arial" w:hAnsi="Arial" w:cs="Arial"/>
        </w:rPr>
        <w:t>land and water.</w:t>
      </w:r>
      <w:r w:rsidR="00490289" w:rsidRPr="003405D1">
        <w:rPr>
          <w:rFonts w:ascii="Arial" w:hAnsi="Arial" w:cs="Arial"/>
        </w:rPr>
        <w:t xml:space="preserve"> These permits </w:t>
      </w:r>
      <w:r w:rsidR="003722D1" w:rsidRPr="003405D1">
        <w:rPr>
          <w:rFonts w:ascii="Arial" w:hAnsi="Arial" w:cs="Arial"/>
        </w:rPr>
        <w:t xml:space="preserve">set strict limits </w:t>
      </w:r>
      <w:r w:rsidR="007048C4" w:rsidRPr="003405D1">
        <w:rPr>
          <w:rFonts w:ascii="Arial" w:hAnsi="Arial" w:cs="Arial"/>
        </w:rPr>
        <w:t xml:space="preserve">and require continuous monitoring </w:t>
      </w:r>
      <w:r w:rsidR="009E19C1" w:rsidRPr="003405D1">
        <w:rPr>
          <w:rFonts w:ascii="Arial" w:hAnsi="Arial" w:cs="Arial"/>
        </w:rPr>
        <w:t xml:space="preserve">and </w:t>
      </w:r>
      <w:r w:rsidR="008674DD" w:rsidRPr="003405D1">
        <w:rPr>
          <w:rFonts w:ascii="Arial" w:hAnsi="Arial" w:cs="Arial"/>
        </w:rPr>
        <w:t>report</w:t>
      </w:r>
      <w:r w:rsidR="009E19C1" w:rsidRPr="003405D1">
        <w:rPr>
          <w:rFonts w:ascii="Arial" w:hAnsi="Arial" w:cs="Arial"/>
        </w:rPr>
        <w:t>ing</w:t>
      </w:r>
      <w:r w:rsidR="008674DD" w:rsidRPr="003405D1">
        <w:rPr>
          <w:rFonts w:ascii="Arial" w:hAnsi="Arial" w:cs="Arial"/>
        </w:rPr>
        <w:t xml:space="preserve"> to regulatory bodies </w:t>
      </w:r>
      <w:r w:rsidR="009909BF" w:rsidRPr="003405D1">
        <w:rPr>
          <w:rFonts w:ascii="Arial" w:hAnsi="Arial" w:cs="Arial"/>
        </w:rPr>
        <w:t xml:space="preserve">such as the </w:t>
      </w:r>
      <w:r w:rsidR="00A92492" w:rsidRPr="003405D1">
        <w:rPr>
          <w:rFonts w:ascii="Arial" w:hAnsi="Arial" w:cs="Arial"/>
        </w:rPr>
        <w:t>Environment Agency (LexisNexis, 2026)</w:t>
      </w:r>
      <w:r w:rsidR="00DA592B" w:rsidRPr="003405D1">
        <w:rPr>
          <w:rFonts w:ascii="Arial" w:hAnsi="Arial" w:cs="Arial"/>
        </w:rPr>
        <w:t xml:space="preserve">. Failure to comply </w:t>
      </w:r>
      <w:r w:rsidR="00731B8E" w:rsidRPr="003405D1">
        <w:rPr>
          <w:rFonts w:ascii="Arial" w:hAnsi="Arial" w:cs="Arial"/>
        </w:rPr>
        <w:t>can result in financial penalties</w:t>
      </w:r>
      <w:r w:rsidR="002E00F0" w:rsidRPr="003405D1">
        <w:rPr>
          <w:rFonts w:ascii="Arial" w:hAnsi="Arial" w:cs="Arial"/>
        </w:rPr>
        <w:t xml:space="preserve">, operational restrictions </w:t>
      </w:r>
      <w:r w:rsidR="006D3D61" w:rsidRPr="003405D1">
        <w:rPr>
          <w:rFonts w:ascii="Arial" w:hAnsi="Arial" w:cs="Arial"/>
        </w:rPr>
        <w:t xml:space="preserve">or criminal </w:t>
      </w:r>
      <w:r w:rsidR="00A838C6" w:rsidRPr="003405D1">
        <w:rPr>
          <w:rFonts w:ascii="Arial" w:hAnsi="Arial" w:cs="Arial"/>
        </w:rPr>
        <w:t xml:space="preserve">liability. </w:t>
      </w:r>
      <w:r w:rsidR="00D11B09" w:rsidRPr="003405D1">
        <w:rPr>
          <w:rFonts w:ascii="Arial" w:hAnsi="Arial" w:cs="Arial"/>
        </w:rPr>
        <w:t xml:space="preserve">This demonstrates that </w:t>
      </w:r>
      <w:r w:rsidR="00DB478B" w:rsidRPr="003405D1">
        <w:rPr>
          <w:rFonts w:ascii="Arial" w:hAnsi="Arial" w:cs="Arial"/>
        </w:rPr>
        <w:t xml:space="preserve">regulatory </w:t>
      </w:r>
      <w:r w:rsidR="00953040" w:rsidRPr="003405D1">
        <w:rPr>
          <w:rFonts w:ascii="Arial" w:hAnsi="Arial" w:cs="Arial"/>
        </w:rPr>
        <w:t xml:space="preserve">obligations </w:t>
      </w:r>
      <w:r w:rsidR="00994613" w:rsidRPr="003405D1">
        <w:rPr>
          <w:rFonts w:ascii="Arial" w:hAnsi="Arial" w:cs="Arial"/>
        </w:rPr>
        <w:t xml:space="preserve">operate as binding constraints </w:t>
      </w:r>
      <w:r w:rsidR="0060588F" w:rsidRPr="003405D1">
        <w:rPr>
          <w:rFonts w:ascii="Arial" w:hAnsi="Arial" w:cs="Arial"/>
        </w:rPr>
        <w:t xml:space="preserve">on business activity. </w:t>
      </w:r>
      <w:r w:rsidR="002559AE" w:rsidRPr="003405D1">
        <w:rPr>
          <w:rFonts w:ascii="Arial" w:hAnsi="Arial" w:cs="Arial"/>
        </w:rPr>
        <w:t xml:space="preserve">Critically, </w:t>
      </w:r>
      <w:r w:rsidR="00AA286C" w:rsidRPr="003405D1">
        <w:rPr>
          <w:rFonts w:ascii="Arial" w:hAnsi="Arial" w:cs="Arial"/>
        </w:rPr>
        <w:t xml:space="preserve">such frameworks </w:t>
      </w:r>
      <w:r w:rsidR="00F52B86" w:rsidRPr="003405D1">
        <w:rPr>
          <w:rFonts w:ascii="Arial" w:hAnsi="Arial" w:cs="Arial"/>
        </w:rPr>
        <w:t xml:space="preserve">reflect increasing </w:t>
      </w:r>
      <w:r w:rsidR="00E425A2" w:rsidRPr="003405D1">
        <w:rPr>
          <w:rFonts w:ascii="Arial" w:hAnsi="Arial" w:cs="Arial"/>
        </w:rPr>
        <w:t xml:space="preserve">societal demands </w:t>
      </w:r>
      <w:r w:rsidR="002C663C" w:rsidRPr="003405D1">
        <w:rPr>
          <w:rFonts w:ascii="Arial" w:hAnsi="Arial" w:cs="Arial"/>
        </w:rPr>
        <w:t>for environmental responsibility</w:t>
      </w:r>
      <w:r w:rsidR="00BE233C" w:rsidRPr="003405D1">
        <w:rPr>
          <w:rFonts w:ascii="Arial" w:hAnsi="Arial" w:cs="Arial"/>
        </w:rPr>
        <w:t xml:space="preserve">, requiring organisations to </w:t>
      </w:r>
      <w:r w:rsidR="00AE6359" w:rsidRPr="003405D1">
        <w:rPr>
          <w:rFonts w:ascii="Arial" w:hAnsi="Arial" w:cs="Arial"/>
        </w:rPr>
        <w:t xml:space="preserve">balance </w:t>
      </w:r>
      <w:r w:rsidR="00842C2A" w:rsidRPr="003405D1">
        <w:rPr>
          <w:rFonts w:ascii="Arial" w:hAnsi="Arial" w:cs="Arial"/>
        </w:rPr>
        <w:t xml:space="preserve">industrial productivity with </w:t>
      </w:r>
      <w:r w:rsidR="008A3458" w:rsidRPr="003405D1">
        <w:rPr>
          <w:rFonts w:ascii="Arial" w:hAnsi="Arial" w:cs="Arial"/>
        </w:rPr>
        <w:t>sustainability.</w:t>
      </w:r>
    </w:p>
    <w:p w14:paraId="299994D7" w14:textId="38865387" w:rsidR="00452AF7" w:rsidRPr="003405D1" w:rsidRDefault="00452AF7" w:rsidP="003405D1">
      <w:pPr>
        <w:spacing w:line="360" w:lineRule="auto"/>
        <w:rPr>
          <w:rFonts w:ascii="Arial" w:hAnsi="Arial" w:cs="Arial"/>
        </w:rPr>
      </w:pPr>
      <w:r w:rsidRPr="003405D1">
        <w:rPr>
          <w:rFonts w:ascii="Arial" w:hAnsi="Arial" w:cs="Arial"/>
        </w:rPr>
        <w:t xml:space="preserve">Another key category is health </w:t>
      </w:r>
      <w:r w:rsidR="00037F6E" w:rsidRPr="003405D1">
        <w:rPr>
          <w:rFonts w:ascii="Arial" w:hAnsi="Arial" w:cs="Arial"/>
        </w:rPr>
        <w:t>and safety</w:t>
      </w:r>
      <w:r w:rsidR="003561E1" w:rsidRPr="003405D1">
        <w:rPr>
          <w:rFonts w:ascii="Arial" w:hAnsi="Arial" w:cs="Arial"/>
        </w:rPr>
        <w:t xml:space="preserve"> </w:t>
      </w:r>
      <w:r w:rsidR="00037F6E" w:rsidRPr="003405D1">
        <w:rPr>
          <w:rFonts w:ascii="Arial" w:hAnsi="Arial" w:cs="Arial"/>
        </w:rPr>
        <w:t>permits</w:t>
      </w:r>
      <w:r w:rsidR="001711A9" w:rsidRPr="003405D1">
        <w:rPr>
          <w:rFonts w:ascii="Arial" w:hAnsi="Arial" w:cs="Arial"/>
        </w:rPr>
        <w:t xml:space="preserve">, </w:t>
      </w:r>
      <w:r w:rsidR="00051A3F" w:rsidRPr="003405D1">
        <w:rPr>
          <w:rFonts w:ascii="Arial" w:hAnsi="Arial" w:cs="Arial"/>
        </w:rPr>
        <w:t>particularly</w:t>
      </w:r>
      <w:r w:rsidR="001711A9" w:rsidRPr="003405D1">
        <w:rPr>
          <w:rFonts w:ascii="Arial" w:hAnsi="Arial" w:cs="Arial"/>
        </w:rPr>
        <w:t xml:space="preserve"> </w:t>
      </w:r>
      <w:r w:rsidR="008757F0" w:rsidRPr="003405D1">
        <w:rPr>
          <w:rFonts w:ascii="Arial" w:hAnsi="Arial" w:cs="Arial"/>
        </w:rPr>
        <w:t xml:space="preserve">permit-to-work </w:t>
      </w:r>
      <w:r w:rsidR="00303EF7" w:rsidRPr="003405D1">
        <w:rPr>
          <w:rFonts w:ascii="Arial" w:hAnsi="Arial" w:cs="Arial"/>
        </w:rPr>
        <w:t xml:space="preserve">systems used </w:t>
      </w:r>
      <w:r w:rsidR="00051A3F" w:rsidRPr="003405D1">
        <w:rPr>
          <w:rFonts w:ascii="Arial" w:hAnsi="Arial" w:cs="Arial"/>
        </w:rPr>
        <w:t>in high-risk environments</w:t>
      </w:r>
      <w:r w:rsidR="00505E9E" w:rsidRPr="003405D1">
        <w:rPr>
          <w:rFonts w:ascii="Arial" w:hAnsi="Arial" w:cs="Arial"/>
        </w:rPr>
        <w:t xml:space="preserve">. </w:t>
      </w:r>
      <w:r w:rsidR="00FB6CC0" w:rsidRPr="003405D1">
        <w:rPr>
          <w:rFonts w:ascii="Arial" w:hAnsi="Arial" w:cs="Arial"/>
        </w:rPr>
        <w:t>Activities</w:t>
      </w:r>
      <w:r w:rsidR="00505E9E" w:rsidRPr="003405D1">
        <w:rPr>
          <w:rFonts w:ascii="Arial" w:hAnsi="Arial" w:cs="Arial"/>
        </w:rPr>
        <w:t xml:space="preserve"> such as welding</w:t>
      </w:r>
      <w:r w:rsidR="00D41D40" w:rsidRPr="003405D1">
        <w:rPr>
          <w:rFonts w:ascii="Arial" w:hAnsi="Arial" w:cs="Arial"/>
        </w:rPr>
        <w:t xml:space="preserve">, confined space </w:t>
      </w:r>
      <w:r w:rsidR="00D50383" w:rsidRPr="003405D1">
        <w:rPr>
          <w:rFonts w:ascii="Arial" w:hAnsi="Arial" w:cs="Arial"/>
        </w:rPr>
        <w:t xml:space="preserve">entry and </w:t>
      </w:r>
      <w:r w:rsidR="00721F46" w:rsidRPr="003405D1">
        <w:rPr>
          <w:rFonts w:ascii="Arial" w:hAnsi="Arial" w:cs="Arial"/>
        </w:rPr>
        <w:t xml:space="preserve">working at height </w:t>
      </w:r>
      <w:r w:rsidR="00FB6CC0" w:rsidRPr="003405D1">
        <w:rPr>
          <w:rFonts w:ascii="Arial" w:hAnsi="Arial" w:cs="Arial"/>
        </w:rPr>
        <w:t>require</w:t>
      </w:r>
      <w:r w:rsidR="00721F46" w:rsidRPr="003405D1">
        <w:rPr>
          <w:rFonts w:ascii="Arial" w:hAnsi="Arial" w:cs="Arial"/>
        </w:rPr>
        <w:t xml:space="preserve"> formal </w:t>
      </w:r>
      <w:r w:rsidR="00D60BB0" w:rsidRPr="003405D1">
        <w:rPr>
          <w:rFonts w:ascii="Arial" w:hAnsi="Arial" w:cs="Arial"/>
        </w:rPr>
        <w:t xml:space="preserve">authorisation to </w:t>
      </w:r>
      <w:r w:rsidR="00827F3D" w:rsidRPr="003405D1">
        <w:rPr>
          <w:rFonts w:ascii="Arial" w:hAnsi="Arial" w:cs="Arial"/>
        </w:rPr>
        <w:t xml:space="preserve">ensure risks are assessed </w:t>
      </w:r>
      <w:r w:rsidR="00270C51" w:rsidRPr="003405D1">
        <w:rPr>
          <w:rFonts w:ascii="Arial" w:hAnsi="Arial" w:cs="Arial"/>
        </w:rPr>
        <w:t xml:space="preserve">and controlled (Tata Steel UK, </w:t>
      </w:r>
      <w:r w:rsidR="00FB6CC0" w:rsidRPr="003405D1">
        <w:rPr>
          <w:rFonts w:ascii="Arial" w:hAnsi="Arial" w:cs="Arial"/>
        </w:rPr>
        <w:t>2026c).</w:t>
      </w:r>
      <w:r w:rsidR="009D710C" w:rsidRPr="003405D1">
        <w:rPr>
          <w:rFonts w:ascii="Arial" w:hAnsi="Arial" w:cs="Arial"/>
        </w:rPr>
        <w:t xml:space="preserve"> </w:t>
      </w:r>
      <w:r w:rsidR="00450849" w:rsidRPr="003405D1">
        <w:rPr>
          <w:rFonts w:ascii="Arial" w:hAnsi="Arial" w:cs="Arial"/>
        </w:rPr>
        <w:t>T</w:t>
      </w:r>
      <w:r w:rsidR="009D710C" w:rsidRPr="003405D1">
        <w:rPr>
          <w:rFonts w:ascii="Arial" w:hAnsi="Arial" w:cs="Arial"/>
        </w:rPr>
        <w:t xml:space="preserve">hese systems support </w:t>
      </w:r>
      <w:r w:rsidR="003D264A" w:rsidRPr="003405D1">
        <w:rPr>
          <w:rFonts w:ascii="Arial" w:hAnsi="Arial" w:cs="Arial"/>
        </w:rPr>
        <w:t xml:space="preserve">legal duties </w:t>
      </w:r>
      <w:r w:rsidR="002555F6" w:rsidRPr="003405D1">
        <w:rPr>
          <w:rFonts w:ascii="Arial" w:hAnsi="Arial" w:cs="Arial"/>
        </w:rPr>
        <w:t xml:space="preserve">under the Health and Safety at Work </w:t>
      </w:r>
      <w:r w:rsidR="004D48F8" w:rsidRPr="003405D1">
        <w:rPr>
          <w:rFonts w:ascii="Arial" w:hAnsi="Arial" w:cs="Arial"/>
        </w:rPr>
        <w:t xml:space="preserve">etc. Act </w:t>
      </w:r>
      <w:r w:rsidR="00DA3DD1" w:rsidRPr="003405D1">
        <w:rPr>
          <w:rFonts w:ascii="Arial" w:hAnsi="Arial" w:cs="Arial"/>
        </w:rPr>
        <w:t>1974</w:t>
      </w:r>
      <w:r w:rsidR="00C07C42" w:rsidRPr="003405D1">
        <w:rPr>
          <w:rFonts w:ascii="Arial" w:hAnsi="Arial" w:cs="Arial"/>
        </w:rPr>
        <w:t xml:space="preserve">, which requires </w:t>
      </w:r>
      <w:r w:rsidR="00032A53" w:rsidRPr="003405D1">
        <w:rPr>
          <w:rFonts w:ascii="Arial" w:hAnsi="Arial" w:cs="Arial"/>
        </w:rPr>
        <w:t xml:space="preserve">employers to provide </w:t>
      </w:r>
      <w:r w:rsidR="00A275E5" w:rsidRPr="003405D1">
        <w:rPr>
          <w:rFonts w:ascii="Arial" w:hAnsi="Arial" w:cs="Arial"/>
        </w:rPr>
        <w:t xml:space="preserve">safe systems of work (LexisNexis, 2026). </w:t>
      </w:r>
      <w:r w:rsidR="006B463B" w:rsidRPr="003405D1">
        <w:rPr>
          <w:rFonts w:ascii="Arial" w:hAnsi="Arial" w:cs="Arial"/>
        </w:rPr>
        <w:t>While permits are internal controls</w:t>
      </w:r>
      <w:r w:rsidR="00C81553" w:rsidRPr="003405D1">
        <w:rPr>
          <w:rFonts w:ascii="Arial" w:hAnsi="Arial" w:cs="Arial"/>
        </w:rPr>
        <w:t xml:space="preserve">, they have </w:t>
      </w:r>
      <w:r w:rsidR="00B60CDF" w:rsidRPr="003405D1">
        <w:rPr>
          <w:rFonts w:ascii="Arial" w:hAnsi="Arial" w:cs="Arial"/>
        </w:rPr>
        <w:t xml:space="preserve">legal significance </w:t>
      </w:r>
      <w:r w:rsidR="00831681" w:rsidRPr="003405D1">
        <w:rPr>
          <w:rFonts w:ascii="Arial" w:hAnsi="Arial" w:cs="Arial"/>
        </w:rPr>
        <w:t xml:space="preserve">as failure to </w:t>
      </w:r>
      <w:r w:rsidR="0089161A" w:rsidRPr="003405D1">
        <w:rPr>
          <w:rFonts w:ascii="Arial" w:hAnsi="Arial" w:cs="Arial"/>
        </w:rPr>
        <w:t xml:space="preserve">implement effective </w:t>
      </w:r>
      <w:r w:rsidR="006F35B2" w:rsidRPr="003405D1">
        <w:rPr>
          <w:rFonts w:ascii="Arial" w:hAnsi="Arial" w:cs="Arial"/>
        </w:rPr>
        <w:t xml:space="preserve">safety procedures </w:t>
      </w:r>
      <w:r w:rsidR="009A2C42" w:rsidRPr="003405D1">
        <w:rPr>
          <w:rFonts w:ascii="Arial" w:hAnsi="Arial" w:cs="Arial"/>
        </w:rPr>
        <w:t xml:space="preserve">can result in enforcement action. </w:t>
      </w:r>
      <w:r w:rsidR="00CA540C" w:rsidRPr="003405D1">
        <w:rPr>
          <w:rFonts w:ascii="Arial" w:hAnsi="Arial" w:cs="Arial"/>
        </w:rPr>
        <w:t>Importantly</w:t>
      </w:r>
      <w:r w:rsidR="00181313" w:rsidRPr="003405D1">
        <w:rPr>
          <w:rFonts w:ascii="Arial" w:hAnsi="Arial" w:cs="Arial"/>
        </w:rPr>
        <w:t xml:space="preserve">, </w:t>
      </w:r>
      <w:r w:rsidR="005E46EA" w:rsidRPr="003405D1">
        <w:rPr>
          <w:rFonts w:ascii="Arial" w:hAnsi="Arial" w:cs="Arial"/>
        </w:rPr>
        <w:t xml:space="preserve">this demonstrates </w:t>
      </w:r>
      <w:r w:rsidR="00C66D84" w:rsidRPr="003405D1">
        <w:rPr>
          <w:rFonts w:ascii="Arial" w:hAnsi="Arial" w:cs="Arial"/>
        </w:rPr>
        <w:t xml:space="preserve">that compliance is </w:t>
      </w:r>
      <w:r w:rsidR="00EB2D73" w:rsidRPr="003405D1">
        <w:rPr>
          <w:rFonts w:ascii="Arial" w:hAnsi="Arial" w:cs="Arial"/>
        </w:rPr>
        <w:t xml:space="preserve">not purely </w:t>
      </w:r>
      <w:r w:rsidR="003C1F8A" w:rsidRPr="003405D1">
        <w:rPr>
          <w:rFonts w:ascii="Arial" w:hAnsi="Arial" w:cs="Arial"/>
        </w:rPr>
        <w:t xml:space="preserve">legal but </w:t>
      </w:r>
      <w:r w:rsidR="00E003EF" w:rsidRPr="003405D1">
        <w:rPr>
          <w:rFonts w:ascii="Arial" w:hAnsi="Arial" w:cs="Arial"/>
        </w:rPr>
        <w:t xml:space="preserve">operational, </w:t>
      </w:r>
      <w:r w:rsidR="00537035" w:rsidRPr="003405D1">
        <w:rPr>
          <w:rFonts w:ascii="Arial" w:hAnsi="Arial" w:cs="Arial"/>
        </w:rPr>
        <w:t xml:space="preserve">requiring strong </w:t>
      </w:r>
      <w:r w:rsidR="00CA540C" w:rsidRPr="003405D1">
        <w:rPr>
          <w:rFonts w:ascii="Arial" w:hAnsi="Arial" w:cs="Arial"/>
        </w:rPr>
        <w:t>organisational</w:t>
      </w:r>
      <w:r w:rsidR="0023178E" w:rsidRPr="003405D1">
        <w:rPr>
          <w:rFonts w:ascii="Arial" w:hAnsi="Arial" w:cs="Arial"/>
        </w:rPr>
        <w:t xml:space="preserve"> culture </w:t>
      </w:r>
      <w:r w:rsidR="00CA540C" w:rsidRPr="003405D1">
        <w:rPr>
          <w:rFonts w:ascii="Arial" w:hAnsi="Arial" w:cs="Arial"/>
        </w:rPr>
        <w:t>and accountability.</w:t>
      </w:r>
    </w:p>
    <w:p w14:paraId="12A7BBEF" w14:textId="77777777" w:rsidR="00A85235" w:rsidRPr="003F774C" w:rsidRDefault="00A85235" w:rsidP="003405D1">
      <w:pPr>
        <w:spacing w:line="360" w:lineRule="auto"/>
        <w:rPr>
          <w:rFonts w:ascii="Arial" w:hAnsi="Arial" w:cs="Arial"/>
        </w:rPr>
      </w:pPr>
      <w:r w:rsidRPr="003F774C">
        <w:rPr>
          <w:rFonts w:ascii="Arial" w:hAnsi="Arial" w:cs="Arial"/>
        </w:rPr>
        <w:t xml:space="preserve">Tata Steel UK must also hold operator licences for transport and logistics activities. As a logistics-intensive organisation, goods vehicle operator licences ensure that vehicles are roadworthy, drivers are qualified, and legal safety standards are met (LexisNexis, 2026). Non-compliance can lead to licence suspension, which would </w:t>
      </w:r>
      <w:r w:rsidRPr="003F774C">
        <w:rPr>
          <w:rFonts w:ascii="Arial" w:hAnsi="Arial" w:cs="Arial"/>
        </w:rPr>
        <w:lastRenderedPageBreak/>
        <w:t>significantly disrupt operations. This highlights the strategic importance of licences, as regulatory failure can directly impact business continuity rather than simply resulting in financial penalties.</w:t>
      </w:r>
    </w:p>
    <w:p w14:paraId="52197E59" w14:textId="677EB0C1" w:rsidR="00405877" w:rsidRPr="003405D1" w:rsidRDefault="00AC0361" w:rsidP="003405D1">
      <w:pPr>
        <w:spacing w:line="360" w:lineRule="auto"/>
        <w:rPr>
          <w:rFonts w:ascii="Arial" w:hAnsi="Arial" w:cs="Arial"/>
        </w:rPr>
      </w:pPr>
      <w:r w:rsidRPr="003405D1">
        <w:rPr>
          <w:rFonts w:ascii="Arial" w:hAnsi="Arial" w:cs="Arial"/>
        </w:rPr>
        <w:t>Additionally</w:t>
      </w:r>
      <w:r w:rsidR="008A2C29" w:rsidRPr="003405D1">
        <w:rPr>
          <w:rFonts w:ascii="Arial" w:hAnsi="Arial" w:cs="Arial"/>
        </w:rPr>
        <w:t>, license</w:t>
      </w:r>
      <w:r w:rsidR="00C21B2B" w:rsidRPr="003405D1">
        <w:rPr>
          <w:rFonts w:ascii="Arial" w:hAnsi="Arial" w:cs="Arial"/>
        </w:rPr>
        <w:t xml:space="preserve">s and permits </w:t>
      </w:r>
      <w:r w:rsidR="005E4A03" w:rsidRPr="003405D1">
        <w:rPr>
          <w:rFonts w:ascii="Arial" w:hAnsi="Arial" w:cs="Arial"/>
        </w:rPr>
        <w:t>apply to planning and land use</w:t>
      </w:r>
      <w:r w:rsidR="00013C26" w:rsidRPr="003405D1">
        <w:rPr>
          <w:rFonts w:ascii="Arial" w:hAnsi="Arial" w:cs="Arial"/>
        </w:rPr>
        <w:t xml:space="preserve">. Steel production </w:t>
      </w:r>
      <w:r w:rsidR="00D332BC" w:rsidRPr="003405D1">
        <w:rPr>
          <w:rFonts w:ascii="Arial" w:hAnsi="Arial" w:cs="Arial"/>
        </w:rPr>
        <w:t xml:space="preserve">facilities operate </w:t>
      </w:r>
      <w:r w:rsidR="00FD792C" w:rsidRPr="003405D1">
        <w:rPr>
          <w:rFonts w:ascii="Arial" w:hAnsi="Arial" w:cs="Arial"/>
        </w:rPr>
        <w:t xml:space="preserve">under planning </w:t>
      </w:r>
      <w:r w:rsidR="00141D97" w:rsidRPr="003405D1">
        <w:rPr>
          <w:rFonts w:ascii="Arial" w:hAnsi="Arial" w:cs="Arial"/>
        </w:rPr>
        <w:t xml:space="preserve">permissions </w:t>
      </w:r>
      <w:r w:rsidR="00440740" w:rsidRPr="003405D1">
        <w:rPr>
          <w:rFonts w:ascii="Arial" w:hAnsi="Arial" w:cs="Arial"/>
        </w:rPr>
        <w:t xml:space="preserve">that impose enforceable </w:t>
      </w:r>
      <w:r w:rsidR="00556186" w:rsidRPr="003405D1">
        <w:rPr>
          <w:rFonts w:ascii="Arial" w:hAnsi="Arial" w:cs="Arial"/>
        </w:rPr>
        <w:t xml:space="preserve">conditions relating to </w:t>
      </w:r>
      <w:r w:rsidR="008A7869" w:rsidRPr="003405D1">
        <w:rPr>
          <w:rFonts w:ascii="Arial" w:hAnsi="Arial" w:cs="Arial"/>
        </w:rPr>
        <w:t xml:space="preserve">environmental impact, </w:t>
      </w:r>
      <w:r w:rsidR="001570C0" w:rsidRPr="003405D1">
        <w:rPr>
          <w:rFonts w:ascii="Arial" w:hAnsi="Arial" w:cs="Arial"/>
        </w:rPr>
        <w:t>noise and traffic levels</w:t>
      </w:r>
      <w:r w:rsidR="00D52177" w:rsidRPr="003405D1">
        <w:rPr>
          <w:rFonts w:ascii="Arial" w:hAnsi="Arial" w:cs="Arial"/>
        </w:rPr>
        <w:t xml:space="preserve"> (LexisNexis, 2026). </w:t>
      </w:r>
      <w:r w:rsidR="00D6560E" w:rsidRPr="003405D1">
        <w:rPr>
          <w:rFonts w:ascii="Arial" w:hAnsi="Arial" w:cs="Arial"/>
        </w:rPr>
        <w:t xml:space="preserve">Failure to comply can </w:t>
      </w:r>
      <w:r w:rsidR="004725B3" w:rsidRPr="003405D1">
        <w:rPr>
          <w:rFonts w:ascii="Arial" w:hAnsi="Arial" w:cs="Arial"/>
        </w:rPr>
        <w:t xml:space="preserve">result in enforcement </w:t>
      </w:r>
      <w:r w:rsidR="00C113B9" w:rsidRPr="003405D1">
        <w:rPr>
          <w:rFonts w:ascii="Arial" w:hAnsi="Arial" w:cs="Arial"/>
        </w:rPr>
        <w:t>notices or restrictions</w:t>
      </w:r>
      <w:r w:rsidR="00932014" w:rsidRPr="003405D1">
        <w:rPr>
          <w:rFonts w:ascii="Arial" w:hAnsi="Arial" w:cs="Arial"/>
        </w:rPr>
        <w:t xml:space="preserve"> on operations</w:t>
      </w:r>
      <w:r w:rsidR="00D2268D" w:rsidRPr="003405D1">
        <w:rPr>
          <w:rFonts w:ascii="Arial" w:hAnsi="Arial" w:cs="Arial"/>
        </w:rPr>
        <w:t xml:space="preserve">. Unlike </w:t>
      </w:r>
      <w:r w:rsidR="00AB0B77" w:rsidRPr="003405D1">
        <w:rPr>
          <w:rFonts w:ascii="Arial" w:hAnsi="Arial" w:cs="Arial"/>
        </w:rPr>
        <w:t>contractual obligations</w:t>
      </w:r>
      <w:r w:rsidR="00887A88" w:rsidRPr="003405D1">
        <w:rPr>
          <w:rFonts w:ascii="Arial" w:hAnsi="Arial" w:cs="Arial"/>
        </w:rPr>
        <w:t xml:space="preserve">, these requirements </w:t>
      </w:r>
      <w:r w:rsidR="00BF6E88" w:rsidRPr="003405D1">
        <w:rPr>
          <w:rFonts w:ascii="Arial" w:hAnsi="Arial" w:cs="Arial"/>
        </w:rPr>
        <w:t>are imposed externally by law</w:t>
      </w:r>
      <w:r w:rsidR="00591256" w:rsidRPr="003405D1">
        <w:rPr>
          <w:rFonts w:ascii="Arial" w:hAnsi="Arial" w:cs="Arial"/>
        </w:rPr>
        <w:t>, limiting operational flexibility</w:t>
      </w:r>
      <w:r w:rsidR="00E42874" w:rsidRPr="003405D1">
        <w:rPr>
          <w:rFonts w:ascii="Arial" w:hAnsi="Arial" w:cs="Arial"/>
        </w:rPr>
        <w:t>. However, the</w:t>
      </w:r>
      <w:r w:rsidR="00402A7F" w:rsidRPr="003405D1">
        <w:rPr>
          <w:rFonts w:ascii="Arial" w:hAnsi="Arial" w:cs="Arial"/>
        </w:rPr>
        <w:t xml:space="preserve">y are essential </w:t>
      </w:r>
      <w:r w:rsidR="00CB6FDD" w:rsidRPr="003405D1">
        <w:rPr>
          <w:rFonts w:ascii="Arial" w:hAnsi="Arial" w:cs="Arial"/>
        </w:rPr>
        <w:t xml:space="preserve">in balancing </w:t>
      </w:r>
      <w:r w:rsidR="001F2276" w:rsidRPr="003405D1">
        <w:rPr>
          <w:rFonts w:ascii="Arial" w:hAnsi="Arial" w:cs="Arial"/>
        </w:rPr>
        <w:t xml:space="preserve">industrial </w:t>
      </w:r>
      <w:r w:rsidR="00583400" w:rsidRPr="003405D1">
        <w:rPr>
          <w:rFonts w:ascii="Arial" w:hAnsi="Arial" w:cs="Arial"/>
        </w:rPr>
        <w:t xml:space="preserve">activity </w:t>
      </w:r>
      <w:r w:rsidR="00060F62" w:rsidRPr="003405D1">
        <w:rPr>
          <w:rFonts w:ascii="Arial" w:hAnsi="Arial" w:cs="Arial"/>
        </w:rPr>
        <w:t xml:space="preserve">with community </w:t>
      </w:r>
      <w:r w:rsidR="00AE6AF6" w:rsidRPr="003405D1">
        <w:rPr>
          <w:rFonts w:ascii="Arial" w:hAnsi="Arial" w:cs="Arial"/>
        </w:rPr>
        <w:t xml:space="preserve">and environmental </w:t>
      </w:r>
      <w:r w:rsidR="000813CE" w:rsidRPr="003405D1">
        <w:rPr>
          <w:rFonts w:ascii="Arial" w:hAnsi="Arial" w:cs="Arial"/>
        </w:rPr>
        <w:t>interests.</w:t>
      </w:r>
    </w:p>
    <w:p w14:paraId="602F3AFA" w14:textId="2305731F" w:rsidR="00224B70" w:rsidRPr="003405D1" w:rsidRDefault="007F1A62" w:rsidP="003405D1">
      <w:pPr>
        <w:spacing w:line="360" w:lineRule="auto"/>
        <w:rPr>
          <w:rFonts w:ascii="Arial" w:hAnsi="Arial" w:cs="Arial"/>
        </w:rPr>
      </w:pPr>
      <w:r w:rsidRPr="003405D1">
        <w:rPr>
          <w:rFonts w:ascii="Arial" w:hAnsi="Arial" w:cs="Arial"/>
        </w:rPr>
        <w:t xml:space="preserve">From a </w:t>
      </w:r>
      <w:r w:rsidR="00D75146" w:rsidRPr="003405D1">
        <w:rPr>
          <w:rFonts w:ascii="Arial" w:hAnsi="Arial" w:cs="Arial"/>
        </w:rPr>
        <w:t>contractual</w:t>
      </w:r>
      <w:r w:rsidRPr="003405D1">
        <w:rPr>
          <w:rFonts w:ascii="Arial" w:hAnsi="Arial" w:cs="Arial"/>
        </w:rPr>
        <w:t xml:space="preserve"> perspective, licences and permits </w:t>
      </w:r>
      <w:r w:rsidR="009631DA" w:rsidRPr="003405D1">
        <w:rPr>
          <w:rFonts w:ascii="Arial" w:hAnsi="Arial" w:cs="Arial"/>
        </w:rPr>
        <w:t xml:space="preserve">may also </w:t>
      </w:r>
      <w:r w:rsidR="00075B90" w:rsidRPr="003405D1">
        <w:rPr>
          <w:rFonts w:ascii="Arial" w:hAnsi="Arial" w:cs="Arial"/>
        </w:rPr>
        <w:t xml:space="preserve">form part of </w:t>
      </w:r>
      <w:r w:rsidR="00900F67" w:rsidRPr="003405D1">
        <w:rPr>
          <w:rFonts w:ascii="Arial" w:hAnsi="Arial" w:cs="Arial"/>
        </w:rPr>
        <w:t>contractual obligations</w:t>
      </w:r>
      <w:r w:rsidR="00A834FA" w:rsidRPr="003405D1">
        <w:rPr>
          <w:rFonts w:ascii="Arial" w:hAnsi="Arial" w:cs="Arial"/>
        </w:rPr>
        <w:t xml:space="preserve">. For example, </w:t>
      </w:r>
      <w:r w:rsidR="007221A7" w:rsidRPr="003405D1">
        <w:rPr>
          <w:rFonts w:ascii="Arial" w:hAnsi="Arial" w:cs="Arial"/>
        </w:rPr>
        <w:t xml:space="preserve">agreements </w:t>
      </w:r>
      <w:r w:rsidR="00DC12BA" w:rsidRPr="003405D1">
        <w:rPr>
          <w:rFonts w:ascii="Arial" w:hAnsi="Arial" w:cs="Arial"/>
        </w:rPr>
        <w:t xml:space="preserve">may require compliance </w:t>
      </w:r>
      <w:r w:rsidR="00A42A7D" w:rsidRPr="003405D1">
        <w:rPr>
          <w:rFonts w:ascii="Arial" w:hAnsi="Arial" w:cs="Arial"/>
        </w:rPr>
        <w:t xml:space="preserve">with specific regulatory </w:t>
      </w:r>
      <w:r w:rsidR="00E215B0" w:rsidRPr="003405D1">
        <w:rPr>
          <w:rFonts w:ascii="Arial" w:hAnsi="Arial" w:cs="Arial"/>
        </w:rPr>
        <w:t>standards</w:t>
      </w:r>
      <w:r w:rsidR="00316FE7" w:rsidRPr="003405D1">
        <w:rPr>
          <w:rFonts w:ascii="Arial" w:hAnsi="Arial" w:cs="Arial"/>
        </w:rPr>
        <w:t xml:space="preserve"> and failure to maintain </w:t>
      </w:r>
      <w:r w:rsidR="0085497F" w:rsidRPr="003405D1">
        <w:rPr>
          <w:rFonts w:ascii="Arial" w:hAnsi="Arial" w:cs="Arial"/>
        </w:rPr>
        <w:t xml:space="preserve">necessary licences </w:t>
      </w:r>
      <w:r w:rsidR="002024F8" w:rsidRPr="003405D1">
        <w:rPr>
          <w:rFonts w:ascii="Arial" w:hAnsi="Arial" w:cs="Arial"/>
        </w:rPr>
        <w:t xml:space="preserve">could constitute a breach </w:t>
      </w:r>
      <w:r w:rsidR="00894834" w:rsidRPr="003405D1">
        <w:rPr>
          <w:rFonts w:ascii="Arial" w:hAnsi="Arial" w:cs="Arial"/>
        </w:rPr>
        <w:t xml:space="preserve">of contract (LexisNexis, 2026). </w:t>
      </w:r>
      <w:r w:rsidR="00365403" w:rsidRPr="003405D1">
        <w:rPr>
          <w:rFonts w:ascii="Arial" w:hAnsi="Arial" w:cs="Arial"/>
        </w:rPr>
        <w:t xml:space="preserve">This demonstrates </w:t>
      </w:r>
      <w:r w:rsidR="00F0088B" w:rsidRPr="003405D1">
        <w:rPr>
          <w:rFonts w:ascii="Arial" w:hAnsi="Arial" w:cs="Arial"/>
        </w:rPr>
        <w:t xml:space="preserve">the interaction </w:t>
      </w:r>
      <w:r w:rsidR="0046658F" w:rsidRPr="003405D1">
        <w:rPr>
          <w:rFonts w:ascii="Arial" w:hAnsi="Arial" w:cs="Arial"/>
        </w:rPr>
        <w:t xml:space="preserve">between regulatory law </w:t>
      </w:r>
      <w:r w:rsidR="00D460A6" w:rsidRPr="003405D1">
        <w:rPr>
          <w:rFonts w:ascii="Arial" w:hAnsi="Arial" w:cs="Arial"/>
        </w:rPr>
        <w:t>and contract law</w:t>
      </w:r>
      <w:r w:rsidR="006E5FAA" w:rsidRPr="003405D1">
        <w:rPr>
          <w:rFonts w:ascii="Arial" w:hAnsi="Arial" w:cs="Arial"/>
        </w:rPr>
        <w:t xml:space="preserve">, where </w:t>
      </w:r>
      <w:r w:rsidR="00461BFF" w:rsidRPr="003405D1">
        <w:rPr>
          <w:rFonts w:ascii="Arial" w:hAnsi="Arial" w:cs="Arial"/>
        </w:rPr>
        <w:t xml:space="preserve">non-compliance </w:t>
      </w:r>
      <w:r w:rsidR="007169B1" w:rsidRPr="003405D1">
        <w:rPr>
          <w:rFonts w:ascii="Arial" w:hAnsi="Arial" w:cs="Arial"/>
        </w:rPr>
        <w:t xml:space="preserve">can lead to both </w:t>
      </w:r>
      <w:r w:rsidR="00235EE9" w:rsidRPr="003405D1">
        <w:rPr>
          <w:rFonts w:ascii="Arial" w:hAnsi="Arial" w:cs="Arial"/>
        </w:rPr>
        <w:t xml:space="preserve">legal penalties and </w:t>
      </w:r>
      <w:r w:rsidR="000A74D6" w:rsidRPr="003405D1">
        <w:rPr>
          <w:rFonts w:ascii="Arial" w:hAnsi="Arial" w:cs="Arial"/>
        </w:rPr>
        <w:t>contractual</w:t>
      </w:r>
      <w:r w:rsidR="00235EE9" w:rsidRPr="003405D1">
        <w:rPr>
          <w:rFonts w:ascii="Arial" w:hAnsi="Arial" w:cs="Arial"/>
        </w:rPr>
        <w:t xml:space="preserve"> </w:t>
      </w:r>
      <w:r w:rsidR="000A74D6" w:rsidRPr="003405D1">
        <w:rPr>
          <w:rFonts w:ascii="Arial" w:hAnsi="Arial" w:cs="Arial"/>
        </w:rPr>
        <w:t>liability.</w:t>
      </w:r>
      <w:r w:rsidR="007D4F47" w:rsidRPr="003405D1">
        <w:rPr>
          <w:rFonts w:ascii="Arial" w:hAnsi="Arial" w:cs="Arial"/>
        </w:rPr>
        <w:t xml:space="preserve"> </w:t>
      </w:r>
    </w:p>
    <w:p w14:paraId="59DED75A" w14:textId="2A94ED11" w:rsidR="000A74D6" w:rsidRPr="003405D1" w:rsidRDefault="000A74D6" w:rsidP="003405D1">
      <w:pPr>
        <w:spacing w:line="360" w:lineRule="auto"/>
        <w:rPr>
          <w:rFonts w:ascii="Arial" w:hAnsi="Arial" w:cs="Arial"/>
        </w:rPr>
      </w:pPr>
      <w:r w:rsidRPr="003405D1">
        <w:rPr>
          <w:rFonts w:ascii="Arial" w:hAnsi="Arial" w:cs="Arial"/>
        </w:rPr>
        <w:t>In conclusion</w:t>
      </w:r>
      <w:r w:rsidR="00007077" w:rsidRPr="003405D1">
        <w:rPr>
          <w:rFonts w:ascii="Arial" w:hAnsi="Arial" w:cs="Arial"/>
        </w:rPr>
        <w:t xml:space="preserve">, licenses and permits </w:t>
      </w:r>
      <w:r w:rsidR="00097012" w:rsidRPr="003405D1">
        <w:rPr>
          <w:rFonts w:ascii="Arial" w:hAnsi="Arial" w:cs="Arial"/>
        </w:rPr>
        <w:t>play a cr</w:t>
      </w:r>
      <w:r w:rsidR="00C16E32" w:rsidRPr="003405D1">
        <w:rPr>
          <w:rFonts w:ascii="Arial" w:hAnsi="Arial" w:cs="Arial"/>
        </w:rPr>
        <w:t xml:space="preserve">itical </w:t>
      </w:r>
      <w:r w:rsidR="00C04CEE" w:rsidRPr="003405D1">
        <w:rPr>
          <w:rFonts w:ascii="Arial" w:hAnsi="Arial" w:cs="Arial"/>
        </w:rPr>
        <w:t xml:space="preserve">role in regulating </w:t>
      </w:r>
      <w:r w:rsidR="00C807A3" w:rsidRPr="003405D1">
        <w:rPr>
          <w:rFonts w:ascii="Arial" w:hAnsi="Arial" w:cs="Arial"/>
        </w:rPr>
        <w:t xml:space="preserve">industrial operations </w:t>
      </w:r>
      <w:r w:rsidR="00CE0875" w:rsidRPr="003405D1">
        <w:rPr>
          <w:rFonts w:ascii="Arial" w:hAnsi="Arial" w:cs="Arial"/>
        </w:rPr>
        <w:t>within Tata Steel UK</w:t>
      </w:r>
      <w:r w:rsidR="0059259D" w:rsidRPr="003405D1">
        <w:rPr>
          <w:rFonts w:ascii="Arial" w:hAnsi="Arial" w:cs="Arial"/>
        </w:rPr>
        <w:t xml:space="preserve">. They ensure </w:t>
      </w:r>
      <w:r w:rsidR="00D94BAE" w:rsidRPr="003405D1">
        <w:rPr>
          <w:rFonts w:ascii="Arial" w:hAnsi="Arial" w:cs="Arial"/>
        </w:rPr>
        <w:t xml:space="preserve">compliance across </w:t>
      </w:r>
      <w:r w:rsidR="00D90F78" w:rsidRPr="003405D1">
        <w:rPr>
          <w:rFonts w:ascii="Arial" w:hAnsi="Arial" w:cs="Arial"/>
        </w:rPr>
        <w:t>environmental</w:t>
      </w:r>
      <w:r w:rsidR="004062A0" w:rsidRPr="003405D1">
        <w:rPr>
          <w:rFonts w:ascii="Arial" w:hAnsi="Arial" w:cs="Arial"/>
        </w:rPr>
        <w:t>, safety</w:t>
      </w:r>
      <w:r w:rsidR="00EA3EFE" w:rsidRPr="003405D1">
        <w:rPr>
          <w:rFonts w:ascii="Arial" w:hAnsi="Arial" w:cs="Arial"/>
        </w:rPr>
        <w:t xml:space="preserve">, transport and planning </w:t>
      </w:r>
      <w:r w:rsidR="007962FE" w:rsidRPr="003405D1">
        <w:rPr>
          <w:rFonts w:ascii="Arial" w:hAnsi="Arial" w:cs="Arial"/>
        </w:rPr>
        <w:t xml:space="preserve">frameworks. </w:t>
      </w:r>
      <w:r w:rsidR="00B31A58" w:rsidRPr="003405D1">
        <w:rPr>
          <w:rFonts w:ascii="Arial" w:hAnsi="Arial" w:cs="Arial"/>
        </w:rPr>
        <w:t xml:space="preserve">Importantly, </w:t>
      </w:r>
      <w:r w:rsidR="00B76F55" w:rsidRPr="003405D1">
        <w:rPr>
          <w:rFonts w:ascii="Arial" w:hAnsi="Arial" w:cs="Arial"/>
        </w:rPr>
        <w:t xml:space="preserve">their role extends </w:t>
      </w:r>
      <w:r w:rsidR="00AF6E3A" w:rsidRPr="003405D1">
        <w:rPr>
          <w:rFonts w:ascii="Arial" w:hAnsi="Arial" w:cs="Arial"/>
        </w:rPr>
        <w:t xml:space="preserve">beyond legal compliance </w:t>
      </w:r>
      <w:r w:rsidR="00124920" w:rsidRPr="003405D1">
        <w:rPr>
          <w:rFonts w:ascii="Arial" w:hAnsi="Arial" w:cs="Arial"/>
        </w:rPr>
        <w:t xml:space="preserve">as they </w:t>
      </w:r>
      <w:r w:rsidR="00A447FD" w:rsidRPr="003405D1">
        <w:rPr>
          <w:rFonts w:ascii="Arial" w:hAnsi="Arial" w:cs="Arial"/>
        </w:rPr>
        <w:t xml:space="preserve">are essential for </w:t>
      </w:r>
      <w:r w:rsidR="00DD1DD5" w:rsidRPr="003405D1">
        <w:rPr>
          <w:rFonts w:ascii="Arial" w:hAnsi="Arial" w:cs="Arial"/>
        </w:rPr>
        <w:t xml:space="preserve">risk management, </w:t>
      </w:r>
      <w:r w:rsidR="00C17CE2" w:rsidRPr="003405D1">
        <w:rPr>
          <w:rFonts w:ascii="Arial" w:hAnsi="Arial" w:cs="Arial"/>
        </w:rPr>
        <w:t xml:space="preserve">operational continuity and </w:t>
      </w:r>
      <w:r w:rsidR="003B5B56" w:rsidRPr="003405D1">
        <w:rPr>
          <w:rFonts w:ascii="Arial" w:hAnsi="Arial" w:cs="Arial"/>
        </w:rPr>
        <w:t xml:space="preserve">maintaining stakeholder </w:t>
      </w:r>
      <w:r w:rsidR="00F275AF" w:rsidRPr="003405D1">
        <w:rPr>
          <w:rFonts w:ascii="Arial" w:hAnsi="Arial" w:cs="Arial"/>
        </w:rPr>
        <w:t>confidence</w:t>
      </w:r>
      <w:r w:rsidR="00127E13" w:rsidRPr="003405D1">
        <w:rPr>
          <w:rFonts w:ascii="Arial" w:hAnsi="Arial" w:cs="Arial"/>
        </w:rPr>
        <w:t>.</w:t>
      </w:r>
    </w:p>
    <w:p w14:paraId="7FAD9B46" w14:textId="77777777" w:rsidR="00A0725A" w:rsidRPr="00E57E10" w:rsidRDefault="00A0725A">
      <w:pPr>
        <w:rPr>
          <w:rFonts w:ascii="Arial" w:hAnsi="Arial" w:cs="Arial"/>
        </w:rPr>
      </w:pPr>
    </w:p>
    <w:p w14:paraId="7F804E97" w14:textId="77777777" w:rsidR="00A0725A" w:rsidRPr="00E57E10" w:rsidRDefault="00A0725A">
      <w:pPr>
        <w:rPr>
          <w:rFonts w:ascii="Arial" w:hAnsi="Arial" w:cs="Arial"/>
        </w:rPr>
      </w:pPr>
    </w:p>
    <w:p w14:paraId="49F7583A" w14:textId="77777777" w:rsidR="00A0725A" w:rsidRPr="00E57E10" w:rsidRDefault="00A0725A">
      <w:pPr>
        <w:rPr>
          <w:rFonts w:ascii="Arial" w:hAnsi="Arial" w:cs="Arial"/>
        </w:rPr>
      </w:pPr>
    </w:p>
    <w:p w14:paraId="79F609F8" w14:textId="77777777" w:rsidR="00A0725A" w:rsidRPr="00E57E10" w:rsidRDefault="00A0725A">
      <w:pPr>
        <w:rPr>
          <w:rFonts w:ascii="Arial" w:hAnsi="Arial" w:cs="Arial"/>
        </w:rPr>
      </w:pPr>
    </w:p>
    <w:p w14:paraId="0E313369" w14:textId="77777777" w:rsidR="00A0725A" w:rsidRPr="00E57E10" w:rsidRDefault="00A0725A">
      <w:pPr>
        <w:rPr>
          <w:rFonts w:ascii="Arial" w:hAnsi="Arial" w:cs="Arial"/>
        </w:rPr>
      </w:pPr>
    </w:p>
    <w:p w14:paraId="2FE7D2B2" w14:textId="77777777" w:rsidR="00A0725A" w:rsidRPr="00E57E10" w:rsidRDefault="00A0725A">
      <w:pPr>
        <w:rPr>
          <w:rFonts w:ascii="Arial" w:hAnsi="Arial" w:cs="Arial"/>
        </w:rPr>
      </w:pPr>
    </w:p>
    <w:p w14:paraId="457F4CC7" w14:textId="77777777" w:rsidR="00A0725A" w:rsidRPr="00E57E10" w:rsidRDefault="00A0725A">
      <w:pPr>
        <w:rPr>
          <w:rFonts w:ascii="Arial" w:hAnsi="Arial" w:cs="Arial"/>
        </w:rPr>
      </w:pPr>
    </w:p>
    <w:p w14:paraId="11DAF2FD" w14:textId="77777777" w:rsidR="00A0725A" w:rsidRPr="00E57E10" w:rsidRDefault="00A0725A">
      <w:pPr>
        <w:rPr>
          <w:rFonts w:ascii="Arial" w:hAnsi="Arial" w:cs="Arial"/>
        </w:rPr>
      </w:pPr>
    </w:p>
    <w:p w14:paraId="388F64EE" w14:textId="77777777" w:rsidR="00A0725A" w:rsidRPr="00E57E10" w:rsidRDefault="00A0725A">
      <w:pPr>
        <w:rPr>
          <w:rFonts w:ascii="Arial" w:hAnsi="Arial" w:cs="Arial"/>
        </w:rPr>
      </w:pPr>
    </w:p>
    <w:p w14:paraId="035C7365" w14:textId="77777777" w:rsidR="00251561" w:rsidRPr="00251561" w:rsidRDefault="00251561" w:rsidP="00251561">
      <w:bookmarkStart w:id="4" w:name="_Toc231546691"/>
      <w:bookmarkStart w:id="5" w:name="_Toc231546744"/>
    </w:p>
    <w:p w14:paraId="7BEDDE44" w14:textId="7332A457" w:rsidR="00A0725A" w:rsidRPr="00E57E10" w:rsidRDefault="00A0725A" w:rsidP="00A0725A">
      <w:pPr>
        <w:pStyle w:val="Heading1"/>
        <w:rPr>
          <w:rFonts w:ascii="Arial" w:hAnsi="Arial" w:cs="Arial"/>
        </w:rPr>
      </w:pPr>
      <w:r w:rsidRPr="00E57E10">
        <w:rPr>
          <w:rFonts w:ascii="Arial" w:hAnsi="Arial" w:cs="Arial"/>
        </w:rPr>
        <w:lastRenderedPageBreak/>
        <w:t>Question 3</w:t>
      </w:r>
      <w:bookmarkEnd w:id="4"/>
      <w:bookmarkEnd w:id="5"/>
      <w:r w:rsidRPr="00E57E10">
        <w:rPr>
          <w:rFonts w:ascii="Arial" w:hAnsi="Arial" w:cs="Arial"/>
        </w:rPr>
        <w:t xml:space="preserve"> </w:t>
      </w:r>
    </w:p>
    <w:p w14:paraId="74A69DCD" w14:textId="467893C9" w:rsidR="00E67A57" w:rsidRPr="003405D1" w:rsidRDefault="00425498" w:rsidP="003405D1">
      <w:pPr>
        <w:spacing w:line="360" w:lineRule="auto"/>
        <w:rPr>
          <w:rFonts w:ascii="Arial" w:hAnsi="Arial" w:cs="Arial"/>
        </w:rPr>
      </w:pPr>
      <w:r w:rsidRPr="003405D1">
        <w:rPr>
          <w:rFonts w:ascii="Arial" w:hAnsi="Arial" w:cs="Arial"/>
        </w:rPr>
        <w:t xml:space="preserve">Business ethics refers to </w:t>
      </w:r>
      <w:r w:rsidR="00433232" w:rsidRPr="003405D1">
        <w:rPr>
          <w:rFonts w:ascii="Arial" w:hAnsi="Arial" w:cs="Arial"/>
        </w:rPr>
        <w:t>the moral principles</w:t>
      </w:r>
      <w:r w:rsidR="00060808" w:rsidRPr="003405D1">
        <w:rPr>
          <w:rFonts w:ascii="Arial" w:hAnsi="Arial" w:cs="Arial"/>
        </w:rPr>
        <w:t xml:space="preserve">, values and standards that guide behaviour within </w:t>
      </w:r>
      <w:r w:rsidR="00F46459" w:rsidRPr="003405D1">
        <w:rPr>
          <w:rFonts w:ascii="Arial" w:hAnsi="Arial" w:cs="Arial"/>
        </w:rPr>
        <w:t xml:space="preserve">an </w:t>
      </w:r>
      <w:r w:rsidR="00060808" w:rsidRPr="003405D1">
        <w:rPr>
          <w:rFonts w:ascii="Arial" w:hAnsi="Arial" w:cs="Arial"/>
        </w:rPr>
        <w:t xml:space="preserve">organisation and </w:t>
      </w:r>
      <w:r w:rsidR="005E625C" w:rsidRPr="003405D1">
        <w:rPr>
          <w:rFonts w:ascii="Arial" w:hAnsi="Arial" w:cs="Arial"/>
        </w:rPr>
        <w:t>influence</w:t>
      </w:r>
      <w:r w:rsidR="00060808" w:rsidRPr="003405D1">
        <w:rPr>
          <w:rFonts w:ascii="Arial" w:hAnsi="Arial" w:cs="Arial"/>
        </w:rPr>
        <w:t xml:space="preserve"> how decisions are made</w:t>
      </w:r>
      <w:r w:rsidR="00176451" w:rsidRPr="003405D1">
        <w:rPr>
          <w:rFonts w:ascii="Arial" w:hAnsi="Arial" w:cs="Arial"/>
        </w:rPr>
        <w:t xml:space="preserve"> and implemented (LexisNexis, 2026a).</w:t>
      </w:r>
      <w:r w:rsidR="004F2930" w:rsidRPr="003405D1">
        <w:rPr>
          <w:rFonts w:ascii="Arial" w:hAnsi="Arial" w:cs="Arial"/>
        </w:rPr>
        <w:t xml:space="preserve"> </w:t>
      </w:r>
      <w:r w:rsidR="0090143F" w:rsidRPr="003405D1">
        <w:rPr>
          <w:rFonts w:ascii="Arial" w:hAnsi="Arial" w:cs="Arial"/>
        </w:rPr>
        <w:t>While legal frameworks</w:t>
      </w:r>
      <w:r w:rsidR="00025D6D" w:rsidRPr="003405D1">
        <w:rPr>
          <w:rFonts w:ascii="Arial" w:hAnsi="Arial" w:cs="Arial"/>
        </w:rPr>
        <w:t xml:space="preserve"> establish minimum </w:t>
      </w:r>
      <w:r w:rsidR="00C64F89" w:rsidRPr="003405D1">
        <w:rPr>
          <w:rFonts w:ascii="Arial" w:hAnsi="Arial" w:cs="Arial"/>
        </w:rPr>
        <w:t>standards of conduct</w:t>
      </w:r>
      <w:r w:rsidR="00D41DCD" w:rsidRPr="003405D1">
        <w:rPr>
          <w:rFonts w:ascii="Arial" w:hAnsi="Arial" w:cs="Arial"/>
        </w:rPr>
        <w:t>, ethical principles</w:t>
      </w:r>
      <w:r w:rsidR="003F609D" w:rsidRPr="003405D1">
        <w:rPr>
          <w:rFonts w:ascii="Arial" w:hAnsi="Arial" w:cs="Arial"/>
        </w:rPr>
        <w:t xml:space="preserve"> extend </w:t>
      </w:r>
      <w:r w:rsidR="000E39E3" w:rsidRPr="003405D1">
        <w:rPr>
          <w:rFonts w:ascii="Arial" w:hAnsi="Arial" w:cs="Arial"/>
        </w:rPr>
        <w:t xml:space="preserve">beyond compliance </w:t>
      </w:r>
      <w:r w:rsidR="00F25139" w:rsidRPr="003405D1">
        <w:rPr>
          <w:rFonts w:ascii="Arial" w:hAnsi="Arial" w:cs="Arial"/>
        </w:rPr>
        <w:t xml:space="preserve">by promoting </w:t>
      </w:r>
      <w:r w:rsidR="001A2F37" w:rsidRPr="003405D1">
        <w:rPr>
          <w:rFonts w:ascii="Arial" w:hAnsi="Arial" w:cs="Arial"/>
        </w:rPr>
        <w:t xml:space="preserve">integrity, </w:t>
      </w:r>
      <w:r w:rsidR="008F53A7" w:rsidRPr="003405D1">
        <w:rPr>
          <w:rFonts w:ascii="Arial" w:hAnsi="Arial" w:cs="Arial"/>
        </w:rPr>
        <w:t xml:space="preserve">accountability and </w:t>
      </w:r>
      <w:r w:rsidR="00642C41" w:rsidRPr="003405D1">
        <w:rPr>
          <w:rFonts w:ascii="Arial" w:hAnsi="Arial" w:cs="Arial"/>
        </w:rPr>
        <w:t>responsible corporate behaviour.</w:t>
      </w:r>
      <w:r w:rsidR="00BD1791" w:rsidRPr="003405D1">
        <w:rPr>
          <w:rFonts w:ascii="Arial" w:hAnsi="Arial" w:cs="Arial"/>
        </w:rPr>
        <w:t xml:space="preserve"> This distinction is </w:t>
      </w:r>
      <w:r w:rsidR="003C5762" w:rsidRPr="003405D1">
        <w:rPr>
          <w:rFonts w:ascii="Arial" w:hAnsi="Arial" w:cs="Arial"/>
        </w:rPr>
        <w:t>particularly</w:t>
      </w:r>
      <w:r w:rsidR="00240E34" w:rsidRPr="003405D1">
        <w:rPr>
          <w:rFonts w:ascii="Arial" w:hAnsi="Arial" w:cs="Arial"/>
        </w:rPr>
        <w:t xml:space="preserve"> important </w:t>
      </w:r>
      <w:r w:rsidR="00E56A86" w:rsidRPr="003405D1">
        <w:rPr>
          <w:rFonts w:ascii="Arial" w:hAnsi="Arial" w:cs="Arial"/>
        </w:rPr>
        <w:t xml:space="preserve">in large </w:t>
      </w:r>
      <w:r w:rsidR="00425122" w:rsidRPr="003405D1">
        <w:rPr>
          <w:rFonts w:ascii="Arial" w:hAnsi="Arial" w:cs="Arial"/>
        </w:rPr>
        <w:t>industrial organisations such as Tata Steel UK</w:t>
      </w:r>
      <w:r w:rsidR="00BB401C" w:rsidRPr="003405D1">
        <w:rPr>
          <w:rFonts w:ascii="Arial" w:hAnsi="Arial" w:cs="Arial"/>
        </w:rPr>
        <w:t xml:space="preserve">, where </w:t>
      </w:r>
      <w:r w:rsidR="00BC0628" w:rsidRPr="003405D1">
        <w:rPr>
          <w:rFonts w:ascii="Arial" w:hAnsi="Arial" w:cs="Arial"/>
        </w:rPr>
        <w:t xml:space="preserve">operations have significant </w:t>
      </w:r>
      <w:r w:rsidR="003361A0" w:rsidRPr="003405D1">
        <w:rPr>
          <w:rFonts w:ascii="Arial" w:hAnsi="Arial" w:cs="Arial"/>
        </w:rPr>
        <w:t>environmental</w:t>
      </w:r>
      <w:r w:rsidR="00980E89" w:rsidRPr="003405D1">
        <w:rPr>
          <w:rFonts w:ascii="Arial" w:hAnsi="Arial" w:cs="Arial"/>
        </w:rPr>
        <w:t xml:space="preserve">, social </w:t>
      </w:r>
      <w:r w:rsidR="00F35276" w:rsidRPr="003405D1">
        <w:rPr>
          <w:rFonts w:ascii="Arial" w:hAnsi="Arial" w:cs="Arial"/>
        </w:rPr>
        <w:t xml:space="preserve">and </w:t>
      </w:r>
      <w:r w:rsidR="00980E89" w:rsidRPr="003405D1">
        <w:rPr>
          <w:rFonts w:ascii="Arial" w:hAnsi="Arial" w:cs="Arial"/>
        </w:rPr>
        <w:t xml:space="preserve">economic </w:t>
      </w:r>
      <w:r w:rsidR="00517B41" w:rsidRPr="003405D1">
        <w:rPr>
          <w:rFonts w:ascii="Arial" w:hAnsi="Arial" w:cs="Arial"/>
        </w:rPr>
        <w:t>impacts.</w:t>
      </w:r>
      <w:r w:rsidR="00D34682" w:rsidRPr="003405D1">
        <w:rPr>
          <w:rFonts w:ascii="Arial" w:hAnsi="Arial" w:cs="Arial"/>
        </w:rPr>
        <w:t xml:space="preserve"> In this context, </w:t>
      </w:r>
      <w:r w:rsidR="002F44FE" w:rsidRPr="003405D1">
        <w:rPr>
          <w:rFonts w:ascii="Arial" w:hAnsi="Arial" w:cs="Arial"/>
        </w:rPr>
        <w:t xml:space="preserve">ethical conduct is </w:t>
      </w:r>
      <w:r w:rsidR="003F7A36" w:rsidRPr="003405D1">
        <w:rPr>
          <w:rFonts w:ascii="Arial" w:hAnsi="Arial" w:cs="Arial"/>
        </w:rPr>
        <w:t xml:space="preserve">not only a moral obligation </w:t>
      </w:r>
      <w:r w:rsidR="001C018E" w:rsidRPr="003405D1">
        <w:rPr>
          <w:rFonts w:ascii="Arial" w:hAnsi="Arial" w:cs="Arial"/>
        </w:rPr>
        <w:t xml:space="preserve">but also a strategic </w:t>
      </w:r>
      <w:r w:rsidR="00A22091" w:rsidRPr="003405D1">
        <w:rPr>
          <w:rFonts w:ascii="Arial" w:hAnsi="Arial" w:cs="Arial"/>
        </w:rPr>
        <w:t xml:space="preserve">requirement for </w:t>
      </w:r>
      <w:r w:rsidR="00F7665A" w:rsidRPr="003405D1">
        <w:rPr>
          <w:rFonts w:ascii="Arial" w:hAnsi="Arial" w:cs="Arial"/>
        </w:rPr>
        <w:t xml:space="preserve">maintaining </w:t>
      </w:r>
      <w:r w:rsidR="00654F9C" w:rsidRPr="003405D1">
        <w:rPr>
          <w:rFonts w:ascii="Arial" w:hAnsi="Arial" w:cs="Arial"/>
        </w:rPr>
        <w:t xml:space="preserve">long-term </w:t>
      </w:r>
      <w:r w:rsidR="00BF4E87" w:rsidRPr="003405D1">
        <w:rPr>
          <w:rFonts w:ascii="Arial" w:hAnsi="Arial" w:cs="Arial"/>
        </w:rPr>
        <w:t xml:space="preserve">sustainability </w:t>
      </w:r>
      <w:r w:rsidR="008969D3" w:rsidRPr="003405D1">
        <w:rPr>
          <w:rFonts w:ascii="Arial" w:hAnsi="Arial" w:cs="Arial"/>
        </w:rPr>
        <w:t>and stakeholder trust.</w:t>
      </w:r>
    </w:p>
    <w:p w14:paraId="4DEEDD6D" w14:textId="77777777" w:rsidR="003C5762" w:rsidRPr="003861AA" w:rsidRDefault="003C5762" w:rsidP="003405D1">
      <w:pPr>
        <w:spacing w:line="360" w:lineRule="auto"/>
        <w:rPr>
          <w:rFonts w:ascii="Arial" w:hAnsi="Arial" w:cs="Arial"/>
        </w:rPr>
      </w:pPr>
      <w:r w:rsidRPr="003861AA">
        <w:rPr>
          <w:rFonts w:ascii="Arial" w:hAnsi="Arial" w:cs="Arial"/>
        </w:rPr>
        <w:t>A key element of business ethics is integrity and honesty in decision-making, ensuring that organisations act transparently and avoid misleading practices (LexisNexis, 2026a). At Tata Steel, this principle is embedded through the Tata Code of Conduct, which requires employees to adhere to high ethical standards in all business activities (Tata Steel UK, 2026a). This is particularly relevant in procurement and supply chain management, where decisions must be fair and objective to prevent corruption or favouritism. However, organisations may face pressure to reduce costs or improve efficiency, which can create tension between commercial objectives and ethical standards. This demonstrates that ethical behaviour requires strong organisational culture and governance systems to ensure integrity is maintained even when it conflicts with short-term profitability.</w:t>
      </w:r>
    </w:p>
    <w:p w14:paraId="5FB17EE1" w14:textId="77777777" w:rsidR="003C5762" w:rsidRPr="003861AA" w:rsidRDefault="003C5762" w:rsidP="003405D1">
      <w:pPr>
        <w:spacing w:line="360" w:lineRule="auto"/>
        <w:rPr>
          <w:rFonts w:ascii="Arial" w:hAnsi="Arial" w:cs="Arial"/>
        </w:rPr>
      </w:pPr>
      <w:r w:rsidRPr="003861AA">
        <w:rPr>
          <w:rFonts w:ascii="Arial" w:hAnsi="Arial" w:cs="Arial"/>
        </w:rPr>
        <w:t>Another important aspect of business ethics is compliance with legal and regulatory requirements (LexisNexis, 2026b). Ethical organisations do not view compliance as a minimum obligation, but instead integrate it into their operational practices. At Tata Steel UK, this is particularly evident in areas such as environmental regulation and workplace safety, where strict legal standards must be met (Tata Steel UK, 2026b). However, compliance alone does not guarantee ethical behaviour, as organisations may technically follow the law while still acting irresponsibly. This highlights the importance of embedding ethical values into decision-making processes, ensuring that actions are not only lawful but also socially responsible.</w:t>
      </w:r>
    </w:p>
    <w:p w14:paraId="375D673D" w14:textId="16E9D2E4" w:rsidR="003C5762" w:rsidRPr="003861AA" w:rsidRDefault="003C5762" w:rsidP="003405D1">
      <w:pPr>
        <w:spacing w:line="360" w:lineRule="auto"/>
        <w:rPr>
          <w:rFonts w:ascii="Arial" w:hAnsi="Arial" w:cs="Arial"/>
        </w:rPr>
      </w:pPr>
      <w:r w:rsidRPr="003861AA">
        <w:rPr>
          <w:rFonts w:ascii="Arial" w:hAnsi="Arial" w:cs="Arial"/>
        </w:rPr>
        <w:t>Health and safety is a</w:t>
      </w:r>
      <w:r w:rsidR="00D05969" w:rsidRPr="003405D1">
        <w:rPr>
          <w:rFonts w:ascii="Arial" w:hAnsi="Arial" w:cs="Arial"/>
        </w:rPr>
        <w:t>nother</w:t>
      </w:r>
      <w:r w:rsidRPr="003861AA">
        <w:rPr>
          <w:rFonts w:ascii="Arial" w:hAnsi="Arial" w:cs="Arial"/>
        </w:rPr>
        <w:t xml:space="preserve"> critical area where ethical considerations are particularly significant, especially within high-risk industries (LexisNexis, 2026c). Employers </w:t>
      </w:r>
      <w:r w:rsidRPr="003861AA">
        <w:rPr>
          <w:rFonts w:ascii="Arial" w:hAnsi="Arial" w:cs="Arial"/>
        </w:rPr>
        <w:lastRenderedPageBreak/>
        <w:t>have both legal and moral obligations to protect the wellbeing of their workforce. Tata Steel UK applies systems such as risk assessments, permit-to-work procedures and continuous training to ensure safe working conditions (Tata Steel UK, 2026c). While these measures fulfil legal requirements, their ethical importance lies in the organisation’s responsibility to prevent harm. However, maintaining these standards can involve significant operational costs and time constraints, creating potential conflict between productivity and safety. Ethical organisations must therefore prioritise employee welfare over efficiency, reinforcing the principle that human safety should not be compromised for financial gain.</w:t>
      </w:r>
    </w:p>
    <w:p w14:paraId="154E5F69" w14:textId="77777777" w:rsidR="003C5762" w:rsidRPr="003861AA" w:rsidRDefault="003C5762" w:rsidP="003405D1">
      <w:pPr>
        <w:spacing w:line="360" w:lineRule="auto"/>
        <w:rPr>
          <w:rFonts w:ascii="Arial" w:hAnsi="Arial" w:cs="Arial"/>
        </w:rPr>
      </w:pPr>
      <w:r w:rsidRPr="003861AA">
        <w:rPr>
          <w:rFonts w:ascii="Arial" w:hAnsi="Arial" w:cs="Arial"/>
        </w:rPr>
        <w:t>Business ethics also promote fair treatment and equality within the workplace, ensuring that employees are treated with dignity and respect (LexisNexis, 2026d). This includes providing equal opportunities, preventing discrimination and fostering an inclusive working environment. Tata Steel UK has implemented diversity and inclusion policies to support fairness in recruitment, development and promotion (Tata Steel UK, 2026d). These initiatives contribute to improved employee morale and productivity, as well as enhancing the organisation’s reputation. However, achieving true equality in practice can be challenging, particularly in traditionally industrial sectors. This demonstrates that ethical commitments must be actively managed through monitoring and continuous improvement rather than simply stated in policy.</w:t>
      </w:r>
    </w:p>
    <w:p w14:paraId="7AAF0739" w14:textId="77777777" w:rsidR="003C5762" w:rsidRPr="003861AA" w:rsidRDefault="003C5762" w:rsidP="003405D1">
      <w:pPr>
        <w:spacing w:line="360" w:lineRule="auto"/>
        <w:rPr>
          <w:rFonts w:ascii="Arial" w:hAnsi="Arial" w:cs="Arial"/>
        </w:rPr>
      </w:pPr>
      <w:r w:rsidRPr="003861AA">
        <w:rPr>
          <w:rFonts w:ascii="Arial" w:hAnsi="Arial" w:cs="Arial"/>
        </w:rPr>
        <w:t>A further important aspect of business ethics is environmental responsibility, particularly in industries with significant environmental impact (LexisNexis, 2026e). Steel production is energy-intensive and associated with high carbon emissions, making environmental management a key ethical issue. Tata Steel has developed sustainability strategies aimed at reducing emissions, improving energy efficiency and minimising waste (Tata Steel UK, 2026e). These initiatives demonstrate a commitment to long-term environmental stewardship. However, they also highlight a key ethical challenge: balancing environmental responsibility with economic performance. Investment in cleaner technologies can be costly, and organisations must weigh short-term financial impacts against long-term sustainability. This illustrates that ethical decision-making often involves complex trade-offs rather than straightforward compliance.</w:t>
      </w:r>
    </w:p>
    <w:p w14:paraId="27B50BDF" w14:textId="77777777" w:rsidR="003C5762" w:rsidRPr="003861AA" w:rsidRDefault="003C5762" w:rsidP="003405D1">
      <w:pPr>
        <w:spacing w:line="360" w:lineRule="auto"/>
        <w:rPr>
          <w:rFonts w:ascii="Arial" w:hAnsi="Arial" w:cs="Arial"/>
        </w:rPr>
      </w:pPr>
      <w:r w:rsidRPr="003861AA">
        <w:rPr>
          <w:rFonts w:ascii="Arial" w:hAnsi="Arial" w:cs="Arial"/>
        </w:rPr>
        <w:lastRenderedPageBreak/>
        <w:t>Ethical practices are also essential for maintaining trust and organisational reputation, which are critical to business success (LexisNexis, 2026f). Organisations that demonstrate ethical behaviour are more likely to build positive relationships with stakeholders, including customers, regulators and local communities. Tata Steel engages with communities through transparent communication and responsible practices (Tata Steel UK, 2026f). However, in modern business environments, reputational risks are significant, and ethical failures can quickly result in negative publicity and financial consequences. This highlights that ethics function not only as a moral framework but also as a key component of risk management.</w:t>
      </w:r>
    </w:p>
    <w:p w14:paraId="67952EB8" w14:textId="77777777" w:rsidR="003C5762" w:rsidRPr="003861AA" w:rsidRDefault="003C5762" w:rsidP="003405D1">
      <w:pPr>
        <w:spacing w:line="360" w:lineRule="auto"/>
        <w:rPr>
          <w:rFonts w:ascii="Arial" w:hAnsi="Arial" w:cs="Arial"/>
        </w:rPr>
      </w:pPr>
      <w:r w:rsidRPr="003861AA">
        <w:rPr>
          <w:rFonts w:ascii="Arial" w:hAnsi="Arial" w:cs="Arial"/>
        </w:rPr>
        <w:t>Ethics also guide decision-making in complex situations, where legal rules may not provide clear answers (LexisNexis, 2026g). In such cases, ethical frameworks encourage organisations to consider the wider impact of their actions on society and the environment. At Tata Steel, decisions relating to investment, production methods and innovation require balancing economic objectives with ethical responsibilities (Tata Steel UK, 2026e). For example, investing in environmentally sustainable technologies may increase short-term costs but aligns with long-term ethical commitments. This demonstrates that ethical reasoning supports strategic decision-making by encouraging organisations to adopt a long-term perspective.</w:t>
      </w:r>
    </w:p>
    <w:p w14:paraId="612E3856" w14:textId="77777777" w:rsidR="003C5762" w:rsidRPr="003861AA" w:rsidRDefault="003C5762" w:rsidP="003405D1">
      <w:pPr>
        <w:spacing w:line="360" w:lineRule="auto"/>
        <w:rPr>
          <w:rFonts w:ascii="Arial" w:hAnsi="Arial" w:cs="Arial"/>
        </w:rPr>
      </w:pPr>
      <w:r w:rsidRPr="003861AA">
        <w:rPr>
          <w:rFonts w:ascii="Arial" w:hAnsi="Arial" w:cs="Arial"/>
        </w:rPr>
        <w:t>In addition, business ethics contribute to effective risk management and organisational stability (LexisNexis, 2026h). Ethical organisations implement internal controls such as audits, compliance systems and monitoring procedures to identify potential risks. Tata Steel uses internal frameworks to ensure adherence to both legal and ethical standards (Tata Steel UK, 2026g). This proactive approach reduces the likelihood of misconduct and supports operational efficiency. It also demonstrates that ethical behaviour is closely linked to organisational resilience.</w:t>
      </w:r>
    </w:p>
    <w:p w14:paraId="45341FDF" w14:textId="77777777" w:rsidR="003C5762" w:rsidRPr="003861AA" w:rsidRDefault="003C5762" w:rsidP="003405D1">
      <w:pPr>
        <w:spacing w:line="360" w:lineRule="auto"/>
        <w:rPr>
          <w:rFonts w:ascii="Arial" w:hAnsi="Arial" w:cs="Arial"/>
        </w:rPr>
      </w:pPr>
      <w:r w:rsidRPr="003861AA">
        <w:rPr>
          <w:rFonts w:ascii="Arial" w:hAnsi="Arial" w:cs="Arial"/>
        </w:rPr>
        <w:t>Finally, business ethics support long-term sustainability and competitive advantage (LexisNexis, 2026i). Organisations that act ethically are more likely to attract investment, retain skilled employees and maintain customer loyalty. Tata Steel’s commitment to ethical practices ensures alignment with stakeholder expectations and regulatory requirements (Tata Steel UK, 2026h). This shows that ethics are not only a moral consideration but also a strategic asset in modern business environments.</w:t>
      </w:r>
    </w:p>
    <w:p w14:paraId="7BB785AD" w14:textId="77777777" w:rsidR="003C5762" w:rsidRPr="003861AA" w:rsidRDefault="003C5762" w:rsidP="003405D1">
      <w:pPr>
        <w:spacing w:line="360" w:lineRule="auto"/>
        <w:rPr>
          <w:rFonts w:ascii="Arial" w:hAnsi="Arial" w:cs="Arial"/>
        </w:rPr>
      </w:pPr>
      <w:r w:rsidRPr="003861AA">
        <w:rPr>
          <w:rFonts w:ascii="Arial" w:hAnsi="Arial" w:cs="Arial"/>
        </w:rPr>
        <w:lastRenderedPageBreak/>
        <w:t>In conclusion, business ethics play a fundamental role in guiding responsible organisational behaviour. Within Tata Steel UK, ethical principles are embedded across areas such as governance, safety, environmental management and stakeholder engagement. While ethical challenges and trade-offs exist, particularly between profitability and responsibility, organisations that prioritise ethics alongside legal compliance are better positioned to achieve long-term success. Ultimately, business ethics provide a framework for managing complex decisions, reducing risk and maintaining trust, making them essential in contemporary industrial operations.</w:t>
      </w:r>
    </w:p>
    <w:p w14:paraId="22402316" w14:textId="77777777" w:rsidR="00284F2D" w:rsidRPr="002846B3" w:rsidRDefault="00284F2D" w:rsidP="002846B3">
      <w:pPr>
        <w:spacing w:line="360" w:lineRule="auto"/>
        <w:rPr>
          <w:rFonts w:ascii="Arial" w:hAnsi="Arial" w:cs="Arial"/>
        </w:rPr>
      </w:pPr>
    </w:p>
    <w:p w14:paraId="4190CCA1" w14:textId="77777777" w:rsidR="007F0782" w:rsidRPr="00816A34" w:rsidRDefault="007F0782" w:rsidP="00816A34">
      <w:pPr>
        <w:rPr>
          <w:rFonts w:ascii="Arial" w:hAnsi="Arial" w:cs="Arial"/>
        </w:rPr>
      </w:pPr>
    </w:p>
    <w:p w14:paraId="026C3D60" w14:textId="77777777" w:rsidR="00A0725A" w:rsidRPr="00E57E10" w:rsidRDefault="00A0725A">
      <w:pPr>
        <w:rPr>
          <w:rFonts w:ascii="Arial" w:hAnsi="Arial" w:cs="Arial"/>
        </w:rPr>
      </w:pPr>
    </w:p>
    <w:p w14:paraId="496E7192" w14:textId="77777777" w:rsidR="00A0725A" w:rsidRPr="00E57E10" w:rsidRDefault="00A0725A">
      <w:pPr>
        <w:rPr>
          <w:rFonts w:ascii="Arial" w:hAnsi="Arial" w:cs="Arial"/>
        </w:rPr>
      </w:pPr>
    </w:p>
    <w:p w14:paraId="207A3E2B" w14:textId="77777777" w:rsidR="00A0725A" w:rsidRPr="00E57E10" w:rsidRDefault="00A0725A">
      <w:pPr>
        <w:rPr>
          <w:rFonts w:ascii="Arial" w:hAnsi="Arial" w:cs="Arial"/>
        </w:rPr>
      </w:pPr>
    </w:p>
    <w:p w14:paraId="4D34CDDF" w14:textId="77777777" w:rsidR="00A0725A" w:rsidRPr="00E57E10" w:rsidRDefault="00A0725A">
      <w:pPr>
        <w:rPr>
          <w:rFonts w:ascii="Arial" w:hAnsi="Arial" w:cs="Arial"/>
        </w:rPr>
      </w:pPr>
    </w:p>
    <w:p w14:paraId="64FC3036" w14:textId="77777777" w:rsidR="00A0725A" w:rsidRPr="00E57E10" w:rsidRDefault="00A0725A">
      <w:pPr>
        <w:rPr>
          <w:rFonts w:ascii="Arial" w:hAnsi="Arial" w:cs="Arial"/>
        </w:rPr>
      </w:pPr>
    </w:p>
    <w:p w14:paraId="5A4FF060" w14:textId="77777777" w:rsidR="00A0725A" w:rsidRPr="00E57E10" w:rsidRDefault="00A0725A">
      <w:pPr>
        <w:rPr>
          <w:rFonts w:ascii="Arial" w:hAnsi="Arial" w:cs="Arial"/>
        </w:rPr>
      </w:pPr>
    </w:p>
    <w:p w14:paraId="004987B8" w14:textId="77777777" w:rsidR="00A0725A" w:rsidRPr="00E57E10" w:rsidRDefault="00A0725A">
      <w:pPr>
        <w:rPr>
          <w:rFonts w:ascii="Arial" w:hAnsi="Arial" w:cs="Arial"/>
        </w:rPr>
      </w:pPr>
    </w:p>
    <w:p w14:paraId="2F0E8242" w14:textId="77777777" w:rsidR="00A0725A" w:rsidRPr="00E57E10" w:rsidRDefault="00A0725A">
      <w:pPr>
        <w:rPr>
          <w:rFonts w:ascii="Arial" w:hAnsi="Arial" w:cs="Arial"/>
        </w:rPr>
      </w:pPr>
    </w:p>
    <w:p w14:paraId="744BD31A" w14:textId="77777777" w:rsidR="00A0725A" w:rsidRPr="00E57E10" w:rsidRDefault="00A0725A">
      <w:pPr>
        <w:rPr>
          <w:rFonts w:ascii="Arial" w:hAnsi="Arial" w:cs="Arial"/>
        </w:rPr>
      </w:pPr>
    </w:p>
    <w:p w14:paraId="274C2870" w14:textId="77777777" w:rsidR="00A0725A" w:rsidRPr="00E57E10" w:rsidRDefault="00A0725A">
      <w:pPr>
        <w:rPr>
          <w:rFonts w:ascii="Arial" w:hAnsi="Arial" w:cs="Arial"/>
        </w:rPr>
      </w:pPr>
    </w:p>
    <w:p w14:paraId="42002B5E" w14:textId="77777777" w:rsidR="00A0725A" w:rsidRPr="00E57E10" w:rsidRDefault="00A0725A">
      <w:pPr>
        <w:rPr>
          <w:rFonts w:ascii="Arial" w:hAnsi="Arial" w:cs="Arial"/>
        </w:rPr>
      </w:pPr>
    </w:p>
    <w:p w14:paraId="7C759923" w14:textId="77777777" w:rsidR="00A0725A" w:rsidRDefault="00A0725A">
      <w:pPr>
        <w:rPr>
          <w:rFonts w:ascii="Arial" w:hAnsi="Arial" w:cs="Arial"/>
        </w:rPr>
      </w:pPr>
    </w:p>
    <w:p w14:paraId="547CC3D6" w14:textId="77777777" w:rsidR="005611CF" w:rsidRDefault="005611CF">
      <w:pPr>
        <w:rPr>
          <w:rFonts w:ascii="Arial" w:hAnsi="Arial" w:cs="Arial"/>
        </w:rPr>
      </w:pPr>
    </w:p>
    <w:p w14:paraId="14F1F7EA" w14:textId="77777777" w:rsidR="005611CF" w:rsidRDefault="005611CF">
      <w:pPr>
        <w:rPr>
          <w:rFonts w:ascii="Arial" w:hAnsi="Arial" w:cs="Arial"/>
        </w:rPr>
      </w:pPr>
    </w:p>
    <w:p w14:paraId="21B39DCD" w14:textId="77777777" w:rsidR="005611CF" w:rsidRDefault="005611CF">
      <w:pPr>
        <w:rPr>
          <w:rFonts w:ascii="Arial" w:hAnsi="Arial" w:cs="Arial"/>
        </w:rPr>
      </w:pPr>
    </w:p>
    <w:p w14:paraId="7ACB3A62" w14:textId="77777777" w:rsidR="005611CF" w:rsidRDefault="005611CF">
      <w:pPr>
        <w:rPr>
          <w:rFonts w:ascii="Arial" w:hAnsi="Arial" w:cs="Arial"/>
        </w:rPr>
      </w:pPr>
    </w:p>
    <w:p w14:paraId="4369AE22" w14:textId="77777777" w:rsidR="005611CF" w:rsidRPr="00E57E10" w:rsidRDefault="005611CF">
      <w:pPr>
        <w:rPr>
          <w:rFonts w:ascii="Arial" w:hAnsi="Arial" w:cs="Arial"/>
        </w:rPr>
      </w:pPr>
    </w:p>
    <w:p w14:paraId="05E43CB2" w14:textId="77777777" w:rsidR="003405D1" w:rsidRDefault="003405D1" w:rsidP="00A0725A">
      <w:pPr>
        <w:pStyle w:val="Heading1"/>
        <w:rPr>
          <w:rFonts w:ascii="Arial" w:hAnsi="Arial" w:cs="Arial"/>
        </w:rPr>
      </w:pPr>
      <w:bookmarkStart w:id="6" w:name="_Toc231546745"/>
    </w:p>
    <w:p w14:paraId="3C9D0C5D" w14:textId="77777777" w:rsidR="003405D1" w:rsidRPr="003405D1" w:rsidRDefault="003405D1" w:rsidP="003405D1"/>
    <w:p w14:paraId="323877C7" w14:textId="2A19B9FA" w:rsidR="00A0725A" w:rsidRPr="00E57E10" w:rsidRDefault="00A0725A" w:rsidP="00A0725A">
      <w:pPr>
        <w:pStyle w:val="Heading1"/>
        <w:rPr>
          <w:rFonts w:ascii="Arial" w:hAnsi="Arial" w:cs="Arial"/>
        </w:rPr>
      </w:pPr>
      <w:r w:rsidRPr="00E57E10">
        <w:rPr>
          <w:rFonts w:ascii="Arial" w:hAnsi="Arial" w:cs="Arial"/>
        </w:rPr>
        <w:lastRenderedPageBreak/>
        <w:t>Reference List</w:t>
      </w:r>
      <w:bookmarkEnd w:id="6"/>
      <w:r w:rsidRPr="00E57E10">
        <w:rPr>
          <w:rFonts w:ascii="Arial" w:hAnsi="Arial" w:cs="Arial"/>
        </w:rPr>
        <w:t xml:space="preserve"> </w:t>
      </w:r>
    </w:p>
    <w:p w14:paraId="7877A2C0" w14:textId="77777777" w:rsidR="00786BF5" w:rsidRPr="00786BF5" w:rsidRDefault="00786BF5" w:rsidP="003405D1">
      <w:pPr>
        <w:spacing w:line="360" w:lineRule="auto"/>
        <w:rPr>
          <w:rFonts w:ascii="Arial" w:hAnsi="Arial" w:cs="Arial"/>
        </w:rPr>
      </w:pPr>
      <w:r w:rsidRPr="00786BF5">
        <w:rPr>
          <w:rFonts w:ascii="Arial" w:hAnsi="Arial" w:cs="Arial"/>
        </w:rPr>
        <w:t xml:space="preserve">Bailii (1795) </w:t>
      </w:r>
      <w:r w:rsidRPr="00786BF5">
        <w:rPr>
          <w:rFonts w:ascii="Arial" w:hAnsi="Arial" w:cs="Arial"/>
          <w:i/>
          <w:iCs/>
        </w:rPr>
        <w:t>Cutter v Powell</w:t>
      </w:r>
      <w:r w:rsidRPr="00786BF5">
        <w:rPr>
          <w:rFonts w:ascii="Arial" w:hAnsi="Arial" w:cs="Arial"/>
        </w:rPr>
        <w:t xml:space="preserve"> (1795) 6 TR 320. Available at: http://www.bailii.org (Accessed: 2 June 2026).</w:t>
      </w:r>
    </w:p>
    <w:p w14:paraId="20AB892D" w14:textId="77777777" w:rsidR="00786BF5" w:rsidRPr="00786BF5" w:rsidRDefault="00786BF5" w:rsidP="003405D1">
      <w:pPr>
        <w:spacing w:line="360" w:lineRule="auto"/>
        <w:rPr>
          <w:rFonts w:ascii="Arial" w:hAnsi="Arial" w:cs="Arial"/>
        </w:rPr>
      </w:pPr>
      <w:r w:rsidRPr="00786BF5">
        <w:rPr>
          <w:rFonts w:ascii="Arial" w:hAnsi="Arial" w:cs="Arial"/>
          <w:lang w:val="fr-FR"/>
        </w:rPr>
        <w:t xml:space="preserve">Bailii (1853) </w:t>
      </w:r>
      <w:r w:rsidRPr="00786BF5">
        <w:rPr>
          <w:rFonts w:ascii="Arial" w:hAnsi="Arial" w:cs="Arial"/>
          <w:i/>
          <w:iCs/>
          <w:lang w:val="fr-FR"/>
        </w:rPr>
        <w:t>Hochster v De la Tour</w:t>
      </w:r>
      <w:r w:rsidRPr="00786BF5">
        <w:rPr>
          <w:rFonts w:ascii="Arial" w:hAnsi="Arial" w:cs="Arial"/>
          <w:lang w:val="fr-FR"/>
        </w:rPr>
        <w:t xml:space="preserve"> (1853) 2 E &amp; B 678. </w:t>
      </w:r>
      <w:r w:rsidRPr="00786BF5">
        <w:rPr>
          <w:rFonts w:ascii="Arial" w:hAnsi="Arial" w:cs="Arial"/>
        </w:rPr>
        <w:t>Available at: http://www.bailii.org (Accessed: 2 June 2026).</w:t>
      </w:r>
    </w:p>
    <w:p w14:paraId="591D688F" w14:textId="77777777" w:rsidR="00786BF5" w:rsidRPr="00786BF5" w:rsidRDefault="00786BF5" w:rsidP="003405D1">
      <w:pPr>
        <w:spacing w:line="360" w:lineRule="auto"/>
        <w:rPr>
          <w:rFonts w:ascii="Arial" w:hAnsi="Arial" w:cs="Arial"/>
        </w:rPr>
      </w:pPr>
      <w:r w:rsidRPr="00786BF5">
        <w:rPr>
          <w:rFonts w:ascii="Arial" w:hAnsi="Arial" w:cs="Arial"/>
          <w:lang w:val="fr-FR"/>
        </w:rPr>
        <w:t xml:space="preserve">Bailii (1876a) </w:t>
      </w:r>
      <w:r w:rsidRPr="00786BF5">
        <w:rPr>
          <w:rFonts w:ascii="Arial" w:hAnsi="Arial" w:cs="Arial"/>
          <w:i/>
          <w:iCs/>
          <w:lang w:val="fr-FR"/>
        </w:rPr>
        <w:t>Poussard v Spiers</w:t>
      </w:r>
      <w:r w:rsidRPr="00786BF5">
        <w:rPr>
          <w:rFonts w:ascii="Arial" w:hAnsi="Arial" w:cs="Arial"/>
          <w:lang w:val="fr-FR"/>
        </w:rPr>
        <w:t xml:space="preserve"> (1876) 1 QBD 410. </w:t>
      </w:r>
      <w:r w:rsidRPr="00786BF5">
        <w:rPr>
          <w:rFonts w:ascii="Arial" w:hAnsi="Arial" w:cs="Arial"/>
        </w:rPr>
        <w:t>Available at: http://www.bailii.org (Accessed: 2 June 2026).</w:t>
      </w:r>
    </w:p>
    <w:p w14:paraId="584127C4" w14:textId="77777777" w:rsidR="00786BF5" w:rsidRPr="00786BF5" w:rsidRDefault="00786BF5" w:rsidP="003405D1">
      <w:pPr>
        <w:spacing w:line="360" w:lineRule="auto"/>
        <w:rPr>
          <w:rFonts w:ascii="Arial" w:hAnsi="Arial" w:cs="Arial"/>
        </w:rPr>
      </w:pPr>
      <w:r w:rsidRPr="00786BF5">
        <w:rPr>
          <w:rFonts w:ascii="Arial" w:hAnsi="Arial" w:cs="Arial"/>
        </w:rPr>
        <w:t xml:space="preserve">Bailii (1876b) </w:t>
      </w:r>
      <w:r w:rsidRPr="00786BF5">
        <w:rPr>
          <w:rFonts w:ascii="Arial" w:hAnsi="Arial" w:cs="Arial"/>
          <w:i/>
          <w:iCs/>
        </w:rPr>
        <w:t>Bettini v Gye</w:t>
      </w:r>
      <w:r w:rsidRPr="00786BF5">
        <w:rPr>
          <w:rFonts w:ascii="Arial" w:hAnsi="Arial" w:cs="Arial"/>
        </w:rPr>
        <w:t xml:space="preserve"> (1876) 1 QBD 183. Available at: http://www.bailii.org (Accessed: 2 June 2026).</w:t>
      </w:r>
    </w:p>
    <w:p w14:paraId="569F60AB" w14:textId="77777777" w:rsidR="00786BF5" w:rsidRPr="00786BF5" w:rsidRDefault="00786BF5" w:rsidP="003405D1">
      <w:pPr>
        <w:spacing w:line="360" w:lineRule="auto"/>
        <w:rPr>
          <w:rFonts w:ascii="Arial" w:hAnsi="Arial" w:cs="Arial"/>
        </w:rPr>
      </w:pPr>
      <w:r w:rsidRPr="00786BF5">
        <w:rPr>
          <w:rFonts w:ascii="Arial" w:hAnsi="Arial" w:cs="Arial"/>
        </w:rPr>
        <w:t xml:space="preserve">Bailii (1881) </w:t>
      </w:r>
      <w:r w:rsidRPr="00786BF5">
        <w:rPr>
          <w:rFonts w:ascii="Arial" w:hAnsi="Arial" w:cs="Arial"/>
          <w:i/>
          <w:iCs/>
        </w:rPr>
        <w:t>Mackay v Dick</w:t>
      </w:r>
      <w:r w:rsidRPr="00786BF5">
        <w:rPr>
          <w:rFonts w:ascii="Arial" w:hAnsi="Arial" w:cs="Arial"/>
        </w:rPr>
        <w:t xml:space="preserve"> (1881) 6 App Cas 251. Available at: http://www.bailii.org (Accessed: 2 June 2026).</w:t>
      </w:r>
    </w:p>
    <w:p w14:paraId="3B4C717D" w14:textId="77777777" w:rsidR="00786BF5" w:rsidRPr="00786BF5" w:rsidRDefault="00786BF5" w:rsidP="003405D1">
      <w:pPr>
        <w:spacing w:line="360" w:lineRule="auto"/>
        <w:rPr>
          <w:rFonts w:ascii="Arial" w:hAnsi="Arial" w:cs="Arial"/>
        </w:rPr>
      </w:pPr>
      <w:r w:rsidRPr="00786BF5">
        <w:rPr>
          <w:rFonts w:ascii="Arial" w:hAnsi="Arial" w:cs="Arial"/>
        </w:rPr>
        <w:t xml:space="preserve">Bailii (1972) </w:t>
      </w:r>
      <w:r w:rsidRPr="00786BF5">
        <w:rPr>
          <w:rFonts w:ascii="Arial" w:hAnsi="Arial" w:cs="Arial"/>
          <w:i/>
          <w:iCs/>
        </w:rPr>
        <w:t>Bolton v Mahadeva</w:t>
      </w:r>
      <w:r w:rsidRPr="00786BF5">
        <w:rPr>
          <w:rFonts w:ascii="Arial" w:hAnsi="Arial" w:cs="Arial"/>
        </w:rPr>
        <w:t xml:space="preserve"> [1972] 1 WLR 1009. Available at: http://www.bailii.org (Accessed: 2 June 2026).</w:t>
      </w:r>
    </w:p>
    <w:p w14:paraId="7EAA9B6D"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 </w:t>
      </w:r>
      <w:r w:rsidRPr="00786BF5">
        <w:rPr>
          <w:rFonts w:ascii="Arial" w:hAnsi="Arial" w:cs="Arial"/>
          <w:i/>
          <w:iCs/>
        </w:rPr>
        <w:t>Breach of Contract Overview</w:t>
      </w:r>
      <w:r w:rsidRPr="00786BF5">
        <w:rPr>
          <w:rFonts w:ascii="Arial" w:hAnsi="Arial" w:cs="Arial"/>
        </w:rPr>
        <w:t>. Available via LexisNexis database (Accessed: 2 June 2026).</w:t>
      </w:r>
    </w:p>
    <w:p w14:paraId="7219AEB0"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 </w:t>
      </w:r>
      <w:r w:rsidRPr="00786BF5">
        <w:rPr>
          <w:rFonts w:ascii="Arial" w:hAnsi="Arial" w:cs="Arial"/>
          <w:i/>
          <w:iCs/>
        </w:rPr>
        <w:t>Regulatory Compliance and Industrial Permits</w:t>
      </w:r>
      <w:r w:rsidRPr="00786BF5">
        <w:rPr>
          <w:rFonts w:ascii="Arial" w:hAnsi="Arial" w:cs="Arial"/>
        </w:rPr>
        <w:t>. Available via LexisNexis database (Accessed: 11 June 2026).</w:t>
      </w:r>
    </w:p>
    <w:p w14:paraId="5E4F8D26"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(2026a) </w:t>
      </w:r>
      <w:r w:rsidRPr="00786BF5">
        <w:rPr>
          <w:rFonts w:ascii="Arial" w:hAnsi="Arial" w:cs="Arial"/>
          <w:i/>
          <w:iCs/>
        </w:rPr>
        <w:t>Corporate Governance and Ethical Standards</w:t>
      </w:r>
      <w:r w:rsidRPr="00786BF5">
        <w:rPr>
          <w:rFonts w:ascii="Arial" w:hAnsi="Arial" w:cs="Arial"/>
        </w:rPr>
        <w:t>. Available via LexisNexis database (Accessed: 11 June 2026).</w:t>
      </w:r>
    </w:p>
    <w:p w14:paraId="2CE6C458"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(2026b) </w:t>
      </w:r>
      <w:r w:rsidRPr="00786BF5">
        <w:rPr>
          <w:rFonts w:ascii="Arial" w:hAnsi="Arial" w:cs="Arial"/>
          <w:i/>
          <w:iCs/>
        </w:rPr>
        <w:t>Regulatory Compliance and Business Ethics</w:t>
      </w:r>
      <w:r w:rsidRPr="00786BF5">
        <w:rPr>
          <w:rFonts w:ascii="Arial" w:hAnsi="Arial" w:cs="Arial"/>
        </w:rPr>
        <w:t>. Available via LexisNexis database (Accessed: 11 June 2026).</w:t>
      </w:r>
    </w:p>
    <w:p w14:paraId="2C074022"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(2026c) </w:t>
      </w:r>
      <w:r w:rsidRPr="00786BF5">
        <w:rPr>
          <w:rFonts w:ascii="Arial" w:hAnsi="Arial" w:cs="Arial"/>
          <w:i/>
          <w:iCs/>
        </w:rPr>
        <w:t>Health and Safety Duties of Employers</w:t>
      </w:r>
      <w:r w:rsidRPr="00786BF5">
        <w:rPr>
          <w:rFonts w:ascii="Arial" w:hAnsi="Arial" w:cs="Arial"/>
        </w:rPr>
        <w:t>. Available via LexisNexis database (Accessed: 11 June 2026).</w:t>
      </w:r>
    </w:p>
    <w:p w14:paraId="2D341BDD"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(2026d) </w:t>
      </w:r>
      <w:r w:rsidRPr="00786BF5">
        <w:rPr>
          <w:rFonts w:ascii="Arial" w:hAnsi="Arial" w:cs="Arial"/>
          <w:i/>
          <w:iCs/>
        </w:rPr>
        <w:t>Equality, Diversity and Ethical Employment Practices</w:t>
      </w:r>
      <w:r w:rsidRPr="00786BF5">
        <w:rPr>
          <w:rFonts w:ascii="Arial" w:hAnsi="Arial" w:cs="Arial"/>
        </w:rPr>
        <w:t>. Available via LexisNexis database (Accessed: 11 June 2026).</w:t>
      </w:r>
    </w:p>
    <w:p w14:paraId="431DBA03"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(2026e) </w:t>
      </w:r>
      <w:r w:rsidRPr="00786BF5">
        <w:rPr>
          <w:rFonts w:ascii="Arial" w:hAnsi="Arial" w:cs="Arial"/>
          <w:i/>
          <w:iCs/>
        </w:rPr>
        <w:t>Environmental Responsibility and Corporate Ethics</w:t>
      </w:r>
      <w:r w:rsidRPr="00786BF5">
        <w:rPr>
          <w:rFonts w:ascii="Arial" w:hAnsi="Arial" w:cs="Arial"/>
        </w:rPr>
        <w:t>. Available via LexisNexis database (Accessed: 11 June 2026).</w:t>
      </w:r>
    </w:p>
    <w:p w14:paraId="6675DEED" w14:textId="77777777" w:rsidR="00786BF5" w:rsidRPr="00786BF5" w:rsidRDefault="00786BF5" w:rsidP="003405D1">
      <w:pPr>
        <w:spacing w:line="360" w:lineRule="auto"/>
        <w:rPr>
          <w:rFonts w:ascii="Arial" w:hAnsi="Arial" w:cs="Arial"/>
        </w:rPr>
      </w:pPr>
      <w:r w:rsidRPr="00786BF5">
        <w:rPr>
          <w:rFonts w:ascii="Arial" w:hAnsi="Arial" w:cs="Arial"/>
        </w:rPr>
        <w:lastRenderedPageBreak/>
        <w:t xml:space="preserve">LexisNexis Ltd (2026f) </w:t>
      </w:r>
      <w:r w:rsidRPr="00786BF5">
        <w:rPr>
          <w:rFonts w:ascii="Arial" w:hAnsi="Arial" w:cs="Arial"/>
          <w:i/>
          <w:iCs/>
        </w:rPr>
        <w:t>Reputation Management and Ethical Conduct</w:t>
      </w:r>
      <w:r w:rsidRPr="00786BF5">
        <w:rPr>
          <w:rFonts w:ascii="Arial" w:hAnsi="Arial" w:cs="Arial"/>
        </w:rPr>
        <w:t>. Available via LexisNexis database (Accessed: 11 June 2026).</w:t>
      </w:r>
    </w:p>
    <w:p w14:paraId="52F62222"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(2026g) </w:t>
      </w:r>
      <w:r w:rsidRPr="00786BF5">
        <w:rPr>
          <w:rFonts w:ascii="Arial" w:hAnsi="Arial" w:cs="Arial"/>
          <w:i/>
          <w:iCs/>
        </w:rPr>
        <w:t>Ethical Decision-Making in Business</w:t>
      </w:r>
      <w:r w:rsidRPr="00786BF5">
        <w:rPr>
          <w:rFonts w:ascii="Arial" w:hAnsi="Arial" w:cs="Arial"/>
        </w:rPr>
        <w:t>. Available via LexisNexis database (Accessed: 11 June 2026).</w:t>
      </w:r>
    </w:p>
    <w:p w14:paraId="47884BBE"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(2026h) </w:t>
      </w:r>
      <w:r w:rsidRPr="00786BF5">
        <w:rPr>
          <w:rFonts w:ascii="Arial" w:hAnsi="Arial" w:cs="Arial"/>
          <w:i/>
          <w:iCs/>
        </w:rPr>
        <w:t>Risk Management and Compliance Frameworks</w:t>
      </w:r>
      <w:r w:rsidRPr="00786BF5">
        <w:rPr>
          <w:rFonts w:ascii="Arial" w:hAnsi="Arial" w:cs="Arial"/>
        </w:rPr>
        <w:t>. Available via LexisNexis database (Accessed: 11 June 2026).</w:t>
      </w:r>
    </w:p>
    <w:p w14:paraId="52CE863F" w14:textId="77777777" w:rsidR="00786BF5" w:rsidRPr="00786BF5" w:rsidRDefault="00786BF5" w:rsidP="003405D1">
      <w:pPr>
        <w:spacing w:line="360" w:lineRule="auto"/>
        <w:rPr>
          <w:rFonts w:ascii="Arial" w:hAnsi="Arial" w:cs="Arial"/>
        </w:rPr>
      </w:pPr>
      <w:r w:rsidRPr="00786BF5">
        <w:rPr>
          <w:rFonts w:ascii="Arial" w:hAnsi="Arial" w:cs="Arial"/>
        </w:rPr>
        <w:t xml:space="preserve">LexisNexis Ltd (2026i) </w:t>
      </w:r>
      <w:r w:rsidRPr="00786BF5">
        <w:rPr>
          <w:rFonts w:ascii="Arial" w:hAnsi="Arial" w:cs="Arial"/>
          <w:i/>
          <w:iCs/>
        </w:rPr>
        <w:t>Sustainable Business and Ethics</w:t>
      </w:r>
      <w:r w:rsidRPr="00786BF5">
        <w:rPr>
          <w:rFonts w:ascii="Arial" w:hAnsi="Arial" w:cs="Arial"/>
        </w:rPr>
        <w:t>. Available via LexisNexis database (Accessed: 11 June 2026).</w:t>
      </w:r>
    </w:p>
    <w:p w14:paraId="58011100" w14:textId="77777777" w:rsidR="00786BF5" w:rsidRPr="00786BF5" w:rsidRDefault="00786BF5" w:rsidP="003405D1">
      <w:pPr>
        <w:spacing w:line="360" w:lineRule="auto"/>
        <w:rPr>
          <w:rFonts w:ascii="Arial" w:hAnsi="Arial" w:cs="Arial"/>
        </w:rPr>
      </w:pPr>
      <w:r w:rsidRPr="00786BF5">
        <w:rPr>
          <w:rFonts w:ascii="Arial" w:hAnsi="Arial" w:cs="Arial"/>
        </w:rPr>
        <w:t xml:space="preserve">Tata Steel UK Ltd (2026a) </w:t>
      </w:r>
      <w:r w:rsidRPr="00786BF5">
        <w:rPr>
          <w:rFonts w:ascii="Arial" w:hAnsi="Arial" w:cs="Arial"/>
          <w:i/>
          <w:iCs/>
        </w:rPr>
        <w:t>Tata Code of Conduct</w:t>
      </w:r>
      <w:r w:rsidRPr="00786BF5">
        <w:rPr>
          <w:rFonts w:ascii="Arial" w:hAnsi="Arial" w:cs="Arial"/>
        </w:rPr>
        <w:t>. Available via company resources (Accessed: 11 June 2026).</w:t>
      </w:r>
    </w:p>
    <w:p w14:paraId="3BF61F57" w14:textId="77777777" w:rsidR="00786BF5" w:rsidRPr="00786BF5" w:rsidRDefault="00786BF5" w:rsidP="003405D1">
      <w:pPr>
        <w:spacing w:line="360" w:lineRule="auto"/>
        <w:rPr>
          <w:rFonts w:ascii="Arial" w:hAnsi="Arial" w:cs="Arial"/>
        </w:rPr>
      </w:pPr>
      <w:r w:rsidRPr="00786BF5">
        <w:rPr>
          <w:rFonts w:ascii="Arial" w:hAnsi="Arial" w:cs="Arial"/>
        </w:rPr>
        <w:t xml:space="preserve">Tata Steel UK Ltd (2026b) </w:t>
      </w:r>
      <w:r w:rsidRPr="00786BF5">
        <w:rPr>
          <w:rFonts w:ascii="Arial" w:hAnsi="Arial" w:cs="Arial"/>
          <w:i/>
          <w:iCs/>
        </w:rPr>
        <w:t>Environmental Policies and Compliance Standards</w:t>
      </w:r>
      <w:r w:rsidRPr="00786BF5">
        <w:rPr>
          <w:rFonts w:ascii="Arial" w:hAnsi="Arial" w:cs="Arial"/>
        </w:rPr>
        <w:t>. Available via company resources (Accessed: 11 June 2026).</w:t>
      </w:r>
    </w:p>
    <w:p w14:paraId="6C1D2D7C" w14:textId="77777777" w:rsidR="00786BF5" w:rsidRPr="00786BF5" w:rsidRDefault="00786BF5" w:rsidP="003405D1">
      <w:pPr>
        <w:spacing w:line="360" w:lineRule="auto"/>
        <w:rPr>
          <w:rFonts w:ascii="Arial" w:hAnsi="Arial" w:cs="Arial"/>
        </w:rPr>
      </w:pPr>
      <w:r w:rsidRPr="00786BF5">
        <w:rPr>
          <w:rFonts w:ascii="Arial" w:hAnsi="Arial" w:cs="Arial"/>
        </w:rPr>
        <w:t xml:space="preserve">Tata Steel UK Ltd (2026c) </w:t>
      </w:r>
      <w:r w:rsidRPr="00786BF5">
        <w:rPr>
          <w:rFonts w:ascii="Arial" w:hAnsi="Arial" w:cs="Arial"/>
          <w:i/>
          <w:iCs/>
        </w:rPr>
        <w:t>Health and Safety Procedures</w:t>
      </w:r>
      <w:r w:rsidRPr="00786BF5">
        <w:rPr>
          <w:rFonts w:ascii="Arial" w:hAnsi="Arial" w:cs="Arial"/>
        </w:rPr>
        <w:t>. Available via company resources (Accessed: 11 June 2026).</w:t>
      </w:r>
    </w:p>
    <w:p w14:paraId="3666E8EE" w14:textId="77777777" w:rsidR="00786BF5" w:rsidRPr="00786BF5" w:rsidRDefault="00786BF5" w:rsidP="003405D1">
      <w:pPr>
        <w:spacing w:line="360" w:lineRule="auto"/>
        <w:rPr>
          <w:rFonts w:ascii="Arial" w:hAnsi="Arial" w:cs="Arial"/>
        </w:rPr>
      </w:pPr>
      <w:r w:rsidRPr="00786BF5">
        <w:rPr>
          <w:rFonts w:ascii="Arial" w:hAnsi="Arial" w:cs="Arial"/>
        </w:rPr>
        <w:t xml:space="preserve">Tata Steel UK Ltd (2026d) </w:t>
      </w:r>
      <w:r w:rsidRPr="00786BF5">
        <w:rPr>
          <w:rFonts w:ascii="Arial" w:hAnsi="Arial" w:cs="Arial"/>
          <w:i/>
          <w:iCs/>
        </w:rPr>
        <w:t>Diversity and Inclusion Policy</w:t>
      </w:r>
      <w:r w:rsidRPr="00786BF5">
        <w:rPr>
          <w:rFonts w:ascii="Arial" w:hAnsi="Arial" w:cs="Arial"/>
        </w:rPr>
        <w:t>. Available via company resources (Accessed: 11 June 2026).</w:t>
      </w:r>
    </w:p>
    <w:p w14:paraId="2502C81B" w14:textId="77777777" w:rsidR="00786BF5" w:rsidRPr="00786BF5" w:rsidRDefault="00786BF5" w:rsidP="003405D1">
      <w:pPr>
        <w:spacing w:line="360" w:lineRule="auto"/>
        <w:rPr>
          <w:rFonts w:ascii="Arial" w:hAnsi="Arial" w:cs="Arial"/>
        </w:rPr>
      </w:pPr>
      <w:r w:rsidRPr="00786BF5">
        <w:rPr>
          <w:rFonts w:ascii="Arial" w:hAnsi="Arial" w:cs="Arial"/>
        </w:rPr>
        <w:t xml:space="preserve">Tata Steel UK Ltd (2026e) </w:t>
      </w:r>
      <w:r w:rsidRPr="00786BF5">
        <w:rPr>
          <w:rFonts w:ascii="Arial" w:hAnsi="Arial" w:cs="Arial"/>
          <w:i/>
          <w:iCs/>
        </w:rPr>
        <w:t>Sustainability Strategy Reports</w:t>
      </w:r>
      <w:r w:rsidRPr="00786BF5">
        <w:rPr>
          <w:rFonts w:ascii="Arial" w:hAnsi="Arial" w:cs="Arial"/>
        </w:rPr>
        <w:t>. Available via company resources (Accessed: 11 June 2026).</w:t>
      </w:r>
    </w:p>
    <w:p w14:paraId="76C37EE2" w14:textId="77777777" w:rsidR="00786BF5" w:rsidRPr="00786BF5" w:rsidRDefault="00786BF5" w:rsidP="003405D1">
      <w:pPr>
        <w:spacing w:line="360" w:lineRule="auto"/>
        <w:rPr>
          <w:rFonts w:ascii="Arial" w:hAnsi="Arial" w:cs="Arial"/>
        </w:rPr>
      </w:pPr>
      <w:r w:rsidRPr="00786BF5">
        <w:rPr>
          <w:rFonts w:ascii="Arial" w:hAnsi="Arial" w:cs="Arial"/>
        </w:rPr>
        <w:t xml:space="preserve">Tata Steel UK Ltd (2026f) </w:t>
      </w:r>
      <w:r w:rsidRPr="00786BF5">
        <w:rPr>
          <w:rFonts w:ascii="Arial" w:hAnsi="Arial" w:cs="Arial"/>
          <w:i/>
          <w:iCs/>
        </w:rPr>
        <w:t>Community and Stakeholder Engagement Policies</w:t>
      </w:r>
      <w:r w:rsidRPr="00786BF5">
        <w:rPr>
          <w:rFonts w:ascii="Arial" w:hAnsi="Arial" w:cs="Arial"/>
        </w:rPr>
        <w:t>. Available via company resources (Accessed: 11 June 2026).</w:t>
      </w:r>
    </w:p>
    <w:p w14:paraId="44E7A474" w14:textId="77777777" w:rsidR="00786BF5" w:rsidRPr="00786BF5" w:rsidRDefault="00786BF5" w:rsidP="003405D1">
      <w:pPr>
        <w:spacing w:line="360" w:lineRule="auto"/>
        <w:rPr>
          <w:rFonts w:ascii="Arial" w:hAnsi="Arial" w:cs="Arial"/>
        </w:rPr>
      </w:pPr>
      <w:r w:rsidRPr="00786BF5">
        <w:rPr>
          <w:rFonts w:ascii="Arial" w:hAnsi="Arial" w:cs="Arial"/>
        </w:rPr>
        <w:t xml:space="preserve">Tata Steel UK Ltd (2026g) </w:t>
      </w:r>
      <w:r w:rsidRPr="00786BF5">
        <w:rPr>
          <w:rFonts w:ascii="Arial" w:hAnsi="Arial" w:cs="Arial"/>
          <w:i/>
          <w:iCs/>
        </w:rPr>
        <w:t>Internal Audit and Compliance Frameworks</w:t>
      </w:r>
      <w:r w:rsidRPr="00786BF5">
        <w:rPr>
          <w:rFonts w:ascii="Arial" w:hAnsi="Arial" w:cs="Arial"/>
        </w:rPr>
        <w:t>. Available via company resources (Accessed: 11 June 2026).</w:t>
      </w:r>
    </w:p>
    <w:p w14:paraId="059CD5D4" w14:textId="77777777" w:rsidR="00786BF5" w:rsidRPr="00786BF5" w:rsidRDefault="00786BF5" w:rsidP="003405D1">
      <w:pPr>
        <w:spacing w:line="360" w:lineRule="auto"/>
        <w:rPr>
          <w:rFonts w:ascii="Arial" w:hAnsi="Arial" w:cs="Arial"/>
        </w:rPr>
      </w:pPr>
      <w:r w:rsidRPr="00786BF5">
        <w:rPr>
          <w:rFonts w:ascii="Arial" w:hAnsi="Arial" w:cs="Arial"/>
        </w:rPr>
        <w:t xml:space="preserve">Tata Steel UK Ltd (2026h) </w:t>
      </w:r>
      <w:r w:rsidRPr="00786BF5">
        <w:rPr>
          <w:rFonts w:ascii="Arial" w:hAnsi="Arial" w:cs="Arial"/>
          <w:i/>
          <w:iCs/>
        </w:rPr>
        <w:t>Corporate Responsibility Reports</w:t>
      </w:r>
      <w:r w:rsidRPr="00786BF5">
        <w:rPr>
          <w:rFonts w:ascii="Arial" w:hAnsi="Arial" w:cs="Arial"/>
        </w:rPr>
        <w:t>. Available via company resources (Accessed: 11 June 2026).</w:t>
      </w:r>
    </w:p>
    <w:p w14:paraId="478F82F4" w14:textId="77777777" w:rsidR="00A0725A" w:rsidRPr="00786BF5" w:rsidRDefault="00A0725A" w:rsidP="00786BF5">
      <w:pPr>
        <w:spacing w:line="360" w:lineRule="auto"/>
        <w:rPr>
          <w:rFonts w:ascii="Arial" w:hAnsi="Arial" w:cs="Arial"/>
        </w:rPr>
      </w:pPr>
    </w:p>
    <w:p w14:paraId="71987E50" w14:textId="77777777" w:rsidR="00A0725A" w:rsidRPr="00786BF5" w:rsidRDefault="00A0725A" w:rsidP="00786BF5">
      <w:pPr>
        <w:spacing w:line="360" w:lineRule="auto"/>
        <w:rPr>
          <w:rFonts w:ascii="Arial" w:hAnsi="Arial" w:cs="Arial"/>
        </w:rPr>
      </w:pPr>
    </w:p>
    <w:p w14:paraId="6C386A63" w14:textId="77777777" w:rsidR="00A0725A" w:rsidRDefault="00A0725A" w:rsidP="00786BF5">
      <w:pPr>
        <w:spacing w:line="360" w:lineRule="auto"/>
        <w:rPr>
          <w:rFonts w:ascii="Arial" w:hAnsi="Arial" w:cs="Arial"/>
        </w:rPr>
      </w:pPr>
    </w:p>
    <w:p w14:paraId="62E4351D" w14:textId="77777777" w:rsidR="00520653" w:rsidRDefault="00520653" w:rsidP="00786BF5">
      <w:pPr>
        <w:spacing w:line="360" w:lineRule="auto"/>
        <w:rPr>
          <w:rFonts w:ascii="Arial" w:hAnsi="Arial" w:cs="Arial"/>
        </w:rPr>
      </w:pPr>
    </w:p>
    <w:p w14:paraId="1C8377D9" w14:textId="77777777" w:rsidR="00520653" w:rsidRPr="00520653" w:rsidRDefault="00520653" w:rsidP="00520653">
      <w:pPr>
        <w:spacing w:line="360" w:lineRule="auto"/>
        <w:rPr>
          <w:rFonts w:ascii="Arial" w:hAnsi="Arial" w:cs="Arial"/>
        </w:rPr>
      </w:pPr>
      <w:r w:rsidRPr="00520653">
        <w:rPr>
          <w:rFonts w:ascii="Arial" w:hAnsi="Arial" w:cs="Arial"/>
        </w:rPr>
        <w:lastRenderedPageBreak/>
        <w:t>AI Acknowledgement </w:t>
      </w:r>
    </w:p>
    <w:p w14:paraId="7A9980CB" w14:textId="77777777" w:rsidR="00520653" w:rsidRPr="00520653" w:rsidRDefault="00520653" w:rsidP="00520653">
      <w:pPr>
        <w:spacing w:line="360" w:lineRule="auto"/>
        <w:rPr>
          <w:rFonts w:ascii="Arial" w:hAnsi="Arial" w:cs="Arial"/>
        </w:rPr>
      </w:pPr>
      <w:r w:rsidRPr="00520653">
        <w:rPr>
          <w:rFonts w:ascii="Arial" w:hAnsi="Arial" w:cs="Arial"/>
        </w:rPr>
        <w:t>  </w:t>
      </w:r>
    </w:p>
    <w:p w14:paraId="6DEED817" w14:textId="527D3C5E" w:rsidR="00520653" w:rsidRPr="00520653" w:rsidRDefault="00520653" w:rsidP="00520653">
      <w:pPr>
        <w:spacing w:line="360" w:lineRule="auto"/>
        <w:rPr>
          <w:rFonts w:ascii="Arial" w:hAnsi="Arial" w:cs="Arial"/>
        </w:rPr>
      </w:pPr>
      <w:r w:rsidRPr="00520653">
        <w:rPr>
          <w:rFonts w:ascii="Arial" w:hAnsi="Arial" w:cs="Arial"/>
        </w:rPr>
        <w:t>I confirm that I have not present</w:t>
      </w:r>
      <w:r>
        <w:rPr>
          <w:rFonts w:ascii="Arial" w:hAnsi="Arial" w:cs="Arial"/>
        </w:rPr>
        <w:t>ed</w:t>
      </w:r>
      <w:r w:rsidRPr="00520653">
        <w:rPr>
          <w:rFonts w:ascii="Arial" w:hAnsi="Arial" w:cs="Arial"/>
        </w:rPr>
        <w:t xml:space="preserve"> any AI-generated materials as my own work in this portfolio. </w:t>
      </w:r>
    </w:p>
    <w:p w14:paraId="7EE4DD5E" w14:textId="77777777" w:rsidR="00520653" w:rsidRPr="00520653" w:rsidRDefault="00520653" w:rsidP="00520653">
      <w:pPr>
        <w:spacing w:line="360" w:lineRule="auto"/>
        <w:rPr>
          <w:rFonts w:ascii="Arial" w:hAnsi="Arial" w:cs="Arial"/>
        </w:rPr>
      </w:pPr>
      <w:r w:rsidRPr="00520653">
        <w:rPr>
          <w:rFonts w:ascii="Arial" w:hAnsi="Arial" w:cs="Arial"/>
        </w:rPr>
        <w:t>  </w:t>
      </w:r>
    </w:p>
    <w:p w14:paraId="2D0D5875" w14:textId="77777777" w:rsidR="00520653" w:rsidRPr="00520653" w:rsidRDefault="00520653" w:rsidP="00520653">
      <w:pPr>
        <w:spacing w:line="360" w:lineRule="auto"/>
        <w:rPr>
          <w:rFonts w:ascii="Arial" w:hAnsi="Arial" w:cs="Arial"/>
        </w:rPr>
      </w:pPr>
      <w:r w:rsidRPr="00520653">
        <w:rPr>
          <w:rFonts w:ascii="Arial" w:hAnsi="Arial" w:cs="Arial"/>
        </w:rPr>
        <w:t>However, I acknowledge that I have used or may have used the AI in the research and proofreading of my portfolio. </w:t>
      </w:r>
    </w:p>
    <w:p w14:paraId="74075D56" w14:textId="77777777" w:rsidR="00520653" w:rsidRPr="00520653" w:rsidRDefault="00520653" w:rsidP="00520653">
      <w:pPr>
        <w:spacing w:line="360" w:lineRule="auto"/>
        <w:rPr>
          <w:rFonts w:ascii="Arial" w:hAnsi="Arial" w:cs="Arial"/>
        </w:rPr>
      </w:pPr>
      <w:r w:rsidRPr="00520653">
        <w:rPr>
          <w:rFonts w:ascii="Arial" w:hAnsi="Arial" w:cs="Arial"/>
        </w:rPr>
        <w:t>  </w:t>
      </w:r>
    </w:p>
    <w:p w14:paraId="5994AE77" w14:textId="51E0ED56" w:rsidR="00520653" w:rsidRPr="00520653" w:rsidRDefault="00520653" w:rsidP="00520653">
      <w:pPr>
        <w:spacing w:line="360" w:lineRule="auto"/>
        <w:rPr>
          <w:rFonts w:ascii="Arial" w:hAnsi="Arial" w:cs="Arial"/>
        </w:rPr>
      </w:pPr>
      <w:r w:rsidRPr="00520653">
        <w:rPr>
          <w:rFonts w:ascii="Arial" w:hAnsi="Arial" w:cs="Arial"/>
        </w:rPr>
        <w:t>Name</w:t>
      </w:r>
      <w:r>
        <w:rPr>
          <w:rFonts w:ascii="Arial" w:hAnsi="Arial" w:cs="Arial"/>
        </w:rPr>
        <w:t xml:space="preserve"> Darrell Byrne</w:t>
      </w:r>
    </w:p>
    <w:p w14:paraId="37F5FFBF" w14:textId="7208350F" w:rsidR="00520653" w:rsidRPr="00520653" w:rsidRDefault="00520653" w:rsidP="00520653">
      <w:pPr>
        <w:spacing w:line="360" w:lineRule="auto"/>
        <w:rPr>
          <w:rFonts w:ascii="Arial" w:hAnsi="Arial" w:cs="Arial"/>
        </w:rPr>
      </w:pPr>
      <w:r w:rsidRPr="00520653">
        <w:rPr>
          <w:rFonts w:ascii="Arial" w:hAnsi="Arial" w:cs="Arial"/>
        </w:rPr>
        <w:t>Student ID</w:t>
      </w:r>
      <w:r>
        <w:rPr>
          <w:rFonts w:ascii="Arial" w:hAnsi="Arial" w:cs="Arial"/>
        </w:rPr>
        <w:t xml:space="preserve"> 2420160</w:t>
      </w:r>
    </w:p>
    <w:p w14:paraId="2C69452A" w14:textId="77777777" w:rsidR="00520653" w:rsidRPr="00786BF5" w:rsidRDefault="00520653" w:rsidP="00786BF5">
      <w:pPr>
        <w:spacing w:line="360" w:lineRule="auto"/>
        <w:rPr>
          <w:rFonts w:ascii="Arial" w:hAnsi="Arial" w:cs="Arial"/>
        </w:rPr>
      </w:pPr>
    </w:p>
    <w:p w14:paraId="48C98628" w14:textId="77777777" w:rsidR="00A0725A" w:rsidRPr="00786BF5" w:rsidRDefault="00A0725A" w:rsidP="00786BF5">
      <w:pPr>
        <w:spacing w:line="360" w:lineRule="auto"/>
        <w:rPr>
          <w:rFonts w:ascii="Arial" w:hAnsi="Arial" w:cs="Arial"/>
        </w:rPr>
      </w:pPr>
    </w:p>
    <w:p w14:paraId="274B03BE" w14:textId="77777777" w:rsidR="00A0725A" w:rsidRPr="00786BF5" w:rsidRDefault="00A0725A" w:rsidP="00786BF5">
      <w:pPr>
        <w:spacing w:line="360" w:lineRule="auto"/>
        <w:rPr>
          <w:rFonts w:ascii="Arial" w:hAnsi="Arial" w:cs="Arial"/>
        </w:rPr>
      </w:pPr>
    </w:p>
    <w:p w14:paraId="11AD29A7" w14:textId="77777777" w:rsidR="00A0725A" w:rsidRPr="00786BF5" w:rsidRDefault="00A0725A" w:rsidP="00786BF5">
      <w:pPr>
        <w:spacing w:line="360" w:lineRule="auto"/>
        <w:rPr>
          <w:rFonts w:ascii="Arial" w:hAnsi="Arial" w:cs="Arial"/>
        </w:rPr>
      </w:pPr>
    </w:p>
    <w:p w14:paraId="619FD479" w14:textId="77777777" w:rsidR="00A0725A" w:rsidRPr="00786BF5" w:rsidRDefault="00A0725A" w:rsidP="00786BF5">
      <w:pPr>
        <w:spacing w:line="360" w:lineRule="auto"/>
        <w:rPr>
          <w:rFonts w:ascii="Arial" w:hAnsi="Arial" w:cs="Arial"/>
        </w:rPr>
      </w:pPr>
    </w:p>
    <w:p w14:paraId="62877192" w14:textId="77777777" w:rsidR="00A0725A" w:rsidRPr="00786BF5" w:rsidRDefault="00A0725A" w:rsidP="00786BF5">
      <w:pPr>
        <w:spacing w:line="360" w:lineRule="auto"/>
        <w:rPr>
          <w:rFonts w:ascii="Arial" w:hAnsi="Arial" w:cs="Arial"/>
        </w:rPr>
      </w:pPr>
    </w:p>
    <w:p w14:paraId="4A4EFBD7" w14:textId="77777777" w:rsidR="00A0725A" w:rsidRPr="00786BF5" w:rsidRDefault="00A0725A" w:rsidP="00786BF5">
      <w:pPr>
        <w:spacing w:line="360" w:lineRule="auto"/>
        <w:rPr>
          <w:rFonts w:ascii="Arial" w:hAnsi="Arial" w:cs="Arial"/>
        </w:rPr>
      </w:pPr>
    </w:p>
    <w:p w14:paraId="14FB7CFD" w14:textId="77777777" w:rsidR="00A0725A" w:rsidRPr="00786BF5" w:rsidRDefault="00A0725A" w:rsidP="00786BF5">
      <w:pPr>
        <w:spacing w:line="360" w:lineRule="auto"/>
        <w:rPr>
          <w:rFonts w:ascii="Arial" w:hAnsi="Arial" w:cs="Arial"/>
        </w:rPr>
      </w:pPr>
    </w:p>
    <w:p w14:paraId="27B32DCD" w14:textId="77777777" w:rsidR="00A0725A" w:rsidRPr="00786BF5" w:rsidRDefault="00A0725A" w:rsidP="00786BF5">
      <w:pPr>
        <w:spacing w:line="360" w:lineRule="auto"/>
        <w:rPr>
          <w:rFonts w:ascii="Arial" w:hAnsi="Arial" w:cs="Arial"/>
        </w:rPr>
      </w:pPr>
    </w:p>
    <w:p w14:paraId="23CF4821" w14:textId="77777777" w:rsidR="00A0725A" w:rsidRPr="00E57E10" w:rsidRDefault="00A0725A">
      <w:pPr>
        <w:rPr>
          <w:rFonts w:ascii="Arial" w:hAnsi="Arial" w:cs="Arial"/>
        </w:rPr>
      </w:pPr>
    </w:p>
    <w:p w14:paraId="6EB90B35" w14:textId="77777777" w:rsidR="00A0725A" w:rsidRPr="00E57E10" w:rsidRDefault="00A0725A">
      <w:pPr>
        <w:rPr>
          <w:rFonts w:ascii="Arial" w:hAnsi="Arial" w:cs="Arial"/>
        </w:rPr>
      </w:pPr>
    </w:p>
    <w:p w14:paraId="4DC35771" w14:textId="36AD31C9" w:rsidR="00A0725A" w:rsidRPr="00E57E10" w:rsidRDefault="00A0725A" w:rsidP="00A0725A">
      <w:pPr>
        <w:pStyle w:val="Heading1"/>
        <w:rPr>
          <w:rFonts w:ascii="Arial" w:hAnsi="Arial" w:cs="Arial"/>
        </w:rPr>
      </w:pPr>
      <w:r w:rsidRPr="00E57E10">
        <w:rPr>
          <w:rFonts w:ascii="Arial" w:hAnsi="Arial" w:cs="Arial"/>
        </w:rPr>
        <w:t xml:space="preserve">                           </w:t>
      </w:r>
      <w:bookmarkStart w:id="7" w:name="_Toc231546746"/>
      <w:r w:rsidRPr="00E57E10">
        <w:rPr>
          <w:rFonts w:ascii="Arial" w:hAnsi="Arial" w:cs="Arial"/>
        </w:rPr>
        <w:t>END PAGE</w:t>
      </w:r>
      <w:bookmarkEnd w:id="7"/>
      <w:r w:rsidRPr="00E57E10">
        <w:rPr>
          <w:rFonts w:ascii="Arial" w:hAnsi="Arial" w:cs="Arial"/>
        </w:rPr>
        <w:t xml:space="preserve"> </w:t>
      </w:r>
    </w:p>
    <w:p w14:paraId="59C9E203" w14:textId="77777777" w:rsidR="00A0725A" w:rsidRPr="00F341DB" w:rsidRDefault="00A0725A"/>
    <w:p w14:paraId="13221932" w14:textId="77777777" w:rsidR="00A0725A" w:rsidRPr="00F341DB" w:rsidRDefault="00A0725A"/>
    <w:p w14:paraId="498038D0" w14:textId="77777777" w:rsidR="00A0725A" w:rsidRPr="00F341DB" w:rsidRDefault="00A0725A"/>
    <w:p w14:paraId="279A4416" w14:textId="77777777" w:rsidR="00A0725A" w:rsidRPr="00F341DB" w:rsidRDefault="00A0725A"/>
    <w:p w14:paraId="0B718DDC" w14:textId="77777777" w:rsidR="00A0725A" w:rsidRPr="00F341DB" w:rsidRDefault="00A0725A"/>
    <w:p w14:paraId="46D1892A" w14:textId="77777777" w:rsidR="00A0725A" w:rsidRPr="00F341DB" w:rsidRDefault="00A0725A"/>
    <w:p w14:paraId="4E4BDA50" w14:textId="77777777" w:rsidR="00A0725A" w:rsidRPr="00F341DB" w:rsidRDefault="00A0725A"/>
    <w:p w14:paraId="40AD6C48" w14:textId="77777777" w:rsidR="00A0725A" w:rsidRPr="00F341DB" w:rsidRDefault="00A0725A"/>
    <w:p w14:paraId="5AE3BFAB" w14:textId="77777777" w:rsidR="00A0725A" w:rsidRPr="00F341DB" w:rsidRDefault="00A0725A"/>
    <w:p w14:paraId="31CD05D5" w14:textId="77777777" w:rsidR="00A0725A" w:rsidRPr="00F341DB" w:rsidRDefault="00A0725A"/>
    <w:p w14:paraId="4DA8DD66" w14:textId="77777777" w:rsidR="00A0725A" w:rsidRPr="00F341DB" w:rsidRDefault="00A0725A"/>
    <w:p w14:paraId="2B48A9CF" w14:textId="77777777" w:rsidR="00A0725A" w:rsidRPr="00F341DB" w:rsidRDefault="00A0725A"/>
    <w:p w14:paraId="34F584CA" w14:textId="77777777" w:rsidR="00A0725A" w:rsidRPr="00F341DB" w:rsidRDefault="00A0725A"/>
    <w:p w14:paraId="3108A09C" w14:textId="77777777" w:rsidR="00A0725A" w:rsidRPr="00F341DB" w:rsidRDefault="00A0725A"/>
    <w:p w14:paraId="119255E4" w14:textId="77777777" w:rsidR="00A0725A" w:rsidRPr="00F341DB" w:rsidRDefault="00A0725A"/>
    <w:p w14:paraId="31E68BEB" w14:textId="77777777" w:rsidR="00A0725A" w:rsidRPr="00F341DB" w:rsidRDefault="00A0725A"/>
    <w:p w14:paraId="368DAF76" w14:textId="77777777" w:rsidR="00A0725A" w:rsidRPr="00F341DB" w:rsidRDefault="00A0725A"/>
    <w:p w14:paraId="7CE3CBCE" w14:textId="77777777" w:rsidR="00A0725A" w:rsidRPr="00F341DB" w:rsidRDefault="00A0725A"/>
    <w:p w14:paraId="2AA15C1C" w14:textId="77777777" w:rsidR="00A0725A" w:rsidRPr="00F341DB" w:rsidRDefault="00A0725A"/>
    <w:p w14:paraId="33C9921A" w14:textId="77777777" w:rsidR="00A0725A" w:rsidRPr="00F341DB" w:rsidRDefault="00A0725A"/>
    <w:p w14:paraId="52EE3A34" w14:textId="77777777" w:rsidR="00A0725A" w:rsidRPr="00F341DB" w:rsidRDefault="00A0725A"/>
    <w:p w14:paraId="44992438" w14:textId="77777777" w:rsidR="00A0725A" w:rsidRPr="00F341DB" w:rsidRDefault="00A0725A"/>
    <w:p w14:paraId="618B7E57" w14:textId="77777777" w:rsidR="00A0725A" w:rsidRPr="00F341DB" w:rsidRDefault="00A0725A"/>
    <w:p w14:paraId="5FCBEBB2" w14:textId="77777777" w:rsidR="00A0725A" w:rsidRPr="00F341DB" w:rsidRDefault="00A0725A"/>
    <w:p w14:paraId="72CE8B6F" w14:textId="77777777" w:rsidR="00A0725A" w:rsidRPr="00F341DB" w:rsidRDefault="00A0725A"/>
    <w:p w14:paraId="2D09546A" w14:textId="77777777" w:rsidR="00A0725A" w:rsidRPr="00F341DB" w:rsidRDefault="00A0725A"/>
    <w:p w14:paraId="2208FC2E" w14:textId="77777777" w:rsidR="00A0725A" w:rsidRPr="00F341DB" w:rsidRDefault="00A0725A"/>
    <w:p w14:paraId="3D2625B5" w14:textId="77777777" w:rsidR="00A0725A" w:rsidRPr="00F341DB" w:rsidRDefault="00A0725A"/>
    <w:sectPr w:rsidR="00A0725A" w:rsidRPr="00F341DB" w:rsidSect="00A0725A">
      <w:footerReference w:type="even" r:id="rId10"/>
      <w:footerReference w:type="defaul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409A5" w14:textId="77777777" w:rsidR="00A65763" w:rsidRDefault="00A65763" w:rsidP="00A0725A">
      <w:pPr>
        <w:spacing w:after="0" w:line="240" w:lineRule="auto"/>
      </w:pPr>
      <w:r>
        <w:separator/>
      </w:r>
    </w:p>
  </w:endnote>
  <w:endnote w:type="continuationSeparator" w:id="0">
    <w:p w14:paraId="1E697E73" w14:textId="77777777" w:rsidR="00A65763" w:rsidRDefault="00A65763" w:rsidP="00A07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E083A" w14:textId="77777777" w:rsidR="000D5E61" w:rsidRDefault="000D5E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552079"/>
      <w:docPartObj>
        <w:docPartGallery w:val="Page Numbers (Bottom of Page)"/>
        <w:docPartUnique/>
      </w:docPartObj>
    </w:sdtPr>
    <w:sdtEndPr>
      <w:rPr>
        <w:noProof/>
      </w:rPr>
    </w:sdtEndPr>
    <w:sdtContent>
      <w:p w14:paraId="7C26E6CD" w14:textId="406F9219" w:rsidR="00A0725A" w:rsidRDefault="00A0725A">
        <w:pPr>
          <w:pStyle w:val="Footer"/>
        </w:pPr>
        <w:r>
          <w:fldChar w:fldCharType="begin"/>
        </w:r>
        <w:r>
          <w:instrText xml:space="preserve"> PAGE   \* MERGEFORMAT </w:instrText>
        </w:r>
        <w:r>
          <w:fldChar w:fldCharType="separate"/>
        </w:r>
        <w:r>
          <w:rPr>
            <w:noProof/>
          </w:rPr>
          <w:t>2</w:t>
        </w:r>
        <w:r>
          <w:rPr>
            <w:noProof/>
          </w:rPr>
          <w:fldChar w:fldCharType="end"/>
        </w:r>
      </w:p>
    </w:sdtContent>
  </w:sdt>
  <w:p w14:paraId="095B8BB6" w14:textId="77777777" w:rsidR="00A0725A" w:rsidRDefault="00A072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19C8" w14:textId="77777777" w:rsidR="000D5E61" w:rsidRDefault="000D5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C3EEA" w14:textId="77777777" w:rsidR="00A65763" w:rsidRDefault="00A65763" w:rsidP="00A0725A">
      <w:pPr>
        <w:spacing w:after="0" w:line="240" w:lineRule="auto"/>
      </w:pPr>
      <w:r>
        <w:separator/>
      </w:r>
    </w:p>
  </w:footnote>
  <w:footnote w:type="continuationSeparator" w:id="0">
    <w:p w14:paraId="320ACF8F" w14:textId="77777777" w:rsidR="00A65763" w:rsidRDefault="00A65763" w:rsidP="00A072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5A"/>
    <w:rsid w:val="00006662"/>
    <w:rsid w:val="00007077"/>
    <w:rsid w:val="000070DD"/>
    <w:rsid w:val="00013C26"/>
    <w:rsid w:val="00023214"/>
    <w:rsid w:val="00025D6D"/>
    <w:rsid w:val="00032A53"/>
    <w:rsid w:val="00037F6E"/>
    <w:rsid w:val="0004579F"/>
    <w:rsid w:val="00051A3F"/>
    <w:rsid w:val="00060808"/>
    <w:rsid w:val="00060F62"/>
    <w:rsid w:val="00075B90"/>
    <w:rsid w:val="000813CE"/>
    <w:rsid w:val="000831BE"/>
    <w:rsid w:val="00092CAC"/>
    <w:rsid w:val="00097012"/>
    <w:rsid w:val="000A5B3D"/>
    <w:rsid w:val="000A74D6"/>
    <w:rsid w:val="000C5EE8"/>
    <w:rsid w:val="000D5E61"/>
    <w:rsid w:val="000E2D37"/>
    <w:rsid w:val="000E39E3"/>
    <w:rsid w:val="000E3B46"/>
    <w:rsid w:val="000F7BCE"/>
    <w:rsid w:val="001074EB"/>
    <w:rsid w:val="0011368F"/>
    <w:rsid w:val="001177E5"/>
    <w:rsid w:val="00124920"/>
    <w:rsid w:val="00127E13"/>
    <w:rsid w:val="001309C1"/>
    <w:rsid w:val="00134B05"/>
    <w:rsid w:val="001372C8"/>
    <w:rsid w:val="00141C25"/>
    <w:rsid w:val="00141D97"/>
    <w:rsid w:val="001532DB"/>
    <w:rsid w:val="001570C0"/>
    <w:rsid w:val="001701CC"/>
    <w:rsid w:val="001711A9"/>
    <w:rsid w:val="00175000"/>
    <w:rsid w:val="00176451"/>
    <w:rsid w:val="00181313"/>
    <w:rsid w:val="00191D3B"/>
    <w:rsid w:val="001A2F37"/>
    <w:rsid w:val="001A667F"/>
    <w:rsid w:val="001B065F"/>
    <w:rsid w:val="001B3D2C"/>
    <w:rsid w:val="001C018E"/>
    <w:rsid w:val="001D467C"/>
    <w:rsid w:val="001E72D1"/>
    <w:rsid w:val="001F1013"/>
    <w:rsid w:val="001F2276"/>
    <w:rsid w:val="002024F8"/>
    <w:rsid w:val="002129FE"/>
    <w:rsid w:val="00213EA2"/>
    <w:rsid w:val="002161AE"/>
    <w:rsid w:val="00224B70"/>
    <w:rsid w:val="0023178E"/>
    <w:rsid w:val="00235EE9"/>
    <w:rsid w:val="00240E34"/>
    <w:rsid w:val="002418FB"/>
    <w:rsid w:val="00242176"/>
    <w:rsid w:val="00251561"/>
    <w:rsid w:val="00253957"/>
    <w:rsid w:val="00253F18"/>
    <w:rsid w:val="00254655"/>
    <w:rsid w:val="002555F6"/>
    <w:rsid w:val="002559AE"/>
    <w:rsid w:val="00256F23"/>
    <w:rsid w:val="00262AD8"/>
    <w:rsid w:val="00270C51"/>
    <w:rsid w:val="002713EC"/>
    <w:rsid w:val="00271C99"/>
    <w:rsid w:val="00274D30"/>
    <w:rsid w:val="00282463"/>
    <w:rsid w:val="002846B3"/>
    <w:rsid w:val="00284F2D"/>
    <w:rsid w:val="002908C7"/>
    <w:rsid w:val="00292BDC"/>
    <w:rsid w:val="002A29C9"/>
    <w:rsid w:val="002B7367"/>
    <w:rsid w:val="002C663C"/>
    <w:rsid w:val="002E00F0"/>
    <w:rsid w:val="002E236D"/>
    <w:rsid w:val="002E50FB"/>
    <w:rsid w:val="002F44FE"/>
    <w:rsid w:val="002F7E01"/>
    <w:rsid w:val="00300AC3"/>
    <w:rsid w:val="00301FB9"/>
    <w:rsid w:val="00303EF7"/>
    <w:rsid w:val="00305148"/>
    <w:rsid w:val="00316FE7"/>
    <w:rsid w:val="003218A2"/>
    <w:rsid w:val="003308EC"/>
    <w:rsid w:val="003361A0"/>
    <w:rsid w:val="00336B9F"/>
    <w:rsid w:val="003405D1"/>
    <w:rsid w:val="0034123E"/>
    <w:rsid w:val="003561E1"/>
    <w:rsid w:val="00362200"/>
    <w:rsid w:val="00365403"/>
    <w:rsid w:val="003722D1"/>
    <w:rsid w:val="0037724A"/>
    <w:rsid w:val="0039432D"/>
    <w:rsid w:val="003B0C9F"/>
    <w:rsid w:val="003B1DA9"/>
    <w:rsid w:val="003B5B56"/>
    <w:rsid w:val="003C1F8A"/>
    <w:rsid w:val="003C5762"/>
    <w:rsid w:val="003D264A"/>
    <w:rsid w:val="003E008B"/>
    <w:rsid w:val="003F5D36"/>
    <w:rsid w:val="003F609D"/>
    <w:rsid w:val="003F7A36"/>
    <w:rsid w:val="0040152D"/>
    <w:rsid w:val="00402A7F"/>
    <w:rsid w:val="00403240"/>
    <w:rsid w:val="0040339D"/>
    <w:rsid w:val="00405877"/>
    <w:rsid w:val="004062A0"/>
    <w:rsid w:val="004079B9"/>
    <w:rsid w:val="00411D5E"/>
    <w:rsid w:val="00425122"/>
    <w:rsid w:val="00425498"/>
    <w:rsid w:val="00433232"/>
    <w:rsid w:val="00440740"/>
    <w:rsid w:val="00450849"/>
    <w:rsid w:val="00451EA7"/>
    <w:rsid w:val="00452AF7"/>
    <w:rsid w:val="0045346F"/>
    <w:rsid w:val="00456FDF"/>
    <w:rsid w:val="00461BFF"/>
    <w:rsid w:val="00464FBB"/>
    <w:rsid w:val="004651A4"/>
    <w:rsid w:val="0046658F"/>
    <w:rsid w:val="004725B3"/>
    <w:rsid w:val="0047592C"/>
    <w:rsid w:val="00480E7D"/>
    <w:rsid w:val="0048588A"/>
    <w:rsid w:val="004901A8"/>
    <w:rsid w:val="00490289"/>
    <w:rsid w:val="004933E4"/>
    <w:rsid w:val="004A6BAF"/>
    <w:rsid w:val="004B1EBE"/>
    <w:rsid w:val="004B5296"/>
    <w:rsid w:val="004B6F07"/>
    <w:rsid w:val="004C257C"/>
    <w:rsid w:val="004C2AC5"/>
    <w:rsid w:val="004C2CB6"/>
    <w:rsid w:val="004C2DB2"/>
    <w:rsid w:val="004D2AEC"/>
    <w:rsid w:val="004D48F8"/>
    <w:rsid w:val="004F2930"/>
    <w:rsid w:val="00500107"/>
    <w:rsid w:val="00504639"/>
    <w:rsid w:val="00505E9E"/>
    <w:rsid w:val="00515319"/>
    <w:rsid w:val="00517B41"/>
    <w:rsid w:val="00517CFD"/>
    <w:rsid w:val="00520653"/>
    <w:rsid w:val="005208E6"/>
    <w:rsid w:val="00521566"/>
    <w:rsid w:val="005335CB"/>
    <w:rsid w:val="00536C58"/>
    <w:rsid w:val="00537035"/>
    <w:rsid w:val="00554D2C"/>
    <w:rsid w:val="00555B51"/>
    <w:rsid w:val="00556186"/>
    <w:rsid w:val="005611CF"/>
    <w:rsid w:val="00566CC0"/>
    <w:rsid w:val="00582CE0"/>
    <w:rsid w:val="00583400"/>
    <w:rsid w:val="0058700A"/>
    <w:rsid w:val="00591256"/>
    <w:rsid w:val="0059259D"/>
    <w:rsid w:val="00595E37"/>
    <w:rsid w:val="005979F2"/>
    <w:rsid w:val="005B1963"/>
    <w:rsid w:val="005B2D5D"/>
    <w:rsid w:val="005C35BD"/>
    <w:rsid w:val="005C3AEA"/>
    <w:rsid w:val="005C65EC"/>
    <w:rsid w:val="005E46EA"/>
    <w:rsid w:val="005E4A03"/>
    <w:rsid w:val="005E625C"/>
    <w:rsid w:val="005F55DF"/>
    <w:rsid w:val="005F6E37"/>
    <w:rsid w:val="00603288"/>
    <w:rsid w:val="0060588F"/>
    <w:rsid w:val="00607812"/>
    <w:rsid w:val="00607F8C"/>
    <w:rsid w:val="00615113"/>
    <w:rsid w:val="006160BD"/>
    <w:rsid w:val="00630B42"/>
    <w:rsid w:val="00632CB5"/>
    <w:rsid w:val="00642C41"/>
    <w:rsid w:val="00652D75"/>
    <w:rsid w:val="00654F9C"/>
    <w:rsid w:val="00665BA4"/>
    <w:rsid w:val="006703FA"/>
    <w:rsid w:val="00675C51"/>
    <w:rsid w:val="00677411"/>
    <w:rsid w:val="00681805"/>
    <w:rsid w:val="00681B98"/>
    <w:rsid w:val="0068353B"/>
    <w:rsid w:val="00685B3D"/>
    <w:rsid w:val="00690A6A"/>
    <w:rsid w:val="006A2376"/>
    <w:rsid w:val="006A321F"/>
    <w:rsid w:val="006A6201"/>
    <w:rsid w:val="006B020A"/>
    <w:rsid w:val="006B463B"/>
    <w:rsid w:val="006C565E"/>
    <w:rsid w:val="006D3D61"/>
    <w:rsid w:val="006E5FAA"/>
    <w:rsid w:val="006F0F4F"/>
    <w:rsid w:val="006F3001"/>
    <w:rsid w:val="006F35B2"/>
    <w:rsid w:val="007048C4"/>
    <w:rsid w:val="00710355"/>
    <w:rsid w:val="00711358"/>
    <w:rsid w:val="00713F57"/>
    <w:rsid w:val="007169B1"/>
    <w:rsid w:val="00717278"/>
    <w:rsid w:val="00721F46"/>
    <w:rsid w:val="007221A7"/>
    <w:rsid w:val="0072545A"/>
    <w:rsid w:val="007272FB"/>
    <w:rsid w:val="00731648"/>
    <w:rsid w:val="00731B8E"/>
    <w:rsid w:val="00742975"/>
    <w:rsid w:val="0074569D"/>
    <w:rsid w:val="00754612"/>
    <w:rsid w:val="00755EC1"/>
    <w:rsid w:val="007709D4"/>
    <w:rsid w:val="00786BF5"/>
    <w:rsid w:val="0079278D"/>
    <w:rsid w:val="007962FE"/>
    <w:rsid w:val="007B0D4D"/>
    <w:rsid w:val="007B23EA"/>
    <w:rsid w:val="007B7718"/>
    <w:rsid w:val="007B7883"/>
    <w:rsid w:val="007D06C9"/>
    <w:rsid w:val="007D4E24"/>
    <w:rsid w:val="007D4F47"/>
    <w:rsid w:val="007E2B73"/>
    <w:rsid w:val="007E6DEC"/>
    <w:rsid w:val="007F0782"/>
    <w:rsid w:val="007F1A62"/>
    <w:rsid w:val="007F33E8"/>
    <w:rsid w:val="007F7590"/>
    <w:rsid w:val="00806852"/>
    <w:rsid w:val="008136E5"/>
    <w:rsid w:val="00816A34"/>
    <w:rsid w:val="0082074E"/>
    <w:rsid w:val="00823EDC"/>
    <w:rsid w:val="008256E1"/>
    <w:rsid w:val="008262F8"/>
    <w:rsid w:val="008271B6"/>
    <w:rsid w:val="00827F3D"/>
    <w:rsid w:val="00831681"/>
    <w:rsid w:val="00842C2A"/>
    <w:rsid w:val="00844F91"/>
    <w:rsid w:val="008460DB"/>
    <w:rsid w:val="0085497F"/>
    <w:rsid w:val="0086101B"/>
    <w:rsid w:val="0086411F"/>
    <w:rsid w:val="00866DFB"/>
    <w:rsid w:val="008674DD"/>
    <w:rsid w:val="008757F0"/>
    <w:rsid w:val="00880D33"/>
    <w:rsid w:val="00885999"/>
    <w:rsid w:val="00887A88"/>
    <w:rsid w:val="0089161A"/>
    <w:rsid w:val="00894834"/>
    <w:rsid w:val="00894CB4"/>
    <w:rsid w:val="008969D3"/>
    <w:rsid w:val="008A0C43"/>
    <w:rsid w:val="008A2C29"/>
    <w:rsid w:val="008A3458"/>
    <w:rsid w:val="008A3B54"/>
    <w:rsid w:val="008A73A9"/>
    <w:rsid w:val="008A7869"/>
    <w:rsid w:val="008B127F"/>
    <w:rsid w:val="008B58F8"/>
    <w:rsid w:val="008D2713"/>
    <w:rsid w:val="008E0710"/>
    <w:rsid w:val="008E7232"/>
    <w:rsid w:val="008F0A95"/>
    <w:rsid w:val="008F53A7"/>
    <w:rsid w:val="00900F67"/>
    <w:rsid w:val="0090143F"/>
    <w:rsid w:val="00914714"/>
    <w:rsid w:val="00926061"/>
    <w:rsid w:val="00932014"/>
    <w:rsid w:val="009333A9"/>
    <w:rsid w:val="00940589"/>
    <w:rsid w:val="009442D1"/>
    <w:rsid w:val="009459D8"/>
    <w:rsid w:val="00953040"/>
    <w:rsid w:val="00957082"/>
    <w:rsid w:val="009631DA"/>
    <w:rsid w:val="0097262C"/>
    <w:rsid w:val="00980E89"/>
    <w:rsid w:val="009909BF"/>
    <w:rsid w:val="00994613"/>
    <w:rsid w:val="009A2C42"/>
    <w:rsid w:val="009B1F3F"/>
    <w:rsid w:val="009B4B09"/>
    <w:rsid w:val="009B5E41"/>
    <w:rsid w:val="009C2A1D"/>
    <w:rsid w:val="009D368E"/>
    <w:rsid w:val="009D440F"/>
    <w:rsid w:val="009D710C"/>
    <w:rsid w:val="009E19C1"/>
    <w:rsid w:val="009F3294"/>
    <w:rsid w:val="00A06563"/>
    <w:rsid w:val="00A0725A"/>
    <w:rsid w:val="00A22091"/>
    <w:rsid w:val="00A25C17"/>
    <w:rsid w:val="00A275E5"/>
    <w:rsid w:val="00A40389"/>
    <w:rsid w:val="00A42A7D"/>
    <w:rsid w:val="00A447FD"/>
    <w:rsid w:val="00A44B8F"/>
    <w:rsid w:val="00A52BB8"/>
    <w:rsid w:val="00A6110E"/>
    <w:rsid w:val="00A6164B"/>
    <w:rsid w:val="00A65763"/>
    <w:rsid w:val="00A834FA"/>
    <w:rsid w:val="00A838C6"/>
    <w:rsid w:val="00A85235"/>
    <w:rsid w:val="00A86AAE"/>
    <w:rsid w:val="00A92492"/>
    <w:rsid w:val="00A95A6C"/>
    <w:rsid w:val="00A967FC"/>
    <w:rsid w:val="00AA286C"/>
    <w:rsid w:val="00AB0B77"/>
    <w:rsid w:val="00AC0361"/>
    <w:rsid w:val="00AC0F70"/>
    <w:rsid w:val="00AC0FA7"/>
    <w:rsid w:val="00AC1318"/>
    <w:rsid w:val="00AD7CFF"/>
    <w:rsid w:val="00AE6359"/>
    <w:rsid w:val="00AE6AF6"/>
    <w:rsid w:val="00AF136D"/>
    <w:rsid w:val="00AF6E3A"/>
    <w:rsid w:val="00B00FEA"/>
    <w:rsid w:val="00B03EA5"/>
    <w:rsid w:val="00B10B4B"/>
    <w:rsid w:val="00B1379D"/>
    <w:rsid w:val="00B16DBB"/>
    <w:rsid w:val="00B31A58"/>
    <w:rsid w:val="00B34F28"/>
    <w:rsid w:val="00B3552E"/>
    <w:rsid w:val="00B35A78"/>
    <w:rsid w:val="00B42371"/>
    <w:rsid w:val="00B45482"/>
    <w:rsid w:val="00B50242"/>
    <w:rsid w:val="00B50339"/>
    <w:rsid w:val="00B550FF"/>
    <w:rsid w:val="00B60CDF"/>
    <w:rsid w:val="00B63F6B"/>
    <w:rsid w:val="00B67C56"/>
    <w:rsid w:val="00B717F0"/>
    <w:rsid w:val="00B76F55"/>
    <w:rsid w:val="00B802D1"/>
    <w:rsid w:val="00B823A2"/>
    <w:rsid w:val="00B82BE5"/>
    <w:rsid w:val="00B847CF"/>
    <w:rsid w:val="00BA1BF6"/>
    <w:rsid w:val="00BA5091"/>
    <w:rsid w:val="00BB34AE"/>
    <w:rsid w:val="00BB401C"/>
    <w:rsid w:val="00BC02BB"/>
    <w:rsid w:val="00BC0628"/>
    <w:rsid w:val="00BC43AC"/>
    <w:rsid w:val="00BC48F1"/>
    <w:rsid w:val="00BC5D47"/>
    <w:rsid w:val="00BC603A"/>
    <w:rsid w:val="00BD1791"/>
    <w:rsid w:val="00BD2FEC"/>
    <w:rsid w:val="00BD45CD"/>
    <w:rsid w:val="00BE233C"/>
    <w:rsid w:val="00BF27B5"/>
    <w:rsid w:val="00BF4E87"/>
    <w:rsid w:val="00BF6E88"/>
    <w:rsid w:val="00C026B5"/>
    <w:rsid w:val="00C038FD"/>
    <w:rsid w:val="00C04CEE"/>
    <w:rsid w:val="00C05B0C"/>
    <w:rsid w:val="00C06815"/>
    <w:rsid w:val="00C07C42"/>
    <w:rsid w:val="00C113B9"/>
    <w:rsid w:val="00C13AB3"/>
    <w:rsid w:val="00C1432D"/>
    <w:rsid w:val="00C16E32"/>
    <w:rsid w:val="00C17CE2"/>
    <w:rsid w:val="00C20793"/>
    <w:rsid w:val="00C21B2B"/>
    <w:rsid w:val="00C2545D"/>
    <w:rsid w:val="00C26C35"/>
    <w:rsid w:val="00C30A48"/>
    <w:rsid w:val="00C64F89"/>
    <w:rsid w:val="00C66AD3"/>
    <w:rsid w:val="00C66D84"/>
    <w:rsid w:val="00C71E5D"/>
    <w:rsid w:val="00C76880"/>
    <w:rsid w:val="00C76E08"/>
    <w:rsid w:val="00C807A3"/>
    <w:rsid w:val="00C81553"/>
    <w:rsid w:val="00C9556E"/>
    <w:rsid w:val="00CA2DE5"/>
    <w:rsid w:val="00CA2E67"/>
    <w:rsid w:val="00CA540C"/>
    <w:rsid w:val="00CA5830"/>
    <w:rsid w:val="00CB0708"/>
    <w:rsid w:val="00CB6FDD"/>
    <w:rsid w:val="00CC5DB2"/>
    <w:rsid w:val="00CC691E"/>
    <w:rsid w:val="00CC6A49"/>
    <w:rsid w:val="00CD69A2"/>
    <w:rsid w:val="00CE0875"/>
    <w:rsid w:val="00CE1248"/>
    <w:rsid w:val="00CE4395"/>
    <w:rsid w:val="00CE5A99"/>
    <w:rsid w:val="00D05969"/>
    <w:rsid w:val="00D067D5"/>
    <w:rsid w:val="00D1183D"/>
    <w:rsid w:val="00D11B09"/>
    <w:rsid w:val="00D172B7"/>
    <w:rsid w:val="00D2268D"/>
    <w:rsid w:val="00D26932"/>
    <w:rsid w:val="00D27E6A"/>
    <w:rsid w:val="00D331F3"/>
    <w:rsid w:val="00D332BC"/>
    <w:rsid w:val="00D34340"/>
    <w:rsid w:val="00D34682"/>
    <w:rsid w:val="00D41D40"/>
    <w:rsid w:val="00D41DCD"/>
    <w:rsid w:val="00D460A6"/>
    <w:rsid w:val="00D50383"/>
    <w:rsid w:val="00D51FC0"/>
    <w:rsid w:val="00D52177"/>
    <w:rsid w:val="00D54D69"/>
    <w:rsid w:val="00D56388"/>
    <w:rsid w:val="00D60BB0"/>
    <w:rsid w:val="00D644E6"/>
    <w:rsid w:val="00D6560E"/>
    <w:rsid w:val="00D75146"/>
    <w:rsid w:val="00D845AF"/>
    <w:rsid w:val="00D90F78"/>
    <w:rsid w:val="00D94BAE"/>
    <w:rsid w:val="00D973D0"/>
    <w:rsid w:val="00DA0EF0"/>
    <w:rsid w:val="00DA3DD1"/>
    <w:rsid w:val="00DA592B"/>
    <w:rsid w:val="00DB478B"/>
    <w:rsid w:val="00DB6298"/>
    <w:rsid w:val="00DC12BA"/>
    <w:rsid w:val="00DC3342"/>
    <w:rsid w:val="00DC5493"/>
    <w:rsid w:val="00DC7EB0"/>
    <w:rsid w:val="00DD1B51"/>
    <w:rsid w:val="00DD1DD5"/>
    <w:rsid w:val="00DD2C5F"/>
    <w:rsid w:val="00DE6495"/>
    <w:rsid w:val="00DF2B89"/>
    <w:rsid w:val="00E00010"/>
    <w:rsid w:val="00E003EF"/>
    <w:rsid w:val="00E04030"/>
    <w:rsid w:val="00E07466"/>
    <w:rsid w:val="00E1453B"/>
    <w:rsid w:val="00E15B1E"/>
    <w:rsid w:val="00E16293"/>
    <w:rsid w:val="00E166DE"/>
    <w:rsid w:val="00E215B0"/>
    <w:rsid w:val="00E22876"/>
    <w:rsid w:val="00E27271"/>
    <w:rsid w:val="00E3090D"/>
    <w:rsid w:val="00E30CAA"/>
    <w:rsid w:val="00E36EA0"/>
    <w:rsid w:val="00E425A2"/>
    <w:rsid w:val="00E42874"/>
    <w:rsid w:val="00E42A33"/>
    <w:rsid w:val="00E56A86"/>
    <w:rsid w:val="00E57E10"/>
    <w:rsid w:val="00E62DFE"/>
    <w:rsid w:val="00E64D5E"/>
    <w:rsid w:val="00E67A57"/>
    <w:rsid w:val="00E67EB8"/>
    <w:rsid w:val="00E713A1"/>
    <w:rsid w:val="00E754E8"/>
    <w:rsid w:val="00E87A1F"/>
    <w:rsid w:val="00E9684B"/>
    <w:rsid w:val="00E96C7B"/>
    <w:rsid w:val="00EA3EFE"/>
    <w:rsid w:val="00EA4102"/>
    <w:rsid w:val="00EA43A5"/>
    <w:rsid w:val="00EB2D73"/>
    <w:rsid w:val="00EB4A38"/>
    <w:rsid w:val="00EC0862"/>
    <w:rsid w:val="00EC1402"/>
    <w:rsid w:val="00EC70A3"/>
    <w:rsid w:val="00ED4037"/>
    <w:rsid w:val="00EE04E6"/>
    <w:rsid w:val="00EE6AC8"/>
    <w:rsid w:val="00EF1AC2"/>
    <w:rsid w:val="00F0088B"/>
    <w:rsid w:val="00F04540"/>
    <w:rsid w:val="00F11CF7"/>
    <w:rsid w:val="00F13E0F"/>
    <w:rsid w:val="00F20C4F"/>
    <w:rsid w:val="00F25139"/>
    <w:rsid w:val="00F275AF"/>
    <w:rsid w:val="00F341DB"/>
    <w:rsid w:val="00F35276"/>
    <w:rsid w:val="00F46459"/>
    <w:rsid w:val="00F52B86"/>
    <w:rsid w:val="00F7075E"/>
    <w:rsid w:val="00F71088"/>
    <w:rsid w:val="00F7531C"/>
    <w:rsid w:val="00F7665A"/>
    <w:rsid w:val="00F819CD"/>
    <w:rsid w:val="00FB60D8"/>
    <w:rsid w:val="00FB6CC0"/>
    <w:rsid w:val="00FD417C"/>
    <w:rsid w:val="00FD792C"/>
    <w:rsid w:val="00FE7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29AA2"/>
  <w15:chartTrackingRefBased/>
  <w15:docId w15:val="{0941AB2F-E38C-445F-BD03-AD0EBBCC7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2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72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72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2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2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2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2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2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2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2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72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72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2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2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2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2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2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25A"/>
    <w:rPr>
      <w:rFonts w:eastAsiaTheme="majorEastAsia" w:cstheme="majorBidi"/>
      <w:color w:val="272727" w:themeColor="text1" w:themeTint="D8"/>
    </w:rPr>
  </w:style>
  <w:style w:type="paragraph" w:styleId="Title">
    <w:name w:val="Title"/>
    <w:basedOn w:val="Normal"/>
    <w:next w:val="Normal"/>
    <w:link w:val="TitleChar"/>
    <w:uiPriority w:val="10"/>
    <w:qFormat/>
    <w:rsid w:val="00A072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2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2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2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25A"/>
    <w:pPr>
      <w:spacing w:before="160"/>
      <w:jc w:val="center"/>
    </w:pPr>
    <w:rPr>
      <w:i/>
      <w:iCs/>
      <w:color w:val="404040" w:themeColor="text1" w:themeTint="BF"/>
    </w:rPr>
  </w:style>
  <w:style w:type="character" w:customStyle="1" w:styleId="QuoteChar">
    <w:name w:val="Quote Char"/>
    <w:basedOn w:val="DefaultParagraphFont"/>
    <w:link w:val="Quote"/>
    <w:uiPriority w:val="29"/>
    <w:rsid w:val="00A0725A"/>
    <w:rPr>
      <w:i/>
      <w:iCs/>
      <w:color w:val="404040" w:themeColor="text1" w:themeTint="BF"/>
    </w:rPr>
  </w:style>
  <w:style w:type="paragraph" w:styleId="ListParagraph">
    <w:name w:val="List Paragraph"/>
    <w:basedOn w:val="Normal"/>
    <w:uiPriority w:val="34"/>
    <w:qFormat/>
    <w:rsid w:val="00A0725A"/>
    <w:pPr>
      <w:ind w:left="720"/>
      <w:contextualSpacing/>
    </w:pPr>
  </w:style>
  <w:style w:type="character" w:styleId="IntenseEmphasis">
    <w:name w:val="Intense Emphasis"/>
    <w:basedOn w:val="DefaultParagraphFont"/>
    <w:uiPriority w:val="21"/>
    <w:qFormat/>
    <w:rsid w:val="00A0725A"/>
    <w:rPr>
      <w:i/>
      <w:iCs/>
      <w:color w:val="0F4761" w:themeColor="accent1" w:themeShade="BF"/>
    </w:rPr>
  </w:style>
  <w:style w:type="paragraph" w:styleId="IntenseQuote">
    <w:name w:val="Intense Quote"/>
    <w:basedOn w:val="Normal"/>
    <w:next w:val="Normal"/>
    <w:link w:val="IntenseQuoteChar"/>
    <w:uiPriority w:val="30"/>
    <w:qFormat/>
    <w:rsid w:val="00A072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25A"/>
    <w:rPr>
      <w:i/>
      <w:iCs/>
      <w:color w:val="0F4761" w:themeColor="accent1" w:themeShade="BF"/>
    </w:rPr>
  </w:style>
  <w:style w:type="character" w:styleId="IntenseReference">
    <w:name w:val="Intense Reference"/>
    <w:basedOn w:val="DefaultParagraphFont"/>
    <w:uiPriority w:val="32"/>
    <w:qFormat/>
    <w:rsid w:val="00A0725A"/>
    <w:rPr>
      <w:b/>
      <w:bCs/>
      <w:smallCaps/>
      <w:color w:val="0F4761" w:themeColor="accent1" w:themeShade="BF"/>
      <w:spacing w:val="5"/>
    </w:rPr>
  </w:style>
  <w:style w:type="paragraph" w:styleId="NoSpacing">
    <w:name w:val="No Spacing"/>
    <w:link w:val="NoSpacingChar"/>
    <w:uiPriority w:val="1"/>
    <w:qFormat/>
    <w:rsid w:val="00A0725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0725A"/>
    <w:rPr>
      <w:kern w:val="0"/>
      <w:sz w:val="22"/>
      <w:szCs w:val="22"/>
      <w:lang w:val="en-US" w:eastAsia="en-US"/>
      <w14:ligatures w14:val="none"/>
    </w:rPr>
  </w:style>
  <w:style w:type="paragraph" w:styleId="Header">
    <w:name w:val="header"/>
    <w:basedOn w:val="Normal"/>
    <w:link w:val="HeaderChar"/>
    <w:uiPriority w:val="99"/>
    <w:unhideWhenUsed/>
    <w:rsid w:val="00A072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25A"/>
  </w:style>
  <w:style w:type="paragraph" w:styleId="Footer">
    <w:name w:val="footer"/>
    <w:basedOn w:val="Normal"/>
    <w:link w:val="FooterChar"/>
    <w:uiPriority w:val="99"/>
    <w:unhideWhenUsed/>
    <w:rsid w:val="00A072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25A"/>
  </w:style>
  <w:style w:type="paragraph" w:styleId="TOCHeading">
    <w:name w:val="TOC Heading"/>
    <w:basedOn w:val="Heading1"/>
    <w:next w:val="Normal"/>
    <w:uiPriority w:val="39"/>
    <w:unhideWhenUsed/>
    <w:qFormat/>
    <w:rsid w:val="00A0725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0725A"/>
    <w:pPr>
      <w:spacing w:after="100"/>
    </w:pPr>
  </w:style>
  <w:style w:type="character" w:styleId="Hyperlink">
    <w:name w:val="Hyperlink"/>
    <w:basedOn w:val="DefaultParagraphFont"/>
    <w:uiPriority w:val="99"/>
    <w:unhideWhenUsed/>
    <w:rsid w:val="00A0725A"/>
    <w:rPr>
      <w:color w:val="467886" w:themeColor="hyperlink"/>
      <w:u w:val="single"/>
    </w:rPr>
  </w:style>
  <w:style w:type="character" w:styleId="UnresolvedMention">
    <w:name w:val="Unresolved Mention"/>
    <w:basedOn w:val="DefaultParagraphFont"/>
    <w:uiPriority w:val="99"/>
    <w:semiHidden/>
    <w:unhideWhenUsed/>
    <w:rsid w:val="00292BDC"/>
    <w:rPr>
      <w:color w:val="605E5C"/>
      <w:shd w:val="clear" w:color="auto" w:fill="E1DFDD"/>
    </w:rPr>
  </w:style>
  <w:style w:type="character" w:styleId="FollowedHyperlink">
    <w:name w:val="FollowedHyperlink"/>
    <w:basedOn w:val="DefaultParagraphFont"/>
    <w:uiPriority w:val="99"/>
    <w:semiHidden/>
    <w:unhideWhenUsed/>
    <w:rsid w:val="00292BD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888950">
      <w:bodyDiv w:val="1"/>
      <w:marLeft w:val="0"/>
      <w:marRight w:val="0"/>
      <w:marTop w:val="0"/>
      <w:marBottom w:val="0"/>
      <w:divBdr>
        <w:top w:val="none" w:sz="0" w:space="0" w:color="auto"/>
        <w:left w:val="none" w:sz="0" w:space="0" w:color="auto"/>
        <w:bottom w:val="none" w:sz="0" w:space="0" w:color="auto"/>
        <w:right w:val="none" w:sz="0" w:space="0" w:color="auto"/>
      </w:divBdr>
      <w:divsChild>
        <w:div w:id="1535264797">
          <w:marLeft w:val="0"/>
          <w:marRight w:val="0"/>
          <w:marTop w:val="0"/>
          <w:marBottom w:val="0"/>
          <w:divBdr>
            <w:top w:val="none" w:sz="0" w:space="0" w:color="auto"/>
            <w:left w:val="none" w:sz="0" w:space="0" w:color="auto"/>
            <w:bottom w:val="none" w:sz="0" w:space="0" w:color="auto"/>
            <w:right w:val="none" w:sz="0" w:space="0" w:color="auto"/>
          </w:divBdr>
        </w:div>
      </w:divsChild>
    </w:div>
    <w:div w:id="306521789">
      <w:bodyDiv w:val="1"/>
      <w:marLeft w:val="0"/>
      <w:marRight w:val="0"/>
      <w:marTop w:val="0"/>
      <w:marBottom w:val="0"/>
      <w:divBdr>
        <w:top w:val="none" w:sz="0" w:space="0" w:color="auto"/>
        <w:left w:val="none" w:sz="0" w:space="0" w:color="auto"/>
        <w:bottom w:val="none" w:sz="0" w:space="0" w:color="auto"/>
        <w:right w:val="none" w:sz="0" w:space="0" w:color="auto"/>
      </w:divBdr>
      <w:divsChild>
        <w:div w:id="1266616201">
          <w:marLeft w:val="0"/>
          <w:marRight w:val="0"/>
          <w:marTop w:val="0"/>
          <w:marBottom w:val="0"/>
          <w:divBdr>
            <w:top w:val="none" w:sz="0" w:space="0" w:color="auto"/>
            <w:left w:val="none" w:sz="0" w:space="0" w:color="auto"/>
            <w:bottom w:val="none" w:sz="0" w:space="0" w:color="auto"/>
            <w:right w:val="none" w:sz="0" w:space="0" w:color="auto"/>
          </w:divBdr>
        </w:div>
      </w:divsChild>
    </w:div>
    <w:div w:id="369258430">
      <w:bodyDiv w:val="1"/>
      <w:marLeft w:val="0"/>
      <w:marRight w:val="0"/>
      <w:marTop w:val="0"/>
      <w:marBottom w:val="0"/>
      <w:divBdr>
        <w:top w:val="none" w:sz="0" w:space="0" w:color="auto"/>
        <w:left w:val="none" w:sz="0" w:space="0" w:color="auto"/>
        <w:bottom w:val="none" w:sz="0" w:space="0" w:color="auto"/>
        <w:right w:val="none" w:sz="0" w:space="0" w:color="auto"/>
      </w:divBdr>
      <w:divsChild>
        <w:div w:id="693268759">
          <w:marLeft w:val="0"/>
          <w:marRight w:val="0"/>
          <w:marTop w:val="0"/>
          <w:marBottom w:val="0"/>
          <w:divBdr>
            <w:top w:val="none" w:sz="0" w:space="0" w:color="auto"/>
            <w:left w:val="none" w:sz="0" w:space="0" w:color="auto"/>
            <w:bottom w:val="none" w:sz="0" w:space="0" w:color="auto"/>
            <w:right w:val="none" w:sz="0" w:space="0" w:color="auto"/>
          </w:divBdr>
        </w:div>
      </w:divsChild>
    </w:div>
    <w:div w:id="564686147">
      <w:bodyDiv w:val="1"/>
      <w:marLeft w:val="0"/>
      <w:marRight w:val="0"/>
      <w:marTop w:val="0"/>
      <w:marBottom w:val="0"/>
      <w:divBdr>
        <w:top w:val="none" w:sz="0" w:space="0" w:color="auto"/>
        <w:left w:val="none" w:sz="0" w:space="0" w:color="auto"/>
        <w:bottom w:val="none" w:sz="0" w:space="0" w:color="auto"/>
        <w:right w:val="none" w:sz="0" w:space="0" w:color="auto"/>
      </w:divBdr>
      <w:divsChild>
        <w:div w:id="1923180419">
          <w:marLeft w:val="0"/>
          <w:marRight w:val="0"/>
          <w:marTop w:val="0"/>
          <w:marBottom w:val="0"/>
          <w:divBdr>
            <w:top w:val="none" w:sz="0" w:space="0" w:color="auto"/>
            <w:left w:val="none" w:sz="0" w:space="0" w:color="auto"/>
            <w:bottom w:val="none" w:sz="0" w:space="0" w:color="auto"/>
            <w:right w:val="none" w:sz="0" w:space="0" w:color="auto"/>
          </w:divBdr>
        </w:div>
      </w:divsChild>
    </w:div>
    <w:div w:id="662390306">
      <w:bodyDiv w:val="1"/>
      <w:marLeft w:val="0"/>
      <w:marRight w:val="0"/>
      <w:marTop w:val="0"/>
      <w:marBottom w:val="0"/>
      <w:divBdr>
        <w:top w:val="none" w:sz="0" w:space="0" w:color="auto"/>
        <w:left w:val="none" w:sz="0" w:space="0" w:color="auto"/>
        <w:bottom w:val="none" w:sz="0" w:space="0" w:color="auto"/>
        <w:right w:val="none" w:sz="0" w:space="0" w:color="auto"/>
      </w:divBdr>
    </w:div>
    <w:div w:id="670721816">
      <w:bodyDiv w:val="1"/>
      <w:marLeft w:val="0"/>
      <w:marRight w:val="0"/>
      <w:marTop w:val="0"/>
      <w:marBottom w:val="0"/>
      <w:divBdr>
        <w:top w:val="none" w:sz="0" w:space="0" w:color="auto"/>
        <w:left w:val="none" w:sz="0" w:space="0" w:color="auto"/>
        <w:bottom w:val="none" w:sz="0" w:space="0" w:color="auto"/>
        <w:right w:val="none" w:sz="0" w:space="0" w:color="auto"/>
      </w:divBdr>
      <w:divsChild>
        <w:div w:id="1045328141">
          <w:marLeft w:val="0"/>
          <w:marRight w:val="0"/>
          <w:marTop w:val="0"/>
          <w:marBottom w:val="0"/>
          <w:divBdr>
            <w:top w:val="none" w:sz="0" w:space="0" w:color="auto"/>
            <w:left w:val="none" w:sz="0" w:space="0" w:color="auto"/>
            <w:bottom w:val="none" w:sz="0" w:space="0" w:color="auto"/>
            <w:right w:val="none" w:sz="0" w:space="0" w:color="auto"/>
          </w:divBdr>
        </w:div>
      </w:divsChild>
    </w:div>
    <w:div w:id="691034170">
      <w:bodyDiv w:val="1"/>
      <w:marLeft w:val="0"/>
      <w:marRight w:val="0"/>
      <w:marTop w:val="0"/>
      <w:marBottom w:val="0"/>
      <w:divBdr>
        <w:top w:val="none" w:sz="0" w:space="0" w:color="auto"/>
        <w:left w:val="none" w:sz="0" w:space="0" w:color="auto"/>
        <w:bottom w:val="none" w:sz="0" w:space="0" w:color="auto"/>
        <w:right w:val="none" w:sz="0" w:space="0" w:color="auto"/>
      </w:divBdr>
      <w:divsChild>
        <w:div w:id="717978070">
          <w:marLeft w:val="0"/>
          <w:marRight w:val="0"/>
          <w:marTop w:val="0"/>
          <w:marBottom w:val="0"/>
          <w:divBdr>
            <w:top w:val="none" w:sz="0" w:space="0" w:color="auto"/>
            <w:left w:val="none" w:sz="0" w:space="0" w:color="auto"/>
            <w:bottom w:val="none" w:sz="0" w:space="0" w:color="auto"/>
            <w:right w:val="none" w:sz="0" w:space="0" w:color="auto"/>
          </w:divBdr>
        </w:div>
      </w:divsChild>
    </w:div>
    <w:div w:id="873611872">
      <w:bodyDiv w:val="1"/>
      <w:marLeft w:val="0"/>
      <w:marRight w:val="0"/>
      <w:marTop w:val="0"/>
      <w:marBottom w:val="0"/>
      <w:divBdr>
        <w:top w:val="none" w:sz="0" w:space="0" w:color="auto"/>
        <w:left w:val="none" w:sz="0" w:space="0" w:color="auto"/>
        <w:bottom w:val="none" w:sz="0" w:space="0" w:color="auto"/>
        <w:right w:val="none" w:sz="0" w:space="0" w:color="auto"/>
      </w:divBdr>
      <w:divsChild>
        <w:div w:id="781537340">
          <w:marLeft w:val="0"/>
          <w:marRight w:val="0"/>
          <w:marTop w:val="0"/>
          <w:marBottom w:val="0"/>
          <w:divBdr>
            <w:top w:val="none" w:sz="0" w:space="0" w:color="auto"/>
            <w:left w:val="none" w:sz="0" w:space="0" w:color="auto"/>
            <w:bottom w:val="none" w:sz="0" w:space="0" w:color="auto"/>
            <w:right w:val="none" w:sz="0" w:space="0" w:color="auto"/>
          </w:divBdr>
        </w:div>
      </w:divsChild>
    </w:div>
    <w:div w:id="921913191">
      <w:bodyDiv w:val="1"/>
      <w:marLeft w:val="0"/>
      <w:marRight w:val="0"/>
      <w:marTop w:val="0"/>
      <w:marBottom w:val="0"/>
      <w:divBdr>
        <w:top w:val="none" w:sz="0" w:space="0" w:color="auto"/>
        <w:left w:val="none" w:sz="0" w:space="0" w:color="auto"/>
        <w:bottom w:val="none" w:sz="0" w:space="0" w:color="auto"/>
        <w:right w:val="none" w:sz="0" w:space="0" w:color="auto"/>
      </w:divBdr>
      <w:divsChild>
        <w:div w:id="67577343">
          <w:marLeft w:val="0"/>
          <w:marRight w:val="0"/>
          <w:marTop w:val="0"/>
          <w:marBottom w:val="0"/>
          <w:divBdr>
            <w:top w:val="none" w:sz="0" w:space="0" w:color="auto"/>
            <w:left w:val="none" w:sz="0" w:space="0" w:color="auto"/>
            <w:bottom w:val="none" w:sz="0" w:space="0" w:color="auto"/>
            <w:right w:val="none" w:sz="0" w:space="0" w:color="auto"/>
          </w:divBdr>
        </w:div>
      </w:divsChild>
    </w:div>
    <w:div w:id="962080243">
      <w:bodyDiv w:val="1"/>
      <w:marLeft w:val="0"/>
      <w:marRight w:val="0"/>
      <w:marTop w:val="0"/>
      <w:marBottom w:val="0"/>
      <w:divBdr>
        <w:top w:val="none" w:sz="0" w:space="0" w:color="auto"/>
        <w:left w:val="none" w:sz="0" w:space="0" w:color="auto"/>
        <w:bottom w:val="none" w:sz="0" w:space="0" w:color="auto"/>
        <w:right w:val="none" w:sz="0" w:space="0" w:color="auto"/>
      </w:divBdr>
      <w:divsChild>
        <w:div w:id="1835950605">
          <w:marLeft w:val="0"/>
          <w:marRight w:val="0"/>
          <w:marTop w:val="0"/>
          <w:marBottom w:val="0"/>
          <w:divBdr>
            <w:top w:val="none" w:sz="0" w:space="0" w:color="auto"/>
            <w:left w:val="none" w:sz="0" w:space="0" w:color="auto"/>
            <w:bottom w:val="none" w:sz="0" w:space="0" w:color="auto"/>
            <w:right w:val="none" w:sz="0" w:space="0" w:color="auto"/>
          </w:divBdr>
        </w:div>
      </w:divsChild>
    </w:div>
    <w:div w:id="969559066">
      <w:bodyDiv w:val="1"/>
      <w:marLeft w:val="0"/>
      <w:marRight w:val="0"/>
      <w:marTop w:val="0"/>
      <w:marBottom w:val="0"/>
      <w:divBdr>
        <w:top w:val="none" w:sz="0" w:space="0" w:color="auto"/>
        <w:left w:val="none" w:sz="0" w:space="0" w:color="auto"/>
        <w:bottom w:val="none" w:sz="0" w:space="0" w:color="auto"/>
        <w:right w:val="none" w:sz="0" w:space="0" w:color="auto"/>
      </w:divBdr>
      <w:divsChild>
        <w:div w:id="2001226962">
          <w:marLeft w:val="0"/>
          <w:marRight w:val="0"/>
          <w:marTop w:val="0"/>
          <w:marBottom w:val="0"/>
          <w:divBdr>
            <w:top w:val="none" w:sz="0" w:space="0" w:color="auto"/>
            <w:left w:val="none" w:sz="0" w:space="0" w:color="auto"/>
            <w:bottom w:val="none" w:sz="0" w:space="0" w:color="auto"/>
            <w:right w:val="none" w:sz="0" w:space="0" w:color="auto"/>
          </w:divBdr>
        </w:div>
      </w:divsChild>
    </w:div>
    <w:div w:id="1037043984">
      <w:bodyDiv w:val="1"/>
      <w:marLeft w:val="0"/>
      <w:marRight w:val="0"/>
      <w:marTop w:val="0"/>
      <w:marBottom w:val="0"/>
      <w:divBdr>
        <w:top w:val="none" w:sz="0" w:space="0" w:color="auto"/>
        <w:left w:val="none" w:sz="0" w:space="0" w:color="auto"/>
        <w:bottom w:val="none" w:sz="0" w:space="0" w:color="auto"/>
        <w:right w:val="none" w:sz="0" w:space="0" w:color="auto"/>
      </w:divBdr>
      <w:divsChild>
        <w:div w:id="144861166">
          <w:marLeft w:val="0"/>
          <w:marRight w:val="0"/>
          <w:marTop w:val="0"/>
          <w:marBottom w:val="0"/>
          <w:divBdr>
            <w:top w:val="none" w:sz="0" w:space="0" w:color="auto"/>
            <w:left w:val="none" w:sz="0" w:space="0" w:color="auto"/>
            <w:bottom w:val="none" w:sz="0" w:space="0" w:color="auto"/>
            <w:right w:val="none" w:sz="0" w:space="0" w:color="auto"/>
          </w:divBdr>
        </w:div>
      </w:divsChild>
    </w:div>
    <w:div w:id="1131554275">
      <w:bodyDiv w:val="1"/>
      <w:marLeft w:val="0"/>
      <w:marRight w:val="0"/>
      <w:marTop w:val="0"/>
      <w:marBottom w:val="0"/>
      <w:divBdr>
        <w:top w:val="none" w:sz="0" w:space="0" w:color="auto"/>
        <w:left w:val="none" w:sz="0" w:space="0" w:color="auto"/>
        <w:bottom w:val="none" w:sz="0" w:space="0" w:color="auto"/>
        <w:right w:val="none" w:sz="0" w:space="0" w:color="auto"/>
      </w:divBdr>
      <w:divsChild>
        <w:div w:id="2140612813">
          <w:marLeft w:val="0"/>
          <w:marRight w:val="0"/>
          <w:marTop w:val="0"/>
          <w:marBottom w:val="0"/>
          <w:divBdr>
            <w:top w:val="none" w:sz="0" w:space="0" w:color="auto"/>
            <w:left w:val="none" w:sz="0" w:space="0" w:color="auto"/>
            <w:bottom w:val="none" w:sz="0" w:space="0" w:color="auto"/>
            <w:right w:val="none" w:sz="0" w:space="0" w:color="auto"/>
          </w:divBdr>
        </w:div>
      </w:divsChild>
    </w:div>
    <w:div w:id="1143350383">
      <w:bodyDiv w:val="1"/>
      <w:marLeft w:val="0"/>
      <w:marRight w:val="0"/>
      <w:marTop w:val="0"/>
      <w:marBottom w:val="0"/>
      <w:divBdr>
        <w:top w:val="none" w:sz="0" w:space="0" w:color="auto"/>
        <w:left w:val="none" w:sz="0" w:space="0" w:color="auto"/>
        <w:bottom w:val="none" w:sz="0" w:space="0" w:color="auto"/>
        <w:right w:val="none" w:sz="0" w:space="0" w:color="auto"/>
      </w:divBdr>
      <w:divsChild>
        <w:div w:id="700908052">
          <w:marLeft w:val="0"/>
          <w:marRight w:val="0"/>
          <w:marTop w:val="0"/>
          <w:marBottom w:val="0"/>
          <w:divBdr>
            <w:top w:val="none" w:sz="0" w:space="0" w:color="auto"/>
            <w:left w:val="none" w:sz="0" w:space="0" w:color="auto"/>
            <w:bottom w:val="none" w:sz="0" w:space="0" w:color="auto"/>
            <w:right w:val="none" w:sz="0" w:space="0" w:color="auto"/>
          </w:divBdr>
        </w:div>
      </w:divsChild>
    </w:div>
    <w:div w:id="1159885532">
      <w:bodyDiv w:val="1"/>
      <w:marLeft w:val="0"/>
      <w:marRight w:val="0"/>
      <w:marTop w:val="0"/>
      <w:marBottom w:val="0"/>
      <w:divBdr>
        <w:top w:val="none" w:sz="0" w:space="0" w:color="auto"/>
        <w:left w:val="none" w:sz="0" w:space="0" w:color="auto"/>
        <w:bottom w:val="none" w:sz="0" w:space="0" w:color="auto"/>
        <w:right w:val="none" w:sz="0" w:space="0" w:color="auto"/>
      </w:divBdr>
      <w:divsChild>
        <w:div w:id="1649435543">
          <w:marLeft w:val="0"/>
          <w:marRight w:val="0"/>
          <w:marTop w:val="0"/>
          <w:marBottom w:val="0"/>
          <w:divBdr>
            <w:top w:val="none" w:sz="0" w:space="0" w:color="auto"/>
            <w:left w:val="none" w:sz="0" w:space="0" w:color="auto"/>
            <w:bottom w:val="none" w:sz="0" w:space="0" w:color="auto"/>
            <w:right w:val="none" w:sz="0" w:space="0" w:color="auto"/>
          </w:divBdr>
        </w:div>
      </w:divsChild>
    </w:div>
    <w:div w:id="1267076260">
      <w:bodyDiv w:val="1"/>
      <w:marLeft w:val="0"/>
      <w:marRight w:val="0"/>
      <w:marTop w:val="0"/>
      <w:marBottom w:val="0"/>
      <w:divBdr>
        <w:top w:val="none" w:sz="0" w:space="0" w:color="auto"/>
        <w:left w:val="none" w:sz="0" w:space="0" w:color="auto"/>
        <w:bottom w:val="none" w:sz="0" w:space="0" w:color="auto"/>
        <w:right w:val="none" w:sz="0" w:space="0" w:color="auto"/>
      </w:divBdr>
      <w:divsChild>
        <w:div w:id="1273627700">
          <w:marLeft w:val="0"/>
          <w:marRight w:val="0"/>
          <w:marTop w:val="0"/>
          <w:marBottom w:val="0"/>
          <w:divBdr>
            <w:top w:val="none" w:sz="0" w:space="0" w:color="auto"/>
            <w:left w:val="none" w:sz="0" w:space="0" w:color="auto"/>
            <w:bottom w:val="none" w:sz="0" w:space="0" w:color="auto"/>
            <w:right w:val="none" w:sz="0" w:space="0" w:color="auto"/>
          </w:divBdr>
        </w:div>
      </w:divsChild>
    </w:div>
    <w:div w:id="1275675304">
      <w:bodyDiv w:val="1"/>
      <w:marLeft w:val="0"/>
      <w:marRight w:val="0"/>
      <w:marTop w:val="0"/>
      <w:marBottom w:val="0"/>
      <w:divBdr>
        <w:top w:val="none" w:sz="0" w:space="0" w:color="auto"/>
        <w:left w:val="none" w:sz="0" w:space="0" w:color="auto"/>
        <w:bottom w:val="none" w:sz="0" w:space="0" w:color="auto"/>
        <w:right w:val="none" w:sz="0" w:space="0" w:color="auto"/>
      </w:divBdr>
      <w:divsChild>
        <w:div w:id="106585497">
          <w:marLeft w:val="0"/>
          <w:marRight w:val="0"/>
          <w:marTop w:val="0"/>
          <w:marBottom w:val="0"/>
          <w:divBdr>
            <w:top w:val="none" w:sz="0" w:space="0" w:color="auto"/>
            <w:left w:val="none" w:sz="0" w:space="0" w:color="auto"/>
            <w:bottom w:val="none" w:sz="0" w:space="0" w:color="auto"/>
            <w:right w:val="none" w:sz="0" w:space="0" w:color="auto"/>
          </w:divBdr>
        </w:div>
      </w:divsChild>
    </w:div>
    <w:div w:id="1397243698">
      <w:bodyDiv w:val="1"/>
      <w:marLeft w:val="0"/>
      <w:marRight w:val="0"/>
      <w:marTop w:val="0"/>
      <w:marBottom w:val="0"/>
      <w:divBdr>
        <w:top w:val="none" w:sz="0" w:space="0" w:color="auto"/>
        <w:left w:val="none" w:sz="0" w:space="0" w:color="auto"/>
        <w:bottom w:val="none" w:sz="0" w:space="0" w:color="auto"/>
        <w:right w:val="none" w:sz="0" w:space="0" w:color="auto"/>
      </w:divBdr>
      <w:divsChild>
        <w:div w:id="407925960">
          <w:marLeft w:val="0"/>
          <w:marRight w:val="0"/>
          <w:marTop w:val="0"/>
          <w:marBottom w:val="0"/>
          <w:divBdr>
            <w:top w:val="none" w:sz="0" w:space="0" w:color="auto"/>
            <w:left w:val="none" w:sz="0" w:space="0" w:color="auto"/>
            <w:bottom w:val="none" w:sz="0" w:space="0" w:color="auto"/>
            <w:right w:val="none" w:sz="0" w:space="0" w:color="auto"/>
          </w:divBdr>
        </w:div>
      </w:divsChild>
    </w:div>
    <w:div w:id="1491556374">
      <w:bodyDiv w:val="1"/>
      <w:marLeft w:val="0"/>
      <w:marRight w:val="0"/>
      <w:marTop w:val="0"/>
      <w:marBottom w:val="0"/>
      <w:divBdr>
        <w:top w:val="none" w:sz="0" w:space="0" w:color="auto"/>
        <w:left w:val="none" w:sz="0" w:space="0" w:color="auto"/>
        <w:bottom w:val="none" w:sz="0" w:space="0" w:color="auto"/>
        <w:right w:val="none" w:sz="0" w:space="0" w:color="auto"/>
      </w:divBdr>
      <w:divsChild>
        <w:div w:id="1519390673">
          <w:marLeft w:val="0"/>
          <w:marRight w:val="0"/>
          <w:marTop w:val="0"/>
          <w:marBottom w:val="0"/>
          <w:divBdr>
            <w:top w:val="none" w:sz="0" w:space="0" w:color="auto"/>
            <w:left w:val="none" w:sz="0" w:space="0" w:color="auto"/>
            <w:bottom w:val="none" w:sz="0" w:space="0" w:color="auto"/>
            <w:right w:val="none" w:sz="0" w:space="0" w:color="auto"/>
          </w:divBdr>
        </w:div>
      </w:divsChild>
    </w:div>
    <w:div w:id="1539732412">
      <w:bodyDiv w:val="1"/>
      <w:marLeft w:val="0"/>
      <w:marRight w:val="0"/>
      <w:marTop w:val="0"/>
      <w:marBottom w:val="0"/>
      <w:divBdr>
        <w:top w:val="none" w:sz="0" w:space="0" w:color="auto"/>
        <w:left w:val="none" w:sz="0" w:space="0" w:color="auto"/>
        <w:bottom w:val="none" w:sz="0" w:space="0" w:color="auto"/>
        <w:right w:val="none" w:sz="0" w:space="0" w:color="auto"/>
      </w:divBdr>
      <w:divsChild>
        <w:div w:id="1184202716">
          <w:marLeft w:val="0"/>
          <w:marRight w:val="0"/>
          <w:marTop w:val="0"/>
          <w:marBottom w:val="0"/>
          <w:divBdr>
            <w:top w:val="none" w:sz="0" w:space="0" w:color="auto"/>
            <w:left w:val="none" w:sz="0" w:space="0" w:color="auto"/>
            <w:bottom w:val="none" w:sz="0" w:space="0" w:color="auto"/>
            <w:right w:val="none" w:sz="0" w:space="0" w:color="auto"/>
          </w:divBdr>
        </w:div>
      </w:divsChild>
    </w:div>
    <w:div w:id="1605728864">
      <w:bodyDiv w:val="1"/>
      <w:marLeft w:val="0"/>
      <w:marRight w:val="0"/>
      <w:marTop w:val="0"/>
      <w:marBottom w:val="0"/>
      <w:divBdr>
        <w:top w:val="none" w:sz="0" w:space="0" w:color="auto"/>
        <w:left w:val="none" w:sz="0" w:space="0" w:color="auto"/>
        <w:bottom w:val="none" w:sz="0" w:space="0" w:color="auto"/>
        <w:right w:val="none" w:sz="0" w:space="0" w:color="auto"/>
      </w:divBdr>
      <w:divsChild>
        <w:div w:id="705914306">
          <w:marLeft w:val="0"/>
          <w:marRight w:val="0"/>
          <w:marTop w:val="0"/>
          <w:marBottom w:val="0"/>
          <w:divBdr>
            <w:top w:val="none" w:sz="0" w:space="0" w:color="auto"/>
            <w:left w:val="none" w:sz="0" w:space="0" w:color="auto"/>
            <w:bottom w:val="none" w:sz="0" w:space="0" w:color="auto"/>
            <w:right w:val="none" w:sz="0" w:space="0" w:color="auto"/>
          </w:divBdr>
        </w:div>
      </w:divsChild>
    </w:div>
    <w:div w:id="1727144073">
      <w:bodyDiv w:val="1"/>
      <w:marLeft w:val="0"/>
      <w:marRight w:val="0"/>
      <w:marTop w:val="0"/>
      <w:marBottom w:val="0"/>
      <w:divBdr>
        <w:top w:val="none" w:sz="0" w:space="0" w:color="auto"/>
        <w:left w:val="none" w:sz="0" w:space="0" w:color="auto"/>
        <w:bottom w:val="none" w:sz="0" w:space="0" w:color="auto"/>
        <w:right w:val="none" w:sz="0" w:space="0" w:color="auto"/>
      </w:divBdr>
      <w:divsChild>
        <w:div w:id="683819562">
          <w:marLeft w:val="0"/>
          <w:marRight w:val="0"/>
          <w:marTop w:val="0"/>
          <w:marBottom w:val="0"/>
          <w:divBdr>
            <w:top w:val="none" w:sz="0" w:space="0" w:color="auto"/>
            <w:left w:val="none" w:sz="0" w:space="0" w:color="auto"/>
            <w:bottom w:val="none" w:sz="0" w:space="0" w:color="auto"/>
            <w:right w:val="none" w:sz="0" w:space="0" w:color="auto"/>
          </w:divBdr>
        </w:div>
      </w:divsChild>
    </w:div>
    <w:div w:id="1733388433">
      <w:bodyDiv w:val="1"/>
      <w:marLeft w:val="0"/>
      <w:marRight w:val="0"/>
      <w:marTop w:val="0"/>
      <w:marBottom w:val="0"/>
      <w:divBdr>
        <w:top w:val="none" w:sz="0" w:space="0" w:color="auto"/>
        <w:left w:val="none" w:sz="0" w:space="0" w:color="auto"/>
        <w:bottom w:val="none" w:sz="0" w:space="0" w:color="auto"/>
        <w:right w:val="none" w:sz="0" w:space="0" w:color="auto"/>
      </w:divBdr>
      <w:divsChild>
        <w:div w:id="1520312478">
          <w:marLeft w:val="0"/>
          <w:marRight w:val="0"/>
          <w:marTop w:val="0"/>
          <w:marBottom w:val="0"/>
          <w:divBdr>
            <w:top w:val="none" w:sz="0" w:space="0" w:color="auto"/>
            <w:left w:val="none" w:sz="0" w:space="0" w:color="auto"/>
            <w:bottom w:val="none" w:sz="0" w:space="0" w:color="auto"/>
            <w:right w:val="none" w:sz="0" w:space="0" w:color="auto"/>
          </w:divBdr>
        </w:div>
      </w:divsChild>
    </w:div>
    <w:div w:id="1739984448">
      <w:bodyDiv w:val="1"/>
      <w:marLeft w:val="0"/>
      <w:marRight w:val="0"/>
      <w:marTop w:val="0"/>
      <w:marBottom w:val="0"/>
      <w:divBdr>
        <w:top w:val="none" w:sz="0" w:space="0" w:color="auto"/>
        <w:left w:val="none" w:sz="0" w:space="0" w:color="auto"/>
        <w:bottom w:val="none" w:sz="0" w:space="0" w:color="auto"/>
        <w:right w:val="none" w:sz="0" w:space="0" w:color="auto"/>
      </w:divBdr>
    </w:div>
    <w:div w:id="1931623275">
      <w:bodyDiv w:val="1"/>
      <w:marLeft w:val="0"/>
      <w:marRight w:val="0"/>
      <w:marTop w:val="0"/>
      <w:marBottom w:val="0"/>
      <w:divBdr>
        <w:top w:val="none" w:sz="0" w:space="0" w:color="auto"/>
        <w:left w:val="none" w:sz="0" w:space="0" w:color="auto"/>
        <w:bottom w:val="none" w:sz="0" w:space="0" w:color="auto"/>
        <w:right w:val="none" w:sz="0" w:space="0" w:color="auto"/>
      </w:divBdr>
      <w:divsChild>
        <w:div w:id="1273977268">
          <w:marLeft w:val="0"/>
          <w:marRight w:val="0"/>
          <w:marTop w:val="0"/>
          <w:marBottom w:val="0"/>
          <w:divBdr>
            <w:top w:val="none" w:sz="0" w:space="0" w:color="auto"/>
            <w:left w:val="none" w:sz="0" w:space="0" w:color="auto"/>
            <w:bottom w:val="none" w:sz="0" w:space="0" w:color="auto"/>
            <w:right w:val="none" w:sz="0" w:space="0" w:color="auto"/>
          </w:divBdr>
        </w:div>
      </w:divsChild>
    </w:div>
    <w:div w:id="2052072782">
      <w:bodyDiv w:val="1"/>
      <w:marLeft w:val="0"/>
      <w:marRight w:val="0"/>
      <w:marTop w:val="0"/>
      <w:marBottom w:val="0"/>
      <w:divBdr>
        <w:top w:val="none" w:sz="0" w:space="0" w:color="auto"/>
        <w:left w:val="none" w:sz="0" w:space="0" w:color="auto"/>
        <w:bottom w:val="none" w:sz="0" w:space="0" w:color="auto"/>
        <w:right w:val="none" w:sz="0" w:space="0" w:color="auto"/>
      </w:divBdr>
      <w:divsChild>
        <w:div w:id="90441314">
          <w:marLeft w:val="0"/>
          <w:marRight w:val="0"/>
          <w:marTop w:val="0"/>
          <w:marBottom w:val="0"/>
          <w:divBdr>
            <w:top w:val="none" w:sz="0" w:space="0" w:color="auto"/>
            <w:left w:val="none" w:sz="0" w:space="0" w:color="auto"/>
            <w:bottom w:val="none" w:sz="0" w:space="0" w:color="auto"/>
            <w:right w:val="none" w:sz="0" w:space="0" w:color="auto"/>
          </w:divBdr>
        </w:div>
      </w:divsChild>
    </w:div>
    <w:div w:id="2145806829">
      <w:bodyDiv w:val="1"/>
      <w:marLeft w:val="0"/>
      <w:marRight w:val="0"/>
      <w:marTop w:val="0"/>
      <w:marBottom w:val="0"/>
      <w:divBdr>
        <w:top w:val="none" w:sz="0" w:space="0" w:color="auto"/>
        <w:left w:val="none" w:sz="0" w:space="0" w:color="auto"/>
        <w:bottom w:val="none" w:sz="0" w:space="0" w:color="auto"/>
        <w:right w:val="none" w:sz="0" w:space="0" w:color="auto"/>
      </w:divBdr>
      <w:divsChild>
        <w:div w:id="1109275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5BD24E12F5D431D84A349699AB8EEBA"/>
        <w:category>
          <w:name w:val="General"/>
          <w:gallery w:val="placeholder"/>
        </w:category>
        <w:types>
          <w:type w:val="bbPlcHdr"/>
        </w:types>
        <w:behaviors>
          <w:behavior w:val="content"/>
        </w:behaviors>
        <w:guid w:val="{5D5AAA37-4766-478F-9A01-42721F5C3A5F}"/>
      </w:docPartPr>
      <w:docPartBody>
        <w:p w:rsidR="003D6767" w:rsidRDefault="00892575" w:rsidP="00892575">
          <w:pPr>
            <w:pStyle w:val="A5BD24E12F5D431D84A349699AB8EEBA"/>
          </w:pPr>
          <w:r>
            <w:rPr>
              <w:rFonts w:asciiTheme="majorHAnsi" w:eastAsiaTheme="majorEastAsia" w:hAnsiTheme="majorHAnsi" w:cstheme="majorBidi"/>
              <w:caps/>
              <w:color w:val="156082" w:themeColor="accent1"/>
              <w:sz w:val="80"/>
              <w:szCs w:val="80"/>
            </w:rPr>
            <w:t>[Document title]</w:t>
          </w:r>
        </w:p>
      </w:docPartBody>
    </w:docPart>
    <w:docPart>
      <w:docPartPr>
        <w:name w:val="AFB117F4F9824BC990F3C8C6F0600D19"/>
        <w:category>
          <w:name w:val="General"/>
          <w:gallery w:val="placeholder"/>
        </w:category>
        <w:types>
          <w:type w:val="bbPlcHdr"/>
        </w:types>
        <w:behaviors>
          <w:behavior w:val="content"/>
        </w:behaviors>
        <w:guid w:val="{62FE6DFE-3EB1-4FC6-B8D1-0AB5829D2033}"/>
      </w:docPartPr>
      <w:docPartBody>
        <w:p w:rsidR="003D6767" w:rsidRDefault="00892575" w:rsidP="00892575">
          <w:pPr>
            <w:pStyle w:val="AFB117F4F9824BC990F3C8C6F0600D1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575"/>
    <w:rsid w:val="001B065F"/>
    <w:rsid w:val="00221437"/>
    <w:rsid w:val="002418FB"/>
    <w:rsid w:val="003D6767"/>
    <w:rsid w:val="0075570B"/>
    <w:rsid w:val="007709D4"/>
    <w:rsid w:val="008925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BD24E12F5D431D84A349699AB8EEBA">
    <w:name w:val="A5BD24E12F5D431D84A349699AB8EEBA"/>
    <w:rsid w:val="00892575"/>
  </w:style>
  <w:style w:type="paragraph" w:customStyle="1" w:styleId="AFB117F4F9824BC990F3C8C6F0600D19">
    <w:name w:val="AFB117F4F9824BC990F3C8C6F0600D19"/>
    <w:rsid w:val="008925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2026-06-12T00:00:00</PublishDate>
  <Abstract/>
  <CompanyAddress>Darrell Byrne 2421060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2FB150-92BE-4E26-B2C6-417A3617B40B}">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2928</Words>
  <Characters>16693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and law</dc:title>
  <dc:subject>ACMA5015</dc:subject>
  <dc:creator>Zita Draper</dc:creator>
  <cp:keywords/>
  <dc:description/>
  <cp:lastModifiedBy>Byrne, Darrell</cp:lastModifiedBy>
  <cp:revision>513</cp:revision>
  <dcterms:created xsi:type="dcterms:W3CDTF">2026-06-10T20:45:00Z</dcterms:created>
  <dcterms:modified xsi:type="dcterms:W3CDTF">2026-06-12T12:08:00Z</dcterms:modified>
</cp:coreProperties>
</file>