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49A7E8BE"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4F1D55">
        <w:rPr>
          <w:rFonts w:ascii="Arial" w:hAnsi="Arial" w:cs="Arial"/>
          <w:szCs w:val="24"/>
        </w:rPr>
        <w:t xml:space="preserve"> </w:t>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Default="00C558B0" w:rsidP="00594FAC">
      <w:pPr>
        <w:spacing w:line="360" w:lineRule="auto"/>
        <w:rPr>
          <w:rFonts w:ascii="Arial" w:hAnsi="Arial" w:cs="Arial"/>
          <w:szCs w:val="24"/>
        </w:rPr>
      </w:pPr>
    </w:p>
    <w:p w14:paraId="40211F50" w14:textId="77777777" w:rsidR="003C0A16" w:rsidRPr="00594FAC" w:rsidRDefault="003C0A16" w:rsidP="00594FAC">
      <w:pPr>
        <w:spacing w:line="360" w:lineRule="auto"/>
        <w:rPr>
          <w:rFonts w:ascii="Arial" w:hAnsi="Arial" w:cs="Arial"/>
          <w:szCs w:val="24"/>
        </w:rPr>
      </w:pPr>
    </w:p>
    <w:p w14:paraId="4CFA099C" w14:textId="1F84DDC8" w:rsidR="00C558B0" w:rsidRPr="003C0A16" w:rsidRDefault="003A7B2D" w:rsidP="003C0A16">
      <w:pPr>
        <w:jc w:val="center"/>
        <w:rPr>
          <w:rFonts w:ascii="Arial" w:hAnsi="Arial" w:cs="Arial"/>
          <w:sz w:val="56"/>
          <w:szCs w:val="56"/>
        </w:rPr>
      </w:pPr>
      <w:r w:rsidRPr="003C0A16">
        <w:rPr>
          <w:rFonts w:ascii="Arial" w:hAnsi="Arial" w:cs="Arial"/>
          <w:sz w:val="56"/>
          <w:szCs w:val="56"/>
        </w:rPr>
        <w:t>Principles of person-centred care, partnership working, and ethics</w:t>
      </w:r>
    </w:p>
    <w:p w14:paraId="3EAD6856" w14:textId="0E194ADD" w:rsidR="00925E84" w:rsidRDefault="00925E84" w:rsidP="00594FAC">
      <w:pPr>
        <w:tabs>
          <w:tab w:val="left" w:pos="6540"/>
        </w:tabs>
        <w:spacing w:line="360" w:lineRule="auto"/>
        <w:rPr>
          <w:rFonts w:ascii="Arial" w:hAnsi="Arial" w:cs="Arial"/>
          <w:sz w:val="28"/>
          <w:szCs w:val="28"/>
        </w:rPr>
      </w:pPr>
    </w:p>
    <w:p w14:paraId="17F0991E" w14:textId="77777777" w:rsidR="00925E84" w:rsidRDefault="00925E84" w:rsidP="00594FAC">
      <w:pPr>
        <w:tabs>
          <w:tab w:val="left" w:pos="6540"/>
        </w:tabs>
        <w:spacing w:line="360" w:lineRule="auto"/>
        <w:rPr>
          <w:rFonts w:ascii="Arial" w:hAnsi="Arial" w:cs="Arial"/>
          <w:sz w:val="28"/>
          <w:szCs w:val="28"/>
        </w:rPr>
      </w:pPr>
    </w:p>
    <w:p w14:paraId="115E82A7" w14:textId="77777777" w:rsidR="00925E84" w:rsidRDefault="00925E84" w:rsidP="00594FAC">
      <w:pPr>
        <w:tabs>
          <w:tab w:val="left" w:pos="6540"/>
        </w:tabs>
        <w:spacing w:line="360" w:lineRule="auto"/>
        <w:rPr>
          <w:rFonts w:ascii="Arial" w:hAnsi="Arial" w:cs="Arial"/>
          <w:sz w:val="28"/>
          <w:szCs w:val="28"/>
        </w:rPr>
      </w:pPr>
    </w:p>
    <w:p w14:paraId="7BD29B9B" w14:textId="77777777" w:rsidR="00925E84" w:rsidRDefault="00925E84" w:rsidP="00594FAC">
      <w:pPr>
        <w:tabs>
          <w:tab w:val="left" w:pos="6540"/>
        </w:tabs>
        <w:spacing w:line="360" w:lineRule="auto"/>
        <w:rPr>
          <w:rFonts w:ascii="Arial" w:hAnsi="Arial" w:cs="Arial"/>
          <w:sz w:val="28"/>
          <w:szCs w:val="28"/>
        </w:rPr>
      </w:pPr>
    </w:p>
    <w:p w14:paraId="30BEC334" w14:textId="77777777" w:rsidR="00925E84" w:rsidRDefault="00925E84" w:rsidP="00594FAC">
      <w:pPr>
        <w:tabs>
          <w:tab w:val="left" w:pos="6540"/>
        </w:tabs>
        <w:spacing w:line="360" w:lineRule="auto"/>
        <w:rPr>
          <w:rFonts w:ascii="Arial" w:hAnsi="Arial" w:cs="Arial"/>
          <w:sz w:val="28"/>
          <w:szCs w:val="28"/>
        </w:rPr>
      </w:pPr>
    </w:p>
    <w:p w14:paraId="161B5C05" w14:textId="77777777" w:rsidR="00925E84" w:rsidRDefault="00925E84" w:rsidP="00594FAC">
      <w:pPr>
        <w:tabs>
          <w:tab w:val="left" w:pos="6540"/>
        </w:tabs>
        <w:spacing w:line="360" w:lineRule="auto"/>
        <w:rPr>
          <w:rFonts w:ascii="Arial" w:hAnsi="Arial" w:cs="Arial"/>
          <w:sz w:val="28"/>
          <w:szCs w:val="28"/>
        </w:rPr>
      </w:pPr>
    </w:p>
    <w:p w14:paraId="112E0F82" w14:textId="77777777" w:rsidR="00925E84" w:rsidRDefault="00925E84" w:rsidP="00594FAC">
      <w:pPr>
        <w:tabs>
          <w:tab w:val="left" w:pos="6540"/>
        </w:tabs>
        <w:spacing w:line="360" w:lineRule="auto"/>
        <w:rPr>
          <w:rFonts w:ascii="Arial" w:hAnsi="Arial" w:cs="Arial"/>
          <w:sz w:val="28"/>
          <w:szCs w:val="28"/>
        </w:rPr>
      </w:pPr>
    </w:p>
    <w:p w14:paraId="6C0BC682" w14:textId="77777777" w:rsidR="00925E84" w:rsidRPr="00594FAC" w:rsidRDefault="00925E84" w:rsidP="00594FAC">
      <w:pPr>
        <w:tabs>
          <w:tab w:val="left" w:pos="6540"/>
        </w:tabs>
        <w:spacing w:line="360" w:lineRule="auto"/>
        <w:rPr>
          <w:rFonts w:ascii="Arial" w:hAnsi="Arial" w:cs="Arial"/>
          <w:sz w:val="28"/>
          <w:szCs w:val="28"/>
        </w:rPr>
      </w:pPr>
    </w:p>
    <w:p w14:paraId="2F4F861B" w14:textId="627F5F8A"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1649AB">
        <w:rPr>
          <w:rFonts w:ascii="Arial" w:hAnsi="Arial" w:cs="Arial"/>
          <w:sz w:val="28"/>
          <w:szCs w:val="28"/>
          <w:lang w:val="nl-NL"/>
        </w:rPr>
        <w:t xml:space="preserve"> Mihaela Marcela Bakos</w:t>
      </w:r>
    </w:p>
    <w:p w14:paraId="18D88AE2" w14:textId="601F2823"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1649AB">
        <w:rPr>
          <w:rFonts w:ascii="Arial" w:hAnsi="Arial" w:cs="Arial"/>
          <w:sz w:val="28"/>
          <w:szCs w:val="28"/>
          <w:lang w:val="nl-NL"/>
        </w:rPr>
        <w:t xml:space="preserve"> 2325464</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4D72988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proofErr w:type="spellStart"/>
      <w:r w:rsidR="0077088D">
        <w:rPr>
          <w:rFonts w:ascii="Arial" w:hAnsi="Arial" w:cs="Arial"/>
          <w:b/>
          <w:bCs/>
          <w:sz w:val="28"/>
          <w:szCs w:val="28"/>
          <w:lang w:val="nl-NL"/>
        </w:rPr>
        <w:t>Principles</w:t>
      </w:r>
      <w:proofErr w:type="spellEnd"/>
      <w:r w:rsidR="00887FBB" w:rsidRPr="00887FBB">
        <w:rPr>
          <w:rFonts w:ascii="Arial" w:hAnsi="Arial" w:cs="Arial"/>
          <w:b/>
          <w:bCs/>
          <w:sz w:val="28"/>
          <w:szCs w:val="28"/>
          <w:lang w:val="nl-NL"/>
        </w:rPr>
        <w:t xml:space="preserve"> of Health </w:t>
      </w:r>
      <w:proofErr w:type="spellStart"/>
      <w:r w:rsidR="00887FBB" w:rsidRPr="00887FBB">
        <w:rPr>
          <w:rFonts w:ascii="Arial" w:hAnsi="Arial" w:cs="Arial"/>
          <w:b/>
          <w:bCs/>
          <w:sz w:val="28"/>
          <w:szCs w:val="28"/>
          <w:lang w:val="nl-NL"/>
        </w:rPr>
        <w:t>and</w:t>
      </w:r>
      <w:proofErr w:type="spellEnd"/>
      <w:r w:rsidR="00887FBB" w:rsidRPr="00887FBB">
        <w:rPr>
          <w:rFonts w:ascii="Arial" w:hAnsi="Arial" w:cs="Arial"/>
          <w:b/>
          <w:bCs/>
          <w:sz w:val="28"/>
          <w:szCs w:val="28"/>
          <w:lang w:val="nl-NL"/>
        </w:rPr>
        <w:t xml:space="preserve"> </w:t>
      </w:r>
      <w:proofErr w:type="spellStart"/>
      <w:r w:rsidR="00887FBB" w:rsidRPr="00887FBB">
        <w:rPr>
          <w:rFonts w:ascii="Arial" w:hAnsi="Arial" w:cs="Arial"/>
          <w:b/>
          <w:bCs/>
          <w:sz w:val="28"/>
          <w:szCs w:val="28"/>
          <w:lang w:val="nl-NL"/>
        </w:rPr>
        <w:t>Social</w:t>
      </w:r>
      <w:proofErr w:type="spellEnd"/>
      <w:r w:rsidR="00887FBB" w:rsidRPr="00887FBB">
        <w:rPr>
          <w:rFonts w:ascii="Arial" w:hAnsi="Arial" w:cs="Arial"/>
          <w:b/>
          <w:bCs/>
          <w:sz w:val="28"/>
          <w:szCs w:val="28"/>
          <w:lang w:val="nl-NL"/>
        </w:rPr>
        <w:t xml:space="preserve"> Care </w:t>
      </w:r>
      <w:proofErr w:type="spellStart"/>
      <w:r w:rsidR="00887FBB" w:rsidRPr="00887FBB">
        <w:rPr>
          <w:rFonts w:ascii="Arial" w:hAnsi="Arial" w:cs="Arial"/>
          <w:b/>
          <w:bCs/>
          <w:sz w:val="28"/>
          <w:szCs w:val="28"/>
          <w:lang w:val="nl-NL"/>
        </w:rPr>
        <w:t>Practice</w:t>
      </w:r>
      <w:proofErr w:type="spellEnd"/>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29313B09"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4F1D55">
        <w:rPr>
          <w:rFonts w:ascii="Arial" w:hAnsi="Arial" w:cs="Arial"/>
          <w:sz w:val="28"/>
          <w:szCs w:val="28"/>
        </w:rPr>
        <w:t xml:space="preserve"> Farah Wiita</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01A3EE37" w14:textId="77777777" w:rsidR="00962402" w:rsidRDefault="00962402" w:rsidP="00594FAC">
      <w:pPr>
        <w:spacing w:line="360" w:lineRule="auto"/>
        <w:rPr>
          <w:rFonts w:ascii="Arial" w:hAnsi="Arial" w:cs="Arial"/>
          <w:b/>
          <w:bCs/>
        </w:rPr>
      </w:pPr>
    </w:p>
    <w:p w14:paraId="72082CDC" w14:textId="77777777" w:rsidR="00962402" w:rsidRDefault="00962402" w:rsidP="00594FAC">
      <w:pPr>
        <w:spacing w:line="360" w:lineRule="auto"/>
        <w:rPr>
          <w:rFonts w:ascii="Arial" w:hAnsi="Arial" w:cs="Arial"/>
          <w:b/>
          <w:bCs/>
        </w:rPr>
      </w:pPr>
    </w:p>
    <w:p w14:paraId="3303CB44" w14:textId="77777777" w:rsidR="00962402" w:rsidRDefault="00962402" w:rsidP="00594FAC">
      <w:pPr>
        <w:spacing w:line="360" w:lineRule="auto"/>
        <w:rPr>
          <w:rFonts w:ascii="Arial" w:hAnsi="Arial" w:cs="Arial"/>
          <w:b/>
          <w:bCs/>
        </w:rPr>
      </w:pPr>
    </w:p>
    <w:p w14:paraId="2BB1CE40" w14:textId="3EADF7AF" w:rsidR="00B21FE6" w:rsidRPr="00594FAC" w:rsidRDefault="00B21FE6" w:rsidP="00594FAC">
      <w:pPr>
        <w:spacing w:line="360" w:lineRule="auto"/>
        <w:rPr>
          <w:rFonts w:ascii="Arial" w:hAnsi="Arial" w:cs="Arial"/>
          <w:b/>
          <w:bCs/>
        </w:rPr>
      </w:pPr>
      <w:r w:rsidRPr="00594FAC">
        <w:rPr>
          <w:rFonts w:ascii="Arial" w:hAnsi="Arial" w:cs="Arial"/>
          <w:b/>
          <w:bCs/>
        </w:rPr>
        <w:t>Table of contents</w:t>
      </w:r>
    </w:p>
    <w:p w14:paraId="529D6F14" w14:textId="77777777" w:rsidR="00B21FE6" w:rsidRPr="00594FAC" w:rsidRDefault="00B21FE6" w:rsidP="00594FAC">
      <w:pPr>
        <w:spacing w:line="360" w:lineRule="auto"/>
        <w:rPr>
          <w:rFonts w:ascii="Arial" w:hAnsi="Arial" w:cs="Arial"/>
        </w:rPr>
      </w:pPr>
    </w:p>
    <w:tbl>
      <w:tblPr>
        <w:tblStyle w:val="TableGrid"/>
        <w:tblW w:w="9780" w:type="dxa"/>
        <w:tblLook w:val="06A0" w:firstRow="1" w:lastRow="0" w:firstColumn="1" w:lastColumn="0" w:noHBand="1" w:noVBand="1"/>
      </w:tblPr>
      <w:tblGrid>
        <w:gridCol w:w="4890"/>
        <w:gridCol w:w="4890"/>
      </w:tblGrid>
      <w:tr w:rsidR="6A7CB63A" w14:paraId="7EC4CF77" w14:textId="77777777" w:rsidTr="00962402">
        <w:trPr>
          <w:trHeight w:val="1279"/>
        </w:trPr>
        <w:tc>
          <w:tcPr>
            <w:tcW w:w="4890" w:type="dxa"/>
          </w:tcPr>
          <w:p w14:paraId="4C7D7F3C" w14:textId="5AAE40BF" w:rsidR="6A7CB63A" w:rsidRDefault="00C8351F" w:rsidP="6A7CB63A">
            <w:pPr>
              <w:rPr>
                <w:rFonts w:ascii="Arial" w:hAnsi="Arial" w:cs="Arial"/>
              </w:rPr>
            </w:pPr>
            <w:r>
              <w:rPr>
                <w:rFonts w:ascii="Arial" w:hAnsi="Arial" w:cs="Arial"/>
              </w:rPr>
              <w:t>Introduction</w:t>
            </w:r>
          </w:p>
        </w:tc>
        <w:tc>
          <w:tcPr>
            <w:tcW w:w="4890" w:type="dxa"/>
          </w:tcPr>
          <w:p w14:paraId="449E5D62" w14:textId="1BC78737" w:rsidR="6A7CB63A" w:rsidRDefault="00751060" w:rsidP="6A7CB63A">
            <w:pPr>
              <w:rPr>
                <w:rFonts w:ascii="Arial" w:hAnsi="Arial" w:cs="Arial"/>
              </w:rPr>
            </w:pPr>
            <w:r>
              <w:rPr>
                <w:rFonts w:ascii="Arial" w:hAnsi="Arial" w:cs="Arial"/>
              </w:rPr>
              <w:t>……………………………………3</w:t>
            </w:r>
          </w:p>
        </w:tc>
      </w:tr>
      <w:tr w:rsidR="6A7CB63A" w14:paraId="72C55E40" w14:textId="77777777" w:rsidTr="00962402">
        <w:trPr>
          <w:trHeight w:val="1279"/>
        </w:trPr>
        <w:tc>
          <w:tcPr>
            <w:tcW w:w="4890" w:type="dxa"/>
          </w:tcPr>
          <w:p w14:paraId="2A7D7A2B" w14:textId="76114DE0" w:rsidR="6A7CB63A" w:rsidRDefault="00C8351F" w:rsidP="6A7CB63A">
            <w:pPr>
              <w:rPr>
                <w:rFonts w:ascii="Arial" w:hAnsi="Arial" w:cs="Arial"/>
              </w:rPr>
            </w:pPr>
            <w:r w:rsidRPr="00C8351F">
              <w:rPr>
                <w:rFonts w:ascii="Arial" w:hAnsi="Arial" w:cs="Arial"/>
              </w:rPr>
              <w:t>Importance of Principles of Health and Social Care</w:t>
            </w:r>
          </w:p>
        </w:tc>
        <w:tc>
          <w:tcPr>
            <w:tcW w:w="4890" w:type="dxa"/>
          </w:tcPr>
          <w:p w14:paraId="7AC409FB" w14:textId="214CC4A3" w:rsidR="6A7CB63A" w:rsidRDefault="00751060" w:rsidP="6A7CB63A">
            <w:pPr>
              <w:rPr>
                <w:rFonts w:ascii="Arial" w:hAnsi="Arial" w:cs="Arial"/>
              </w:rPr>
            </w:pPr>
            <w:r>
              <w:rPr>
                <w:rFonts w:ascii="Arial" w:hAnsi="Arial" w:cs="Arial"/>
              </w:rPr>
              <w:t>……………………………………3</w:t>
            </w:r>
          </w:p>
        </w:tc>
      </w:tr>
      <w:tr w:rsidR="6A7CB63A" w14:paraId="05B9A814" w14:textId="77777777" w:rsidTr="00962402">
        <w:trPr>
          <w:trHeight w:val="1279"/>
        </w:trPr>
        <w:tc>
          <w:tcPr>
            <w:tcW w:w="4890" w:type="dxa"/>
          </w:tcPr>
          <w:p w14:paraId="3A91A7D4" w14:textId="6FB3670C" w:rsidR="6A7CB63A" w:rsidRDefault="00C8351F" w:rsidP="6A7CB63A">
            <w:pPr>
              <w:rPr>
                <w:rFonts w:ascii="Arial" w:hAnsi="Arial" w:cs="Arial"/>
              </w:rPr>
            </w:pPr>
            <w:r w:rsidRPr="00C8351F">
              <w:rPr>
                <w:rFonts w:ascii="Arial" w:hAnsi="Arial" w:cs="Arial"/>
              </w:rPr>
              <w:t>Practical Example of Concepts in Practice</w:t>
            </w:r>
          </w:p>
        </w:tc>
        <w:tc>
          <w:tcPr>
            <w:tcW w:w="4890" w:type="dxa"/>
          </w:tcPr>
          <w:p w14:paraId="3AAC88F6" w14:textId="4C17D153" w:rsidR="6A7CB63A" w:rsidRDefault="00751060" w:rsidP="6A7CB63A">
            <w:pPr>
              <w:rPr>
                <w:rFonts w:ascii="Arial" w:hAnsi="Arial" w:cs="Arial"/>
              </w:rPr>
            </w:pPr>
            <w:r>
              <w:rPr>
                <w:rFonts w:ascii="Arial" w:hAnsi="Arial" w:cs="Arial"/>
              </w:rPr>
              <w:t>……………………………………5</w:t>
            </w:r>
          </w:p>
        </w:tc>
      </w:tr>
      <w:tr w:rsidR="6A7CB63A" w14:paraId="4EF14573" w14:textId="77777777" w:rsidTr="00962402">
        <w:trPr>
          <w:trHeight w:val="1279"/>
        </w:trPr>
        <w:tc>
          <w:tcPr>
            <w:tcW w:w="4890" w:type="dxa"/>
          </w:tcPr>
          <w:p w14:paraId="781548F0" w14:textId="2EB818C5" w:rsidR="6A7CB63A" w:rsidRDefault="005B0773" w:rsidP="6A7CB63A">
            <w:pPr>
              <w:rPr>
                <w:rFonts w:ascii="Arial" w:hAnsi="Arial" w:cs="Arial"/>
              </w:rPr>
            </w:pPr>
            <w:r w:rsidRPr="005B0773">
              <w:rPr>
                <w:rFonts w:ascii="Arial" w:hAnsi="Arial" w:cs="Arial"/>
              </w:rPr>
              <w:t>Self-Reflection as a Health and Social Care Professional</w:t>
            </w:r>
          </w:p>
        </w:tc>
        <w:tc>
          <w:tcPr>
            <w:tcW w:w="4890" w:type="dxa"/>
          </w:tcPr>
          <w:p w14:paraId="1B1ED8B4" w14:textId="37BC5AE8" w:rsidR="6A7CB63A" w:rsidRDefault="00751060" w:rsidP="6A7CB63A">
            <w:pPr>
              <w:rPr>
                <w:rFonts w:ascii="Arial" w:hAnsi="Arial" w:cs="Arial"/>
              </w:rPr>
            </w:pPr>
            <w:r>
              <w:rPr>
                <w:rFonts w:ascii="Arial" w:hAnsi="Arial" w:cs="Arial"/>
              </w:rPr>
              <w:t>…………………………………</w:t>
            </w:r>
            <w:r w:rsidR="00551E02">
              <w:rPr>
                <w:rFonts w:ascii="Arial" w:hAnsi="Arial" w:cs="Arial"/>
              </w:rPr>
              <w:t>.</w:t>
            </w:r>
            <w:r>
              <w:rPr>
                <w:rFonts w:ascii="Arial" w:hAnsi="Arial" w:cs="Arial"/>
              </w:rPr>
              <w:t>..</w:t>
            </w:r>
            <w:r w:rsidR="00551E02">
              <w:rPr>
                <w:rFonts w:ascii="Arial" w:hAnsi="Arial" w:cs="Arial"/>
              </w:rPr>
              <w:t>6</w:t>
            </w:r>
          </w:p>
        </w:tc>
      </w:tr>
      <w:tr w:rsidR="6A7CB63A" w14:paraId="524A0232" w14:textId="77777777" w:rsidTr="00962402">
        <w:trPr>
          <w:trHeight w:val="1279"/>
        </w:trPr>
        <w:tc>
          <w:tcPr>
            <w:tcW w:w="4890" w:type="dxa"/>
          </w:tcPr>
          <w:p w14:paraId="13ED94E2" w14:textId="53F5341C" w:rsidR="6A7CB63A" w:rsidRDefault="00C8351F" w:rsidP="6A7CB63A">
            <w:pPr>
              <w:rPr>
                <w:rFonts w:ascii="Arial" w:hAnsi="Arial" w:cs="Arial"/>
              </w:rPr>
            </w:pPr>
            <w:r>
              <w:rPr>
                <w:rFonts w:ascii="Arial" w:hAnsi="Arial" w:cs="Arial"/>
              </w:rPr>
              <w:t>Conclusion</w:t>
            </w:r>
          </w:p>
        </w:tc>
        <w:tc>
          <w:tcPr>
            <w:tcW w:w="4890" w:type="dxa"/>
          </w:tcPr>
          <w:p w14:paraId="74647638" w14:textId="0D459330" w:rsidR="6A7CB63A" w:rsidRDefault="00551E02" w:rsidP="6A7CB63A">
            <w:pPr>
              <w:rPr>
                <w:rFonts w:ascii="Arial" w:hAnsi="Arial" w:cs="Arial"/>
              </w:rPr>
            </w:pPr>
            <w:r>
              <w:rPr>
                <w:rFonts w:ascii="Arial" w:hAnsi="Arial" w:cs="Arial"/>
              </w:rPr>
              <w:t>………………………………….</w:t>
            </w:r>
            <w:r w:rsidR="00962402">
              <w:rPr>
                <w:rFonts w:ascii="Arial" w:hAnsi="Arial" w:cs="Arial"/>
              </w:rPr>
              <w:t>.</w:t>
            </w:r>
            <w:r>
              <w:rPr>
                <w:rFonts w:ascii="Arial" w:hAnsi="Arial" w:cs="Arial"/>
              </w:rPr>
              <w:t>.9</w:t>
            </w:r>
          </w:p>
        </w:tc>
      </w:tr>
      <w:tr w:rsidR="6A7CB63A" w14:paraId="03EA093F" w14:textId="77777777" w:rsidTr="00962402">
        <w:trPr>
          <w:trHeight w:val="1279"/>
        </w:trPr>
        <w:tc>
          <w:tcPr>
            <w:tcW w:w="4890" w:type="dxa"/>
          </w:tcPr>
          <w:p w14:paraId="423A8689" w14:textId="23EF77D7" w:rsidR="6A7CB63A" w:rsidRDefault="00C8351F" w:rsidP="6A7CB63A">
            <w:pPr>
              <w:rPr>
                <w:rFonts w:ascii="Arial" w:hAnsi="Arial" w:cs="Arial"/>
              </w:rPr>
            </w:pPr>
            <w:r>
              <w:rPr>
                <w:rFonts w:ascii="Arial" w:hAnsi="Arial" w:cs="Arial"/>
              </w:rPr>
              <w:t>Reference</w:t>
            </w:r>
          </w:p>
        </w:tc>
        <w:tc>
          <w:tcPr>
            <w:tcW w:w="4890" w:type="dxa"/>
          </w:tcPr>
          <w:p w14:paraId="5D133FD6" w14:textId="347B459B" w:rsidR="6A7CB63A" w:rsidRDefault="00551E02" w:rsidP="6A7CB63A">
            <w:pPr>
              <w:rPr>
                <w:rFonts w:ascii="Arial" w:hAnsi="Arial" w:cs="Arial"/>
              </w:rPr>
            </w:pPr>
            <w:r>
              <w:rPr>
                <w:rFonts w:ascii="Arial" w:hAnsi="Arial" w:cs="Arial"/>
              </w:rPr>
              <w:t>…………………………………</w:t>
            </w:r>
            <w:r w:rsidR="00962402">
              <w:rPr>
                <w:rFonts w:ascii="Arial" w:hAnsi="Arial" w:cs="Arial"/>
              </w:rPr>
              <w:t>…</w:t>
            </w:r>
            <w:r>
              <w:rPr>
                <w:rFonts w:ascii="Arial" w:hAnsi="Arial" w:cs="Arial"/>
              </w:rPr>
              <w:t>10</w:t>
            </w:r>
          </w:p>
        </w:tc>
      </w:tr>
    </w:tbl>
    <w:p w14:paraId="388A7857" w14:textId="77777777" w:rsidR="00B21FE6" w:rsidRPr="00594FAC" w:rsidRDefault="00B21FE6" w:rsidP="00594FAC">
      <w:pPr>
        <w:spacing w:line="360" w:lineRule="auto"/>
        <w:rPr>
          <w:rFonts w:ascii="Arial" w:hAnsi="Arial" w:cs="Arial"/>
        </w:rPr>
      </w:pPr>
    </w:p>
    <w:p w14:paraId="7381AAD5" w14:textId="77777777" w:rsidR="00B21FE6" w:rsidRPr="00594FAC" w:rsidRDefault="00B21FE6" w:rsidP="00594FAC">
      <w:pPr>
        <w:spacing w:line="360" w:lineRule="auto"/>
        <w:rPr>
          <w:rFonts w:ascii="Arial" w:hAnsi="Arial" w:cs="Arial"/>
        </w:rPr>
      </w:pPr>
    </w:p>
    <w:p w14:paraId="3595B2B3" w14:textId="30EFFAA4" w:rsidR="22893647" w:rsidRDefault="22893647" w:rsidP="22893647">
      <w:pPr>
        <w:spacing w:line="360" w:lineRule="auto"/>
        <w:rPr>
          <w:rFonts w:ascii="Arial" w:hAnsi="Arial" w:cs="Arial"/>
        </w:rPr>
      </w:pPr>
    </w:p>
    <w:p w14:paraId="2C7AFDA1" w14:textId="53D5530A" w:rsidR="22893647" w:rsidRDefault="22893647" w:rsidP="22893647">
      <w:pPr>
        <w:spacing w:line="360" w:lineRule="auto"/>
        <w:rPr>
          <w:rFonts w:ascii="Arial" w:hAnsi="Arial" w:cs="Arial"/>
        </w:rPr>
      </w:pPr>
    </w:p>
    <w:p w14:paraId="2F0D68B8" w14:textId="518D5113" w:rsidR="22893647" w:rsidRDefault="22893647" w:rsidP="22893647">
      <w:pPr>
        <w:spacing w:line="360" w:lineRule="auto"/>
        <w:rPr>
          <w:rFonts w:ascii="Arial" w:hAnsi="Arial" w:cs="Arial"/>
        </w:rPr>
      </w:pPr>
    </w:p>
    <w:p w14:paraId="39C671F0" w14:textId="20213181" w:rsidR="22893647" w:rsidRDefault="22893647" w:rsidP="22893647">
      <w:pPr>
        <w:spacing w:line="360" w:lineRule="auto"/>
        <w:rPr>
          <w:rFonts w:ascii="Arial" w:hAnsi="Arial" w:cs="Arial"/>
        </w:rPr>
      </w:pPr>
    </w:p>
    <w:p w14:paraId="45BE4A40" w14:textId="39BCB52B" w:rsidR="22893647" w:rsidRDefault="22893647" w:rsidP="22893647">
      <w:pPr>
        <w:spacing w:line="360" w:lineRule="auto"/>
        <w:rPr>
          <w:rFonts w:ascii="Arial" w:hAnsi="Arial" w:cs="Arial"/>
        </w:rPr>
      </w:pPr>
    </w:p>
    <w:p w14:paraId="2A25345A" w14:textId="53C24EF0" w:rsidR="006D2F2D" w:rsidRPr="001D345E" w:rsidRDefault="006D2F2D" w:rsidP="22893647">
      <w:pPr>
        <w:spacing w:line="360" w:lineRule="auto"/>
        <w:rPr>
          <w:rFonts w:ascii="Arial" w:hAnsi="Arial" w:cs="Arial"/>
        </w:rPr>
      </w:pPr>
    </w:p>
    <w:p w14:paraId="4DAB0997" w14:textId="54DA1E81" w:rsidR="006D2F2D" w:rsidRPr="00F5488E" w:rsidRDefault="2DAEAA25" w:rsidP="00411756">
      <w:pPr>
        <w:pStyle w:val="Heading1"/>
        <w:spacing w:line="360" w:lineRule="auto"/>
        <w:jc w:val="both"/>
        <w:rPr>
          <w:rFonts w:ascii="Arial" w:eastAsia="Arial" w:hAnsi="Arial" w:cs="Arial"/>
          <w:sz w:val="32"/>
          <w:szCs w:val="32"/>
        </w:rPr>
      </w:pPr>
      <w:r w:rsidRPr="00F5488E">
        <w:rPr>
          <w:rFonts w:ascii="Arial" w:eastAsia="Arial" w:hAnsi="Arial" w:cs="Arial"/>
          <w:sz w:val="32"/>
          <w:szCs w:val="32"/>
        </w:rPr>
        <w:t>Introduction</w:t>
      </w:r>
    </w:p>
    <w:p w14:paraId="760A3947" w14:textId="77777777" w:rsidR="007E0C00" w:rsidRPr="007E0C00" w:rsidRDefault="007E0C00" w:rsidP="00411756">
      <w:pPr>
        <w:spacing w:line="360" w:lineRule="auto"/>
        <w:jc w:val="both"/>
      </w:pPr>
    </w:p>
    <w:p w14:paraId="03F7AEA2" w14:textId="398135BE"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The principles of person-centred care, partnership working, and ethical practice underpin high-quality provision in UK health and social care. These principles are embedded </w:t>
      </w:r>
      <w:r w:rsidR="00681C7A">
        <w:rPr>
          <w:rFonts w:ascii="Arial" w:eastAsia="Arial" w:hAnsi="Arial" w:cs="Arial"/>
        </w:rPr>
        <w:t xml:space="preserve">in statutory frameworks such as the Care Act 2014, the Mental Capacity Act 2005, and the Health and Care Act 2022, as well as in </w:t>
      </w:r>
      <w:r w:rsidRPr="22893647">
        <w:rPr>
          <w:rFonts w:ascii="Arial" w:eastAsia="Arial" w:hAnsi="Arial" w:cs="Arial"/>
        </w:rPr>
        <w:t xml:space="preserve">professional codes of conduct that guide safe, effective, and compassionate care (NMC, 2018; HCPC, 2023). As modern care delivery becomes increasingly integrated, these principles guide how professionals collaborate, make decisions, and safeguard </w:t>
      </w:r>
      <w:r w:rsidR="00681C7A">
        <w:rPr>
          <w:rFonts w:ascii="Arial" w:eastAsia="Arial" w:hAnsi="Arial" w:cs="Arial"/>
        </w:rPr>
        <w:t>individuals' rights and autonomy</w:t>
      </w:r>
      <w:r w:rsidRPr="22893647">
        <w:rPr>
          <w:rFonts w:ascii="Arial" w:eastAsia="Arial" w:hAnsi="Arial" w:cs="Arial"/>
        </w:rPr>
        <w:t>. This reflective report critically examines these foundational principles, drawing on theory, legislation, and professional standards. It then applies these concepts to a real-world safeguarding scenario involving an older adult</w:t>
      </w:r>
      <w:r w:rsidR="00681C7A">
        <w:rPr>
          <w:rFonts w:ascii="Arial" w:eastAsia="Arial" w:hAnsi="Arial" w:cs="Arial"/>
        </w:rPr>
        <w:t>, followed by</w:t>
      </w:r>
      <w:r w:rsidRPr="22893647">
        <w:rPr>
          <w:rFonts w:ascii="Arial" w:eastAsia="Arial" w:hAnsi="Arial" w:cs="Arial"/>
        </w:rPr>
        <w:t xml:space="preserve"> an in-depth reflection on how these principles influence my current and future practice. Through this analysis, the report aims to demonstrate a comprehensive and critical understanding of how the principles shape quality, safety, and ethical accountability in UK settings.</w:t>
      </w:r>
    </w:p>
    <w:p w14:paraId="41A95B42" w14:textId="514E258E" w:rsidR="006D2F2D" w:rsidRPr="001D345E" w:rsidRDefault="006D2F2D" w:rsidP="00411756">
      <w:pPr>
        <w:spacing w:after="0" w:line="360" w:lineRule="auto"/>
        <w:jc w:val="both"/>
        <w:rPr>
          <w:rFonts w:ascii="Arial" w:eastAsia="Arial" w:hAnsi="Arial" w:cs="Arial"/>
        </w:rPr>
      </w:pPr>
    </w:p>
    <w:p w14:paraId="5D9EC08B" w14:textId="7E111329"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 </w:t>
      </w:r>
    </w:p>
    <w:p w14:paraId="04C09575" w14:textId="0BD3FCCB" w:rsidR="006D2F2D" w:rsidRPr="00F5488E" w:rsidRDefault="2DAEAA25" w:rsidP="00411756">
      <w:pPr>
        <w:pStyle w:val="Heading1"/>
        <w:spacing w:line="360" w:lineRule="auto"/>
        <w:jc w:val="both"/>
        <w:rPr>
          <w:rFonts w:ascii="Arial" w:eastAsia="Arial" w:hAnsi="Arial" w:cs="Arial"/>
          <w:sz w:val="32"/>
          <w:szCs w:val="32"/>
        </w:rPr>
      </w:pPr>
      <w:r w:rsidRPr="00F5488E">
        <w:rPr>
          <w:rFonts w:ascii="Arial" w:hAnsi="Arial" w:cs="Arial"/>
          <w:sz w:val="32"/>
          <w:szCs w:val="32"/>
        </w:rPr>
        <w:t>Task 1: Reflection on the Importance of Principles of Health and Social Care</w:t>
      </w:r>
    </w:p>
    <w:p w14:paraId="23ED6BEC" w14:textId="4E656C8B"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 </w:t>
      </w:r>
    </w:p>
    <w:p w14:paraId="626C6D04" w14:textId="77777777" w:rsidR="00FC1D82" w:rsidRPr="00FC1D82" w:rsidRDefault="00FC1D82" w:rsidP="00FC1D82">
      <w:pPr>
        <w:spacing w:after="0" w:line="360" w:lineRule="auto"/>
        <w:jc w:val="both"/>
        <w:rPr>
          <w:rFonts w:ascii="Arial" w:eastAsia="Arial" w:hAnsi="Arial" w:cs="Arial"/>
        </w:rPr>
      </w:pPr>
      <w:r w:rsidRPr="00FC1D82">
        <w:rPr>
          <w:rFonts w:ascii="Arial" w:eastAsia="Arial" w:hAnsi="Arial" w:cs="Arial"/>
        </w:rPr>
        <w:t xml:space="preserve">Person-centred care, partnership working, and ethics are core principles that shape the quality and effectiveness of health and social care delivery in the UK. Person-centred care emphasises treating individuals as experts in their own lives and ensuring that practice respects their choices, values, and goals (LGA, 2025). NICE (2015) states that person-centred care requires shared decision-making, holistic understanding, and active involvement of individuals in planning and reviewing their care. This approach aligns with Maslow’s Hierarchy of Needs, which asserts that people require their basic, psychological, and self-actualisation needs to be met for optimal wellbeing (Maslow, 1943). By acknowledging physical, emotional, social, and environmental needs, practitioners can offer care that is responsive and meaningful rather than task-oriented. Person-centred care therefore supports dignity and </w:t>
      </w:r>
      <w:r w:rsidRPr="00FC1D82">
        <w:rPr>
          <w:rFonts w:ascii="Arial" w:eastAsia="Arial" w:hAnsi="Arial" w:cs="Arial"/>
        </w:rPr>
        <w:lastRenderedPageBreak/>
        <w:t>autonomy, enabling service users to maintain control even when they face complex health challenges.</w:t>
      </w:r>
    </w:p>
    <w:p w14:paraId="749F2072" w14:textId="77777777" w:rsidR="00FC1D82" w:rsidRPr="00FC1D82" w:rsidRDefault="00FC1D82" w:rsidP="00FC1D82">
      <w:pPr>
        <w:spacing w:after="0" w:line="360" w:lineRule="auto"/>
        <w:jc w:val="both"/>
        <w:rPr>
          <w:rFonts w:ascii="Arial" w:eastAsia="Arial" w:hAnsi="Arial" w:cs="Arial"/>
        </w:rPr>
      </w:pPr>
    </w:p>
    <w:p w14:paraId="17ACA822" w14:textId="77777777" w:rsidR="00FC1D82" w:rsidRPr="00FC1D82" w:rsidRDefault="00FC1D82" w:rsidP="00FC1D82">
      <w:pPr>
        <w:spacing w:after="0" w:line="360" w:lineRule="auto"/>
        <w:jc w:val="both"/>
        <w:rPr>
          <w:rFonts w:ascii="Arial" w:eastAsia="Arial" w:hAnsi="Arial" w:cs="Arial"/>
        </w:rPr>
      </w:pPr>
      <w:r w:rsidRPr="00FC1D82">
        <w:rPr>
          <w:rFonts w:ascii="Arial" w:eastAsia="Arial" w:hAnsi="Arial" w:cs="Arial"/>
        </w:rPr>
        <w:t>Partnership working is equally essential. The Health and Care Act 2022 establishes the aim of improving population health, reducing inequalities, and coordinating Integrated Care Systems (ICSs), requiring NHS bodies, local authorities, and voluntary organisations to collaborate to achieve these aims (Health and Care Act 2022, s. 14Z42). Theories of teamwork, such as Tuckman’s (1965) model, illustrate how team performance improves as professionals build trust, clarify roles, and establish shared goals. Effective partnership working enhances continuity of care, ensures better information-sharing, and reduces fragmentation across services. Strong collaboration also supports early intervention, as professionals are more able to identify risks and mobilise resources quickly.</w:t>
      </w:r>
    </w:p>
    <w:p w14:paraId="55BAD76C" w14:textId="77777777" w:rsidR="00FC1D82" w:rsidRPr="00FC1D82" w:rsidRDefault="00FC1D82" w:rsidP="00FC1D82">
      <w:pPr>
        <w:spacing w:after="0" w:line="360" w:lineRule="auto"/>
        <w:jc w:val="both"/>
        <w:rPr>
          <w:rFonts w:ascii="Arial" w:eastAsia="Arial" w:hAnsi="Arial" w:cs="Arial"/>
        </w:rPr>
      </w:pPr>
    </w:p>
    <w:p w14:paraId="7BE7377A" w14:textId="77777777" w:rsidR="00FC1D82" w:rsidRPr="00FC1D82" w:rsidRDefault="00FC1D82" w:rsidP="00FC1D82">
      <w:pPr>
        <w:spacing w:after="0" w:line="360" w:lineRule="auto"/>
        <w:jc w:val="both"/>
        <w:rPr>
          <w:rFonts w:ascii="Arial" w:eastAsia="Arial" w:hAnsi="Arial" w:cs="Arial"/>
        </w:rPr>
      </w:pPr>
      <w:r w:rsidRPr="00FC1D82">
        <w:rPr>
          <w:rFonts w:ascii="Arial" w:eastAsia="Arial" w:hAnsi="Arial" w:cs="Arial"/>
        </w:rPr>
        <w:t>Ethical principles are fundamental to professional accountability. Autonomy, beneficence, non-maleficence, and justice—outlined by Beauchamp and Childress (2019)—provide a foundation for making morally sound decisions. UK legislation reinforces these principles. The Mental Capacity Act 2005 establishes five statutory principles that protect autonomy, mandate the least restrictive approaches, and guide best-interest decisions (SCIE, 2022). The Care Act 2014 embeds duties of safeguarding, wellbeing, and empowerment, creating a legal requirement for ethical, person-centred practice. Ethical frameworks also help professionals manage dilemmas such as risk-taking, fluctuating capacity, or conflicts between family wishes and the service user’s voice.</w:t>
      </w:r>
    </w:p>
    <w:p w14:paraId="70483D13" w14:textId="77777777" w:rsidR="00FC1D82" w:rsidRPr="00FC1D82" w:rsidRDefault="00FC1D82" w:rsidP="00FC1D82">
      <w:pPr>
        <w:spacing w:after="0" w:line="360" w:lineRule="auto"/>
        <w:jc w:val="both"/>
        <w:rPr>
          <w:rFonts w:ascii="Arial" w:eastAsia="Arial" w:hAnsi="Arial" w:cs="Arial"/>
        </w:rPr>
      </w:pPr>
    </w:p>
    <w:p w14:paraId="736EA8DF" w14:textId="1E5C088D" w:rsidR="00751060" w:rsidRDefault="00FC1D82" w:rsidP="00FC1D82">
      <w:pPr>
        <w:spacing w:after="0" w:line="360" w:lineRule="auto"/>
        <w:jc w:val="both"/>
        <w:rPr>
          <w:rFonts w:ascii="Arial" w:eastAsia="Arial" w:hAnsi="Arial" w:cs="Arial"/>
        </w:rPr>
      </w:pPr>
      <w:r w:rsidRPr="00FC1D82">
        <w:rPr>
          <w:rFonts w:ascii="Arial" w:eastAsia="Arial" w:hAnsi="Arial" w:cs="Arial"/>
        </w:rPr>
        <w:t>These principles are deeply interconnected. Person-centred care cannot occur without ethical respect for autonomy or without collaborative work between professionals who share information and responsibilities. Ethically informed partnership working ensures decisions are transparent and inclusive, promoting fairness and justice. When applied together, these principles produce a cohesive framework that enhances safety, dignity, choice, and high-quality experiences for individuals (</w:t>
      </w:r>
      <w:proofErr w:type="spellStart"/>
      <w:r w:rsidRPr="00FC1D82">
        <w:rPr>
          <w:rFonts w:ascii="Arial" w:eastAsia="Arial" w:hAnsi="Arial" w:cs="Arial"/>
        </w:rPr>
        <w:t>Lipworth</w:t>
      </w:r>
      <w:proofErr w:type="spellEnd"/>
      <w:r w:rsidRPr="00FC1D82">
        <w:rPr>
          <w:rFonts w:ascii="Arial" w:eastAsia="Arial" w:hAnsi="Arial" w:cs="Arial"/>
        </w:rPr>
        <w:t xml:space="preserve"> </w:t>
      </w:r>
      <w:r w:rsidRPr="005E602B">
        <w:rPr>
          <w:rFonts w:ascii="Arial" w:eastAsia="Arial" w:hAnsi="Arial" w:cs="Arial"/>
          <w:i/>
          <w:iCs/>
        </w:rPr>
        <w:t xml:space="preserve">et al., </w:t>
      </w:r>
      <w:r w:rsidRPr="00FC1D82">
        <w:rPr>
          <w:rFonts w:ascii="Arial" w:eastAsia="Arial" w:hAnsi="Arial" w:cs="Arial"/>
        </w:rPr>
        <w:t>2020).</w:t>
      </w:r>
    </w:p>
    <w:p w14:paraId="06400A76" w14:textId="77777777" w:rsidR="00751060" w:rsidRDefault="00751060" w:rsidP="00411756">
      <w:pPr>
        <w:spacing w:after="0" w:line="360" w:lineRule="auto"/>
        <w:jc w:val="both"/>
        <w:rPr>
          <w:rFonts w:ascii="Arial" w:eastAsia="Arial" w:hAnsi="Arial" w:cs="Arial"/>
        </w:rPr>
      </w:pPr>
    </w:p>
    <w:p w14:paraId="1E286C55" w14:textId="77777777" w:rsidR="00751060" w:rsidRDefault="00751060" w:rsidP="00411756">
      <w:pPr>
        <w:spacing w:after="0" w:line="360" w:lineRule="auto"/>
        <w:jc w:val="both"/>
        <w:rPr>
          <w:rFonts w:ascii="Arial" w:eastAsia="Arial" w:hAnsi="Arial" w:cs="Arial"/>
        </w:rPr>
      </w:pPr>
    </w:p>
    <w:p w14:paraId="54E69FEB" w14:textId="77777777" w:rsidR="00751060" w:rsidRDefault="00751060" w:rsidP="00411756">
      <w:pPr>
        <w:spacing w:after="0" w:line="360" w:lineRule="auto"/>
        <w:jc w:val="both"/>
        <w:rPr>
          <w:rFonts w:ascii="Arial" w:eastAsia="Arial" w:hAnsi="Arial" w:cs="Arial"/>
        </w:rPr>
      </w:pPr>
    </w:p>
    <w:p w14:paraId="2BA96BBD" w14:textId="77777777" w:rsidR="00751060" w:rsidRDefault="00751060" w:rsidP="00411756">
      <w:pPr>
        <w:spacing w:after="0" w:line="360" w:lineRule="auto"/>
        <w:jc w:val="both"/>
        <w:rPr>
          <w:rFonts w:ascii="Arial" w:eastAsia="Arial" w:hAnsi="Arial" w:cs="Arial"/>
        </w:rPr>
      </w:pPr>
    </w:p>
    <w:p w14:paraId="44E65317" w14:textId="77777777" w:rsidR="00751060" w:rsidRPr="001D345E" w:rsidRDefault="00751060" w:rsidP="00411756">
      <w:pPr>
        <w:spacing w:after="0" w:line="360" w:lineRule="auto"/>
        <w:jc w:val="both"/>
        <w:rPr>
          <w:rFonts w:ascii="Arial" w:eastAsia="Arial" w:hAnsi="Arial" w:cs="Arial"/>
        </w:rPr>
      </w:pPr>
    </w:p>
    <w:p w14:paraId="6A1F253D" w14:textId="21218FA6"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 </w:t>
      </w:r>
    </w:p>
    <w:p w14:paraId="15CCAC20" w14:textId="3A2AEA22" w:rsidR="006D2F2D" w:rsidRPr="00F5488E" w:rsidRDefault="2DAEAA25" w:rsidP="00411756">
      <w:pPr>
        <w:pStyle w:val="Heading1"/>
        <w:spacing w:line="360" w:lineRule="auto"/>
        <w:jc w:val="both"/>
        <w:rPr>
          <w:rFonts w:ascii="Arial" w:eastAsia="Arial" w:hAnsi="Arial" w:cs="Arial"/>
          <w:sz w:val="32"/>
          <w:szCs w:val="32"/>
        </w:rPr>
      </w:pPr>
      <w:r w:rsidRPr="00F5488E">
        <w:rPr>
          <w:rFonts w:ascii="Arial" w:hAnsi="Arial" w:cs="Arial"/>
          <w:sz w:val="32"/>
          <w:szCs w:val="32"/>
        </w:rPr>
        <w:lastRenderedPageBreak/>
        <w:t>Task 2: Practical Example of Concepts in Practice</w:t>
      </w:r>
    </w:p>
    <w:p w14:paraId="7291B300" w14:textId="43904833"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 </w:t>
      </w:r>
    </w:p>
    <w:p w14:paraId="4F727FCF" w14:textId="77777777" w:rsidR="00D477BC" w:rsidRPr="00D477BC" w:rsidRDefault="00D477BC" w:rsidP="00D477BC">
      <w:pPr>
        <w:spacing w:after="0" w:line="360" w:lineRule="auto"/>
        <w:jc w:val="both"/>
        <w:rPr>
          <w:rFonts w:ascii="Arial" w:eastAsia="Arial" w:hAnsi="Arial" w:cs="Arial"/>
        </w:rPr>
      </w:pPr>
      <w:r w:rsidRPr="00D477BC">
        <w:rPr>
          <w:rFonts w:ascii="Arial" w:eastAsia="Arial" w:hAnsi="Arial" w:cs="Arial"/>
        </w:rPr>
        <w:t>Safeguarding an Older Adult at Risk of Neglect</w:t>
      </w:r>
    </w:p>
    <w:p w14:paraId="769E04CF" w14:textId="77777777" w:rsidR="00D477BC" w:rsidRPr="00D477BC" w:rsidRDefault="00D477BC" w:rsidP="00D477BC">
      <w:pPr>
        <w:spacing w:after="0" w:line="360" w:lineRule="auto"/>
        <w:jc w:val="both"/>
        <w:rPr>
          <w:rFonts w:ascii="Arial" w:eastAsia="Arial" w:hAnsi="Arial" w:cs="Arial"/>
        </w:rPr>
      </w:pPr>
    </w:p>
    <w:p w14:paraId="272B6685" w14:textId="77777777" w:rsidR="00D477BC" w:rsidRPr="00D477BC" w:rsidRDefault="00D477BC" w:rsidP="00D477BC">
      <w:pPr>
        <w:spacing w:after="0" w:line="360" w:lineRule="auto"/>
        <w:jc w:val="both"/>
        <w:rPr>
          <w:rFonts w:ascii="Arial" w:eastAsia="Arial" w:hAnsi="Arial" w:cs="Arial"/>
        </w:rPr>
      </w:pPr>
      <w:r w:rsidRPr="00D477BC">
        <w:rPr>
          <w:rFonts w:ascii="Arial" w:eastAsia="Arial" w:hAnsi="Arial" w:cs="Arial"/>
        </w:rPr>
        <w:t>This example concerns an older adult living alone who was referred to adult social care due to concerns raised by a district nurse about malnutrition, cluttered living conditions, and missed medication. This case demonstrates the practical application of person-centred care, partnership working, and ethical decision-making in a UK safeguarding context.</w:t>
      </w:r>
    </w:p>
    <w:p w14:paraId="4708D6C1" w14:textId="77777777" w:rsidR="00D477BC" w:rsidRPr="00D477BC" w:rsidRDefault="00D477BC" w:rsidP="00D477BC">
      <w:pPr>
        <w:spacing w:after="0" w:line="360" w:lineRule="auto"/>
        <w:jc w:val="both"/>
        <w:rPr>
          <w:rFonts w:ascii="Arial" w:eastAsia="Arial" w:hAnsi="Arial" w:cs="Arial"/>
        </w:rPr>
      </w:pPr>
    </w:p>
    <w:p w14:paraId="39238D2B" w14:textId="77777777" w:rsidR="00D477BC" w:rsidRPr="00D477BC" w:rsidRDefault="00D477BC" w:rsidP="00D477BC">
      <w:pPr>
        <w:spacing w:after="0" w:line="360" w:lineRule="auto"/>
        <w:jc w:val="both"/>
        <w:rPr>
          <w:rFonts w:ascii="Arial" w:eastAsia="Arial" w:hAnsi="Arial" w:cs="Arial"/>
        </w:rPr>
      </w:pPr>
      <w:r w:rsidRPr="00D477BC">
        <w:rPr>
          <w:rFonts w:ascii="Arial" w:eastAsia="Arial" w:hAnsi="Arial" w:cs="Arial"/>
        </w:rPr>
        <w:t>A person-centred approach guided the initial assessment. The social worker conducted a strength-based conversation, exploring the individual’s wishes, routines, and priorities, as required under the Care Act 2014. The adult expressed a desire to remain at home and maintain independence. NICE (2015) guidance stresses the importance of respecting preferences, involving individuals in all decisions, and tailoring interventions to their goals. In this case, the adult’s voice shaped the support plan, ensuring the safeguarding process did not override autonomy. Additional time was also given to build rapport, as the adult initially felt embarrassed about accepting help—highlighting the need for sensitivity and non-judgmental communication.</w:t>
      </w:r>
    </w:p>
    <w:p w14:paraId="23EB8968" w14:textId="77777777" w:rsidR="00D477BC" w:rsidRPr="00D477BC" w:rsidRDefault="00D477BC" w:rsidP="00D477BC">
      <w:pPr>
        <w:spacing w:after="0" w:line="360" w:lineRule="auto"/>
        <w:jc w:val="both"/>
        <w:rPr>
          <w:rFonts w:ascii="Arial" w:eastAsia="Arial" w:hAnsi="Arial" w:cs="Arial"/>
        </w:rPr>
      </w:pPr>
    </w:p>
    <w:p w14:paraId="1E032C02" w14:textId="77777777" w:rsidR="00D477BC" w:rsidRPr="00D477BC" w:rsidRDefault="00D477BC" w:rsidP="00D477BC">
      <w:pPr>
        <w:spacing w:after="0" w:line="360" w:lineRule="auto"/>
        <w:jc w:val="both"/>
        <w:rPr>
          <w:rFonts w:ascii="Arial" w:eastAsia="Arial" w:hAnsi="Arial" w:cs="Arial"/>
        </w:rPr>
      </w:pPr>
      <w:r w:rsidRPr="00D477BC">
        <w:rPr>
          <w:rFonts w:ascii="Arial" w:eastAsia="Arial" w:hAnsi="Arial" w:cs="Arial"/>
        </w:rPr>
        <w:t>Partnership working played a crucial role. The multidisciplinary team included the district nurse, GP, occupational therapist, social worker, and the adult’s nephew. Each professional contributed specific assessments: the GP addressed medication compliance, the occupational therapist identified environmental risks, and the social worker coordinated the safeguarding enquiry. This collaborative approach reflects the Health and Care Act 2022 requirement for integrated working across sectors. Regular communication and joint visits ensured shared understanding, reducing duplication and preventing gaps in care. The involvement of the nephew also strengthened natural support networks, demonstrating how informal carers can enhance long-term outcomes.</w:t>
      </w:r>
    </w:p>
    <w:p w14:paraId="7ABBF84E" w14:textId="77777777" w:rsidR="00D477BC" w:rsidRPr="00D477BC" w:rsidRDefault="00D477BC" w:rsidP="00D477BC">
      <w:pPr>
        <w:spacing w:after="0" w:line="360" w:lineRule="auto"/>
        <w:jc w:val="both"/>
        <w:rPr>
          <w:rFonts w:ascii="Arial" w:eastAsia="Arial" w:hAnsi="Arial" w:cs="Arial"/>
        </w:rPr>
      </w:pPr>
    </w:p>
    <w:p w14:paraId="1831AF4A" w14:textId="77777777" w:rsidR="00D477BC" w:rsidRPr="00D477BC" w:rsidRDefault="00D477BC" w:rsidP="00D477BC">
      <w:pPr>
        <w:spacing w:after="0" w:line="360" w:lineRule="auto"/>
        <w:jc w:val="both"/>
        <w:rPr>
          <w:rFonts w:ascii="Arial" w:eastAsia="Arial" w:hAnsi="Arial" w:cs="Arial"/>
        </w:rPr>
      </w:pPr>
      <w:r w:rsidRPr="00D477BC">
        <w:rPr>
          <w:rFonts w:ascii="Arial" w:eastAsia="Arial" w:hAnsi="Arial" w:cs="Arial"/>
        </w:rPr>
        <w:t xml:space="preserve">Ethical principles underpinned decision-making throughout. Respect for autonomy was demonstrated by involving the adult in every stage of planning, even where risks were identified. The team applied the two-stage test under the Mental Capacity Act 2005 to medication decisions. The assessment found fluctuating capacity, requiring best-interest decisions guided by the individual’s known values. The least restrictive option—daily medication prompts rather than automatic medication management—was chosen, aligning </w:t>
      </w:r>
      <w:r w:rsidRPr="00D477BC">
        <w:rPr>
          <w:rFonts w:ascii="Arial" w:eastAsia="Arial" w:hAnsi="Arial" w:cs="Arial"/>
        </w:rPr>
        <w:lastRenderedPageBreak/>
        <w:t>with MCA principles (HRA, 2021). Confidentiality was maintained, and information was shared strictly on a “need-to-know” basis in accordance with safeguarding law and GDPR.</w:t>
      </w:r>
    </w:p>
    <w:p w14:paraId="451E738A" w14:textId="77777777" w:rsidR="00D477BC" w:rsidRPr="00D477BC" w:rsidRDefault="00D477BC" w:rsidP="00D477BC">
      <w:pPr>
        <w:spacing w:after="0" w:line="360" w:lineRule="auto"/>
        <w:jc w:val="both"/>
        <w:rPr>
          <w:rFonts w:ascii="Arial" w:eastAsia="Arial" w:hAnsi="Arial" w:cs="Arial"/>
        </w:rPr>
      </w:pPr>
    </w:p>
    <w:p w14:paraId="1A1FD2D6" w14:textId="3C433DD0" w:rsidR="006D2F2D" w:rsidRPr="001D345E" w:rsidRDefault="00D477BC" w:rsidP="00D477BC">
      <w:pPr>
        <w:spacing w:after="0" w:line="360" w:lineRule="auto"/>
        <w:jc w:val="both"/>
        <w:rPr>
          <w:rFonts w:ascii="Arial" w:eastAsia="Arial" w:hAnsi="Arial" w:cs="Arial"/>
        </w:rPr>
      </w:pPr>
      <w:r w:rsidRPr="00D477BC">
        <w:rPr>
          <w:rFonts w:ascii="Arial" w:eastAsia="Arial" w:hAnsi="Arial" w:cs="Arial"/>
        </w:rPr>
        <w:t>The intervention produced clear improvements: nutrition stabilised, medication adherence increased, and the home environment became safer following minor adaptations. However, challenges were evident. Communication delays between professionals sometimes slowed decision-making, highlighting ongoing barriers within integrated systems. There were also differing views about whether the adult was safe to remain at home, demonstrating the ethical tension between respecting independence and preventing harm. These challenges underline the importance of reflective, transparent, and legally compliant decision-making.</w:t>
      </w:r>
    </w:p>
    <w:p w14:paraId="0EA51465" w14:textId="0005EC74" w:rsidR="006D2F2D" w:rsidRPr="001D345E" w:rsidRDefault="006D2F2D" w:rsidP="00411756">
      <w:pPr>
        <w:spacing w:after="0" w:line="360" w:lineRule="auto"/>
        <w:jc w:val="both"/>
        <w:rPr>
          <w:rFonts w:ascii="Arial" w:eastAsia="Arial" w:hAnsi="Arial" w:cs="Arial"/>
        </w:rPr>
      </w:pPr>
    </w:p>
    <w:p w14:paraId="74F25F26" w14:textId="097A4870" w:rsidR="006D2F2D" w:rsidRPr="001D345E" w:rsidRDefault="006D2F2D" w:rsidP="00411756">
      <w:pPr>
        <w:spacing w:after="0" w:line="360" w:lineRule="auto"/>
        <w:jc w:val="both"/>
        <w:rPr>
          <w:rFonts w:ascii="Arial" w:eastAsia="Arial" w:hAnsi="Arial" w:cs="Arial"/>
        </w:rPr>
      </w:pPr>
    </w:p>
    <w:p w14:paraId="468FA495" w14:textId="70348B1C" w:rsidR="006D2F2D" w:rsidRPr="001D345E" w:rsidRDefault="006D2F2D" w:rsidP="00411756">
      <w:pPr>
        <w:spacing w:after="0" w:line="360" w:lineRule="auto"/>
        <w:jc w:val="both"/>
        <w:rPr>
          <w:rFonts w:ascii="Arial" w:eastAsia="Arial" w:hAnsi="Arial" w:cs="Arial"/>
        </w:rPr>
      </w:pPr>
    </w:p>
    <w:p w14:paraId="37DC207C" w14:textId="15888E86" w:rsidR="006D2F2D" w:rsidRPr="001D345E" w:rsidRDefault="006D2F2D" w:rsidP="00411756">
      <w:pPr>
        <w:spacing w:after="0" w:line="360" w:lineRule="auto"/>
        <w:jc w:val="both"/>
        <w:rPr>
          <w:rFonts w:ascii="Arial" w:eastAsia="Arial" w:hAnsi="Arial" w:cs="Arial"/>
        </w:rPr>
      </w:pPr>
    </w:p>
    <w:p w14:paraId="5DBAF19D" w14:textId="00670C66" w:rsidR="006D2F2D" w:rsidRPr="001D345E" w:rsidRDefault="006D2F2D" w:rsidP="00411756">
      <w:pPr>
        <w:spacing w:after="0" w:line="360" w:lineRule="auto"/>
        <w:jc w:val="both"/>
        <w:rPr>
          <w:rFonts w:ascii="Arial" w:eastAsia="Arial" w:hAnsi="Arial" w:cs="Arial"/>
        </w:rPr>
      </w:pPr>
    </w:p>
    <w:p w14:paraId="299BC34C" w14:textId="171701ED" w:rsidR="006D2F2D" w:rsidRPr="001D345E" w:rsidRDefault="006D2F2D" w:rsidP="00411756">
      <w:pPr>
        <w:spacing w:after="0" w:line="360" w:lineRule="auto"/>
        <w:jc w:val="both"/>
        <w:rPr>
          <w:rFonts w:ascii="Arial" w:eastAsia="Arial" w:hAnsi="Arial" w:cs="Arial"/>
        </w:rPr>
      </w:pPr>
    </w:p>
    <w:p w14:paraId="45BFB010" w14:textId="064F365F" w:rsidR="006D2F2D" w:rsidRPr="001D345E" w:rsidRDefault="006D2F2D" w:rsidP="00411756">
      <w:pPr>
        <w:spacing w:after="0" w:line="360" w:lineRule="auto"/>
        <w:jc w:val="both"/>
        <w:rPr>
          <w:rFonts w:ascii="Arial" w:eastAsia="Arial" w:hAnsi="Arial" w:cs="Arial"/>
        </w:rPr>
      </w:pPr>
    </w:p>
    <w:p w14:paraId="58456A36" w14:textId="3C216F17" w:rsidR="006D2F2D" w:rsidRPr="001D345E" w:rsidRDefault="006D2F2D" w:rsidP="00411756">
      <w:pPr>
        <w:spacing w:after="0" w:line="360" w:lineRule="auto"/>
        <w:jc w:val="both"/>
        <w:rPr>
          <w:rFonts w:ascii="Arial" w:eastAsia="Arial" w:hAnsi="Arial" w:cs="Arial"/>
        </w:rPr>
      </w:pPr>
    </w:p>
    <w:p w14:paraId="2F226336" w14:textId="1294D780" w:rsidR="006D2F2D" w:rsidRPr="00F5488E" w:rsidRDefault="2DAEAA25" w:rsidP="00411756">
      <w:pPr>
        <w:pStyle w:val="Heading1"/>
        <w:spacing w:line="360" w:lineRule="auto"/>
        <w:jc w:val="both"/>
        <w:rPr>
          <w:rFonts w:ascii="Arial" w:eastAsia="Arial" w:hAnsi="Arial" w:cs="Arial"/>
          <w:sz w:val="32"/>
          <w:szCs w:val="32"/>
        </w:rPr>
      </w:pPr>
      <w:r w:rsidRPr="00F5488E">
        <w:rPr>
          <w:rFonts w:ascii="Arial" w:hAnsi="Arial" w:cs="Arial"/>
          <w:sz w:val="32"/>
          <w:szCs w:val="32"/>
        </w:rPr>
        <w:t>Task 3: Self-Reflection as a Health and Social Care Professional</w:t>
      </w:r>
    </w:p>
    <w:p w14:paraId="3E6F7CCF" w14:textId="773D7699" w:rsidR="006D2F2D" w:rsidRDefault="2DAEAA25" w:rsidP="00411756">
      <w:pPr>
        <w:spacing w:after="0" w:line="360" w:lineRule="auto"/>
        <w:jc w:val="both"/>
        <w:rPr>
          <w:rFonts w:ascii="Arial" w:eastAsia="Arial" w:hAnsi="Arial" w:cs="Arial"/>
        </w:rPr>
      </w:pPr>
      <w:r w:rsidRPr="22893647">
        <w:rPr>
          <w:rFonts w:ascii="Arial" w:eastAsia="Arial" w:hAnsi="Arial" w:cs="Arial"/>
        </w:rPr>
        <w:t xml:space="preserve"> </w:t>
      </w:r>
    </w:p>
    <w:p w14:paraId="2F05FED4"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Using Gibbs’ Reflective Cycle (1988), this section critically reflects on how I apply person-centred care, partnership working, and ethical principles in my developing professional practice.</w:t>
      </w:r>
    </w:p>
    <w:p w14:paraId="140DD606" w14:textId="77777777" w:rsidR="005C5A76" w:rsidRPr="005C5A76" w:rsidRDefault="005C5A76" w:rsidP="005C5A76">
      <w:pPr>
        <w:spacing w:after="0" w:line="360" w:lineRule="auto"/>
        <w:jc w:val="both"/>
        <w:rPr>
          <w:rFonts w:ascii="Arial" w:eastAsia="Arial" w:hAnsi="Arial" w:cs="Arial"/>
        </w:rPr>
      </w:pPr>
    </w:p>
    <w:p w14:paraId="71D867D6"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Description</w:t>
      </w:r>
    </w:p>
    <w:p w14:paraId="16147DC6" w14:textId="77777777" w:rsidR="005C5A76" w:rsidRPr="005C5A76" w:rsidRDefault="005C5A76" w:rsidP="005C5A76">
      <w:pPr>
        <w:spacing w:after="0" w:line="360" w:lineRule="auto"/>
        <w:jc w:val="both"/>
        <w:rPr>
          <w:rFonts w:ascii="Arial" w:eastAsia="Arial" w:hAnsi="Arial" w:cs="Arial"/>
        </w:rPr>
      </w:pPr>
    </w:p>
    <w:p w14:paraId="2B29C051"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In my role as a student and aspiring professional, I work with adults in community settings, supporting assessments, care planning, and communication between teams. I frequently encounter situations where individuals present with complex health, social, and emotional needs, requiring coordinated, ethical, and person-centred responses. I have grown increasingly aware that these principles are not abstract concepts but directly shape the quality, safety, and dignity of care.</w:t>
      </w:r>
    </w:p>
    <w:p w14:paraId="7BC39D6B" w14:textId="77777777" w:rsidR="005C5A76" w:rsidRPr="005C5A76" w:rsidRDefault="005C5A76" w:rsidP="005C5A76">
      <w:pPr>
        <w:spacing w:after="0" w:line="360" w:lineRule="auto"/>
        <w:jc w:val="both"/>
        <w:rPr>
          <w:rFonts w:ascii="Arial" w:eastAsia="Arial" w:hAnsi="Arial" w:cs="Arial"/>
        </w:rPr>
      </w:pPr>
    </w:p>
    <w:p w14:paraId="1A7B0257"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Feelings</w:t>
      </w:r>
    </w:p>
    <w:p w14:paraId="7C158FCE" w14:textId="77777777" w:rsidR="005C5A76" w:rsidRPr="005C5A76" w:rsidRDefault="005C5A76" w:rsidP="005C5A76">
      <w:pPr>
        <w:spacing w:after="0" w:line="360" w:lineRule="auto"/>
        <w:jc w:val="both"/>
        <w:rPr>
          <w:rFonts w:ascii="Arial" w:eastAsia="Arial" w:hAnsi="Arial" w:cs="Arial"/>
        </w:rPr>
      </w:pPr>
    </w:p>
    <w:p w14:paraId="623AC79F"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Initially, I felt confident in communicating with individuals and understanding their concerns. However, I often felt uncertain when interpreting legislation or handling ethical dilemmas, particularly related to capacity, consent, and safeguarding. Partnership working could feel overwhelming, especially during multidisciplinary meetings where diverse professional opinions emerged. Over time, I have developed more confidence, but I still recognise moments where I hesitate to speak up or challenge decisions.</w:t>
      </w:r>
    </w:p>
    <w:p w14:paraId="04090D49" w14:textId="77777777" w:rsidR="005C5A76" w:rsidRPr="005C5A76" w:rsidRDefault="005C5A76" w:rsidP="005C5A76">
      <w:pPr>
        <w:spacing w:after="0" w:line="360" w:lineRule="auto"/>
        <w:jc w:val="both"/>
        <w:rPr>
          <w:rFonts w:ascii="Arial" w:eastAsia="Arial" w:hAnsi="Arial" w:cs="Arial"/>
        </w:rPr>
      </w:pPr>
    </w:p>
    <w:p w14:paraId="6A4F59EC"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Evaluation</w:t>
      </w:r>
    </w:p>
    <w:p w14:paraId="0139999D" w14:textId="77777777" w:rsidR="005C5A76" w:rsidRPr="005C5A76" w:rsidRDefault="005C5A76" w:rsidP="005C5A76">
      <w:pPr>
        <w:spacing w:after="0" w:line="360" w:lineRule="auto"/>
        <w:jc w:val="both"/>
        <w:rPr>
          <w:rFonts w:ascii="Arial" w:eastAsia="Arial" w:hAnsi="Arial" w:cs="Arial"/>
        </w:rPr>
      </w:pPr>
    </w:p>
    <w:p w14:paraId="19C6DE93"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Person-centred care:</w:t>
      </w:r>
    </w:p>
    <w:p w14:paraId="7D556C44"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My strengths include active listening, empathy, and respecting everyone's narrative. These skills help me build trust and understand what matters to service users, aligning with the LGA’s emphasis on personalised, outcome-focused care (LGA, 2025). However, I recognise that I sometimes struggle to balance person-centred values with risk management, especially when safety concerns conflict with an individual’s expressed wishes (Corbett et al., 2020). I am learning that respectful challenge and open dialogue are necessary parts of safe practice.</w:t>
      </w:r>
    </w:p>
    <w:p w14:paraId="51276141" w14:textId="77777777" w:rsidR="005C5A76" w:rsidRPr="005C5A76" w:rsidRDefault="005C5A76" w:rsidP="005C5A76">
      <w:pPr>
        <w:spacing w:after="0" w:line="360" w:lineRule="auto"/>
        <w:jc w:val="both"/>
        <w:rPr>
          <w:rFonts w:ascii="Arial" w:eastAsia="Arial" w:hAnsi="Arial" w:cs="Arial"/>
        </w:rPr>
      </w:pPr>
    </w:p>
    <w:p w14:paraId="6ECAD619"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Partnership working:</w:t>
      </w:r>
    </w:p>
    <w:p w14:paraId="768474F7"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I contribute positively to team discussions and appreciate the value of shared expertise. Tuckman’s model helps me understand why teams may face conflict before becoming effective (Zirar et al., 2025). My weaknesses include hesitancy in challenging decisions made by more experienced professionals and occasional difficulty synthesising complex information from multiple sources. I also recognise the need to develop clearer professional boundaries when working with external agencies.</w:t>
      </w:r>
    </w:p>
    <w:p w14:paraId="5288198C" w14:textId="77777777" w:rsidR="005C5A76" w:rsidRPr="005C5A76" w:rsidRDefault="005C5A76" w:rsidP="005C5A76">
      <w:pPr>
        <w:spacing w:after="0" w:line="360" w:lineRule="auto"/>
        <w:jc w:val="both"/>
        <w:rPr>
          <w:rFonts w:ascii="Arial" w:eastAsia="Arial" w:hAnsi="Arial" w:cs="Arial"/>
        </w:rPr>
      </w:pPr>
    </w:p>
    <w:p w14:paraId="4A48E667"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Ethics:</w:t>
      </w:r>
    </w:p>
    <w:p w14:paraId="69BBCF63"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I demonstrate a good understanding of autonomy, dignity, and non-maleficence in practice. I apply the Mental Capacity Act 2005 under supervision and ensure decisions are made transparently and collaboratively. However, I need greater confidence in using the Act in cases of fluctuating capacity or safeguarding, where individual rights and protection must be carefully balanced. I am aware that ethical reasoning requires not only knowledge but also experience, critical thinking, and emotional resilience.</w:t>
      </w:r>
    </w:p>
    <w:p w14:paraId="650FFE3A" w14:textId="77777777" w:rsidR="005C5A76" w:rsidRPr="005C5A76" w:rsidRDefault="005C5A76" w:rsidP="005C5A76">
      <w:pPr>
        <w:spacing w:after="0" w:line="360" w:lineRule="auto"/>
        <w:jc w:val="both"/>
        <w:rPr>
          <w:rFonts w:ascii="Arial" w:eastAsia="Arial" w:hAnsi="Arial" w:cs="Arial"/>
        </w:rPr>
      </w:pPr>
    </w:p>
    <w:p w14:paraId="3198DB2D"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t>Analysis</w:t>
      </w:r>
    </w:p>
    <w:p w14:paraId="501D1A99" w14:textId="77777777" w:rsidR="005C5A76" w:rsidRPr="005C5A76" w:rsidRDefault="005C5A76" w:rsidP="005C5A76">
      <w:pPr>
        <w:spacing w:after="0" w:line="360" w:lineRule="auto"/>
        <w:jc w:val="both"/>
        <w:rPr>
          <w:rFonts w:ascii="Arial" w:eastAsia="Arial" w:hAnsi="Arial" w:cs="Arial"/>
        </w:rPr>
      </w:pPr>
    </w:p>
    <w:p w14:paraId="079243D7" w14:textId="77777777" w:rsidR="005C5A76" w:rsidRPr="005C5A76" w:rsidRDefault="005C5A76" w:rsidP="005C5A76">
      <w:pPr>
        <w:spacing w:after="0" w:line="360" w:lineRule="auto"/>
        <w:jc w:val="both"/>
        <w:rPr>
          <w:rFonts w:ascii="Arial" w:eastAsia="Arial" w:hAnsi="Arial" w:cs="Arial"/>
        </w:rPr>
      </w:pPr>
      <w:r w:rsidRPr="005C5A76">
        <w:rPr>
          <w:rFonts w:ascii="Arial" w:eastAsia="Arial" w:hAnsi="Arial" w:cs="Arial"/>
        </w:rPr>
        <w:lastRenderedPageBreak/>
        <w:t>Reflecting on these experiences, I see how the three principles are interlinked. My ability to deliver person-centred care depends heavily on my ethical reasoning and collaborative work. Professional standards such as the NMC Code (2018) and HCPC Standards of Proficiency emphasise that respect, communication, accountability, and evidence-based practice are essential components of safe care. These principles also provide a moral compass when I am unsure how to respond to complex situations.</w:t>
      </w:r>
    </w:p>
    <w:p w14:paraId="114143EF" w14:textId="77777777" w:rsidR="005C5A76" w:rsidRPr="005C5A76" w:rsidRDefault="005C5A76" w:rsidP="005C5A76">
      <w:pPr>
        <w:spacing w:after="0" w:line="360" w:lineRule="auto"/>
        <w:jc w:val="both"/>
        <w:rPr>
          <w:rFonts w:ascii="Arial" w:eastAsia="Arial" w:hAnsi="Arial" w:cs="Arial"/>
        </w:rPr>
      </w:pPr>
    </w:p>
    <w:p w14:paraId="14F9F86D" w14:textId="0FD7DD7A" w:rsidR="005C5A76" w:rsidRPr="001D345E" w:rsidRDefault="005C5A76" w:rsidP="005C5A76">
      <w:pPr>
        <w:spacing w:after="0" w:line="360" w:lineRule="auto"/>
        <w:jc w:val="both"/>
        <w:rPr>
          <w:rFonts w:ascii="Arial" w:eastAsia="Arial" w:hAnsi="Arial" w:cs="Arial"/>
        </w:rPr>
      </w:pPr>
      <w:r w:rsidRPr="005C5A76">
        <w:rPr>
          <w:rFonts w:ascii="Arial" w:eastAsia="Arial" w:hAnsi="Arial" w:cs="Arial"/>
        </w:rPr>
        <w:t>Understanding legislation is vital. The Mental Capacity Act 2005 ensures that decisions about capacity are fair, respectful, and free from discrimination. The Care Act 2014 mandates that wellbeing and autonomy are central to practice, while the Health and Care Act 2022 requires me to work collaboratively across organisational boundaries. Recognising these requirements helps me appreciate the legal significance of the principles, not just their ethical value.</w:t>
      </w:r>
    </w:p>
    <w:p w14:paraId="2EC7B82E" w14:textId="1EFA036D"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Action Plan</w:t>
      </w:r>
    </w:p>
    <w:p w14:paraId="4CFFD431" w14:textId="3890CDD9"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 </w:t>
      </w:r>
    </w:p>
    <w:p w14:paraId="14B304E8" w14:textId="611499C3"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To strengthen my future practice, I will:</w:t>
      </w:r>
    </w:p>
    <w:p w14:paraId="7E963FBC" w14:textId="3DBE442F"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 </w:t>
      </w:r>
    </w:p>
    <w:p w14:paraId="553A40FF" w14:textId="22F2B2EC"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1. Develop </w:t>
      </w:r>
      <w:r w:rsidR="002E706D">
        <w:rPr>
          <w:rFonts w:ascii="Arial" w:eastAsia="Arial" w:hAnsi="Arial" w:cs="Arial"/>
        </w:rPr>
        <w:t xml:space="preserve">a </w:t>
      </w:r>
      <w:r w:rsidRPr="22893647">
        <w:rPr>
          <w:rFonts w:ascii="Arial" w:eastAsia="Arial" w:hAnsi="Arial" w:cs="Arial"/>
        </w:rPr>
        <w:t>deeper legislative understanding</w:t>
      </w:r>
    </w:p>
    <w:p w14:paraId="1C3C83C1" w14:textId="0FFB81C0" w:rsidR="006D2F2D" w:rsidRPr="001D345E" w:rsidRDefault="2DAEAA25" w:rsidP="00411756">
      <w:pPr>
        <w:pStyle w:val="ListParagraph"/>
        <w:numPr>
          <w:ilvl w:val="0"/>
          <w:numId w:val="10"/>
        </w:numPr>
        <w:spacing w:after="0" w:line="360" w:lineRule="auto"/>
        <w:jc w:val="both"/>
        <w:rPr>
          <w:rFonts w:ascii="Arial" w:eastAsia="Arial" w:hAnsi="Arial" w:cs="Arial"/>
        </w:rPr>
      </w:pPr>
      <w:r w:rsidRPr="22893647">
        <w:rPr>
          <w:rFonts w:ascii="Arial" w:eastAsia="Arial" w:hAnsi="Arial" w:cs="Arial"/>
        </w:rPr>
        <w:t>Undertake CPD on the Mental Capacity Act, Care Act, and Health and Care Act</w:t>
      </w:r>
    </w:p>
    <w:p w14:paraId="1CCB585E" w14:textId="0338B30F" w:rsidR="006D2F2D" w:rsidRPr="001D345E" w:rsidRDefault="2DAEAA25" w:rsidP="00411756">
      <w:pPr>
        <w:pStyle w:val="ListParagraph"/>
        <w:numPr>
          <w:ilvl w:val="0"/>
          <w:numId w:val="10"/>
        </w:numPr>
        <w:spacing w:after="0" w:line="360" w:lineRule="auto"/>
        <w:jc w:val="both"/>
        <w:rPr>
          <w:rFonts w:ascii="Arial" w:eastAsia="Arial" w:hAnsi="Arial" w:cs="Arial"/>
        </w:rPr>
      </w:pPr>
      <w:r w:rsidRPr="22893647">
        <w:rPr>
          <w:rFonts w:ascii="Arial" w:eastAsia="Arial" w:hAnsi="Arial" w:cs="Arial"/>
        </w:rPr>
        <w:t>Review case law and updated government guidance regularly</w:t>
      </w:r>
    </w:p>
    <w:p w14:paraId="7737685C" w14:textId="433380B5" w:rsidR="006D2F2D" w:rsidRPr="001D345E" w:rsidRDefault="2DAEAA25" w:rsidP="00411756">
      <w:pPr>
        <w:pStyle w:val="ListParagraph"/>
        <w:numPr>
          <w:ilvl w:val="0"/>
          <w:numId w:val="10"/>
        </w:numPr>
        <w:spacing w:after="0" w:line="360" w:lineRule="auto"/>
        <w:jc w:val="both"/>
        <w:rPr>
          <w:rFonts w:ascii="Arial" w:eastAsia="Arial" w:hAnsi="Arial" w:cs="Arial"/>
        </w:rPr>
      </w:pPr>
      <w:r w:rsidRPr="22893647">
        <w:rPr>
          <w:rFonts w:ascii="Arial" w:eastAsia="Arial" w:hAnsi="Arial" w:cs="Arial"/>
        </w:rPr>
        <w:t>Use supervision to explore complex cases</w:t>
      </w:r>
    </w:p>
    <w:p w14:paraId="5E58CD2A" w14:textId="60E8AAFD"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 </w:t>
      </w:r>
    </w:p>
    <w:p w14:paraId="244DA7C5" w14:textId="6A48D8BB"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2. Strengthen partnership-working skills</w:t>
      </w:r>
    </w:p>
    <w:p w14:paraId="22E73F0C" w14:textId="6E108DA4" w:rsidR="006D2F2D" w:rsidRPr="001D345E" w:rsidRDefault="2DAEAA25" w:rsidP="00411756">
      <w:pPr>
        <w:pStyle w:val="ListParagraph"/>
        <w:numPr>
          <w:ilvl w:val="0"/>
          <w:numId w:val="9"/>
        </w:numPr>
        <w:spacing w:after="0" w:line="360" w:lineRule="auto"/>
        <w:jc w:val="both"/>
        <w:rPr>
          <w:rFonts w:ascii="Arial" w:eastAsia="Arial" w:hAnsi="Arial" w:cs="Arial"/>
        </w:rPr>
      </w:pPr>
      <w:r w:rsidRPr="22893647">
        <w:rPr>
          <w:rFonts w:ascii="Arial" w:eastAsia="Arial" w:hAnsi="Arial" w:cs="Arial"/>
        </w:rPr>
        <w:t>Use structured communication tools such as SBAR.</w:t>
      </w:r>
    </w:p>
    <w:p w14:paraId="41059E63" w14:textId="3A079E56" w:rsidR="006D2F2D" w:rsidRPr="001D345E" w:rsidRDefault="2DAEAA25" w:rsidP="00411756">
      <w:pPr>
        <w:pStyle w:val="ListParagraph"/>
        <w:numPr>
          <w:ilvl w:val="0"/>
          <w:numId w:val="9"/>
        </w:numPr>
        <w:spacing w:after="0" w:line="360" w:lineRule="auto"/>
        <w:jc w:val="both"/>
        <w:rPr>
          <w:rFonts w:ascii="Arial" w:eastAsia="Arial" w:hAnsi="Arial" w:cs="Arial"/>
        </w:rPr>
      </w:pPr>
      <w:r w:rsidRPr="22893647">
        <w:rPr>
          <w:rFonts w:ascii="Arial" w:eastAsia="Arial" w:hAnsi="Arial" w:cs="Arial"/>
        </w:rPr>
        <w:t>Attend multidisciplinary learning sessions.</w:t>
      </w:r>
    </w:p>
    <w:p w14:paraId="13EBA877" w14:textId="28947353" w:rsidR="006D2F2D" w:rsidRPr="001D345E" w:rsidRDefault="2DAEAA25" w:rsidP="00411756">
      <w:pPr>
        <w:pStyle w:val="ListParagraph"/>
        <w:numPr>
          <w:ilvl w:val="0"/>
          <w:numId w:val="9"/>
        </w:numPr>
        <w:spacing w:after="0" w:line="360" w:lineRule="auto"/>
        <w:jc w:val="both"/>
        <w:rPr>
          <w:rFonts w:ascii="Arial" w:eastAsia="Arial" w:hAnsi="Arial" w:cs="Arial"/>
        </w:rPr>
      </w:pPr>
      <w:r w:rsidRPr="22893647">
        <w:rPr>
          <w:rFonts w:ascii="Arial" w:eastAsia="Arial" w:hAnsi="Arial" w:cs="Arial"/>
        </w:rPr>
        <w:t xml:space="preserve">Seek mentorship from experienced practitioners. </w:t>
      </w:r>
    </w:p>
    <w:p w14:paraId="16607569" w14:textId="77D9961E"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3. Improve ethical reasoning</w:t>
      </w:r>
    </w:p>
    <w:p w14:paraId="114F0409" w14:textId="6E97890E" w:rsidR="006D2F2D" w:rsidRPr="001D345E" w:rsidRDefault="2DAEAA25" w:rsidP="00411756">
      <w:pPr>
        <w:pStyle w:val="ListParagraph"/>
        <w:numPr>
          <w:ilvl w:val="0"/>
          <w:numId w:val="8"/>
        </w:numPr>
        <w:spacing w:after="0" w:line="360" w:lineRule="auto"/>
        <w:jc w:val="both"/>
        <w:rPr>
          <w:rFonts w:ascii="Arial" w:eastAsia="Arial" w:hAnsi="Arial" w:cs="Arial"/>
        </w:rPr>
      </w:pPr>
      <w:r w:rsidRPr="22893647">
        <w:rPr>
          <w:rFonts w:ascii="Arial" w:eastAsia="Arial" w:hAnsi="Arial" w:cs="Arial"/>
        </w:rPr>
        <w:t>Apply ethical frameworks explicitly during reflection</w:t>
      </w:r>
    </w:p>
    <w:p w14:paraId="5CE00B1F" w14:textId="0BAD34B0" w:rsidR="006D2F2D" w:rsidRPr="001D345E" w:rsidRDefault="2DAEAA25" w:rsidP="00411756">
      <w:pPr>
        <w:pStyle w:val="ListParagraph"/>
        <w:numPr>
          <w:ilvl w:val="0"/>
          <w:numId w:val="8"/>
        </w:numPr>
        <w:spacing w:after="0" w:line="360" w:lineRule="auto"/>
        <w:jc w:val="both"/>
        <w:rPr>
          <w:rFonts w:ascii="Arial" w:eastAsia="Arial" w:hAnsi="Arial" w:cs="Arial"/>
        </w:rPr>
      </w:pPr>
      <w:r w:rsidRPr="22893647">
        <w:rPr>
          <w:rFonts w:ascii="Arial" w:eastAsia="Arial" w:hAnsi="Arial" w:cs="Arial"/>
        </w:rPr>
        <w:t>Study clinical and social care ethics literature</w:t>
      </w:r>
    </w:p>
    <w:p w14:paraId="5D635C60" w14:textId="661CEBC4" w:rsidR="006D2F2D" w:rsidRPr="001D345E" w:rsidRDefault="2DAEAA25" w:rsidP="00411756">
      <w:pPr>
        <w:pStyle w:val="ListParagraph"/>
        <w:numPr>
          <w:ilvl w:val="0"/>
          <w:numId w:val="8"/>
        </w:numPr>
        <w:spacing w:after="0" w:line="360" w:lineRule="auto"/>
        <w:jc w:val="both"/>
        <w:rPr>
          <w:rFonts w:ascii="Arial" w:eastAsia="Arial" w:hAnsi="Arial" w:cs="Arial"/>
        </w:rPr>
      </w:pPr>
      <w:r w:rsidRPr="22893647">
        <w:rPr>
          <w:rFonts w:ascii="Arial" w:eastAsia="Arial" w:hAnsi="Arial" w:cs="Arial"/>
        </w:rPr>
        <w:t>Seek feedback after managing ethical dilemmas</w:t>
      </w:r>
    </w:p>
    <w:p w14:paraId="1267F5EB" w14:textId="77F02CA1"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4. Enhance person-centred practice</w:t>
      </w:r>
    </w:p>
    <w:p w14:paraId="071576DC" w14:textId="338784DD" w:rsidR="006D2F2D" w:rsidRPr="001D345E" w:rsidRDefault="2DAEAA25" w:rsidP="00411756">
      <w:pPr>
        <w:pStyle w:val="ListParagraph"/>
        <w:numPr>
          <w:ilvl w:val="0"/>
          <w:numId w:val="7"/>
        </w:numPr>
        <w:spacing w:after="0" w:line="360" w:lineRule="auto"/>
        <w:jc w:val="both"/>
        <w:rPr>
          <w:rFonts w:ascii="Arial" w:eastAsia="Arial" w:hAnsi="Arial" w:cs="Arial"/>
        </w:rPr>
      </w:pPr>
      <w:r w:rsidRPr="22893647">
        <w:rPr>
          <w:rFonts w:ascii="Arial" w:eastAsia="Arial" w:hAnsi="Arial" w:cs="Arial"/>
        </w:rPr>
        <w:t>Develop more advanced questioning skills.</w:t>
      </w:r>
    </w:p>
    <w:p w14:paraId="4B886E20" w14:textId="0D149FB2" w:rsidR="006D2F2D" w:rsidRPr="001D345E" w:rsidRDefault="2DAEAA25" w:rsidP="00411756">
      <w:pPr>
        <w:pStyle w:val="ListParagraph"/>
        <w:numPr>
          <w:ilvl w:val="0"/>
          <w:numId w:val="7"/>
        </w:numPr>
        <w:spacing w:after="0" w:line="360" w:lineRule="auto"/>
        <w:jc w:val="both"/>
        <w:rPr>
          <w:rFonts w:ascii="Arial" w:eastAsia="Arial" w:hAnsi="Arial" w:cs="Arial"/>
        </w:rPr>
      </w:pPr>
      <w:r w:rsidRPr="22893647">
        <w:rPr>
          <w:rFonts w:ascii="Arial" w:eastAsia="Arial" w:hAnsi="Arial" w:cs="Arial"/>
        </w:rPr>
        <w:t>Continuously evaluate how well my actions align with individual values.</w:t>
      </w:r>
    </w:p>
    <w:p w14:paraId="6C1874B0" w14:textId="536CECEA" w:rsidR="006D2F2D" w:rsidRPr="001D345E" w:rsidRDefault="2DAEAA25" w:rsidP="00411756">
      <w:pPr>
        <w:pStyle w:val="ListParagraph"/>
        <w:numPr>
          <w:ilvl w:val="0"/>
          <w:numId w:val="7"/>
        </w:numPr>
        <w:spacing w:after="0" w:line="360" w:lineRule="auto"/>
        <w:jc w:val="both"/>
        <w:rPr>
          <w:rFonts w:ascii="Arial" w:eastAsia="Arial" w:hAnsi="Arial" w:cs="Arial"/>
        </w:rPr>
      </w:pPr>
      <w:r w:rsidRPr="22893647">
        <w:rPr>
          <w:rFonts w:ascii="Arial" w:eastAsia="Arial" w:hAnsi="Arial" w:cs="Arial"/>
        </w:rPr>
        <w:t>Advocate for service improvements that promote autonomy and dignity.</w:t>
      </w:r>
    </w:p>
    <w:p w14:paraId="36A4EE8A" w14:textId="7F51197B" w:rsidR="002E706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 </w:t>
      </w:r>
    </w:p>
    <w:p w14:paraId="69DD9C7B" w14:textId="03A74E90" w:rsidR="006D2F2D" w:rsidRPr="00F5488E" w:rsidRDefault="2DAEAA25" w:rsidP="00411756">
      <w:pPr>
        <w:pStyle w:val="Heading1"/>
        <w:spacing w:line="360" w:lineRule="auto"/>
        <w:jc w:val="both"/>
        <w:rPr>
          <w:rFonts w:ascii="Arial" w:hAnsi="Arial" w:cs="Arial"/>
          <w:sz w:val="32"/>
          <w:szCs w:val="32"/>
        </w:rPr>
      </w:pPr>
      <w:r w:rsidRPr="00F5488E">
        <w:rPr>
          <w:rFonts w:ascii="Arial" w:hAnsi="Arial" w:cs="Arial"/>
          <w:sz w:val="32"/>
          <w:szCs w:val="32"/>
        </w:rPr>
        <w:lastRenderedPageBreak/>
        <w:t>Conclusion</w:t>
      </w:r>
    </w:p>
    <w:p w14:paraId="5E29D762" w14:textId="2AEA5968" w:rsidR="00A90050" w:rsidRPr="00A90050" w:rsidRDefault="2DAEAA25" w:rsidP="00A90050">
      <w:pPr>
        <w:spacing w:after="0" w:line="360" w:lineRule="auto"/>
        <w:jc w:val="both"/>
        <w:rPr>
          <w:rFonts w:ascii="Arial" w:eastAsia="Arial" w:hAnsi="Arial" w:cs="Arial"/>
        </w:rPr>
      </w:pPr>
      <w:r w:rsidRPr="22893647">
        <w:rPr>
          <w:rFonts w:ascii="Arial" w:eastAsia="Arial" w:hAnsi="Arial" w:cs="Arial"/>
        </w:rPr>
        <w:t xml:space="preserve"> </w:t>
      </w:r>
    </w:p>
    <w:p w14:paraId="0638AA24" w14:textId="77777777" w:rsidR="00A90050" w:rsidRPr="00A90050" w:rsidRDefault="00A90050" w:rsidP="00A90050">
      <w:pPr>
        <w:spacing w:after="0" w:line="360" w:lineRule="auto"/>
        <w:rPr>
          <w:rFonts w:ascii="Arial" w:eastAsia="Arial" w:hAnsi="Arial" w:cs="Arial"/>
        </w:rPr>
      </w:pPr>
      <w:r w:rsidRPr="00A90050">
        <w:rPr>
          <w:rFonts w:ascii="Arial" w:eastAsia="Arial" w:hAnsi="Arial" w:cs="Arial"/>
        </w:rPr>
        <w:t>This reflective process has also highlighted my own developing capabilities. I have identified strengths, such as communication, empathy, and a genuine commitment to upholding the values of autonomy and dignity. At the same time, I recognise several areas that require further growth, including applying legislation with confidence, contributing more assertively within multidisciplinary teams, and strengthening my ethical reasoning when decisions are complex or emotionally challenging. These insights will guide my ongoing professional development.</w:t>
      </w:r>
    </w:p>
    <w:p w14:paraId="46E3CAE5" w14:textId="77777777" w:rsidR="00A90050" w:rsidRPr="00A90050" w:rsidRDefault="00A90050" w:rsidP="00A90050">
      <w:pPr>
        <w:spacing w:after="0" w:line="360" w:lineRule="auto"/>
        <w:rPr>
          <w:rFonts w:ascii="Arial" w:eastAsia="Arial" w:hAnsi="Arial" w:cs="Arial"/>
        </w:rPr>
      </w:pPr>
    </w:p>
    <w:p w14:paraId="55D4AD70" w14:textId="032818C1" w:rsidR="006D2F2D" w:rsidRDefault="00A90050" w:rsidP="00A90050">
      <w:pPr>
        <w:spacing w:after="0" w:line="360" w:lineRule="auto"/>
        <w:rPr>
          <w:rFonts w:ascii="Arial" w:eastAsia="Arial" w:hAnsi="Arial" w:cs="Arial"/>
        </w:rPr>
      </w:pPr>
      <w:r w:rsidRPr="00A90050">
        <w:rPr>
          <w:rFonts w:ascii="Arial" w:eastAsia="Arial" w:hAnsi="Arial" w:cs="Arial"/>
        </w:rPr>
        <w:t xml:space="preserve">Looking forward, I understand that effective practice requires continuous learning, self-awareness, and a commitment to reflective thinking. Health and social care is a rapidly evolving field, shaped by new policies, integrated working models, and increasing complexity in service users’ needs. To remain competent and responsive, I must engage proactively with supervision, training, and evidence-based practice. By doing so, I can ensure that my future practice remains aligned with national standards, professional codes, and the core principles that safeguard the rights, </w:t>
      </w:r>
      <w:r>
        <w:rPr>
          <w:rFonts w:ascii="Arial" w:eastAsia="Arial" w:hAnsi="Arial" w:cs="Arial"/>
        </w:rPr>
        <w:t>well-being</w:t>
      </w:r>
      <w:r w:rsidRPr="00A90050">
        <w:rPr>
          <w:rFonts w:ascii="Arial" w:eastAsia="Arial" w:hAnsi="Arial" w:cs="Arial"/>
        </w:rPr>
        <w:t>, and autonomy of those I support. Ultimately, this reflection reinforces my responsibility to provide ethical, person-centred, and collaborative care throughout my professional journey.</w:t>
      </w:r>
    </w:p>
    <w:p w14:paraId="481E0B27" w14:textId="77777777" w:rsidR="00A90050" w:rsidRDefault="00A90050" w:rsidP="00A90050">
      <w:pPr>
        <w:spacing w:after="0" w:line="360" w:lineRule="auto"/>
        <w:rPr>
          <w:rFonts w:ascii="Arial" w:eastAsia="Arial" w:hAnsi="Arial" w:cs="Arial"/>
        </w:rPr>
      </w:pPr>
    </w:p>
    <w:p w14:paraId="384A3ECC" w14:textId="77777777" w:rsidR="00A90050" w:rsidRDefault="00A90050" w:rsidP="00A90050">
      <w:pPr>
        <w:spacing w:after="0" w:line="360" w:lineRule="auto"/>
        <w:rPr>
          <w:rFonts w:ascii="Arial" w:eastAsia="Arial" w:hAnsi="Arial" w:cs="Arial"/>
        </w:rPr>
      </w:pPr>
    </w:p>
    <w:p w14:paraId="180B19B3" w14:textId="77777777" w:rsidR="00A90050" w:rsidRPr="001D345E" w:rsidRDefault="00A90050" w:rsidP="00A90050">
      <w:pPr>
        <w:spacing w:after="0" w:line="360" w:lineRule="auto"/>
        <w:rPr>
          <w:rFonts w:ascii="Arial" w:eastAsia="Arial" w:hAnsi="Arial" w:cs="Arial"/>
        </w:rPr>
      </w:pPr>
    </w:p>
    <w:p w14:paraId="3EA2498F" w14:textId="229DBF9F" w:rsidR="006D2F2D" w:rsidRPr="00F5488E" w:rsidRDefault="006D2F2D" w:rsidP="00411756">
      <w:pPr>
        <w:pStyle w:val="Heading1"/>
        <w:jc w:val="both"/>
        <w:rPr>
          <w:rFonts w:ascii="Arial" w:eastAsia="Arial" w:hAnsi="Arial" w:cs="Arial"/>
          <w:sz w:val="32"/>
          <w:szCs w:val="32"/>
        </w:rPr>
      </w:pPr>
      <w:r w:rsidRPr="00F5488E">
        <w:rPr>
          <w:rFonts w:ascii="Arial" w:hAnsi="Arial" w:cs="Arial"/>
          <w:sz w:val="32"/>
          <w:szCs w:val="32"/>
        </w:rPr>
        <w:t>Reference</w:t>
      </w:r>
      <w:r w:rsidR="001D345E" w:rsidRPr="00F5488E">
        <w:rPr>
          <w:rFonts w:ascii="Arial" w:hAnsi="Arial" w:cs="Arial"/>
          <w:sz w:val="32"/>
          <w:szCs w:val="32"/>
        </w:rPr>
        <w:t>s</w:t>
      </w:r>
    </w:p>
    <w:p w14:paraId="6E536239" w14:textId="048345F1" w:rsidR="006D2F2D" w:rsidRPr="001D345E" w:rsidRDefault="2DAEAA25" w:rsidP="00411756">
      <w:pPr>
        <w:spacing w:after="0" w:line="360" w:lineRule="auto"/>
        <w:jc w:val="both"/>
        <w:rPr>
          <w:rFonts w:ascii="Arial" w:eastAsia="Arial" w:hAnsi="Arial" w:cs="Arial"/>
        </w:rPr>
      </w:pPr>
      <w:r w:rsidRPr="22893647">
        <w:rPr>
          <w:rFonts w:ascii="Arial" w:eastAsia="Arial" w:hAnsi="Arial" w:cs="Arial"/>
        </w:rPr>
        <w:t xml:space="preserve"> </w:t>
      </w:r>
    </w:p>
    <w:p w14:paraId="68E18C68" w14:textId="34FDD8EE" w:rsidR="006D2F2D" w:rsidRPr="001D345E" w:rsidRDefault="2DAEAA25" w:rsidP="00411756">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 xml:space="preserve">Beauchamp, T. </w:t>
      </w:r>
      <w:r w:rsidR="183EEA3B" w:rsidRPr="22893647">
        <w:rPr>
          <w:rFonts w:ascii="Arial" w:eastAsia="Arial" w:hAnsi="Arial" w:cs="Arial"/>
        </w:rPr>
        <w:t>and</w:t>
      </w:r>
      <w:r w:rsidRPr="22893647">
        <w:rPr>
          <w:rFonts w:ascii="Arial" w:eastAsia="Arial" w:hAnsi="Arial" w:cs="Arial"/>
        </w:rPr>
        <w:t xml:space="preserve"> Childress, J. (2019)</w:t>
      </w:r>
      <w:r w:rsidR="2550EA59" w:rsidRPr="22893647">
        <w:rPr>
          <w:rFonts w:ascii="Arial" w:eastAsia="Arial" w:hAnsi="Arial" w:cs="Arial"/>
        </w:rPr>
        <w:t>.</w:t>
      </w:r>
      <w:r w:rsidRPr="22893647">
        <w:rPr>
          <w:rFonts w:ascii="Arial" w:eastAsia="Arial" w:hAnsi="Arial" w:cs="Arial"/>
        </w:rPr>
        <w:t xml:space="preserve"> </w:t>
      </w:r>
      <w:r w:rsidRPr="0060653E">
        <w:rPr>
          <w:rFonts w:ascii="Arial" w:eastAsia="Arial" w:hAnsi="Arial" w:cs="Arial"/>
          <w:i/>
          <w:iCs/>
        </w:rPr>
        <w:t>Principles of Biomedical Ethics</w:t>
      </w:r>
      <w:r w:rsidRPr="22893647">
        <w:rPr>
          <w:rFonts w:ascii="Arial" w:eastAsia="Arial" w:hAnsi="Arial" w:cs="Arial"/>
        </w:rPr>
        <w:t>. Oxford University Press.</w:t>
      </w:r>
    </w:p>
    <w:p w14:paraId="29B818EC" w14:textId="3B603A62" w:rsidR="000A5AA7" w:rsidRPr="000A5AA7" w:rsidRDefault="2DAEAA25" w:rsidP="000A5AA7">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 xml:space="preserve">Care Act (2014) Care Act 2014. Available at: </w:t>
      </w:r>
      <w:hyperlink r:id="rId12">
        <w:r w:rsidRPr="22893647">
          <w:rPr>
            <w:rStyle w:val="Hyperlink"/>
            <w:rFonts w:ascii="Arial" w:eastAsia="Arial" w:hAnsi="Arial" w:cs="Arial"/>
          </w:rPr>
          <w:t>https://www.legislation.gov.uk/ukpga/2014/23/contents</w:t>
        </w:r>
      </w:hyperlink>
      <w:r w:rsidR="45A08A09" w:rsidRPr="22893647">
        <w:rPr>
          <w:rFonts w:ascii="Arial" w:eastAsia="Arial" w:hAnsi="Arial" w:cs="Arial"/>
        </w:rPr>
        <w:t xml:space="preserve"> </w:t>
      </w:r>
    </w:p>
    <w:p w14:paraId="51D90BF8" w14:textId="7DEB15CF" w:rsidR="000A5AA7" w:rsidRPr="001D345E" w:rsidRDefault="000A5AA7" w:rsidP="000A5AA7">
      <w:pPr>
        <w:pStyle w:val="ListParagraph"/>
        <w:numPr>
          <w:ilvl w:val="0"/>
          <w:numId w:val="6"/>
        </w:numPr>
        <w:spacing w:after="0" w:line="360" w:lineRule="auto"/>
        <w:jc w:val="both"/>
        <w:rPr>
          <w:rFonts w:ascii="Arial" w:eastAsia="Arial" w:hAnsi="Arial" w:cs="Arial"/>
        </w:rPr>
      </w:pPr>
      <w:r w:rsidRPr="000A5AA7">
        <w:rPr>
          <w:rFonts w:ascii="Arial" w:eastAsia="Arial" w:hAnsi="Arial" w:cs="Arial"/>
        </w:rPr>
        <w:t xml:space="preserve"> Corbett, T.K. </w:t>
      </w:r>
      <w:r w:rsidRPr="005B0E35">
        <w:rPr>
          <w:rFonts w:ascii="Arial" w:eastAsia="Arial" w:hAnsi="Arial" w:cs="Arial"/>
          <w:i/>
          <w:iCs/>
        </w:rPr>
        <w:t>et al.</w:t>
      </w:r>
      <w:r w:rsidRPr="000A5AA7">
        <w:rPr>
          <w:rFonts w:ascii="Arial" w:eastAsia="Arial" w:hAnsi="Arial" w:cs="Arial"/>
        </w:rPr>
        <w:t xml:space="preserve"> (2020) ‘Planning and optimising CHAT&amp;PLAN</w:t>
      </w:r>
      <w:r w:rsidRPr="000815C6">
        <w:rPr>
          <w:rFonts w:ascii="Arial" w:eastAsia="Arial" w:hAnsi="Arial" w:cs="Arial"/>
          <w:i/>
          <w:iCs/>
        </w:rPr>
        <w:t>:</w:t>
      </w:r>
      <w:r w:rsidRPr="003866BA">
        <w:rPr>
          <w:rFonts w:ascii="Arial" w:eastAsia="Arial" w:hAnsi="Arial" w:cs="Arial"/>
        </w:rPr>
        <w:t xml:space="preserve"> A conversation-based intervention to promote person-centred care for older people living with multimorbidity’,</w:t>
      </w:r>
      <w:r w:rsidRPr="000A5AA7">
        <w:rPr>
          <w:rFonts w:ascii="Arial" w:eastAsia="Arial" w:hAnsi="Arial" w:cs="Arial"/>
        </w:rPr>
        <w:t xml:space="preserve"> </w:t>
      </w:r>
      <w:r w:rsidRPr="007A2A42">
        <w:rPr>
          <w:rFonts w:ascii="Arial" w:eastAsia="Arial" w:hAnsi="Arial" w:cs="Arial"/>
          <w:i/>
          <w:iCs/>
        </w:rPr>
        <w:t>PloS one</w:t>
      </w:r>
      <w:r w:rsidRPr="000A5AA7">
        <w:rPr>
          <w:rFonts w:ascii="Arial" w:eastAsia="Arial" w:hAnsi="Arial" w:cs="Arial"/>
        </w:rPr>
        <w:t xml:space="preserve">, 15(10), p. e0240516. Available at: </w:t>
      </w:r>
      <w:hyperlink r:id="rId13" w:history="1">
        <w:r w:rsidRPr="00D43DD6">
          <w:rPr>
            <w:rStyle w:val="Hyperlink"/>
            <w:rFonts w:ascii="Arial" w:eastAsia="Arial" w:hAnsi="Arial" w:cs="Arial"/>
          </w:rPr>
          <w:t>https://doi.org/10.1371/journal.pone.0240516</w:t>
        </w:r>
      </w:hyperlink>
      <w:r w:rsidRPr="000A5AA7">
        <w:rPr>
          <w:rFonts w:ascii="Arial" w:eastAsia="Arial" w:hAnsi="Arial" w:cs="Arial"/>
        </w:rPr>
        <w:t>.</w:t>
      </w:r>
      <w:r>
        <w:rPr>
          <w:rFonts w:ascii="Arial" w:eastAsia="Arial" w:hAnsi="Arial" w:cs="Arial"/>
        </w:rPr>
        <w:t xml:space="preserve"> </w:t>
      </w:r>
    </w:p>
    <w:p w14:paraId="7AEB1D5E" w14:textId="24F1931E" w:rsidR="006D2F2D" w:rsidRPr="001D345E" w:rsidRDefault="2DAEAA25" w:rsidP="00411756">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Gibbs, G. (1988) Learning by Doing. Oxford: Oxford Polytechnic.</w:t>
      </w:r>
    </w:p>
    <w:p w14:paraId="74F8152B" w14:textId="78669AE7" w:rsidR="006D2F2D" w:rsidRPr="001D345E" w:rsidRDefault="2DAEAA25" w:rsidP="00411756">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 xml:space="preserve">Health and Care Act (2022) </w:t>
      </w:r>
      <w:r w:rsidRPr="008C3D30">
        <w:rPr>
          <w:rFonts w:ascii="Arial" w:eastAsia="Arial" w:hAnsi="Arial" w:cs="Arial"/>
          <w:i/>
          <w:iCs/>
        </w:rPr>
        <w:t>Health and Care Act 2022</w:t>
      </w:r>
      <w:r w:rsidRPr="22893647">
        <w:rPr>
          <w:rFonts w:ascii="Arial" w:eastAsia="Arial" w:hAnsi="Arial" w:cs="Arial"/>
        </w:rPr>
        <w:t xml:space="preserve">. Available at: </w:t>
      </w:r>
      <w:hyperlink r:id="rId14">
        <w:r w:rsidRPr="22893647">
          <w:rPr>
            <w:rStyle w:val="Hyperlink"/>
            <w:rFonts w:ascii="Arial" w:eastAsia="Arial" w:hAnsi="Arial" w:cs="Arial"/>
          </w:rPr>
          <w:t>https://www.legislation.gov.uk/ukpga/2022/31/contents</w:t>
        </w:r>
      </w:hyperlink>
      <w:r w:rsidR="6D273D8E" w:rsidRPr="22893647">
        <w:rPr>
          <w:rFonts w:ascii="Arial" w:eastAsia="Arial" w:hAnsi="Arial" w:cs="Arial"/>
        </w:rPr>
        <w:t xml:space="preserve"> </w:t>
      </w:r>
    </w:p>
    <w:p w14:paraId="5595D8BA" w14:textId="0FEC0FF7" w:rsidR="005B0E35" w:rsidRPr="005B0E35" w:rsidRDefault="2DAEAA25" w:rsidP="005B0E35">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lastRenderedPageBreak/>
        <w:t xml:space="preserve">Health Research Authority (2021) </w:t>
      </w:r>
      <w:r w:rsidRPr="00266E59">
        <w:rPr>
          <w:rFonts w:ascii="Arial" w:eastAsia="Arial" w:hAnsi="Arial" w:cs="Arial"/>
          <w:i/>
          <w:iCs/>
        </w:rPr>
        <w:t>Mental Capacity Act</w:t>
      </w:r>
      <w:r w:rsidR="00FF4D85" w:rsidRPr="00266E59">
        <w:rPr>
          <w:rFonts w:ascii="Arial" w:eastAsia="Arial" w:hAnsi="Arial" w:cs="Arial"/>
          <w:i/>
          <w:iCs/>
        </w:rPr>
        <w:t>-</w:t>
      </w:r>
      <w:r w:rsidR="00905495" w:rsidRPr="00266E59">
        <w:rPr>
          <w:rFonts w:ascii="Arial" w:eastAsia="Arial" w:hAnsi="Arial" w:cs="Arial"/>
          <w:i/>
          <w:iCs/>
        </w:rPr>
        <w:t>Health Research Authority</w:t>
      </w:r>
      <w:r w:rsidRPr="22893647">
        <w:rPr>
          <w:rFonts w:ascii="Arial" w:eastAsia="Arial" w:hAnsi="Arial" w:cs="Arial"/>
        </w:rPr>
        <w:t xml:space="preserve">. Available at: </w:t>
      </w:r>
      <w:hyperlink r:id="rId15">
        <w:r w:rsidRPr="22893647">
          <w:rPr>
            <w:rStyle w:val="Hyperlink"/>
            <w:rFonts w:ascii="Arial" w:eastAsia="Arial" w:hAnsi="Arial" w:cs="Arial"/>
          </w:rPr>
          <w:t>https://www.hra.nhs.uk/planning-and-improving-research/policies-standards-legislation/mental-capacity-act/</w:t>
        </w:r>
      </w:hyperlink>
      <w:r w:rsidR="1FE5ED93" w:rsidRPr="22893647">
        <w:rPr>
          <w:rFonts w:ascii="Arial" w:eastAsia="Arial" w:hAnsi="Arial" w:cs="Arial"/>
        </w:rPr>
        <w:t xml:space="preserve"> </w:t>
      </w:r>
    </w:p>
    <w:p w14:paraId="132AC411" w14:textId="71165364" w:rsidR="006D2F2D" w:rsidRPr="001D345E" w:rsidRDefault="005B0E35" w:rsidP="005B0E35">
      <w:pPr>
        <w:pStyle w:val="ListParagraph"/>
        <w:numPr>
          <w:ilvl w:val="0"/>
          <w:numId w:val="6"/>
        </w:numPr>
        <w:spacing w:after="0" w:line="360" w:lineRule="auto"/>
        <w:jc w:val="both"/>
        <w:rPr>
          <w:rFonts w:ascii="Arial" w:eastAsia="Arial" w:hAnsi="Arial" w:cs="Arial"/>
        </w:rPr>
      </w:pPr>
      <w:r w:rsidRPr="005B0E35">
        <w:rPr>
          <w:rFonts w:ascii="Arial" w:eastAsia="Arial" w:hAnsi="Arial" w:cs="Arial"/>
        </w:rPr>
        <w:t xml:space="preserve"> Zirar, A. </w:t>
      </w:r>
      <w:r w:rsidRPr="005B0E35">
        <w:rPr>
          <w:rFonts w:ascii="Arial" w:eastAsia="Arial" w:hAnsi="Arial" w:cs="Arial"/>
          <w:i/>
          <w:iCs/>
        </w:rPr>
        <w:t>et al.</w:t>
      </w:r>
      <w:r w:rsidRPr="005B0E35">
        <w:rPr>
          <w:rFonts w:ascii="Arial" w:eastAsia="Arial" w:hAnsi="Arial" w:cs="Arial"/>
        </w:rPr>
        <w:t xml:space="preserve"> (2025) ‘Exploring lean team development from the Tuckman’s model perspective’, </w:t>
      </w:r>
      <w:r w:rsidRPr="00DA3071">
        <w:rPr>
          <w:rFonts w:ascii="Arial" w:eastAsia="Arial" w:hAnsi="Arial" w:cs="Arial"/>
          <w:i/>
          <w:iCs/>
        </w:rPr>
        <w:t>Production planning &amp; control,</w:t>
      </w:r>
      <w:r w:rsidRPr="005B0E35">
        <w:rPr>
          <w:rFonts w:ascii="Arial" w:eastAsia="Arial" w:hAnsi="Arial" w:cs="Arial"/>
        </w:rPr>
        <w:t xml:space="preserve"> 36(4), pp. 442–463. Available at: </w:t>
      </w:r>
      <w:hyperlink r:id="rId16" w:history="1">
        <w:r w:rsidRPr="00D43DD6">
          <w:rPr>
            <w:rStyle w:val="Hyperlink"/>
            <w:rFonts w:ascii="Arial" w:eastAsia="Arial" w:hAnsi="Arial" w:cs="Arial"/>
          </w:rPr>
          <w:t>https://doi.org/10.1080/09537287.2023.2275693</w:t>
        </w:r>
      </w:hyperlink>
      <w:r w:rsidRPr="005B0E35">
        <w:rPr>
          <w:rFonts w:ascii="Arial" w:eastAsia="Arial" w:hAnsi="Arial" w:cs="Arial"/>
        </w:rPr>
        <w:t>.</w:t>
      </w:r>
      <w:r>
        <w:rPr>
          <w:rFonts w:ascii="Arial" w:eastAsia="Arial" w:hAnsi="Arial" w:cs="Arial"/>
        </w:rPr>
        <w:t xml:space="preserve"> </w:t>
      </w:r>
    </w:p>
    <w:p w14:paraId="64D8F86B" w14:textId="641779C7" w:rsidR="006D2F2D" w:rsidRPr="001D345E" w:rsidRDefault="2DAEAA25" w:rsidP="00411756">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 xml:space="preserve">HCPC (2023) Standards of Proficiency. Available at: </w:t>
      </w:r>
      <w:hyperlink r:id="rId17">
        <w:r w:rsidRPr="22893647">
          <w:rPr>
            <w:rStyle w:val="Hyperlink"/>
            <w:rFonts w:ascii="Arial" w:eastAsia="Arial" w:hAnsi="Arial" w:cs="Arial"/>
          </w:rPr>
          <w:t>https://www.hcpc-uk.org/standards/standards-of-proficiency/</w:t>
        </w:r>
      </w:hyperlink>
      <w:r w:rsidR="08D6FBA1" w:rsidRPr="22893647">
        <w:rPr>
          <w:rFonts w:ascii="Arial" w:eastAsia="Arial" w:hAnsi="Arial" w:cs="Arial"/>
        </w:rPr>
        <w:t xml:space="preserve"> </w:t>
      </w:r>
    </w:p>
    <w:p w14:paraId="403C9D52" w14:textId="4B0EFAA1" w:rsidR="006D2F2D" w:rsidRPr="001D345E" w:rsidRDefault="2DAEAA25" w:rsidP="00411756">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 xml:space="preserve">Local Government Association (2025) </w:t>
      </w:r>
      <w:r w:rsidRPr="00315F1D">
        <w:rPr>
          <w:rFonts w:ascii="Arial" w:eastAsia="Arial" w:hAnsi="Arial" w:cs="Arial"/>
          <w:i/>
          <w:iCs/>
        </w:rPr>
        <w:t>Person-centred care</w:t>
      </w:r>
      <w:r w:rsidRPr="22893647">
        <w:rPr>
          <w:rFonts w:ascii="Arial" w:eastAsia="Arial" w:hAnsi="Arial" w:cs="Arial"/>
        </w:rPr>
        <w:t xml:space="preserve">. Available at: </w:t>
      </w:r>
      <w:hyperlink r:id="rId18">
        <w:r w:rsidRPr="22893647">
          <w:rPr>
            <w:rStyle w:val="Hyperlink"/>
            <w:rFonts w:ascii="Arial" w:eastAsia="Arial" w:hAnsi="Arial" w:cs="Arial"/>
          </w:rPr>
          <w:t>https://www.local.gov.uk/person-centred-care</w:t>
        </w:r>
      </w:hyperlink>
      <w:r w:rsidR="0C1B0A63" w:rsidRPr="22893647">
        <w:rPr>
          <w:rFonts w:ascii="Arial" w:eastAsia="Arial" w:hAnsi="Arial" w:cs="Arial"/>
        </w:rPr>
        <w:t xml:space="preserve"> </w:t>
      </w:r>
    </w:p>
    <w:p w14:paraId="55934A10" w14:textId="68817750" w:rsidR="006D2F2D" w:rsidRPr="001D345E" w:rsidRDefault="2DAEAA25" w:rsidP="00411756">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Maslow, A. (1943) ‘A theory of human motivation’, Psychological Review, 50(4), pp. 370–396.</w:t>
      </w:r>
    </w:p>
    <w:p w14:paraId="5C3EEADE" w14:textId="01D5CD6C" w:rsidR="006D2F2D" w:rsidRPr="001D345E" w:rsidRDefault="2DAEAA25" w:rsidP="00411756">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 xml:space="preserve">Mental Capacity Act (2005) </w:t>
      </w:r>
      <w:r w:rsidRPr="00970F22">
        <w:rPr>
          <w:rFonts w:ascii="Arial" w:eastAsia="Arial" w:hAnsi="Arial" w:cs="Arial"/>
          <w:i/>
          <w:iCs/>
        </w:rPr>
        <w:t>Mental Capacity Act 2005</w:t>
      </w:r>
      <w:r w:rsidRPr="22893647">
        <w:rPr>
          <w:rFonts w:ascii="Arial" w:eastAsia="Arial" w:hAnsi="Arial" w:cs="Arial"/>
        </w:rPr>
        <w:t>. Available at:</w:t>
      </w:r>
      <w:r w:rsidR="11C57D94" w:rsidRPr="22893647">
        <w:rPr>
          <w:rFonts w:ascii="Arial" w:eastAsia="Arial" w:hAnsi="Arial" w:cs="Arial"/>
        </w:rPr>
        <w:t xml:space="preserve"> </w:t>
      </w:r>
      <w:hyperlink r:id="rId19">
        <w:r w:rsidRPr="22893647">
          <w:rPr>
            <w:rStyle w:val="Hyperlink"/>
            <w:rFonts w:ascii="Arial" w:eastAsia="Arial" w:hAnsi="Arial" w:cs="Arial"/>
          </w:rPr>
          <w:t>https://www.legislation.gov.uk/ukpga/2005/9/contents</w:t>
        </w:r>
      </w:hyperlink>
      <w:r w:rsidR="3B9D4D8B" w:rsidRPr="22893647">
        <w:rPr>
          <w:rFonts w:ascii="Arial" w:eastAsia="Arial" w:hAnsi="Arial" w:cs="Arial"/>
        </w:rPr>
        <w:t xml:space="preserve"> </w:t>
      </w:r>
    </w:p>
    <w:p w14:paraId="78FDD252" w14:textId="139BE697" w:rsidR="006D2F2D" w:rsidRPr="001D345E" w:rsidRDefault="2DAEAA25" w:rsidP="00411756">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 xml:space="preserve">NICE (2015) </w:t>
      </w:r>
      <w:r w:rsidRPr="008F2757">
        <w:rPr>
          <w:rFonts w:ascii="Arial" w:eastAsia="Arial" w:hAnsi="Arial" w:cs="Arial"/>
          <w:i/>
          <w:iCs/>
        </w:rPr>
        <w:t>Home care: delivering personal care and practical support to older people living in their own homes (NG21).</w:t>
      </w:r>
      <w:r w:rsidRPr="22893647">
        <w:rPr>
          <w:rFonts w:ascii="Arial" w:eastAsia="Arial" w:hAnsi="Arial" w:cs="Arial"/>
        </w:rPr>
        <w:t xml:space="preserve"> Available at:</w:t>
      </w:r>
      <w:r w:rsidR="146730D6" w:rsidRPr="22893647">
        <w:rPr>
          <w:rFonts w:ascii="Arial" w:eastAsia="Arial" w:hAnsi="Arial" w:cs="Arial"/>
        </w:rPr>
        <w:t xml:space="preserve"> </w:t>
      </w:r>
      <w:hyperlink r:id="rId20">
        <w:r w:rsidRPr="22893647">
          <w:rPr>
            <w:rStyle w:val="Hyperlink"/>
            <w:rFonts w:ascii="Arial" w:eastAsia="Arial" w:hAnsi="Arial" w:cs="Arial"/>
          </w:rPr>
          <w:t>https://www.nice.org.uk/guidance/ng21</w:t>
        </w:r>
      </w:hyperlink>
      <w:r w:rsidRPr="22893647">
        <w:rPr>
          <w:rFonts w:ascii="Arial" w:eastAsia="Arial" w:hAnsi="Arial" w:cs="Arial"/>
        </w:rPr>
        <w:t xml:space="preserve"> </w:t>
      </w:r>
    </w:p>
    <w:p w14:paraId="16C6438F" w14:textId="34A0881A" w:rsidR="00FF7C9D" w:rsidRPr="00FF7C9D" w:rsidRDefault="2DAEAA25" w:rsidP="00FF7C9D">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NMC (2018) The Code: Professional standards of practice and behaviour for nurses, midwives and nursing associates. Available at:</w:t>
      </w:r>
      <w:r w:rsidR="09261085" w:rsidRPr="22893647">
        <w:rPr>
          <w:rFonts w:ascii="Arial" w:eastAsia="Arial" w:hAnsi="Arial" w:cs="Arial"/>
        </w:rPr>
        <w:t xml:space="preserve"> </w:t>
      </w:r>
      <w:hyperlink r:id="rId21">
        <w:r w:rsidRPr="22893647">
          <w:rPr>
            <w:rStyle w:val="Hyperlink"/>
            <w:rFonts w:ascii="Arial" w:eastAsia="Arial" w:hAnsi="Arial" w:cs="Arial"/>
          </w:rPr>
          <w:t>https://www.nmc.org.uk/standards/code/</w:t>
        </w:r>
      </w:hyperlink>
      <w:r w:rsidRPr="22893647">
        <w:rPr>
          <w:rFonts w:ascii="Arial" w:eastAsia="Arial" w:hAnsi="Arial" w:cs="Arial"/>
        </w:rPr>
        <w:t xml:space="preserve"> </w:t>
      </w:r>
    </w:p>
    <w:p w14:paraId="5630FFFE" w14:textId="37CF51A9" w:rsidR="00FF7C9D" w:rsidRPr="001D345E" w:rsidRDefault="00FF7C9D" w:rsidP="00FF7C9D">
      <w:pPr>
        <w:pStyle w:val="ListParagraph"/>
        <w:numPr>
          <w:ilvl w:val="0"/>
          <w:numId w:val="6"/>
        </w:numPr>
        <w:spacing w:after="0" w:line="360" w:lineRule="auto"/>
        <w:jc w:val="both"/>
        <w:rPr>
          <w:rFonts w:ascii="Arial" w:eastAsia="Arial" w:hAnsi="Arial" w:cs="Arial"/>
        </w:rPr>
      </w:pPr>
      <w:r w:rsidRPr="00FF7C9D">
        <w:rPr>
          <w:rFonts w:ascii="Arial" w:eastAsia="Arial" w:hAnsi="Arial" w:cs="Arial"/>
        </w:rPr>
        <w:t xml:space="preserve">  </w:t>
      </w:r>
      <w:proofErr w:type="spellStart"/>
      <w:r w:rsidRPr="00FF7C9D">
        <w:rPr>
          <w:rFonts w:ascii="Arial" w:eastAsia="Arial" w:hAnsi="Arial" w:cs="Arial"/>
        </w:rPr>
        <w:t>Lipworth</w:t>
      </w:r>
      <w:proofErr w:type="spellEnd"/>
      <w:r w:rsidRPr="00FF7C9D">
        <w:rPr>
          <w:rFonts w:ascii="Arial" w:eastAsia="Arial" w:hAnsi="Arial" w:cs="Arial"/>
        </w:rPr>
        <w:t xml:space="preserve">, W. et al. (2020) ‘A major new alliance in Australian healthcare: the Australian consensus framework for ethical collaboration in the healthcare sector’, </w:t>
      </w:r>
      <w:r w:rsidRPr="00DD2966">
        <w:rPr>
          <w:rFonts w:ascii="Arial" w:eastAsia="Arial" w:hAnsi="Arial" w:cs="Arial"/>
          <w:i/>
          <w:iCs/>
        </w:rPr>
        <w:t>Internal Medicine Journal</w:t>
      </w:r>
      <w:r w:rsidRPr="00FF7C9D">
        <w:rPr>
          <w:rFonts w:ascii="Arial" w:eastAsia="Arial" w:hAnsi="Arial" w:cs="Arial"/>
        </w:rPr>
        <w:t xml:space="preserve">, 50(6), pp. 679–684. Available at: </w:t>
      </w:r>
      <w:hyperlink r:id="rId22" w:history="1">
        <w:r w:rsidRPr="00D43DD6">
          <w:rPr>
            <w:rStyle w:val="Hyperlink"/>
            <w:rFonts w:ascii="Arial" w:eastAsia="Arial" w:hAnsi="Arial" w:cs="Arial"/>
          </w:rPr>
          <w:t>https://doi.org/10.1111/imj.14861</w:t>
        </w:r>
      </w:hyperlink>
      <w:r w:rsidRPr="00FF7C9D">
        <w:rPr>
          <w:rFonts w:ascii="Arial" w:eastAsia="Arial" w:hAnsi="Arial" w:cs="Arial"/>
        </w:rPr>
        <w:t>.</w:t>
      </w:r>
      <w:r>
        <w:rPr>
          <w:rFonts w:ascii="Arial" w:eastAsia="Arial" w:hAnsi="Arial" w:cs="Arial"/>
        </w:rPr>
        <w:t xml:space="preserve"> </w:t>
      </w:r>
    </w:p>
    <w:p w14:paraId="1E243764" w14:textId="21D789C2" w:rsidR="006D2F2D" w:rsidRPr="001D345E" w:rsidRDefault="2DAEAA25" w:rsidP="00411756">
      <w:pPr>
        <w:pStyle w:val="ListParagraph"/>
        <w:numPr>
          <w:ilvl w:val="0"/>
          <w:numId w:val="6"/>
        </w:numPr>
        <w:spacing w:after="0" w:line="360" w:lineRule="auto"/>
        <w:jc w:val="both"/>
        <w:rPr>
          <w:rFonts w:ascii="Arial" w:eastAsia="Arial" w:hAnsi="Arial" w:cs="Arial"/>
        </w:rPr>
      </w:pPr>
      <w:r w:rsidRPr="22893647">
        <w:rPr>
          <w:rFonts w:ascii="Arial" w:eastAsia="Arial" w:hAnsi="Arial" w:cs="Arial"/>
        </w:rPr>
        <w:t xml:space="preserve">SCIE (2022) </w:t>
      </w:r>
      <w:r w:rsidRPr="00DD2966">
        <w:rPr>
          <w:rFonts w:ascii="Arial" w:eastAsia="Arial" w:hAnsi="Arial" w:cs="Arial"/>
          <w:i/>
          <w:iCs/>
        </w:rPr>
        <w:t>Mental Capacity Act 2005</w:t>
      </w:r>
      <w:r w:rsidR="3A471961" w:rsidRPr="22893647">
        <w:rPr>
          <w:rFonts w:ascii="Arial" w:eastAsia="Arial" w:hAnsi="Arial" w:cs="Arial"/>
        </w:rPr>
        <w:t>.</w:t>
      </w:r>
      <w:r w:rsidRPr="22893647">
        <w:rPr>
          <w:rFonts w:ascii="Arial" w:eastAsia="Arial" w:hAnsi="Arial" w:cs="Arial"/>
        </w:rPr>
        <w:t xml:space="preserve"> Available at: </w:t>
      </w:r>
      <w:hyperlink r:id="rId23">
        <w:r w:rsidRPr="22893647">
          <w:rPr>
            <w:rStyle w:val="Hyperlink"/>
            <w:rFonts w:ascii="Arial" w:eastAsia="Arial" w:hAnsi="Arial" w:cs="Arial"/>
          </w:rPr>
          <w:t>https://www.scie.org.uk/mca/introduction/mental-capacity-act-2005-at-a-glance</w:t>
        </w:r>
      </w:hyperlink>
    </w:p>
    <w:sectPr w:rsidR="006D2F2D" w:rsidRPr="001D345E">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DFA812" w14:textId="77777777" w:rsidR="000A23F1" w:rsidRDefault="000A23F1" w:rsidP="00B21FE6">
      <w:pPr>
        <w:spacing w:after="0" w:line="240" w:lineRule="auto"/>
      </w:pPr>
      <w:r>
        <w:separator/>
      </w:r>
    </w:p>
  </w:endnote>
  <w:endnote w:type="continuationSeparator" w:id="0">
    <w:p w14:paraId="6D949F50" w14:textId="77777777" w:rsidR="000A23F1" w:rsidRDefault="000A23F1"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1A30D" w14:textId="77777777" w:rsidR="000A23F1" w:rsidRDefault="000A23F1" w:rsidP="00B21FE6">
      <w:pPr>
        <w:spacing w:after="0" w:line="240" w:lineRule="auto"/>
      </w:pPr>
      <w:r>
        <w:separator/>
      </w:r>
    </w:p>
  </w:footnote>
  <w:footnote w:type="continuationSeparator" w:id="0">
    <w:p w14:paraId="37036937" w14:textId="77777777" w:rsidR="000A23F1" w:rsidRDefault="000A23F1" w:rsidP="00B21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6748889"/>
      <w:docPartObj>
        <w:docPartGallery w:val="Page Numbers (Top of Page)"/>
        <w:docPartUnique/>
      </w:docPartObj>
    </w:sdtPr>
    <w:sdtEndPr>
      <w:rPr>
        <w:color w:val="7F7F7F" w:themeColor="background1" w:themeShade="7F"/>
        <w:spacing w:val="60"/>
      </w:rPr>
    </w:sdtEndPr>
    <w:sdtContent>
      <w:p w14:paraId="5E32E7CB" w14:textId="36C4EB40" w:rsidR="00CA47DC" w:rsidRDefault="00CA47DC">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4CB7EEF" w14:textId="77777777" w:rsidR="00CA47DC" w:rsidRDefault="00CA4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C4C085"/>
    <w:multiLevelType w:val="hybridMultilevel"/>
    <w:tmpl w:val="59F20F46"/>
    <w:lvl w:ilvl="0" w:tplc="57EC93BC">
      <w:start w:val="1"/>
      <w:numFmt w:val="decimal"/>
      <w:lvlText w:val="%1."/>
      <w:lvlJc w:val="left"/>
      <w:pPr>
        <w:ind w:left="720" w:hanging="360"/>
      </w:pPr>
    </w:lvl>
    <w:lvl w:ilvl="1" w:tplc="0AA841C2">
      <w:start w:val="1"/>
      <w:numFmt w:val="lowerLetter"/>
      <w:lvlText w:val="%2."/>
      <w:lvlJc w:val="left"/>
      <w:pPr>
        <w:ind w:left="1440" w:hanging="360"/>
      </w:pPr>
    </w:lvl>
    <w:lvl w:ilvl="2" w:tplc="3312AAC8">
      <w:start w:val="1"/>
      <w:numFmt w:val="lowerRoman"/>
      <w:lvlText w:val="%3."/>
      <w:lvlJc w:val="right"/>
      <w:pPr>
        <w:ind w:left="2160" w:hanging="180"/>
      </w:pPr>
    </w:lvl>
    <w:lvl w:ilvl="3" w:tplc="34A4E18C">
      <w:start w:val="1"/>
      <w:numFmt w:val="decimal"/>
      <w:lvlText w:val="%4."/>
      <w:lvlJc w:val="left"/>
      <w:pPr>
        <w:ind w:left="2880" w:hanging="360"/>
      </w:pPr>
    </w:lvl>
    <w:lvl w:ilvl="4" w:tplc="75F484C8">
      <w:start w:val="1"/>
      <w:numFmt w:val="lowerLetter"/>
      <w:lvlText w:val="%5."/>
      <w:lvlJc w:val="left"/>
      <w:pPr>
        <w:ind w:left="3600" w:hanging="360"/>
      </w:pPr>
    </w:lvl>
    <w:lvl w:ilvl="5" w:tplc="765659A2">
      <w:start w:val="1"/>
      <w:numFmt w:val="lowerRoman"/>
      <w:lvlText w:val="%6."/>
      <w:lvlJc w:val="right"/>
      <w:pPr>
        <w:ind w:left="4320" w:hanging="180"/>
      </w:pPr>
    </w:lvl>
    <w:lvl w:ilvl="6" w:tplc="24B8039A">
      <w:start w:val="1"/>
      <w:numFmt w:val="decimal"/>
      <w:lvlText w:val="%7."/>
      <w:lvlJc w:val="left"/>
      <w:pPr>
        <w:ind w:left="5040" w:hanging="360"/>
      </w:pPr>
    </w:lvl>
    <w:lvl w:ilvl="7" w:tplc="94BC9792">
      <w:start w:val="1"/>
      <w:numFmt w:val="lowerLetter"/>
      <w:lvlText w:val="%8."/>
      <w:lvlJc w:val="left"/>
      <w:pPr>
        <w:ind w:left="5760" w:hanging="360"/>
      </w:pPr>
    </w:lvl>
    <w:lvl w:ilvl="8" w:tplc="2C3679E8">
      <w:start w:val="1"/>
      <w:numFmt w:val="lowerRoman"/>
      <w:lvlText w:val="%9."/>
      <w:lvlJc w:val="right"/>
      <w:pPr>
        <w:ind w:left="6480" w:hanging="180"/>
      </w:p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3182F6C8"/>
    <w:multiLevelType w:val="hybridMultilevel"/>
    <w:tmpl w:val="847610E4"/>
    <w:lvl w:ilvl="0" w:tplc="5ABAEDE0">
      <w:start w:val="1"/>
      <w:numFmt w:val="bullet"/>
      <w:lvlText w:val=""/>
      <w:lvlJc w:val="left"/>
      <w:pPr>
        <w:ind w:left="720" w:hanging="360"/>
      </w:pPr>
      <w:rPr>
        <w:rFonts w:ascii="Symbol" w:hAnsi="Symbol" w:hint="default"/>
      </w:rPr>
    </w:lvl>
    <w:lvl w:ilvl="1" w:tplc="6AD4ADB6">
      <w:start w:val="1"/>
      <w:numFmt w:val="bullet"/>
      <w:lvlText w:val="o"/>
      <w:lvlJc w:val="left"/>
      <w:pPr>
        <w:ind w:left="1440" w:hanging="360"/>
      </w:pPr>
      <w:rPr>
        <w:rFonts w:ascii="Courier New" w:hAnsi="Courier New" w:hint="default"/>
      </w:rPr>
    </w:lvl>
    <w:lvl w:ilvl="2" w:tplc="8E442DCC">
      <w:start w:val="1"/>
      <w:numFmt w:val="bullet"/>
      <w:lvlText w:val=""/>
      <w:lvlJc w:val="left"/>
      <w:pPr>
        <w:ind w:left="2160" w:hanging="360"/>
      </w:pPr>
      <w:rPr>
        <w:rFonts w:ascii="Wingdings" w:hAnsi="Wingdings" w:hint="default"/>
      </w:rPr>
    </w:lvl>
    <w:lvl w:ilvl="3" w:tplc="67A0ECB4">
      <w:start w:val="1"/>
      <w:numFmt w:val="bullet"/>
      <w:lvlText w:val=""/>
      <w:lvlJc w:val="left"/>
      <w:pPr>
        <w:ind w:left="2880" w:hanging="360"/>
      </w:pPr>
      <w:rPr>
        <w:rFonts w:ascii="Symbol" w:hAnsi="Symbol" w:hint="default"/>
      </w:rPr>
    </w:lvl>
    <w:lvl w:ilvl="4" w:tplc="7272E90C">
      <w:start w:val="1"/>
      <w:numFmt w:val="bullet"/>
      <w:lvlText w:val="o"/>
      <w:lvlJc w:val="left"/>
      <w:pPr>
        <w:ind w:left="3600" w:hanging="360"/>
      </w:pPr>
      <w:rPr>
        <w:rFonts w:ascii="Courier New" w:hAnsi="Courier New" w:hint="default"/>
      </w:rPr>
    </w:lvl>
    <w:lvl w:ilvl="5" w:tplc="2CA40EB2">
      <w:start w:val="1"/>
      <w:numFmt w:val="bullet"/>
      <w:lvlText w:val=""/>
      <w:lvlJc w:val="left"/>
      <w:pPr>
        <w:ind w:left="4320" w:hanging="360"/>
      </w:pPr>
      <w:rPr>
        <w:rFonts w:ascii="Wingdings" w:hAnsi="Wingdings" w:hint="default"/>
      </w:rPr>
    </w:lvl>
    <w:lvl w:ilvl="6" w:tplc="233E84BA">
      <w:start w:val="1"/>
      <w:numFmt w:val="bullet"/>
      <w:lvlText w:val=""/>
      <w:lvlJc w:val="left"/>
      <w:pPr>
        <w:ind w:left="5040" w:hanging="360"/>
      </w:pPr>
      <w:rPr>
        <w:rFonts w:ascii="Symbol" w:hAnsi="Symbol" w:hint="default"/>
      </w:rPr>
    </w:lvl>
    <w:lvl w:ilvl="7" w:tplc="44804DAA">
      <w:start w:val="1"/>
      <w:numFmt w:val="bullet"/>
      <w:lvlText w:val="o"/>
      <w:lvlJc w:val="left"/>
      <w:pPr>
        <w:ind w:left="5760" w:hanging="360"/>
      </w:pPr>
      <w:rPr>
        <w:rFonts w:ascii="Courier New" w:hAnsi="Courier New" w:hint="default"/>
      </w:rPr>
    </w:lvl>
    <w:lvl w:ilvl="8" w:tplc="D3005FDE">
      <w:start w:val="1"/>
      <w:numFmt w:val="bullet"/>
      <w:lvlText w:val=""/>
      <w:lvlJc w:val="left"/>
      <w:pPr>
        <w:ind w:left="6480" w:hanging="360"/>
      </w:pPr>
      <w:rPr>
        <w:rFonts w:ascii="Wingdings" w:hAnsi="Wingdings" w:hint="default"/>
      </w:rPr>
    </w:lvl>
  </w:abstractNum>
  <w:abstractNum w:abstractNumId="6" w15:restartNumberingAfterBreak="0">
    <w:nsid w:val="461A4E2F"/>
    <w:multiLevelType w:val="hybridMultilevel"/>
    <w:tmpl w:val="A454D9F8"/>
    <w:lvl w:ilvl="0" w:tplc="AA0402AE">
      <w:start w:val="1"/>
      <w:numFmt w:val="bullet"/>
      <w:lvlText w:val=""/>
      <w:lvlJc w:val="left"/>
      <w:pPr>
        <w:ind w:left="720" w:hanging="360"/>
      </w:pPr>
      <w:rPr>
        <w:rFonts w:ascii="Symbol" w:hAnsi="Symbol" w:hint="default"/>
      </w:rPr>
    </w:lvl>
    <w:lvl w:ilvl="1" w:tplc="3DA436D8">
      <w:start w:val="1"/>
      <w:numFmt w:val="bullet"/>
      <w:lvlText w:val="o"/>
      <w:lvlJc w:val="left"/>
      <w:pPr>
        <w:ind w:left="1440" w:hanging="360"/>
      </w:pPr>
      <w:rPr>
        <w:rFonts w:ascii="Courier New" w:hAnsi="Courier New" w:hint="default"/>
      </w:rPr>
    </w:lvl>
    <w:lvl w:ilvl="2" w:tplc="530E9268">
      <w:start w:val="1"/>
      <w:numFmt w:val="bullet"/>
      <w:lvlText w:val=""/>
      <w:lvlJc w:val="left"/>
      <w:pPr>
        <w:ind w:left="2160" w:hanging="360"/>
      </w:pPr>
      <w:rPr>
        <w:rFonts w:ascii="Wingdings" w:hAnsi="Wingdings" w:hint="default"/>
      </w:rPr>
    </w:lvl>
    <w:lvl w:ilvl="3" w:tplc="20D6F6BC">
      <w:start w:val="1"/>
      <w:numFmt w:val="bullet"/>
      <w:lvlText w:val=""/>
      <w:lvlJc w:val="left"/>
      <w:pPr>
        <w:ind w:left="2880" w:hanging="360"/>
      </w:pPr>
      <w:rPr>
        <w:rFonts w:ascii="Symbol" w:hAnsi="Symbol" w:hint="default"/>
      </w:rPr>
    </w:lvl>
    <w:lvl w:ilvl="4" w:tplc="0E5AEE2A">
      <w:start w:val="1"/>
      <w:numFmt w:val="bullet"/>
      <w:lvlText w:val="o"/>
      <w:lvlJc w:val="left"/>
      <w:pPr>
        <w:ind w:left="3600" w:hanging="360"/>
      </w:pPr>
      <w:rPr>
        <w:rFonts w:ascii="Courier New" w:hAnsi="Courier New" w:hint="default"/>
      </w:rPr>
    </w:lvl>
    <w:lvl w:ilvl="5" w:tplc="5A6A1368">
      <w:start w:val="1"/>
      <w:numFmt w:val="bullet"/>
      <w:lvlText w:val=""/>
      <w:lvlJc w:val="left"/>
      <w:pPr>
        <w:ind w:left="4320" w:hanging="360"/>
      </w:pPr>
      <w:rPr>
        <w:rFonts w:ascii="Wingdings" w:hAnsi="Wingdings" w:hint="default"/>
      </w:rPr>
    </w:lvl>
    <w:lvl w:ilvl="6" w:tplc="E90E4642">
      <w:start w:val="1"/>
      <w:numFmt w:val="bullet"/>
      <w:lvlText w:val=""/>
      <w:lvlJc w:val="left"/>
      <w:pPr>
        <w:ind w:left="5040" w:hanging="360"/>
      </w:pPr>
      <w:rPr>
        <w:rFonts w:ascii="Symbol" w:hAnsi="Symbol" w:hint="default"/>
      </w:rPr>
    </w:lvl>
    <w:lvl w:ilvl="7" w:tplc="C88632A6">
      <w:start w:val="1"/>
      <w:numFmt w:val="bullet"/>
      <w:lvlText w:val="o"/>
      <w:lvlJc w:val="left"/>
      <w:pPr>
        <w:ind w:left="5760" w:hanging="360"/>
      </w:pPr>
      <w:rPr>
        <w:rFonts w:ascii="Courier New" w:hAnsi="Courier New" w:hint="default"/>
      </w:rPr>
    </w:lvl>
    <w:lvl w:ilvl="8" w:tplc="9BC09186">
      <w:start w:val="1"/>
      <w:numFmt w:val="bullet"/>
      <w:lvlText w:val=""/>
      <w:lvlJc w:val="left"/>
      <w:pPr>
        <w:ind w:left="6480" w:hanging="360"/>
      </w:pPr>
      <w:rPr>
        <w:rFonts w:ascii="Wingdings" w:hAnsi="Wingdings" w:hint="default"/>
      </w:rPr>
    </w:lvl>
  </w:abstractNum>
  <w:abstractNum w:abstractNumId="7" w15:restartNumberingAfterBreak="0">
    <w:nsid w:val="48B0FB65"/>
    <w:multiLevelType w:val="hybridMultilevel"/>
    <w:tmpl w:val="D4F07DCC"/>
    <w:lvl w:ilvl="0" w:tplc="9FDC3A06">
      <w:start w:val="1"/>
      <w:numFmt w:val="bullet"/>
      <w:lvlText w:val=""/>
      <w:lvlJc w:val="left"/>
      <w:pPr>
        <w:ind w:left="720" w:hanging="360"/>
      </w:pPr>
      <w:rPr>
        <w:rFonts w:ascii="Symbol" w:hAnsi="Symbol" w:hint="default"/>
      </w:rPr>
    </w:lvl>
    <w:lvl w:ilvl="1" w:tplc="6D7EE9B0">
      <w:start w:val="1"/>
      <w:numFmt w:val="bullet"/>
      <w:lvlText w:val="o"/>
      <w:lvlJc w:val="left"/>
      <w:pPr>
        <w:ind w:left="1440" w:hanging="360"/>
      </w:pPr>
      <w:rPr>
        <w:rFonts w:ascii="Courier New" w:hAnsi="Courier New" w:hint="default"/>
      </w:rPr>
    </w:lvl>
    <w:lvl w:ilvl="2" w:tplc="95B00E2A">
      <w:start w:val="1"/>
      <w:numFmt w:val="bullet"/>
      <w:lvlText w:val=""/>
      <w:lvlJc w:val="left"/>
      <w:pPr>
        <w:ind w:left="2160" w:hanging="360"/>
      </w:pPr>
      <w:rPr>
        <w:rFonts w:ascii="Wingdings" w:hAnsi="Wingdings" w:hint="default"/>
      </w:rPr>
    </w:lvl>
    <w:lvl w:ilvl="3" w:tplc="C1ECF278">
      <w:start w:val="1"/>
      <w:numFmt w:val="bullet"/>
      <w:lvlText w:val=""/>
      <w:lvlJc w:val="left"/>
      <w:pPr>
        <w:ind w:left="2880" w:hanging="360"/>
      </w:pPr>
      <w:rPr>
        <w:rFonts w:ascii="Symbol" w:hAnsi="Symbol" w:hint="default"/>
      </w:rPr>
    </w:lvl>
    <w:lvl w:ilvl="4" w:tplc="6B645CDE">
      <w:start w:val="1"/>
      <w:numFmt w:val="bullet"/>
      <w:lvlText w:val="o"/>
      <w:lvlJc w:val="left"/>
      <w:pPr>
        <w:ind w:left="3600" w:hanging="360"/>
      </w:pPr>
      <w:rPr>
        <w:rFonts w:ascii="Courier New" w:hAnsi="Courier New" w:hint="default"/>
      </w:rPr>
    </w:lvl>
    <w:lvl w:ilvl="5" w:tplc="2CC28408">
      <w:start w:val="1"/>
      <w:numFmt w:val="bullet"/>
      <w:lvlText w:val=""/>
      <w:lvlJc w:val="left"/>
      <w:pPr>
        <w:ind w:left="4320" w:hanging="360"/>
      </w:pPr>
      <w:rPr>
        <w:rFonts w:ascii="Wingdings" w:hAnsi="Wingdings" w:hint="default"/>
      </w:rPr>
    </w:lvl>
    <w:lvl w:ilvl="6" w:tplc="B67C27C0">
      <w:start w:val="1"/>
      <w:numFmt w:val="bullet"/>
      <w:lvlText w:val=""/>
      <w:lvlJc w:val="left"/>
      <w:pPr>
        <w:ind w:left="5040" w:hanging="360"/>
      </w:pPr>
      <w:rPr>
        <w:rFonts w:ascii="Symbol" w:hAnsi="Symbol" w:hint="default"/>
      </w:rPr>
    </w:lvl>
    <w:lvl w:ilvl="7" w:tplc="60CA7ADC">
      <w:start w:val="1"/>
      <w:numFmt w:val="bullet"/>
      <w:lvlText w:val="o"/>
      <w:lvlJc w:val="left"/>
      <w:pPr>
        <w:ind w:left="5760" w:hanging="360"/>
      </w:pPr>
      <w:rPr>
        <w:rFonts w:ascii="Courier New" w:hAnsi="Courier New" w:hint="default"/>
      </w:rPr>
    </w:lvl>
    <w:lvl w:ilvl="8" w:tplc="D0A02FA6">
      <w:start w:val="1"/>
      <w:numFmt w:val="bullet"/>
      <w:lvlText w:val=""/>
      <w:lvlJc w:val="left"/>
      <w:pPr>
        <w:ind w:left="6480" w:hanging="360"/>
      </w:pPr>
      <w:rPr>
        <w:rFonts w:ascii="Wingdings" w:hAnsi="Wingdings" w:hint="default"/>
      </w:rPr>
    </w:lvl>
  </w:abstractNum>
  <w:abstractNum w:abstractNumId="8"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9F3E31"/>
    <w:multiLevelType w:val="hybridMultilevel"/>
    <w:tmpl w:val="49B63F70"/>
    <w:lvl w:ilvl="0" w:tplc="04B85026">
      <w:start w:val="1"/>
      <w:numFmt w:val="bullet"/>
      <w:lvlText w:val=""/>
      <w:lvlJc w:val="left"/>
      <w:pPr>
        <w:ind w:left="720" w:hanging="360"/>
      </w:pPr>
      <w:rPr>
        <w:rFonts w:ascii="Symbol" w:hAnsi="Symbol" w:hint="default"/>
      </w:rPr>
    </w:lvl>
    <w:lvl w:ilvl="1" w:tplc="4EA6C5C6">
      <w:start w:val="1"/>
      <w:numFmt w:val="bullet"/>
      <w:lvlText w:val="o"/>
      <w:lvlJc w:val="left"/>
      <w:pPr>
        <w:ind w:left="1440" w:hanging="360"/>
      </w:pPr>
      <w:rPr>
        <w:rFonts w:ascii="Courier New" w:hAnsi="Courier New" w:hint="default"/>
      </w:rPr>
    </w:lvl>
    <w:lvl w:ilvl="2" w:tplc="ED1AADDC">
      <w:start w:val="1"/>
      <w:numFmt w:val="bullet"/>
      <w:lvlText w:val=""/>
      <w:lvlJc w:val="left"/>
      <w:pPr>
        <w:ind w:left="2160" w:hanging="360"/>
      </w:pPr>
      <w:rPr>
        <w:rFonts w:ascii="Wingdings" w:hAnsi="Wingdings" w:hint="default"/>
      </w:rPr>
    </w:lvl>
    <w:lvl w:ilvl="3" w:tplc="3D44A3F8">
      <w:start w:val="1"/>
      <w:numFmt w:val="bullet"/>
      <w:lvlText w:val=""/>
      <w:lvlJc w:val="left"/>
      <w:pPr>
        <w:ind w:left="2880" w:hanging="360"/>
      </w:pPr>
      <w:rPr>
        <w:rFonts w:ascii="Symbol" w:hAnsi="Symbol" w:hint="default"/>
      </w:rPr>
    </w:lvl>
    <w:lvl w:ilvl="4" w:tplc="0FEC3EB2">
      <w:start w:val="1"/>
      <w:numFmt w:val="bullet"/>
      <w:lvlText w:val="o"/>
      <w:lvlJc w:val="left"/>
      <w:pPr>
        <w:ind w:left="3600" w:hanging="360"/>
      </w:pPr>
      <w:rPr>
        <w:rFonts w:ascii="Courier New" w:hAnsi="Courier New" w:hint="default"/>
      </w:rPr>
    </w:lvl>
    <w:lvl w:ilvl="5" w:tplc="7FD44C56">
      <w:start w:val="1"/>
      <w:numFmt w:val="bullet"/>
      <w:lvlText w:val=""/>
      <w:lvlJc w:val="left"/>
      <w:pPr>
        <w:ind w:left="4320" w:hanging="360"/>
      </w:pPr>
      <w:rPr>
        <w:rFonts w:ascii="Wingdings" w:hAnsi="Wingdings" w:hint="default"/>
      </w:rPr>
    </w:lvl>
    <w:lvl w:ilvl="6" w:tplc="FD10DC12">
      <w:start w:val="1"/>
      <w:numFmt w:val="bullet"/>
      <w:lvlText w:val=""/>
      <w:lvlJc w:val="left"/>
      <w:pPr>
        <w:ind w:left="5040" w:hanging="360"/>
      </w:pPr>
      <w:rPr>
        <w:rFonts w:ascii="Symbol" w:hAnsi="Symbol" w:hint="default"/>
      </w:rPr>
    </w:lvl>
    <w:lvl w:ilvl="7" w:tplc="35B27836">
      <w:start w:val="1"/>
      <w:numFmt w:val="bullet"/>
      <w:lvlText w:val="o"/>
      <w:lvlJc w:val="left"/>
      <w:pPr>
        <w:ind w:left="5760" w:hanging="360"/>
      </w:pPr>
      <w:rPr>
        <w:rFonts w:ascii="Courier New" w:hAnsi="Courier New" w:hint="default"/>
      </w:rPr>
    </w:lvl>
    <w:lvl w:ilvl="8" w:tplc="1966C750">
      <w:start w:val="1"/>
      <w:numFmt w:val="bullet"/>
      <w:lvlText w:val=""/>
      <w:lvlJc w:val="left"/>
      <w:pPr>
        <w:ind w:left="6480" w:hanging="360"/>
      </w:pPr>
      <w:rPr>
        <w:rFonts w:ascii="Wingdings" w:hAnsi="Wingdings" w:hint="default"/>
      </w:rPr>
    </w:lvl>
  </w:abstractNum>
  <w:num w:numId="1" w16cid:durableId="2066105348">
    <w:abstractNumId w:val="8"/>
  </w:num>
  <w:num w:numId="2" w16cid:durableId="201140407">
    <w:abstractNumId w:val="1"/>
  </w:num>
  <w:num w:numId="3" w16cid:durableId="490028398">
    <w:abstractNumId w:val="0"/>
  </w:num>
  <w:num w:numId="4" w16cid:durableId="350911784">
    <w:abstractNumId w:val="2"/>
  </w:num>
  <w:num w:numId="5" w16cid:durableId="917598757">
    <w:abstractNumId w:val="4"/>
  </w:num>
  <w:num w:numId="6" w16cid:durableId="1294749726">
    <w:abstractNumId w:val="3"/>
  </w:num>
  <w:num w:numId="7" w16cid:durableId="1101342964">
    <w:abstractNumId w:val="6"/>
  </w:num>
  <w:num w:numId="8" w16cid:durableId="1600523844">
    <w:abstractNumId w:val="7"/>
  </w:num>
  <w:num w:numId="9" w16cid:durableId="322398207">
    <w:abstractNumId w:val="5"/>
  </w:num>
  <w:num w:numId="10" w16cid:durableId="12150483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6512F"/>
    <w:rsid w:val="000815C6"/>
    <w:rsid w:val="000A23F1"/>
    <w:rsid w:val="000A5AA7"/>
    <w:rsid w:val="001333C2"/>
    <w:rsid w:val="001649AB"/>
    <w:rsid w:val="001D345E"/>
    <w:rsid w:val="00200DEB"/>
    <w:rsid w:val="00220640"/>
    <w:rsid w:val="00262637"/>
    <w:rsid w:val="0026442A"/>
    <w:rsid w:val="00266E59"/>
    <w:rsid w:val="002D39BD"/>
    <w:rsid w:val="002E706D"/>
    <w:rsid w:val="00315F1D"/>
    <w:rsid w:val="00317E3D"/>
    <w:rsid w:val="00350D4F"/>
    <w:rsid w:val="003866BA"/>
    <w:rsid w:val="003A2649"/>
    <w:rsid w:val="003A7B2D"/>
    <w:rsid w:val="003C0A16"/>
    <w:rsid w:val="00401678"/>
    <w:rsid w:val="00411756"/>
    <w:rsid w:val="0042637B"/>
    <w:rsid w:val="00427293"/>
    <w:rsid w:val="004F1D55"/>
    <w:rsid w:val="004F5B88"/>
    <w:rsid w:val="00551E02"/>
    <w:rsid w:val="00570242"/>
    <w:rsid w:val="0058218C"/>
    <w:rsid w:val="00594FAC"/>
    <w:rsid w:val="005B0773"/>
    <w:rsid w:val="005B0E35"/>
    <w:rsid w:val="005C5A76"/>
    <w:rsid w:val="005D0AB2"/>
    <w:rsid w:val="005E602B"/>
    <w:rsid w:val="0060653E"/>
    <w:rsid w:val="00610A5B"/>
    <w:rsid w:val="006524ED"/>
    <w:rsid w:val="0067466E"/>
    <w:rsid w:val="00675E25"/>
    <w:rsid w:val="00681C7A"/>
    <w:rsid w:val="006C2748"/>
    <w:rsid w:val="006D2F2D"/>
    <w:rsid w:val="006E1FF9"/>
    <w:rsid w:val="006E38AB"/>
    <w:rsid w:val="00751060"/>
    <w:rsid w:val="0077088D"/>
    <w:rsid w:val="00785886"/>
    <w:rsid w:val="007A2A42"/>
    <w:rsid w:val="007E0C00"/>
    <w:rsid w:val="007E39A9"/>
    <w:rsid w:val="007F3A6A"/>
    <w:rsid w:val="00887FBB"/>
    <w:rsid w:val="008A077C"/>
    <w:rsid w:val="008C3D30"/>
    <w:rsid w:val="008E15C2"/>
    <w:rsid w:val="008F2757"/>
    <w:rsid w:val="008F6D4B"/>
    <w:rsid w:val="00905495"/>
    <w:rsid w:val="00925E84"/>
    <w:rsid w:val="00962402"/>
    <w:rsid w:val="00970F22"/>
    <w:rsid w:val="009746CB"/>
    <w:rsid w:val="00994D35"/>
    <w:rsid w:val="009E5C5F"/>
    <w:rsid w:val="00A11336"/>
    <w:rsid w:val="00A32A19"/>
    <w:rsid w:val="00A578C9"/>
    <w:rsid w:val="00A90050"/>
    <w:rsid w:val="00AE7DDA"/>
    <w:rsid w:val="00B21FE6"/>
    <w:rsid w:val="00B2569B"/>
    <w:rsid w:val="00BB7E6D"/>
    <w:rsid w:val="00BC79FE"/>
    <w:rsid w:val="00C23334"/>
    <w:rsid w:val="00C558B0"/>
    <w:rsid w:val="00C8351F"/>
    <w:rsid w:val="00CA47DC"/>
    <w:rsid w:val="00CC4BE7"/>
    <w:rsid w:val="00D00A38"/>
    <w:rsid w:val="00D077F4"/>
    <w:rsid w:val="00D477BC"/>
    <w:rsid w:val="00D545BA"/>
    <w:rsid w:val="00D66C96"/>
    <w:rsid w:val="00DA3071"/>
    <w:rsid w:val="00DD2966"/>
    <w:rsid w:val="00E35D2B"/>
    <w:rsid w:val="00E81204"/>
    <w:rsid w:val="00E91CA8"/>
    <w:rsid w:val="00EB59B8"/>
    <w:rsid w:val="00F5488E"/>
    <w:rsid w:val="00F81510"/>
    <w:rsid w:val="00FA6248"/>
    <w:rsid w:val="00FC1D82"/>
    <w:rsid w:val="00FF4D85"/>
    <w:rsid w:val="00FF7C9D"/>
    <w:rsid w:val="03F38A3F"/>
    <w:rsid w:val="0464EA59"/>
    <w:rsid w:val="0483F3D7"/>
    <w:rsid w:val="08D6FBA1"/>
    <w:rsid w:val="09261085"/>
    <w:rsid w:val="0C1B0A63"/>
    <w:rsid w:val="11640124"/>
    <w:rsid w:val="11C57D94"/>
    <w:rsid w:val="12890D53"/>
    <w:rsid w:val="146730D6"/>
    <w:rsid w:val="175A9C9D"/>
    <w:rsid w:val="180B175E"/>
    <w:rsid w:val="182B1E5F"/>
    <w:rsid w:val="183EEA3B"/>
    <w:rsid w:val="19C4B80B"/>
    <w:rsid w:val="1E151623"/>
    <w:rsid w:val="1EEB489C"/>
    <w:rsid w:val="1FE5ED93"/>
    <w:rsid w:val="225C3F9F"/>
    <w:rsid w:val="22893647"/>
    <w:rsid w:val="24E5D9C8"/>
    <w:rsid w:val="2550EA59"/>
    <w:rsid w:val="2667983D"/>
    <w:rsid w:val="26A2B187"/>
    <w:rsid w:val="280E13DC"/>
    <w:rsid w:val="28E24D74"/>
    <w:rsid w:val="29F30615"/>
    <w:rsid w:val="29F9D368"/>
    <w:rsid w:val="2DAEAA25"/>
    <w:rsid w:val="36BA46FA"/>
    <w:rsid w:val="3A471961"/>
    <w:rsid w:val="3B9D4D8B"/>
    <w:rsid w:val="3FE82095"/>
    <w:rsid w:val="400889B7"/>
    <w:rsid w:val="42F42209"/>
    <w:rsid w:val="45A08A09"/>
    <w:rsid w:val="48D36053"/>
    <w:rsid w:val="4CB0BB6F"/>
    <w:rsid w:val="4DCC389F"/>
    <w:rsid w:val="509D6106"/>
    <w:rsid w:val="535AAE63"/>
    <w:rsid w:val="574016BA"/>
    <w:rsid w:val="5915BA00"/>
    <w:rsid w:val="60F5695F"/>
    <w:rsid w:val="646A0160"/>
    <w:rsid w:val="6887A2CD"/>
    <w:rsid w:val="6A7CB63A"/>
    <w:rsid w:val="6B9AC440"/>
    <w:rsid w:val="6D273D8E"/>
    <w:rsid w:val="6FE61D94"/>
    <w:rsid w:val="741B1D6D"/>
    <w:rsid w:val="7570222D"/>
    <w:rsid w:val="7A607B98"/>
    <w:rsid w:val="7C0D1D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F7AB11"/>
  <w15:chartTrackingRefBased/>
  <w15:docId w15:val="{0B8338DF-44AB-44DE-AC42-D2984CE7A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9A9"/>
  </w:style>
  <w:style w:type="paragraph" w:styleId="Heading1">
    <w:name w:val="heading 1"/>
    <w:basedOn w:val="Normal"/>
    <w:next w:val="Normal"/>
    <w:link w:val="Heading1Char"/>
    <w:uiPriority w:val="9"/>
    <w:qFormat/>
    <w:rsid w:val="007E39A9"/>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7E39A9"/>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7E39A9"/>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7E39A9"/>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7E39A9"/>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7E39A9"/>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7E39A9"/>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7E39A9"/>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7E39A9"/>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7E39A9"/>
    <w:rPr>
      <w:rFonts w:asciiTheme="majorHAnsi" w:eastAsiaTheme="majorEastAsia" w:hAnsiTheme="majorHAnsi" w:cstheme="majorBidi"/>
      <w:caps/>
      <w:sz w:val="36"/>
      <w:szCs w:val="36"/>
    </w:rPr>
  </w:style>
  <w:style w:type="character" w:styleId="Hyperlink">
    <w:name w:val="Hyperlink"/>
    <w:basedOn w:val="DefaultParagraphFont"/>
    <w:uiPriority w:val="99"/>
    <w:unhideWhenUsed/>
    <w:rsid w:val="008A077C"/>
    <w:rPr>
      <w:color w:val="0563C1"/>
      <w:u w:val="single"/>
    </w:rPr>
  </w:style>
  <w:style w:type="table" w:styleId="TableGrid">
    <w:name w:val="Table Grid"/>
    <w:basedOn w:val="TableNormal"/>
    <w:uiPriority w:val="59"/>
    <w:rsid w:val="008A077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semiHidden/>
    <w:rsid w:val="007E39A9"/>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7E39A9"/>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7E39A9"/>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7E39A9"/>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7E39A9"/>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7E39A9"/>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7E39A9"/>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7E39A9"/>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7E39A9"/>
    <w:pPr>
      <w:spacing w:line="240" w:lineRule="auto"/>
    </w:pPr>
    <w:rPr>
      <w:b/>
      <w:bCs/>
      <w:smallCaps/>
      <w:color w:val="595959" w:themeColor="text1" w:themeTint="A6"/>
    </w:rPr>
  </w:style>
  <w:style w:type="paragraph" w:styleId="Title">
    <w:name w:val="Title"/>
    <w:basedOn w:val="Normal"/>
    <w:next w:val="Normal"/>
    <w:link w:val="TitleChar"/>
    <w:uiPriority w:val="10"/>
    <w:qFormat/>
    <w:rsid w:val="007E39A9"/>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7E39A9"/>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7E39A9"/>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7E39A9"/>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7E39A9"/>
    <w:rPr>
      <w:b/>
      <w:bCs/>
    </w:rPr>
  </w:style>
  <w:style w:type="character" w:styleId="Emphasis">
    <w:name w:val="Emphasis"/>
    <w:basedOn w:val="DefaultParagraphFont"/>
    <w:uiPriority w:val="20"/>
    <w:qFormat/>
    <w:rsid w:val="007E39A9"/>
    <w:rPr>
      <w:i/>
      <w:iCs/>
    </w:rPr>
  </w:style>
  <w:style w:type="paragraph" w:styleId="NoSpacing">
    <w:name w:val="No Spacing"/>
    <w:uiPriority w:val="1"/>
    <w:qFormat/>
    <w:rsid w:val="007E39A9"/>
    <w:pPr>
      <w:spacing w:after="0" w:line="240" w:lineRule="auto"/>
    </w:pPr>
  </w:style>
  <w:style w:type="paragraph" w:styleId="Quote">
    <w:name w:val="Quote"/>
    <w:basedOn w:val="Normal"/>
    <w:next w:val="Normal"/>
    <w:link w:val="QuoteChar"/>
    <w:uiPriority w:val="29"/>
    <w:qFormat/>
    <w:rsid w:val="007E39A9"/>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7E39A9"/>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7E39A9"/>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7E39A9"/>
    <w:rPr>
      <w:color w:val="404040" w:themeColor="text1" w:themeTint="BF"/>
      <w:sz w:val="32"/>
      <w:szCs w:val="32"/>
    </w:rPr>
  </w:style>
  <w:style w:type="character" w:styleId="SubtleEmphasis">
    <w:name w:val="Subtle Emphasis"/>
    <w:basedOn w:val="DefaultParagraphFont"/>
    <w:uiPriority w:val="19"/>
    <w:qFormat/>
    <w:rsid w:val="007E39A9"/>
    <w:rPr>
      <w:i/>
      <w:iCs/>
      <w:color w:val="595959" w:themeColor="text1" w:themeTint="A6"/>
    </w:rPr>
  </w:style>
  <w:style w:type="character" w:styleId="IntenseEmphasis">
    <w:name w:val="Intense Emphasis"/>
    <w:basedOn w:val="DefaultParagraphFont"/>
    <w:uiPriority w:val="21"/>
    <w:qFormat/>
    <w:rsid w:val="007E39A9"/>
    <w:rPr>
      <w:b/>
      <w:bCs/>
      <w:i/>
      <w:iCs/>
    </w:rPr>
  </w:style>
  <w:style w:type="character" w:styleId="SubtleReference">
    <w:name w:val="Subtle Reference"/>
    <w:basedOn w:val="DefaultParagraphFont"/>
    <w:uiPriority w:val="31"/>
    <w:qFormat/>
    <w:rsid w:val="007E39A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E39A9"/>
    <w:rPr>
      <w:b/>
      <w:bCs/>
      <w:caps w:val="0"/>
      <w:smallCaps/>
      <w:color w:val="auto"/>
      <w:spacing w:val="3"/>
      <w:u w:val="single"/>
    </w:rPr>
  </w:style>
  <w:style w:type="character" w:styleId="BookTitle">
    <w:name w:val="Book Title"/>
    <w:basedOn w:val="DefaultParagraphFont"/>
    <w:uiPriority w:val="33"/>
    <w:qFormat/>
    <w:rsid w:val="007E39A9"/>
    <w:rPr>
      <w:b/>
      <w:bCs/>
      <w:smallCaps/>
      <w:spacing w:val="7"/>
    </w:rPr>
  </w:style>
  <w:style w:type="paragraph" w:styleId="TOCHeading">
    <w:name w:val="TOC Heading"/>
    <w:basedOn w:val="Heading1"/>
    <w:next w:val="Normal"/>
    <w:uiPriority w:val="39"/>
    <w:semiHidden/>
    <w:unhideWhenUsed/>
    <w:qFormat/>
    <w:rsid w:val="007E39A9"/>
    <w:pPr>
      <w:outlineLvl w:val="9"/>
    </w:pPr>
  </w:style>
  <w:style w:type="character" w:styleId="UnresolvedMention">
    <w:name w:val="Unresolved Mention"/>
    <w:basedOn w:val="DefaultParagraphFont"/>
    <w:uiPriority w:val="99"/>
    <w:semiHidden/>
    <w:unhideWhenUsed/>
    <w:rsid w:val="00FF7C9D"/>
    <w:rPr>
      <w:color w:val="605E5C"/>
      <w:shd w:val="clear" w:color="auto" w:fill="E1DFDD"/>
    </w:rPr>
  </w:style>
  <w:style w:type="character" w:styleId="FollowedHyperlink">
    <w:name w:val="FollowedHyperlink"/>
    <w:basedOn w:val="DefaultParagraphFont"/>
    <w:uiPriority w:val="99"/>
    <w:semiHidden/>
    <w:unhideWhenUsed/>
    <w:rsid w:val="000815C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371/journal.pone.0240516" TargetMode="External"/><Relationship Id="rId18" Type="http://schemas.openxmlformats.org/officeDocument/2006/relationships/hyperlink" Target="https://www.local.gov.uk/person-centred-car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mc.org.uk/standards/code/" TargetMode="External"/><Relationship Id="rId7" Type="http://schemas.openxmlformats.org/officeDocument/2006/relationships/webSettings" Target="webSettings.xml"/><Relationship Id="rId12" Type="http://schemas.openxmlformats.org/officeDocument/2006/relationships/hyperlink" Target="https://www.legislation.gov.uk/ukpga/2014/23/contents" TargetMode="External"/><Relationship Id="rId17" Type="http://schemas.openxmlformats.org/officeDocument/2006/relationships/hyperlink" Target="https://www.hcpc-uk.org/standards/standards-of-proficienc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80/09537287.2023.2275693" TargetMode="External"/><Relationship Id="rId20" Type="http://schemas.openxmlformats.org/officeDocument/2006/relationships/hyperlink" Target="https://www.nice.org.uk/guidance/ng2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hra.nhs.uk/planning-and-improving-research/policies-standards-legislation/mental-capacity-act/" TargetMode="External"/><Relationship Id="rId23" Type="http://schemas.openxmlformats.org/officeDocument/2006/relationships/hyperlink" Target="https://www.scie.org.uk/mca/introduction/mental-capacity-act-2005-at-a-glance" TargetMode="External"/><Relationship Id="rId10" Type="http://schemas.openxmlformats.org/officeDocument/2006/relationships/image" Target="media/image1.png"/><Relationship Id="rId19" Type="http://schemas.openxmlformats.org/officeDocument/2006/relationships/hyperlink" Target="https://www.legislation.gov.uk/ukpga/2005/9/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22/31/contents" TargetMode="External"/><Relationship Id="rId22" Type="http://schemas.openxmlformats.org/officeDocument/2006/relationships/hyperlink" Target="https://doi.org/10.1111/imj.148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6ed1538-4377-4da7-81fa-9a477e54b5f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A1FE35B1768D46869F924A69EE2DC8" ma:contentTypeVersion="6" ma:contentTypeDescription="Create a new document." ma:contentTypeScope="" ma:versionID="6b773515a142e40e19bc460a274d6c89">
  <xsd:schema xmlns:xsd="http://www.w3.org/2001/XMLSchema" xmlns:xs="http://www.w3.org/2001/XMLSchema" xmlns:p="http://schemas.microsoft.com/office/2006/metadata/properties" xmlns:ns3="16ed1538-4377-4da7-81fa-9a477e54b5f1" targetNamespace="http://schemas.microsoft.com/office/2006/metadata/properties" ma:root="true" ma:fieldsID="286532c487be9b9fa0edd8b3de5993b4" ns3:_="">
    <xsd:import namespace="16ed1538-4377-4da7-81fa-9a477e54b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ed1538-4377-4da7-81fa-9a477e54b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6D3481-6470-410D-91E5-B3F779BF78B1}">
  <ds:schemaRefs>
    <ds:schemaRef ds:uri="http://schemas.microsoft.com/office/2006/metadata/properties"/>
    <ds:schemaRef ds:uri="http://schemas.microsoft.com/office/infopath/2007/PartnerControls"/>
    <ds:schemaRef ds:uri="16ed1538-4377-4da7-81fa-9a477e54b5f1"/>
  </ds:schemaRefs>
</ds:datastoreItem>
</file>

<file path=customXml/itemProps2.xml><?xml version="1.0" encoding="utf-8"?>
<ds:datastoreItem xmlns:ds="http://schemas.openxmlformats.org/officeDocument/2006/customXml" ds:itemID="{8BFAFB63-F82C-4A76-9FB1-23D8A9F825EF}">
  <ds:schemaRefs>
    <ds:schemaRef ds:uri="http://schemas.microsoft.com/sharepoint/v3/contenttype/forms"/>
  </ds:schemaRefs>
</ds:datastoreItem>
</file>

<file path=customXml/itemProps3.xml><?xml version="1.0" encoding="utf-8"?>
<ds:datastoreItem xmlns:ds="http://schemas.openxmlformats.org/officeDocument/2006/customXml" ds:itemID="{C943191C-79DD-4DA5-915B-744690997B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ed1538-4377-4da7-81fa-9a477e54b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2252</Words>
  <Characters>15022</Characters>
  <Application>Microsoft Office Word</Application>
  <DocSecurity>0</DocSecurity>
  <Lines>349</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Mihaela Marcela Bakos (2325464)</cp:lastModifiedBy>
  <cp:revision>11</cp:revision>
  <dcterms:created xsi:type="dcterms:W3CDTF">2025-11-19T10:02:00Z</dcterms:created>
  <dcterms:modified xsi:type="dcterms:W3CDTF">2025-11-19T17:57:00Z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a96a583a-402e-4107-88de-139a44fddc77</vt:lpwstr>
  </property>
  <property fmtid="{D5CDD505-2E9C-101B-9397-08002B2CF9AE}" pid="3" name="ContentTypeId">
    <vt:lpwstr>0x010100C8A1FE35B1768D46869F924A69EE2DC8</vt:lpwstr>
  </property>
</Properties>
</file>