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4AE01" w14:textId="77777777" w:rsidR="007F3A24" w:rsidRDefault="007F3A24"/>
    <w:p w14:paraId="24D43634" w14:textId="19B3A478" w:rsidR="007F3A24" w:rsidRPr="00937449" w:rsidRDefault="00937449">
      <w:pPr>
        <w:rPr>
          <w:sz w:val="22"/>
          <w:szCs w:val="22"/>
        </w:rPr>
      </w:pPr>
      <w:r>
        <w:rPr>
          <w:noProof/>
          <w:sz w:val="22"/>
          <w:szCs w:val="22"/>
        </w:rPr>
        <w:drawing>
          <wp:inline distT="0" distB="0" distL="0" distR="0" wp14:anchorId="19614105" wp14:editId="78E58F34">
            <wp:extent cx="2597150" cy="914400"/>
            <wp:effectExtent l="0" t="0" r="0" b="0"/>
            <wp:docPr id="760491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7150" cy="914400"/>
                    </a:xfrm>
                    <a:prstGeom prst="rect">
                      <a:avLst/>
                    </a:prstGeom>
                    <a:noFill/>
                  </pic:spPr>
                </pic:pic>
              </a:graphicData>
            </a:graphic>
          </wp:inline>
        </w:drawing>
      </w:r>
    </w:p>
    <w:p w14:paraId="7C303A8F" w14:textId="77777777" w:rsidR="007F3A24" w:rsidRPr="00937449" w:rsidRDefault="007F3A24">
      <w:pPr>
        <w:rPr>
          <w:sz w:val="22"/>
          <w:szCs w:val="22"/>
        </w:rPr>
      </w:pPr>
    </w:p>
    <w:p w14:paraId="61437FB3" w14:textId="77777777" w:rsidR="007F3A24" w:rsidRPr="00937449" w:rsidRDefault="007F3A24" w:rsidP="002A675B">
      <w:pPr>
        <w:spacing w:line="276" w:lineRule="auto"/>
        <w:jc w:val="both"/>
        <w:rPr>
          <w:sz w:val="22"/>
          <w:szCs w:val="22"/>
        </w:rPr>
      </w:pPr>
    </w:p>
    <w:p w14:paraId="7586EAB0" w14:textId="77777777" w:rsidR="007F3A24" w:rsidRPr="00937449" w:rsidRDefault="005B0D0B" w:rsidP="002A675B">
      <w:pPr>
        <w:spacing w:after="120" w:line="276" w:lineRule="auto"/>
        <w:jc w:val="both"/>
        <w:rPr>
          <w:b/>
          <w:bCs/>
          <w:color w:val="000000" w:themeColor="text1"/>
          <w:sz w:val="22"/>
          <w:szCs w:val="22"/>
        </w:rPr>
      </w:pPr>
      <w:r w:rsidRPr="00937449">
        <w:rPr>
          <w:b/>
          <w:bCs/>
          <w:color w:val="000000" w:themeColor="text1"/>
          <w:sz w:val="22"/>
          <w:szCs w:val="22"/>
        </w:rPr>
        <w:t>Health, Wellbeing and Sustainable Development</w:t>
      </w:r>
    </w:p>
    <w:p w14:paraId="12FE7CEC" w14:textId="77777777" w:rsidR="00937449" w:rsidRPr="00937449" w:rsidRDefault="00937449" w:rsidP="002A675B">
      <w:pPr>
        <w:spacing w:after="120" w:line="276" w:lineRule="auto"/>
        <w:jc w:val="both"/>
        <w:rPr>
          <w:sz w:val="22"/>
          <w:szCs w:val="22"/>
        </w:rPr>
      </w:pPr>
    </w:p>
    <w:p w14:paraId="53E65B05" w14:textId="77777777" w:rsidR="007F3A24" w:rsidRPr="00937449" w:rsidRDefault="005B0D0B" w:rsidP="002A675B">
      <w:pPr>
        <w:spacing w:after="120" w:line="276" w:lineRule="auto"/>
        <w:jc w:val="both"/>
        <w:rPr>
          <w:color w:val="000000" w:themeColor="text1"/>
          <w:sz w:val="22"/>
          <w:szCs w:val="22"/>
        </w:rPr>
      </w:pPr>
      <w:r w:rsidRPr="00937449">
        <w:rPr>
          <w:color w:val="000000" w:themeColor="text1"/>
          <w:sz w:val="22"/>
          <w:szCs w:val="22"/>
        </w:rPr>
        <w:t>A Critical Report on SDG 3, SDG 1 and Health Initiatives in England and Wales</w:t>
      </w:r>
    </w:p>
    <w:p w14:paraId="473EBD09" w14:textId="77777777" w:rsidR="007F3A24" w:rsidRPr="00937449" w:rsidRDefault="007F3A24" w:rsidP="002A675B">
      <w:pPr>
        <w:spacing w:line="276" w:lineRule="auto"/>
        <w:jc w:val="both"/>
        <w:rPr>
          <w:sz w:val="22"/>
          <w:szCs w:val="22"/>
        </w:rPr>
      </w:pPr>
    </w:p>
    <w:p w14:paraId="4CE6E387" w14:textId="77777777" w:rsidR="007F3A24" w:rsidRPr="00937449" w:rsidRDefault="007F3A24" w:rsidP="002A675B">
      <w:pPr>
        <w:spacing w:line="276" w:lineRule="auto"/>
        <w:jc w:val="both"/>
        <w:rPr>
          <w:sz w:val="22"/>
          <w:szCs w:val="22"/>
        </w:rPr>
      </w:pPr>
    </w:p>
    <w:p w14:paraId="50B3830A" w14:textId="77777777" w:rsidR="007F3A24" w:rsidRPr="00937449" w:rsidRDefault="005B0D0B" w:rsidP="002A675B">
      <w:pPr>
        <w:spacing w:after="80" w:line="276" w:lineRule="auto"/>
        <w:jc w:val="both"/>
        <w:rPr>
          <w:sz w:val="22"/>
          <w:szCs w:val="22"/>
        </w:rPr>
      </w:pPr>
      <w:r w:rsidRPr="00937449">
        <w:rPr>
          <w:sz w:val="22"/>
          <w:szCs w:val="22"/>
        </w:rPr>
        <w:t>Module: BMHP6020 | Health, Wellbeing and Sustainable Development</w:t>
      </w:r>
    </w:p>
    <w:p w14:paraId="343C6C39" w14:textId="15B232DA" w:rsidR="007F3A24" w:rsidRDefault="005B0D0B" w:rsidP="002A675B">
      <w:pPr>
        <w:spacing w:after="80" w:line="276" w:lineRule="auto"/>
        <w:jc w:val="both"/>
        <w:rPr>
          <w:sz w:val="22"/>
          <w:szCs w:val="22"/>
        </w:rPr>
      </w:pPr>
      <w:r w:rsidRPr="00937449">
        <w:rPr>
          <w:sz w:val="22"/>
          <w:szCs w:val="22"/>
        </w:rPr>
        <w:t>University of Wales Trinity Saint David</w:t>
      </w:r>
      <w:r w:rsidR="00937449">
        <w:rPr>
          <w:sz w:val="22"/>
          <w:szCs w:val="22"/>
        </w:rPr>
        <w:t xml:space="preserve"> </w:t>
      </w:r>
      <w:r w:rsidRPr="00937449">
        <w:rPr>
          <w:sz w:val="22"/>
          <w:szCs w:val="22"/>
        </w:rPr>
        <w:t>2026</w:t>
      </w:r>
    </w:p>
    <w:p w14:paraId="5F2484BC" w14:textId="77777777" w:rsidR="00937449" w:rsidRDefault="00937449" w:rsidP="002A675B">
      <w:pPr>
        <w:spacing w:after="80" w:line="276" w:lineRule="auto"/>
        <w:jc w:val="both"/>
        <w:rPr>
          <w:sz w:val="22"/>
          <w:szCs w:val="22"/>
        </w:rPr>
      </w:pPr>
    </w:p>
    <w:p w14:paraId="5A13FF6B" w14:textId="77777777" w:rsidR="00937449" w:rsidRPr="00937449" w:rsidRDefault="00937449" w:rsidP="00937449">
      <w:pPr>
        <w:spacing w:after="80" w:line="276" w:lineRule="auto"/>
        <w:jc w:val="both"/>
        <w:rPr>
          <w:sz w:val="22"/>
          <w:szCs w:val="22"/>
        </w:rPr>
      </w:pPr>
      <w:r w:rsidRPr="00937449">
        <w:rPr>
          <w:sz w:val="22"/>
          <w:szCs w:val="22"/>
        </w:rPr>
        <w:t>Name: Christiana Joseph</w:t>
      </w:r>
    </w:p>
    <w:p w14:paraId="4C3A83D6" w14:textId="77777777" w:rsidR="00937449" w:rsidRPr="00937449" w:rsidRDefault="00937449" w:rsidP="00937449">
      <w:pPr>
        <w:spacing w:after="80" w:line="276" w:lineRule="auto"/>
        <w:jc w:val="both"/>
        <w:rPr>
          <w:sz w:val="22"/>
          <w:szCs w:val="22"/>
        </w:rPr>
      </w:pPr>
      <w:r w:rsidRPr="00937449">
        <w:rPr>
          <w:sz w:val="22"/>
          <w:szCs w:val="22"/>
        </w:rPr>
        <w:t>Student Number: 2315420</w:t>
      </w:r>
    </w:p>
    <w:p w14:paraId="7BE08C05" w14:textId="77777777" w:rsidR="00937449" w:rsidRPr="00937449" w:rsidRDefault="00937449" w:rsidP="00937449">
      <w:pPr>
        <w:spacing w:after="80" w:line="276" w:lineRule="auto"/>
        <w:jc w:val="both"/>
        <w:rPr>
          <w:sz w:val="22"/>
          <w:szCs w:val="22"/>
        </w:rPr>
      </w:pPr>
      <w:r w:rsidRPr="00937449">
        <w:rPr>
          <w:sz w:val="22"/>
          <w:szCs w:val="22"/>
        </w:rPr>
        <w:t xml:space="preserve">Lecturer: Dr </w:t>
      </w:r>
      <w:proofErr w:type="spellStart"/>
      <w:r w:rsidRPr="00937449">
        <w:rPr>
          <w:sz w:val="22"/>
          <w:szCs w:val="22"/>
        </w:rPr>
        <w:t>Itse</w:t>
      </w:r>
      <w:proofErr w:type="spellEnd"/>
      <w:r w:rsidRPr="00937449">
        <w:rPr>
          <w:sz w:val="22"/>
          <w:szCs w:val="22"/>
        </w:rPr>
        <w:t xml:space="preserve"> Olaoye</w:t>
      </w:r>
    </w:p>
    <w:p w14:paraId="70688F81" w14:textId="77777777" w:rsidR="00937449" w:rsidRPr="00937449" w:rsidRDefault="00937449" w:rsidP="00937449">
      <w:pPr>
        <w:spacing w:after="80" w:line="276" w:lineRule="auto"/>
        <w:jc w:val="both"/>
        <w:rPr>
          <w:sz w:val="22"/>
          <w:szCs w:val="22"/>
        </w:rPr>
      </w:pPr>
    </w:p>
    <w:p w14:paraId="0D108F17" w14:textId="60A38004" w:rsidR="007F3A24" w:rsidRPr="00937449" w:rsidRDefault="004C09EA" w:rsidP="002A675B">
      <w:pPr>
        <w:spacing w:line="276" w:lineRule="auto"/>
        <w:jc w:val="both"/>
        <w:rPr>
          <w:sz w:val="22"/>
          <w:szCs w:val="22"/>
        </w:rPr>
      </w:pPr>
      <w:r w:rsidRPr="004C09EA">
        <w:rPr>
          <w:sz w:val="22"/>
          <w:szCs w:val="22"/>
        </w:rPr>
        <w:t>I confirm that I did not use any AI tools to research, write, or complete this assignment. All the work submitted is my own. I have kept my drafts, notes, and references and can provide them if requested.</w:t>
      </w:r>
    </w:p>
    <w:p w14:paraId="4F4E2AAA" w14:textId="77777777" w:rsidR="007F3A24" w:rsidRPr="00937449" w:rsidRDefault="007F3A24" w:rsidP="002A675B">
      <w:pPr>
        <w:spacing w:line="276" w:lineRule="auto"/>
        <w:jc w:val="both"/>
        <w:rPr>
          <w:sz w:val="22"/>
          <w:szCs w:val="22"/>
        </w:rPr>
      </w:pPr>
    </w:p>
    <w:p w14:paraId="04C79646" w14:textId="77777777" w:rsidR="007F3A24" w:rsidRPr="00937449" w:rsidRDefault="007F3A24" w:rsidP="002A675B">
      <w:pPr>
        <w:spacing w:line="276" w:lineRule="auto"/>
        <w:jc w:val="both"/>
        <w:rPr>
          <w:sz w:val="22"/>
          <w:szCs w:val="22"/>
        </w:rPr>
      </w:pPr>
    </w:p>
    <w:p w14:paraId="77DCBF16" w14:textId="77777777" w:rsidR="007F3A24" w:rsidRPr="00937449" w:rsidRDefault="007F3A24" w:rsidP="002A675B">
      <w:pPr>
        <w:spacing w:line="276" w:lineRule="auto"/>
        <w:jc w:val="both"/>
        <w:rPr>
          <w:sz w:val="22"/>
          <w:szCs w:val="22"/>
        </w:rPr>
      </w:pPr>
    </w:p>
    <w:p w14:paraId="6A9BB004" w14:textId="77777777" w:rsidR="007F3A24" w:rsidRPr="00937449" w:rsidRDefault="007F3A24" w:rsidP="002A675B">
      <w:pPr>
        <w:spacing w:line="276" w:lineRule="auto"/>
        <w:jc w:val="both"/>
        <w:rPr>
          <w:sz w:val="22"/>
          <w:szCs w:val="22"/>
        </w:rPr>
      </w:pPr>
    </w:p>
    <w:p w14:paraId="71BC818F" w14:textId="77777777" w:rsidR="007F3A24" w:rsidRPr="00937449" w:rsidRDefault="007F3A24" w:rsidP="002A675B">
      <w:pPr>
        <w:spacing w:line="276" w:lineRule="auto"/>
        <w:jc w:val="both"/>
        <w:rPr>
          <w:sz w:val="22"/>
          <w:szCs w:val="22"/>
        </w:rPr>
      </w:pPr>
    </w:p>
    <w:p w14:paraId="4B20FDBD" w14:textId="363CA73C" w:rsidR="007F3A24" w:rsidRPr="008F2751" w:rsidRDefault="007F3A24" w:rsidP="008F2751">
      <w:pPr>
        <w:spacing w:line="276" w:lineRule="auto"/>
        <w:jc w:val="both"/>
        <w:rPr>
          <w:sz w:val="22"/>
          <w:szCs w:val="22"/>
        </w:rPr>
      </w:pPr>
    </w:p>
    <w:p w14:paraId="2806B94E" w14:textId="77777777" w:rsidR="007F3A24" w:rsidRPr="00937449" w:rsidRDefault="005B0D0B" w:rsidP="002A675B">
      <w:pPr>
        <w:spacing w:line="276" w:lineRule="auto"/>
        <w:jc w:val="both"/>
        <w:rPr>
          <w:sz w:val="22"/>
          <w:szCs w:val="22"/>
        </w:rPr>
      </w:pPr>
      <w:r w:rsidRPr="00937449">
        <w:rPr>
          <w:sz w:val="22"/>
          <w:szCs w:val="22"/>
        </w:rPr>
        <w:br w:type="page"/>
      </w:r>
    </w:p>
    <w:sdt>
      <w:sdtPr>
        <w:rPr>
          <w:rFonts w:ascii="Arial" w:eastAsia="Arial" w:hAnsi="Arial" w:cs="Arial"/>
          <w:color w:val="auto"/>
          <w:sz w:val="24"/>
          <w:szCs w:val="24"/>
        </w:rPr>
        <w:id w:val="1861239010"/>
        <w:docPartObj>
          <w:docPartGallery w:val="Table of Contents"/>
          <w:docPartUnique/>
        </w:docPartObj>
      </w:sdtPr>
      <w:sdtEndPr>
        <w:rPr>
          <w:b/>
          <w:bCs/>
        </w:rPr>
      </w:sdtEndPr>
      <w:sdtContent>
        <w:p w14:paraId="2E27EDD8" w14:textId="014B0E83" w:rsidR="00B91874" w:rsidRDefault="00B91874">
          <w:pPr>
            <w:pStyle w:val="TOCHeading"/>
          </w:pPr>
          <w:r>
            <w:t>Contents</w:t>
          </w:r>
        </w:p>
        <w:p w14:paraId="4A8BB8C6" w14:textId="39D24FF2" w:rsidR="009B074E" w:rsidRDefault="00B91874" w:rsidP="009B074E">
          <w:pPr>
            <w:pStyle w:val="TOC1"/>
            <w:rPr>
              <w:rFonts w:asciiTheme="minorHAnsi" w:eastAsiaTheme="minorEastAsia" w:hAnsiTheme="minorHAnsi" w:cstheme="minorBidi"/>
              <w:noProof/>
              <w:kern w:val="2"/>
              <w14:ligatures w14:val="standardContextual"/>
            </w:rPr>
          </w:pPr>
          <w:r w:rsidRPr="00B17174">
            <w:rPr>
              <w:sz w:val="22"/>
              <w:szCs w:val="22"/>
            </w:rPr>
            <w:fldChar w:fldCharType="begin"/>
          </w:r>
          <w:r w:rsidRPr="00B17174">
            <w:rPr>
              <w:sz w:val="22"/>
              <w:szCs w:val="22"/>
            </w:rPr>
            <w:instrText xml:space="preserve"> TOC \o "1-3" \h \z \u </w:instrText>
          </w:r>
          <w:r w:rsidRPr="00B17174">
            <w:rPr>
              <w:sz w:val="22"/>
              <w:szCs w:val="22"/>
            </w:rPr>
            <w:fldChar w:fldCharType="separate"/>
          </w:r>
          <w:hyperlink w:anchor="_Toc236769096" w:history="1">
            <w:r w:rsidR="009B074E" w:rsidRPr="002607A7">
              <w:rPr>
                <w:rStyle w:val="Hyperlink"/>
                <w:noProof/>
              </w:rPr>
              <w:t>1. Introduction</w:t>
            </w:r>
            <w:r w:rsidR="009B074E">
              <w:rPr>
                <w:noProof/>
                <w:webHidden/>
              </w:rPr>
              <w:tab/>
            </w:r>
            <w:r w:rsidR="009B074E">
              <w:rPr>
                <w:noProof/>
                <w:webHidden/>
              </w:rPr>
              <w:fldChar w:fldCharType="begin"/>
            </w:r>
            <w:r w:rsidR="009B074E">
              <w:rPr>
                <w:noProof/>
                <w:webHidden/>
              </w:rPr>
              <w:instrText xml:space="preserve"> PAGEREF _Toc236769096 \h </w:instrText>
            </w:r>
            <w:r w:rsidR="009B074E">
              <w:rPr>
                <w:noProof/>
                <w:webHidden/>
              </w:rPr>
            </w:r>
            <w:r w:rsidR="009B074E">
              <w:rPr>
                <w:noProof/>
                <w:webHidden/>
              </w:rPr>
              <w:fldChar w:fldCharType="separate"/>
            </w:r>
            <w:r w:rsidR="009B074E">
              <w:rPr>
                <w:noProof/>
                <w:webHidden/>
              </w:rPr>
              <w:t>2</w:t>
            </w:r>
            <w:r w:rsidR="009B074E">
              <w:rPr>
                <w:noProof/>
                <w:webHidden/>
              </w:rPr>
              <w:fldChar w:fldCharType="end"/>
            </w:r>
          </w:hyperlink>
        </w:p>
        <w:p w14:paraId="6D3C5274" w14:textId="634C1C11" w:rsidR="009B074E" w:rsidRDefault="009B074E" w:rsidP="009B074E">
          <w:pPr>
            <w:pStyle w:val="TOC1"/>
            <w:rPr>
              <w:rFonts w:asciiTheme="minorHAnsi" w:eastAsiaTheme="minorEastAsia" w:hAnsiTheme="minorHAnsi" w:cstheme="minorBidi"/>
              <w:noProof/>
              <w:kern w:val="2"/>
              <w14:ligatures w14:val="standardContextual"/>
            </w:rPr>
          </w:pPr>
          <w:hyperlink w:anchor="_Toc236769097" w:history="1">
            <w:r w:rsidRPr="002607A7">
              <w:rPr>
                <w:rStyle w:val="Hyperlink"/>
                <w:noProof/>
              </w:rPr>
              <w:t>2. Sustainable Development Goal 3: Good Health and Well-being</w:t>
            </w:r>
            <w:r>
              <w:rPr>
                <w:noProof/>
                <w:webHidden/>
              </w:rPr>
              <w:tab/>
            </w:r>
            <w:r>
              <w:rPr>
                <w:noProof/>
                <w:webHidden/>
              </w:rPr>
              <w:fldChar w:fldCharType="begin"/>
            </w:r>
            <w:r>
              <w:rPr>
                <w:noProof/>
                <w:webHidden/>
              </w:rPr>
              <w:instrText xml:space="preserve"> PAGEREF _Toc236769097 \h </w:instrText>
            </w:r>
            <w:r>
              <w:rPr>
                <w:noProof/>
                <w:webHidden/>
              </w:rPr>
            </w:r>
            <w:r>
              <w:rPr>
                <w:noProof/>
                <w:webHidden/>
              </w:rPr>
              <w:fldChar w:fldCharType="separate"/>
            </w:r>
            <w:r>
              <w:rPr>
                <w:noProof/>
                <w:webHidden/>
              </w:rPr>
              <w:t>3</w:t>
            </w:r>
            <w:r>
              <w:rPr>
                <w:noProof/>
                <w:webHidden/>
              </w:rPr>
              <w:fldChar w:fldCharType="end"/>
            </w:r>
          </w:hyperlink>
        </w:p>
        <w:p w14:paraId="3E3413C4" w14:textId="45C70326"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098" w:history="1">
            <w:r w:rsidRPr="002607A7">
              <w:rPr>
                <w:rStyle w:val="Hyperlink"/>
                <w:noProof/>
              </w:rPr>
              <w:t>2.1 Main Constructs of SDG 3</w:t>
            </w:r>
            <w:r>
              <w:rPr>
                <w:noProof/>
                <w:webHidden/>
              </w:rPr>
              <w:tab/>
            </w:r>
            <w:r>
              <w:rPr>
                <w:noProof/>
                <w:webHidden/>
              </w:rPr>
              <w:fldChar w:fldCharType="begin"/>
            </w:r>
            <w:r>
              <w:rPr>
                <w:noProof/>
                <w:webHidden/>
              </w:rPr>
              <w:instrText xml:space="preserve"> PAGEREF _Toc236769098 \h </w:instrText>
            </w:r>
            <w:r>
              <w:rPr>
                <w:noProof/>
                <w:webHidden/>
              </w:rPr>
            </w:r>
            <w:r>
              <w:rPr>
                <w:noProof/>
                <w:webHidden/>
              </w:rPr>
              <w:fldChar w:fldCharType="separate"/>
            </w:r>
            <w:r>
              <w:rPr>
                <w:noProof/>
                <w:webHidden/>
              </w:rPr>
              <w:t>3</w:t>
            </w:r>
            <w:r>
              <w:rPr>
                <w:noProof/>
                <w:webHidden/>
              </w:rPr>
              <w:fldChar w:fldCharType="end"/>
            </w:r>
          </w:hyperlink>
        </w:p>
        <w:p w14:paraId="6EE72822" w14:textId="2552A1BC"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099" w:history="1">
            <w:r w:rsidRPr="002607A7">
              <w:rPr>
                <w:rStyle w:val="Hyperlink"/>
                <w:noProof/>
              </w:rPr>
              <w:t>2.2 Impact on Health and Well-being of Citizens</w:t>
            </w:r>
            <w:r>
              <w:rPr>
                <w:noProof/>
                <w:webHidden/>
              </w:rPr>
              <w:tab/>
            </w:r>
            <w:r>
              <w:rPr>
                <w:noProof/>
                <w:webHidden/>
              </w:rPr>
              <w:fldChar w:fldCharType="begin"/>
            </w:r>
            <w:r>
              <w:rPr>
                <w:noProof/>
                <w:webHidden/>
              </w:rPr>
              <w:instrText xml:space="preserve"> PAGEREF _Toc236769099 \h </w:instrText>
            </w:r>
            <w:r>
              <w:rPr>
                <w:noProof/>
                <w:webHidden/>
              </w:rPr>
            </w:r>
            <w:r>
              <w:rPr>
                <w:noProof/>
                <w:webHidden/>
              </w:rPr>
              <w:fldChar w:fldCharType="separate"/>
            </w:r>
            <w:r>
              <w:rPr>
                <w:noProof/>
                <w:webHidden/>
              </w:rPr>
              <w:t>3</w:t>
            </w:r>
            <w:r>
              <w:rPr>
                <w:noProof/>
                <w:webHidden/>
              </w:rPr>
              <w:fldChar w:fldCharType="end"/>
            </w:r>
          </w:hyperlink>
        </w:p>
        <w:p w14:paraId="34FB89B4" w14:textId="7C41B6E7" w:rsidR="009B074E" w:rsidRDefault="009B074E" w:rsidP="009B074E">
          <w:pPr>
            <w:pStyle w:val="TOC1"/>
            <w:rPr>
              <w:rFonts w:asciiTheme="minorHAnsi" w:eastAsiaTheme="minorEastAsia" w:hAnsiTheme="minorHAnsi" w:cstheme="minorBidi"/>
              <w:noProof/>
              <w:kern w:val="2"/>
              <w14:ligatures w14:val="standardContextual"/>
            </w:rPr>
          </w:pPr>
          <w:hyperlink w:anchor="_Toc236769100" w:history="1">
            <w:r w:rsidRPr="002607A7">
              <w:rPr>
                <w:rStyle w:val="Hyperlink"/>
                <w:noProof/>
              </w:rPr>
              <w:t>3. Sustainable Development Goal 1: No Poverty</w:t>
            </w:r>
            <w:r>
              <w:rPr>
                <w:noProof/>
                <w:webHidden/>
              </w:rPr>
              <w:tab/>
            </w:r>
            <w:r>
              <w:rPr>
                <w:noProof/>
                <w:webHidden/>
              </w:rPr>
              <w:fldChar w:fldCharType="begin"/>
            </w:r>
            <w:r>
              <w:rPr>
                <w:noProof/>
                <w:webHidden/>
              </w:rPr>
              <w:instrText xml:space="preserve"> PAGEREF _Toc236769100 \h </w:instrText>
            </w:r>
            <w:r>
              <w:rPr>
                <w:noProof/>
                <w:webHidden/>
              </w:rPr>
            </w:r>
            <w:r>
              <w:rPr>
                <w:noProof/>
                <w:webHidden/>
              </w:rPr>
              <w:fldChar w:fldCharType="separate"/>
            </w:r>
            <w:r>
              <w:rPr>
                <w:noProof/>
                <w:webHidden/>
              </w:rPr>
              <w:t>4</w:t>
            </w:r>
            <w:r>
              <w:rPr>
                <w:noProof/>
                <w:webHidden/>
              </w:rPr>
              <w:fldChar w:fldCharType="end"/>
            </w:r>
          </w:hyperlink>
        </w:p>
        <w:p w14:paraId="30DE80DA" w14:textId="691B4AC4"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101" w:history="1">
            <w:r w:rsidRPr="002607A7">
              <w:rPr>
                <w:rStyle w:val="Hyperlink"/>
                <w:noProof/>
              </w:rPr>
              <w:t>3.1 Main Constructs of SDG 1</w:t>
            </w:r>
            <w:r>
              <w:rPr>
                <w:noProof/>
                <w:webHidden/>
              </w:rPr>
              <w:tab/>
            </w:r>
            <w:r>
              <w:rPr>
                <w:noProof/>
                <w:webHidden/>
              </w:rPr>
              <w:fldChar w:fldCharType="begin"/>
            </w:r>
            <w:r>
              <w:rPr>
                <w:noProof/>
                <w:webHidden/>
              </w:rPr>
              <w:instrText xml:space="preserve"> PAGEREF _Toc236769101 \h </w:instrText>
            </w:r>
            <w:r>
              <w:rPr>
                <w:noProof/>
                <w:webHidden/>
              </w:rPr>
            </w:r>
            <w:r>
              <w:rPr>
                <w:noProof/>
                <w:webHidden/>
              </w:rPr>
              <w:fldChar w:fldCharType="separate"/>
            </w:r>
            <w:r>
              <w:rPr>
                <w:noProof/>
                <w:webHidden/>
              </w:rPr>
              <w:t>4</w:t>
            </w:r>
            <w:r>
              <w:rPr>
                <w:noProof/>
                <w:webHidden/>
              </w:rPr>
              <w:fldChar w:fldCharType="end"/>
            </w:r>
          </w:hyperlink>
        </w:p>
        <w:p w14:paraId="63020974" w14:textId="2373CB92"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102" w:history="1">
            <w:r w:rsidRPr="002607A7">
              <w:rPr>
                <w:rStyle w:val="Hyperlink"/>
                <w:noProof/>
              </w:rPr>
              <w:t>3.2 Impact on Health and Well-being of Citizens</w:t>
            </w:r>
            <w:r>
              <w:rPr>
                <w:noProof/>
                <w:webHidden/>
              </w:rPr>
              <w:tab/>
            </w:r>
            <w:r>
              <w:rPr>
                <w:noProof/>
                <w:webHidden/>
              </w:rPr>
              <w:fldChar w:fldCharType="begin"/>
            </w:r>
            <w:r>
              <w:rPr>
                <w:noProof/>
                <w:webHidden/>
              </w:rPr>
              <w:instrText xml:space="preserve"> PAGEREF _Toc236769102 \h </w:instrText>
            </w:r>
            <w:r>
              <w:rPr>
                <w:noProof/>
                <w:webHidden/>
              </w:rPr>
            </w:r>
            <w:r>
              <w:rPr>
                <w:noProof/>
                <w:webHidden/>
              </w:rPr>
              <w:fldChar w:fldCharType="separate"/>
            </w:r>
            <w:r>
              <w:rPr>
                <w:noProof/>
                <w:webHidden/>
              </w:rPr>
              <w:t>5</w:t>
            </w:r>
            <w:r>
              <w:rPr>
                <w:noProof/>
                <w:webHidden/>
              </w:rPr>
              <w:fldChar w:fldCharType="end"/>
            </w:r>
          </w:hyperlink>
        </w:p>
        <w:p w14:paraId="6031944F" w14:textId="61A552C9" w:rsidR="009B074E" w:rsidRDefault="009B074E" w:rsidP="009B074E">
          <w:pPr>
            <w:pStyle w:val="TOC1"/>
            <w:rPr>
              <w:rFonts w:asciiTheme="minorHAnsi" w:eastAsiaTheme="minorEastAsia" w:hAnsiTheme="minorHAnsi" w:cstheme="minorBidi"/>
              <w:noProof/>
              <w:kern w:val="2"/>
              <w14:ligatures w14:val="standardContextual"/>
            </w:rPr>
          </w:pPr>
          <w:hyperlink w:anchor="_Toc236769103" w:history="1">
            <w:r w:rsidRPr="002607A7">
              <w:rPr>
                <w:rStyle w:val="Hyperlink"/>
                <w:noProof/>
              </w:rPr>
              <w:t>4. National Wellbeing Initiatives</w:t>
            </w:r>
            <w:r>
              <w:rPr>
                <w:noProof/>
                <w:webHidden/>
              </w:rPr>
              <w:tab/>
            </w:r>
            <w:r>
              <w:rPr>
                <w:noProof/>
                <w:webHidden/>
              </w:rPr>
              <w:fldChar w:fldCharType="begin"/>
            </w:r>
            <w:r>
              <w:rPr>
                <w:noProof/>
                <w:webHidden/>
              </w:rPr>
              <w:instrText xml:space="preserve"> PAGEREF _Toc236769103 \h </w:instrText>
            </w:r>
            <w:r>
              <w:rPr>
                <w:noProof/>
                <w:webHidden/>
              </w:rPr>
            </w:r>
            <w:r>
              <w:rPr>
                <w:noProof/>
                <w:webHidden/>
              </w:rPr>
              <w:fldChar w:fldCharType="separate"/>
            </w:r>
            <w:r>
              <w:rPr>
                <w:noProof/>
                <w:webHidden/>
              </w:rPr>
              <w:t>5</w:t>
            </w:r>
            <w:r>
              <w:rPr>
                <w:noProof/>
                <w:webHidden/>
              </w:rPr>
              <w:fldChar w:fldCharType="end"/>
            </w:r>
          </w:hyperlink>
        </w:p>
        <w:p w14:paraId="69138D7D" w14:textId="43C882E0"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104" w:history="1">
            <w:r w:rsidRPr="002607A7">
              <w:rPr>
                <w:rStyle w:val="Hyperlink"/>
                <w:noProof/>
              </w:rPr>
              <w:t>4.1 The NHS Long Term Plan (2019)</w:t>
            </w:r>
            <w:r>
              <w:rPr>
                <w:noProof/>
                <w:webHidden/>
              </w:rPr>
              <w:tab/>
            </w:r>
            <w:r>
              <w:rPr>
                <w:noProof/>
                <w:webHidden/>
              </w:rPr>
              <w:fldChar w:fldCharType="begin"/>
            </w:r>
            <w:r>
              <w:rPr>
                <w:noProof/>
                <w:webHidden/>
              </w:rPr>
              <w:instrText xml:space="preserve"> PAGEREF _Toc236769104 \h </w:instrText>
            </w:r>
            <w:r>
              <w:rPr>
                <w:noProof/>
                <w:webHidden/>
              </w:rPr>
            </w:r>
            <w:r>
              <w:rPr>
                <w:noProof/>
                <w:webHidden/>
              </w:rPr>
              <w:fldChar w:fldCharType="separate"/>
            </w:r>
            <w:r>
              <w:rPr>
                <w:noProof/>
                <w:webHidden/>
              </w:rPr>
              <w:t>5</w:t>
            </w:r>
            <w:r>
              <w:rPr>
                <w:noProof/>
                <w:webHidden/>
              </w:rPr>
              <w:fldChar w:fldCharType="end"/>
            </w:r>
          </w:hyperlink>
        </w:p>
        <w:p w14:paraId="2E27D8BE" w14:textId="1C252D33"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105" w:history="1">
            <w:r w:rsidRPr="002607A7">
              <w:rPr>
                <w:rStyle w:val="Hyperlink"/>
                <w:noProof/>
              </w:rPr>
              <w:t>4.2 Healthy People Programme (Office for Health Inequalities and Disparities)</w:t>
            </w:r>
            <w:r>
              <w:rPr>
                <w:noProof/>
                <w:webHidden/>
              </w:rPr>
              <w:tab/>
            </w:r>
            <w:r>
              <w:rPr>
                <w:noProof/>
                <w:webHidden/>
              </w:rPr>
              <w:fldChar w:fldCharType="begin"/>
            </w:r>
            <w:r>
              <w:rPr>
                <w:noProof/>
                <w:webHidden/>
              </w:rPr>
              <w:instrText xml:space="preserve"> PAGEREF _Toc236769105 \h </w:instrText>
            </w:r>
            <w:r>
              <w:rPr>
                <w:noProof/>
                <w:webHidden/>
              </w:rPr>
            </w:r>
            <w:r>
              <w:rPr>
                <w:noProof/>
                <w:webHidden/>
              </w:rPr>
              <w:fldChar w:fldCharType="separate"/>
            </w:r>
            <w:r>
              <w:rPr>
                <w:noProof/>
                <w:webHidden/>
              </w:rPr>
              <w:t>6</w:t>
            </w:r>
            <w:r>
              <w:rPr>
                <w:noProof/>
                <w:webHidden/>
              </w:rPr>
              <w:fldChar w:fldCharType="end"/>
            </w:r>
          </w:hyperlink>
        </w:p>
        <w:p w14:paraId="49B2ACD1" w14:textId="1745E9E1" w:rsidR="009B074E" w:rsidRDefault="009B074E" w:rsidP="009B074E">
          <w:pPr>
            <w:pStyle w:val="TOC1"/>
            <w:rPr>
              <w:rFonts w:asciiTheme="minorHAnsi" w:eastAsiaTheme="minorEastAsia" w:hAnsiTheme="minorHAnsi" w:cstheme="minorBidi"/>
              <w:noProof/>
              <w:kern w:val="2"/>
              <w14:ligatures w14:val="standardContextual"/>
            </w:rPr>
          </w:pPr>
          <w:hyperlink w:anchor="_Toc236769106" w:history="1">
            <w:r w:rsidRPr="002607A7">
              <w:rPr>
                <w:rStyle w:val="Hyperlink"/>
                <w:noProof/>
              </w:rPr>
              <w:t>5. Local Wellbeing Initiatives</w:t>
            </w:r>
            <w:r>
              <w:rPr>
                <w:noProof/>
                <w:webHidden/>
              </w:rPr>
              <w:tab/>
            </w:r>
            <w:r>
              <w:rPr>
                <w:noProof/>
                <w:webHidden/>
              </w:rPr>
              <w:fldChar w:fldCharType="begin"/>
            </w:r>
            <w:r>
              <w:rPr>
                <w:noProof/>
                <w:webHidden/>
              </w:rPr>
              <w:instrText xml:space="preserve"> PAGEREF _Toc236769106 \h </w:instrText>
            </w:r>
            <w:r>
              <w:rPr>
                <w:noProof/>
                <w:webHidden/>
              </w:rPr>
            </w:r>
            <w:r>
              <w:rPr>
                <w:noProof/>
                <w:webHidden/>
              </w:rPr>
              <w:fldChar w:fldCharType="separate"/>
            </w:r>
            <w:r>
              <w:rPr>
                <w:noProof/>
                <w:webHidden/>
              </w:rPr>
              <w:t>7</w:t>
            </w:r>
            <w:r>
              <w:rPr>
                <w:noProof/>
                <w:webHidden/>
              </w:rPr>
              <w:fldChar w:fldCharType="end"/>
            </w:r>
          </w:hyperlink>
        </w:p>
        <w:p w14:paraId="669CA5D1" w14:textId="1B354334"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107" w:history="1">
            <w:r w:rsidRPr="002607A7">
              <w:rPr>
                <w:rStyle w:val="Hyperlink"/>
                <w:noProof/>
              </w:rPr>
              <w:t>5.1 Healthy Schools London</w:t>
            </w:r>
            <w:r>
              <w:rPr>
                <w:noProof/>
                <w:webHidden/>
              </w:rPr>
              <w:tab/>
            </w:r>
            <w:r>
              <w:rPr>
                <w:noProof/>
                <w:webHidden/>
              </w:rPr>
              <w:fldChar w:fldCharType="begin"/>
            </w:r>
            <w:r>
              <w:rPr>
                <w:noProof/>
                <w:webHidden/>
              </w:rPr>
              <w:instrText xml:space="preserve"> PAGEREF _Toc236769107 \h </w:instrText>
            </w:r>
            <w:r>
              <w:rPr>
                <w:noProof/>
                <w:webHidden/>
              </w:rPr>
            </w:r>
            <w:r>
              <w:rPr>
                <w:noProof/>
                <w:webHidden/>
              </w:rPr>
              <w:fldChar w:fldCharType="separate"/>
            </w:r>
            <w:r>
              <w:rPr>
                <w:noProof/>
                <w:webHidden/>
              </w:rPr>
              <w:t>7</w:t>
            </w:r>
            <w:r>
              <w:rPr>
                <w:noProof/>
                <w:webHidden/>
              </w:rPr>
              <w:fldChar w:fldCharType="end"/>
            </w:r>
          </w:hyperlink>
        </w:p>
        <w:p w14:paraId="22921F3D" w14:textId="2A9A3107" w:rsidR="009B074E" w:rsidRDefault="009B074E">
          <w:pPr>
            <w:pStyle w:val="TOC2"/>
            <w:tabs>
              <w:tab w:val="right" w:leader="dot" w:pos="8756"/>
            </w:tabs>
            <w:rPr>
              <w:rFonts w:asciiTheme="minorHAnsi" w:eastAsiaTheme="minorEastAsia" w:hAnsiTheme="minorHAnsi" w:cstheme="minorBidi"/>
              <w:noProof/>
              <w:kern w:val="2"/>
              <w14:ligatures w14:val="standardContextual"/>
            </w:rPr>
          </w:pPr>
          <w:hyperlink w:anchor="_Toc236769108" w:history="1">
            <w:r w:rsidRPr="002607A7">
              <w:rPr>
                <w:rStyle w:val="Hyperlink"/>
                <w:noProof/>
              </w:rPr>
              <w:t>5.2 Healthy Wales: Warm Homes Programme</w:t>
            </w:r>
            <w:r>
              <w:rPr>
                <w:noProof/>
                <w:webHidden/>
              </w:rPr>
              <w:tab/>
            </w:r>
            <w:r>
              <w:rPr>
                <w:noProof/>
                <w:webHidden/>
              </w:rPr>
              <w:fldChar w:fldCharType="begin"/>
            </w:r>
            <w:r>
              <w:rPr>
                <w:noProof/>
                <w:webHidden/>
              </w:rPr>
              <w:instrText xml:space="preserve"> PAGEREF _Toc236769108 \h </w:instrText>
            </w:r>
            <w:r>
              <w:rPr>
                <w:noProof/>
                <w:webHidden/>
              </w:rPr>
            </w:r>
            <w:r>
              <w:rPr>
                <w:noProof/>
                <w:webHidden/>
              </w:rPr>
              <w:fldChar w:fldCharType="separate"/>
            </w:r>
            <w:r>
              <w:rPr>
                <w:noProof/>
                <w:webHidden/>
              </w:rPr>
              <w:t>7</w:t>
            </w:r>
            <w:r>
              <w:rPr>
                <w:noProof/>
                <w:webHidden/>
              </w:rPr>
              <w:fldChar w:fldCharType="end"/>
            </w:r>
          </w:hyperlink>
        </w:p>
        <w:p w14:paraId="5AC5389B" w14:textId="53117BBF" w:rsidR="009B074E" w:rsidRDefault="009B074E" w:rsidP="009B074E">
          <w:pPr>
            <w:pStyle w:val="TOC1"/>
            <w:rPr>
              <w:rFonts w:asciiTheme="minorHAnsi" w:eastAsiaTheme="minorEastAsia" w:hAnsiTheme="minorHAnsi" w:cstheme="minorBidi"/>
              <w:noProof/>
              <w:kern w:val="2"/>
              <w14:ligatures w14:val="standardContextual"/>
            </w:rPr>
          </w:pPr>
          <w:hyperlink w:anchor="_Toc236769109" w:history="1">
            <w:r w:rsidRPr="002607A7">
              <w:rPr>
                <w:rStyle w:val="Hyperlink"/>
                <w:noProof/>
              </w:rPr>
              <w:t>6. Conclusion</w:t>
            </w:r>
            <w:r>
              <w:rPr>
                <w:noProof/>
                <w:webHidden/>
              </w:rPr>
              <w:tab/>
            </w:r>
            <w:r>
              <w:rPr>
                <w:noProof/>
                <w:webHidden/>
              </w:rPr>
              <w:fldChar w:fldCharType="begin"/>
            </w:r>
            <w:r>
              <w:rPr>
                <w:noProof/>
                <w:webHidden/>
              </w:rPr>
              <w:instrText xml:space="preserve"> PAGEREF _Toc236769109 \h </w:instrText>
            </w:r>
            <w:r>
              <w:rPr>
                <w:noProof/>
                <w:webHidden/>
              </w:rPr>
            </w:r>
            <w:r>
              <w:rPr>
                <w:noProof/>
                <w:webHidden/>
              </w:rPr>
              <w:fldChar w:fldCharType="separate"/>
            </w:r>
            <w:r>
              <w:rPr>
                <w:noProof/>
                <w:webHidden/>
              </w:rPr>
              <w:t>8</w:t>
            </w:r>
            <w:r>
              <w:rPr>
                <w:noProof/>
                <w:webHidden/>
              </w:rPr>
              <w:fldChar w:fldCharType="end"/>
            </w:r>
          </w:hyperlink>
        </w:p>
        <w:p w14:paraId="5B197D28" w14:textId="05299BD1" w:rsidR="009B074E" w:rsidRDefault="009B074E" w:rsidP="009B074E">
          <w:pPr>
            <w:pStyle w:val="TOC1"/>
            <w:rPr>
              <w:rFonts w:asciiTheme="minorHAnsi" w:eastAsiaTheme="minorEastAsia" w:hAnsiTheme="minorHAnsi" w:cstheme="minorBidi"/>
              <w:noProof/>
              <w:kern w:val="2"/>
              <w14:ligatures w14:val="standardContextual"/>
            </w:rPr>
          </w:pPr>
          <w:hyperlink w:anchor="_Toc236769110" w:history="1">
            <w:r w:rsidRPr="002607A7">
              <w:rPr>
                <w:rStyle w:val="Hyperlink"/>
                <w:noProof/>
              </w:rPr>
              <w:t>References</w:t>
            </w:r>
            <w:r>
              <w:rPr>
                <w:noProof/>
                <w:webHidden/>
              </w:rPr>
              <w:tab/>
            </w:r>
            <w:r>
              <w:rPr>
                <w:noProof/>
                <w:webHidden/>
              </w:rPr>
              <w:fldChar w:fldCharType="begin"/>
            </w:r>
            <w:r>
              <w:rPr>
                <w:noProof/>
                <w:webHidden/>
              </w:rPr>
              <w:instrText xml:space="preserve"> PAGEREF _Toc236769110 \h </w:instrText>
            </w:r>
            <w:r>
              <w:rPr>
                <w:noProof/>
                <w:webHidden/>
              </w:rPr>
            </w:r>
            <w:r>
              <w:rPr>
                <w:noProof/>
                <w:webHidden/>
              </w:rPr>
              <w:fldChar w:fldCharType="separate"/>
            </w:r>
            <w:r>
              <w:rPr>
                <w:noProof/>
                <w:webHidden/>
              </w:rPr>
              <w:t>9</w:t>
            </w:r>
            <w:r>
              <w:rPr>
                <w:noProof/>
                <w:webHidden/>
              </w:rPr>
              <w:fldChar w:fldCharType="end"/>
            </w:r>
          </w:hyperlink>
        </w:p>
        <w:p w14:paraId="4CDC48C4" w14:textId="7BE3421E" w:rsidR="00B91874" w:rsidRDefault="00B91874" w:rsidP="00B17174">
          <w:pPr>
            <w:spacing w:line="360" w:lineRule="auto"/>
          </w:pPr>
          <w:r w:rsidRPr="00B17174">
            <w:rPr>
              <w:b/>
              <w:bCs/>
              <w:sz w:val="22"/>
              <w:szCs w:val="22"/>
            </w:rPr>
            <w:fldChar w:fldCharType="end"/>
          </w:r>
        </w:p>
      </w:sdtContent>
    </w:sdt>
    <w:p w14:paraId="23C0A908" w14:textId="77777777" w:rsidR="00B17174" w:rsidRDefault="00B17174" w:rsidP="008F2751">
      <w:pPr>
        <w:pStyle w:val="Heading1"/>
        <w:spacing w:line="360" w:lineRule="auto"/>
        <w:jc w:val="both"/>
        <w:rPr>
          <w:sz w:val="22"/>
          <w:szCs w:val="22"/>
        </w:rPr>
      </w:pPr>
    </w:p>
    <w:p w14:paraId="65B49C01" w14:textId="77777777" w:rsidR="00B17174" w:rsidRDefault="00B17174" w:rsidP="008F2751">
      <w:pPr>
        <w:pStyle w:val="Heading1"/>
        <w:spacing w:line="360" w:lineRule="auto"/>
        <w:jc w:val="both"/>
        <w:rPr>
          <w:sz w:val="22"/>
          <w:szCs w:val="22"/>
        </w:rPr>
      </w:pPr>
    </w:p>
    <w:p w14:paraId="75549B34" w14:textId="77777777" w:rsidR="00B17174" w:rsidRDefault="00B17174" w:rsidP="008F2751">
      <w:pPr>
        <w:pStyle w:val="Heading1"/>
        <w:spacing w:line="360" w:lineRule="auto"/>
        <w:jc w:val="both"/>
        <w:rPr>
          <w:sz w:val="22"/>
          <w:szCs w:val="22"/>
        </w:rPr>
      </w:pPr>
    </w:p>
    <w:p w14:paraId="405556A5" w14:textId="77777777" w:rsidR="00B17174" w:rsidRDefault="00B17174" w:rsidP="008F2751">
      <w:pPr>
        <w:pStyle w:val="Heading1"/>
        <w:spacing w:line="360" w:lineRule="auto"/>
        <w:jc w:val="both"/>
        <w:rPr>
          <w:sz w:val="22"/>
          <w:szCs w:val="22"/>
        </w:rPr>
      </w:pPr>
    </w:p>
    <w:p w14:paraId="37F3E4E8" w14:textId="77777777" w:rsidR="00B17174" w:rsidRDefault="00B17174" w:rsidP="008F2751">
      <w:pPr>
        <w:pStyle w:val="Heading1"/>
        <w:spacing w:line="360" w:lineRule="auto"/>
        <w:jc w:val="both"/>
        <w:rPr>
          <w:sz w:val="22"/>
          <w:szCs w:val="22"/>
        </w:rPr>
      </w:pPr>
    </w:p>
    <w:p w14:paraId="282DAF38" w14:textId="77777777" w:rsidR="00B17174" w:rsidRDefault="00B17174" w:rsidP="008F2751">
      <w:pPr>
        <w:pStyle w:val="Heading1"/>
        <w:spacing w:line="360" w:lineRule="auto"/>
        <w:jc w:val="both"/>
        <w:rPr>
          <w:sz w:val="22"/>
          <w:szCs w:val="22"/>
        </w:rPr>
      </w:pPr>
    </w:p>
    <w:p w14:paraId="6BE099FB" w14:textId="77777777" w:rsidR="00B17174" w:rsidRDefault="00B17174" w:rsidP="008F2751">
      <w:pPr>
        <w:pStyle w:val="Heading1"/>
        <w:spacing w:line="360" w:lineRule="auto"/>
        <w:jc w:val="both"/>
        <w:rPr>
          <w:sz w:val="22"/>
          <w:szCs w:val="22"/>
        </w:rPr>
      </w:pPr>
    </w:p>
    <w:p w14:paraId="20DA7CB2" w14:textId="77777777" w:rsidR="00B17174" w:rsidRDefault="00B17174" w:rsidP="008F2751">
      <w:pPr>
        <w:pStyle w:val="Heading1"/>
        <w:spacing w:line="360" w:lineRule="auto"/>
        <w:jc w:val="both"/>
        <w:rPr>
          <w:sz w:val="22"/>
          <w:szCs w:val="22"/>
        </w:rPr>
      </w:pPr>
    </w:p>
    <w:p w14:paraId="79643F88" w14:textId="1C7A74AB" w:rsidR="008F2751" w:rsidRPr="00A63797" w:rsidRDefault="008F2751" w:rsidP="008F2751">
      <w:pPr>
        <w:pStyle w:val="Heading1"/>
        <w:spacing w:line="360" w:lineRule="auto"/>
        <w:jc w:val="both"/>
        <w:rPr>
          <w:color w:val="auto"/>
          <w:sz w:val="22"/>
          <w:szCs w:val="22"/>
        </w:rPr>
      </w:pPr>
      <w:bookmarkStart w:id="0" w:name="_Toc236769096"/>
      <w:r w:rsidRPr="00A63797">
        <w:rPr>
          <w:color w:val="auto"/>
          <w:sz w:val="22"/>
          <w:szCs w:val="22"/>
        </w:rPr>
        <w:lastRenderedPageBreak/>
        <w:t>1. Introduction</w:t>
      </w:r>
      <w:bookmarkEnd w:id="0"/>
    </w:p>
    <w:p w14:paraId="7076ADDC" w14:textId="77777777" w:rsidR="004B591D" w:rsidRDefault="004B591D">
      <w:pPr>
        <w:spacing w:after="200" w:line="360" w:lineRule="auto"/>
        <w:jc w:val="both"/>
        <w:rPr>
          <w:kern w:val="2"/>
          <w14:ligatures w14:val="standardContextual"/>
        </w:rPr>
      </w:pPr>
      <w:r>
        <w:rPr>
          <w:sz w:val="22"/>
          <w:szCs w:val="22"/>
        </w:rPr>
        <w:t xml:space="preserve">Health and well-being do not exist in isolation. They are shaped by the societies, economies, and </w:t>
      </w:r>
      <w:r w:rsidRPr="00A26390">
        <w:rPr>
          <w:sz w:val="22"/>
          <w:szCs w:val="22"/>
        </w:rPr>
        <w:t>physical and social conditions that surround people's daily lives. The United Nations Sustainable Development Goals (SDGs) offer an international framework</w:t>
      </w:r>
      <w:r>
        <w:rPr>
          <w:sz w:val="22"/>
          <w:szCs w:val="22"/>
        </w:rPr>
        <w:t xml:space="preserve"> for addressing the conditions that determine health outcomes. This report critically examines two SDGs: SDG 3 (Good Health and Well-being) and SDG 1 (No Poverty) and explores how they affect citizens' health at the </w:t>
      </w:r>
      <w:r w:rsidRPr="00A26390">
        <w:rPr>
          <w:sz w:val="22"/>
          <w:szCs w:val="22"/>
        </w:rPr>
        <w:t>global, national, and community levels. It then considers two UK-wide and two place-based initiatives,</w:t>
      </w:r>
      <w:r>
        <w:rPr>
          <w:sz w:val="22"/>
          <w:szCs w:val="22"/>
        </w:rPr>
        <w:t xml:space="preserve"> identifying their strengths, limitations, and areas for improvement.</w:t>
      </w:r>
    </w:p>
    <w:p w14:paraId="3EBD5C97" w14:textId="77777777" w:rsidR="008F2751" w:rsidRPr="00A63797" w:rsidRDefault="008F2751" w:rsidP="008F2751">
      <w:pPr>
        <w:pStyle w:val="Heading1"/>
        <w:spacing w:line="360" w:lineRule="auto"/>
        <w:jc w:val="both"/>
        <w:rPr>
          <w:color w:val="auto"/>
          <w:sz w:val="22"/>
          <w:szCs w:val="22"/>
        </w:rPr>
      </w:pPr>
      <w:bookmarkStart w:id="1" w:name="_Toc236769097"/>
      <w:r w:rsidRPr="00A63797">
        <w:rPr>
          <w:color w:val="auto"/>
          <w:sz w:val="22"/>
          <w:szCs w:val="22"/>
        </w:rPr>
        <w:t>2. Sustainable Development Goal 3: Good Health and Well-being</w:t>
      </w:r>
      <w:bookmarkEnd w:id="1"/>
    </w:p>
    <w:p w14:paraId="0195E6EC" w14:textId="77777777" w:rsidR="008F2751" w:rsidRPr="00A63797" w:rsidRDefault="008F2751" w:rsidP="008F2751">
      <w:pPr>
        <w:pStyle w:val="Heading2"/>
        <w:spacing w:line="360" w:lineRule="auto"/>
        <w:jc w:val="both"/>
        <w:rPr>
          <w:color w:val="auto"/>
          <w:sz w:val="22"/>
          <w:szCs w:val="22"/>
        </w:rPr>
      </w:pPr>
      <w:bookmarkStart w:id="2" w:name="_Toc236769098"/>
      <w:r w:rsidRPr="00A63797">
        <w:rPr>
          <w:color w:val="auto"/>
          <w:sz w:val="22"/>
          <w:szCs w:val="22"/>
        </w:rPr>
        <w:t>2.1 Main Constructs of SDG 3</w:t>
      </w:r>
      <w:bookmarkEnd w:id="2"/>
    </w:p>
    <w:p w14:paraId="309ABB2A" w14:textId="6700748F" w:rsidR="00A127BA" w:rsidRPr="00A127BA" w:rsidRDefault="00A127BA" w:rsidP="00A127BA">
      <w:pPr>
        <w:spacing w:after="200" w:line="360" w:lineRule="auto"/>
        <w:jc w:val="both"/>
        <w:rPr>
          <w:sz w:val="22"/>
          <w:szCs w:val="22"/>
        </w:rPr>
      </w:pPr>
      <w:r w:rsidRPr="00A127BA">
        <w:rPr>
          <w:sz w:val="22"/>
          <w:szCs w:val="22"/>
        </w:rPr>
        <w:t>SDG 3, Good Health and Well-being, forms part of the 17 Sustainable Development Goals agreed by UN member states in 2015 under the 2030 Agenda for Sustainable Development (United Nations, 2023), aiming to secure healthier lives and support well-being for people of every age. It comprises 13 targets and 28 indicators spanning the full spectrum of health across the life course, including maternal and neonatal mortality, communicable and non-communicable diseases (NCDs), mental health, substance abuse, road traffic injuries, sexual and reproductive health, universal health coverage (UHC), and access to safe medicines and vaccines (WHO, 2022).</w:t>
      </w:r>
      <w:r>
        <w:rPr>
          <w:sz w:val="22"/>
          <w:szCs w:val="22"/>
        </w:rPr>
        <w:t xml:space="preserve"> </w:t>
      </w:r>
      <w:r w:rsidR="007906DA" w:rsidRPr="007906DA">
        <w:rPr>
          <w:sz w:val="22"/>
          <w:szCs w:val="22"/>
        </w:rPr>
        <w:t xml:space="preserve">SDG 3.8, which calls for UHC, is widely regarded as the most transformative target. </w:t>
      </w:r>
      <w:r w:rsidRPr="00A127BA">
        <w:rPr>
          <w:sz w:val="22"/>
          <w:szCs w:val="22"/>
        </w:rPr>
        <w:t>UHC means people can obtain required health services without financial hardship. Yet at least 4.5 billion people, over half the global population, still lack complete coverage of essential health services (Taylor, 2023). NCDs are among the biggest threats to SDG 3, accounting for 74% of global deaths annually (</w:t>
      </w:r>
      <w:proofErr w:type="spellStart"/>
      <w:r w:rsidRPr="00A127BA">
        <w:rPr>
          <w:sz w:val="22"/>
          <w:szCs w:val="22"/>
        </w:rPr>
        <w:t>Freihat</w:t>
      </w:r>
      <w:proofErr w:type="spellEnd"/>
      <w:r w:rsidRPr="00A127BA">
        <w:rPr>
          <w:sz w:val="22"/>
          <w:szCs w:val="22"/>
        </w:rPr>
        <w:t xml:space="preserve"> et al., 2025), led by cardiovascular disease, cancer, diabetes, and chronic respiratory conditions, largely preventable through early intervention and equitable access to care. Mental health is a further urgent dimension: around one in eight people worldwide is affected by a mental health condition (Nations, 2020), yet in low- and middle-income countries more than 75% receive no treatment at all.</w:t>
      </w:r>
    </w:p>
    <w:p w14:paraId="473C6E88" w14:textId="3B0AFAD9" w:rsidR="00A127BA" w:rsidRDefault="00A127BA" w:rsidP="00A127BA">
      <w:pPr>
        <w:spacing w:after="200" w:line="360" w:lineRule="auto"/>
        <w:jc w:val="both"/>
        <w:rPr>
          <w:sz w:val="22"/>
          <w:szCs w:val="22"/>
          <w:highlight w:val="yellow"/>
        </w:rPr>
      </w:pPr>
      <w:r w:rsidRPr="00A127BA">
        <w:rPr>
          <w:sz w:val="22"/>
          <w:szCs w:val="22"/>
        </w:rPr>
        <w:t xml:space="preserve">SDGs represent a global commitment to "leaving no one behind" by addressing persistent inequalities in health and development. Target 3.3 builds on the Millennium Development Goals by expanding the health agenda beyond HIV, tuberculosis, and malaria to eliminating neglected tropical diseases as public health threats by 2030. Despite advances in antiretroviral therapy, equitable access remains a major challenge; in sub-Saharan Africa, </w:t>
      </w:r>
      <w:r w:rsidRPr="00A127BA">
        <w:rPr>
          <w:sz w:val="22"/>
          <w:szCs w:val="22"/>
        </w:rPr>
        <w:lastRenderedPageBreak/>
        <w:t>adolescent girls and young women bear a disproportionate burden, accounting for 63% of new HIV infections in the region (Fitzpatrick and Engels, 2016).</w:t>
      </w:r>
    </w:p>
    <w:p w14:paraId="1917BBAE" w14:textId="77777777" w:rsidR="008F2751" w:rsidRPr="00A63797" w:rsidRDefault="008F2751" w:rsidP="008F2751">
      <w:pPr>
        <w:pStyle w:val="Heading2"/>
        <w:spacing w:line="360" w:lineRule="auto"/>
        <w:jc w:val="both"/>
        <w:rPr>
          <w:color w:val="auto"/>
          <w:sz w:val="22"/>
          <w:szCs w:val="22"/>
        </w:rPr>
      </w:pPr>
      <w:bookmarkStart w:id="3" w:name="_Toc236769099"/>
      <w:r w:rsidRPr="00A63797">
        <w:rPr>
          <w:color w:val="auto"/>
          <w:sz w:val="22"/>
          <w:szCs w:val="22"/>
        </w:rPr>
        <w:t>2.2 Impact on Health and Well-being of Citizens</w:t>
      </w:r>
      <w:bookmarkEnd w:id="3"/>
    </w:p>
    <w:p w14:paraId="53AC062F" w14:textId="1902EC12" w:rsidR="00A35330" w:rsidRPr="00A35330" w:rsidRDefault="00A35330" w:rsidP="00A35330">
      <w:pPr>
        <w:spacing w:after="200" w:line="360" w:lineRule="auto"/>
        <w:jc w:val="both"/>
        <w:rPr>
          <w:sz w:val="22"/>
          <w:szCs w:val="22"/>
        </w:rPr>
      </w:pPr>
      <w:r w:rsidRPr="00A35330">
        <w:rPr>
          <w:sz w:val="22"/>
          <w:szCs w:val="22"/>
        </w:rPr>
        <w:t>SDG 3 directly shapes how citizens experience health globally. In England, the NHS, free at the point of use, represents the practical expression of UHC, though access remains unequal (</w:t>
      </w:r>
      <w:proofErr w:type="spellStart"/>
      <w:r w:rsidRPr="00A35330">
        <w:rPr>
          <w:sz w:val="22"/>
          <w:szCs w:val="22"/>
        </w:rPr>
        <w:t>Dalingwater</w:t>
      </w:r>
      <w:proofErr w:type="spellEnd"/>
      <w:r w:rsidRPr="00A35330">
        <w:rPr>
          <w:sz w:val="22"/>
          <w:szCs w:val="22"/>
        </w:rPr>
        <w:t>, 2020). Life expectancy differs by over a decade between the most and least deprived communities, with people in disadvantaged areas experiencing 19 fewer years in good health, meaning SDG 3 cannot be achieved while such inequalities remain embedded in the health system. Mental health conditions affect one in four adults in England at some point, contributing to 23% of the total disease burden (Bebbington and McManus, 2019). The NHS Long Term Plan, introduced in 2019, committed to expanding talking therapies, yet access to Child and Adolescent Mental Health Services has slowed, with over 400,000 children waiting for an appointment in 2022 (Parkin, 2023), reflecting a direct failure to realise SDG 3's mental health targets.</w:t>
      </w:r>
    </w:p>
    <w:p w14:paraId="4D3DCD70" w14:textId="09761FE1" w:rsidR="00F07B9F" w:rsidRDefault="00A35330" w:rsidP="00A35330">
      <w:pPr>
        <w:spacing w:after="200" w:line="360" w:lineRule="auto"/>
        <w:jc w:val="both"/>
        <w:rPr>
          <w:sz w:val="22"/>
          <w:szCs w:val="22"/>
          <w:highlight w:val="yellow"/>
        </w:rPr>
      </w:pPr>
      <w:r w:rsidRPr="00A35330">
        <w:rPr>
          <w:sz w:val="22"/>
          <w:szCs w:val="22"/>
        </w:rPr>
        <w:t>For vulnerable groups, including people experiencing homelessness, asylum seekers, and those with learning disabilities, barriers to SDG 3 are even greater. Homeless people are far more likely to die early, with premature death rates up to 13 times higher than the wider population, and an average age of death of 45 years, reflecting policy failures and resource allocation decisions that can be changed (</w:t>
      </w:r>
      <w:proofErr w:type="spellStart"/>
      <w:r w:rsidRPr="00A35330">
        <w:rPr>
          <w:sz w:val="22"/>
          <w:szCs w:val="22"/>
        </w:rPr>
        <w:t>Lachaud</w:t>
      </w:r>
      <w:proofErr w:type="spellEnd"/>
      <w:r w:rsidRPr="00A35330">
        <w:rPr>
          <w:sz w:val="22"/>
          <w:szCs w:val="22"/>
        </w:rPr>
        <w:t xml:space="preserve"> et al., 2025). Globally, the COVID-19 pandemic exposed the fragility of progress towards SDG 3, reversing gains in life expectancy, mental well-being, and healthcare access, particularly in low- and middle-income countries, while widening health inequalities within wealthy nations (Sachs et al., 2022). In England, Black, Asian and minority ethnic communities experienced significantly higher COVID-19 mortality rates (Aldridge et al., 2020). These findings reveal that SDG 3 cannot be achieved through health systems alone; it requires action on the structural drivers of poor health, where SDG 1 becomes essential.</w:t>
      </w:r>
    </w:p>
    <w:p w14:paraId="526C08D9" w14:textId="77777777" w:rsidR="008F2751" w:rsidRPr="00A63797" w:rsidRDefault="008F2751" w:rsidP="008F2751">
      <w:pPr>
        <w:pStyle w:val="Heading1"/>
        <w:rPr>
          <w:color w:val="auto"/>
          <w:sz w:val="22"/>
          <w:szCs w:val="22"/>
        </w:rPr>
      </w:pPr>
      <w:bookmarkStart w:id="4" w:name="_Toc236769100"/>
      <w:r w:rsidRPr="00A63797">
        <w:rPr>
          <w:color w:val="auto"/>
          <w:sz w:val="22"/>
          <w:szCs w:val="22"/>
        </w:rPr>
        <w:t>3. Sustainable Development Goal 1: No Poverty</w:t>
      </w:r>
      <w:bookmarkEnd w:id="4"/>
    </w:p>
    <w:p w14:paraId="159C4BEB" w14:textId="77777777" w:rsidR="008F2751" w:rsidRPr="00A63797" w:rsidRDefault="008F2751" w:rsidP="008F2751">
      <w:pPr>
        <w:pStyle w:val="Heading2"/>
        <w:spacing w:line="360" w:lineRule="auto"/>
        <w:jc w:val="both"/>
        <w:rPr>
          <w:color w:val="auto"/>
          <w:sz w:val="22"/>
          <w:szCs w:val="22"/>
        </w:rPr>
      </w:pPr>
      <w:bookmarkStart w:id="5" w:name="_Toc236769101"/>
      <w:r w:rsidRPr="00A63797">
        <w:rPr>
          <w:color w:val="auto"/>
          <w:sz w:val="22"/>
          <w:szCs w:val="22"/>
        </w:rPr>
        <w:t>3.1 Main Constructs of SDG 1</w:t>
      </w:r>
      <w:bookmarkEnd w:id="5"/>
    </w:p>
    <w:p w14:paraId="626C34C8" w14:textId="59E196FE" w:rsidR="000B47DB" w:rsidRPr="000B47DB" w:rsidRDefault="000B47DB" w:rsidP="000B47DB">
      <w:pPr>
        <w:spacing w:after="200" w:line="360" w:lineRule="auto"/>
        <w:jc w:val="both"/>
        <w:rPr>
          <w:sz w:val="22"/>
          <w:szCs w:val="22"/>
        </w:rPr>
      </w:pPr>
      <w:r w:rsidRPr="000B47DB">
        <w:rPr>
          <w:sz w:val="22"/>
          <w:szCs w:val="22"/>
        </w:rPr>
        <w:t xml:space="preserve">SDG 1 commits UN member states to ending poverty in all its forms by 2030 (United Nations, 2025), through seven targets addressing extreme poverty, social protection, resilience to economic shocks, and equal rights to economic resources. Target 1.1 calls for the eradication of extreme poverty, defined as living on less than $2.15 per day (World Bank, 2017), while Target 1.3 requires nationally appropriate social protection systems that </w:t>
      </w:r>
      <w:r w:rsidRPr="000B47DB">
        <w:rPr>
          <w:sz w:val="22"/>
          <w:szCs w:val="22"/>
        </w:rPr>
        <w:lastRenderedPageBreak/>
        <w:t>reach all, particularly the vulnerable. Poverty within SDG 1 is understood as multidimensional: beyond monetary insufficiency, it encompasses deprivation in education, health, living standards, and access to services (UNDP, 2022). The UNDP (2022) estimated that 1.2 billion people worldwide lived in multidimensional poverty in 2022, two-thirds in middle-income countries, challenging the assumption that poverty is confined to low-income nations.</w:t>
      </w:r>
    </w:p>
    <w:p w14:paraId="1AC8A0C6" w14:textId="7204952C" w:rsidR="000B47DB" w:rsidRDefault="000B47DB" w:rsidP="008F2751">
      <w:pPr>
        <w:spacing w:after="200" w:line="360" w:lineRule="auto"/>
        <w:jc w:val="both"/>
        <w:rPr>
          <w:sz w:val="22"/>
          <w:szCs w:val="22"/>
        </w:rPr>
      </w:pPr>
      <w:r w:rsidRPr="000B47DB">
        <w:rPr>
          <w:sz w:val="22"/>
          <w:szCs w:val="22"/>
        </w:rPr>
        <w:t>In the United Kingdom, 14.4 million people, including 4.2 million children, live in poverty, a figure that continues to rise, limiting their ability to meet basic living standards and participate fully in society (Srinivas and Yuvaraj, 2023). Since the cost-of-living crisis began in 2022, UK food bank use has risen sharply, with 2.99 million emergency food parcels distributed in 2022–2023, a record high (</w:t>
      </w:r>
      <w:proofErr w:type="spellStart"/>
      <w:r w:rsidRPr="000B47DB">
        <w:rPr>
          <w:sz w:val="22"/>
          <w:szCs w:val="22"/>
        </w:rPr>
        <w:t>Loopstra</w:t>
      </w:r>
      <w:proofErr w:type="spellEnd"/>
      <w:r w:rsidRPr="000B47DB">
        <w:rPr>
          <w:sz w:val="22"/>
          <w:szCs w:val="22"/>
        </w:rPr>
        <w:t xml:space="preserve"> and Lambie-Mumford, 2023).</w:t>
      </w:r>
    </w:p>
    <w:p w14:paraId="1FCDF422" w14:textId="1E26DF64" w:rsidR="0039171B" w:rsidRPr="00A63797" w:rsidRDefault="008F2751" w:rsidP="008F2751">
      <w:pPr>
        <w:pStyle w:val="Heading2"/>
        <w:spacing w:line="360" w:lineRule="auto"/>
        <w:jc w:val="both"/>
        <w:rPr>
          <w:color w:val="auto"/>
          <w:sz w:val="22"/>
          <w:szCs w:val="22"/>
        </w:rPr>
      </w:pPr>
      <w:bookmarkStart w:id="6" w:name="_Toc236769102"/>
      <w:r w:rsidRPr="00A63797">
        <w:rPr>
          <w:color w:val="auto"/>
          <w:sz w:val="22"/>
          <w:szCs w:val="22"/>
        </w:rPr>
        <w:t>3.2 Impact on Health and Well-being of Citizens</w:t>
      </w:r>
      <w:bookmarkEnd w:id="6"/>
    </w:p>
    <w:p w14:paraId="22A3AF96" w14:textId="66CCE3D5" w:rsidR="00323544" w:rsidRPr="00323544" w:rsidRDefault="00323544" w:rsidP="00323544">
      <w:pPr>
        <w:spacing w:after="200" w:line="360" w:lineRule="auto"/>
        <w:jc w:val="both"/>
        <w:rPr>
          <w:sz w:val="22"/>
          <w:szCs w:val="22"/>
        </w:rPr>
      </w:pPr>
      <w:r w:rsidRPr="00323544">
        <w:rPr>
          <w:sz w:val="22"/>
          <w:szCs w:val="22"/>
        </w:rPr>
        <w:t>Poverty is among the strongest social determinants of health. In England, people in the most deprived areas live 9.5 years less than those in the least deprived areas and spend 19 fewer years in good health, a gap that has widened since 2010 (ONS, 2022). Poverty shapes health through multiple pathways, including food insecurity, poor housing, limited green space access, environmental hazard exposure, and inability to afford transport to appointments. The Food Standards Agency (2026) reported that 9.7 million UK adults experienced food insecurity in 2022, with affected children more likely to face stunted development, poor cognitive outcomes, and mental health difficulties. Cold and damp housing is a further critical pathway between poverty and poor health: 25% of excess winter deaths in England are linked to cold homes, which people in poverty cannot afford to heat adequately. Cold homes worsen respiratory and cardiovascular conditions, damage mental health, and increase children's likelihood of developing asthma and missing school, narrowing future opportunities and perpetuating the cycle of poverty (Hughes and Natarajan, 2019).</w:t>
      </w:r>
      <w:r>
        <w:rPr>
          <w:sz w:val="22"/>
          <w:szCs w:val="22"/>
        </w:rPr>
        <w:t xml:space="preserve"> </w:t>
      </w:r>
      <w:r w:rsidRPr="00323544">
        <w:rPr>
          <w:sz w:val="22"/>
          <w:szCs w:val="22"/>
        </w:rPr>
        <w:t>Mental health is similarly affected: those in poverty are three times more likely to experience a mental health condition than those who are financially secure, as economic stress, insecure housing, and social isolation each raise the risk of depression and anxiety. This relationship is bidirectional, as mental ill-health reduces earning capacity and increases job loss risk, deepening poverty further (</w:t>
      </w:r>
      <w:proofErr w:type="spellStart"/>
      <w:r w:rsidRPr="00323544">
        <w:rPr>
          <w:sz w:val="22"/>
          <w:szCs w:val="22"/>
        </w:rPr>
        <w:t>Knifton</w:t>
      </w:r>
      <w:proofErr w:type="spellEnd"/>
      <w:r w:rsidRPr="00323544">
        <w:rPr>
          <w:sz w:val="22"/>
          <w:szCs w:val="22"/>
        </w:rPr>
        <w:t xml:space="preserve"> and Inglis, 2020).</w:t>
      </w:r>
    </w:p>
    <w:p w14:paraId="18F82AE8" w14:textId="7E021F96" w:rsidR="00CB4626" w:rsidRPr="00ED3C05" w:rsidRDefault="00323544" w:rsidP="001F2897">
      <w:pPr>
        <w:spacing w:after="200" w:line="360" w:lineRule="auto"/>
        <w:jc w:val="both"/>
        <w:rPr>
          <w:sz w:val="22"/>
          <w:szCs w:val="22"/>
        </w:rPr>
      </w:pPr>
      <w:r w:rsidRPr="00323544">
        <w:rPr>
          <w:sz w:val="22"/>
          <w:szCs w:val="22"/>
        </w:rPr>
        <w:t xml:space="preserve">SDG 1 and SDG 3 are therefore inseparable. The WHO Commission on Social Determinants of Health found that structural conditions, income, housing, employment, and education shape health outcomes more than healthcare provision alone. Addressing </w:t>
      </w:r>
      <w:r w:rsidRPr="00323544">
        <w:rPr>
          <w:sz w:val="22"/>
          <w:szCs w:val="22"/>
        </w:rPr>
        <w:lastRenderedPageBreak/>
        <w:t>poverty is thus not a welfare issue separate from health but a foundation of it (</w:t>
      </w:r>
      <w:proofErr w:type="spellStart"/>
      <w:r w:rsidRPr="00323544">
        <w:rPr>
          <w:sz w:val="22"/>
          <w:szCs w:val="22"/>
        </w:rPr>
        <w:t>McCordic</w:t>
      </w:r>
      <w:proofErr w:type="spellEnd"/>
      <w:r w:rsidRPr="00323544">
        <w:rPr>
          <w:sz w:val="22"/>
          <w:szCs w:val="22"/>
        </w:rPr>
        <w:t xml:space="preserve"> and Frayne, 2020).</w:t>
      </w:r>
    </w:p>
    <w:p w14:paraId="29256246" w14:textId="77777777" w:rsidR="008F2751" w:rsidRPr="00A63797" w:rsidRDefault="008F2751" w:rsidP="008F2751">
      <w:pPr>
        <w:pStyle w:val="Heading1"/>
        <w:spacing w:line="360" w:lineRule="auto"/>
        <w:jc w:val="both"/>
        <w:rPr>
          <w:color w:val="auto"/>
          <w:sz w:val="22"/>
          <w:szCs w:val="22"/>
        </w:rPr>
      </w:pPr>
      <w:bookmarkStart w:id="7" w:name="_Toc236769103"/>
      <w:r w:rsidRPr="00A63797">
        <w:rPr>
          <w:color w:val="auto"/>
          <w:sz w:val="22"/>
          <w:szCs w:val="22"/>
        </w:rPr>
        <w:t>4. National Wellbeing Initiatives</w:t>
      </w:r>
      <w:bookmarkEnd w:id="7"/>
    </w:p>
    <w:p w14:paraId="0481E612" w14:textId="0C5B16F1" w:rsidR="00415B47" w:rsidRPr="00A63797" w:rsidRDefault="008F2751" w:rsidP="008F2751">
      <w:pPr>
        <w:pStyle w:val="Heading2"/>
        <w:spacing w:line="360" w:lineRule="auto"/>
        <w:jc w:val="both"/>
        <w:rPr>
          <w:color w:val="auto"/>
          <w:sz w:val="22"/>
          <w:szCs w:val="22"/>
        </w:rPr>
      </w:pPr>
      <w:bookmarkStart w:id="8" w:name="_Toc236769104"/>
      <w:r w:rsidRPr="00A63797">
        <w:rPr>
          <w:color w:val="auto"/>
          <w:sz w:val="22"/>
          <w:szCs w:val="22"/>
        </w:rPr>
        <w:t>4.1 The NHS Long Term Plan (2019)</w:t>
      </w:r>
      <w:bookmarkEnd w:id="8"/>
    </w:p>
    <w:p w14:paraId="157B9017" w14:textId="0CE6C88B" w:rsidR="004B591D" w:rsidRDefault="004B591D">
      <w:pPr>
        <w:spacing w:after="200" w:line="360" w:lineRule="auto"/>
        <w:jc w:val="both"/>
        <w:rPr>
          <w:kern w:val="2"/>
          <w14:ligatures w14:val="standardContextual"/>
        </w:rPr>
      </w:pPr>
      <w:r>
        <w:rPr>
          <w:sz w:val="22"/>
          <w:szCs w:val="22"/>
        </w:rPr>
        <w:t xml:space="preserve">The NHS Long Term </w:t>
      </w:r>
      <w:r w:rsidRPr="00EA40F0">
        <w:rPr>
          <w:sz w:val="22"/>
          <w:szCs w:val="22"/>
        </w:rPr>
        <w:t xml:space="preserve">Plan </w:t>
      </w:r>
      <w:r>
        <w:rPr>
          <w:sz w:val="22"/>
          <w:szCs w:val="22"/>
        </w:rPr>
        <w:t xml:space="preserve">is England's primary national framework for improving health over </w:t>
      </w:r>
      <w:r w:rsidR="00317D93">
        <w:rPr>
          <w:sz w:val="22"/>
          <w:szCs w:val="22"/>
        </w:rPr>
        <w:t>ten years</w:t>
      </w:r>
      <w:r>
        <w:rPr>
          <w:sz w:val="22"/>
          <w:szCs w:val="22"/>
        </w:rPr>
        <w:t xml:space="preserve">. It commits </w:t>
      </w:r>
      <w:r w:rsidRPr="00A26390">
        <w:rPr>
          <w:sz w:val="22"/>
          <w:szCs w:val="22"/>
        </w:rPr>
        <w:t xml:space="preserve">to reducing the number of heart attacks, strokes, </w:t>
      </w:r>
      <w:r>
        <w:rPr>
          <w:sz w:val="22"/>
          <w:szCs w:val="22"/>
        </w:rPr>
        <w:t>and dementia cases by 150,000; expanding access to mental health services for 2 million more people; and diagnosing 75% of cancers at early stages by 2028. These commitments align directly with SDG 3 targets on NCDs, mental health, and universal health coverage</w:t>
      </w:r>
      <w:r w:rsidR="00EA40F0">
        <w:rPr>
          <w:sz w:val="22"/>
          <w:szCs w:val="22"/>
        </w:rPr>
        <w:t xml:space="preserve"> </w:t>
      </w:r>
      <w:r w:rsidR="00EA40F0" w:rsidRPr="00EA40F0">
        <w:rPr>
          <w:sz w:val="22"/>
          <w:szCs w:val="22"/>
        </w:rPr>
        <w:t>(NHS England, 2019)</w:t>
      </w:r>
      <w:r w:rsidR="00885249">
        <w:rPr>
          <w:sz w:val="22"/>
          <w:szCs w:val="22"/>
        </w:rPr>
        <w:t>.</w:t>
      </w:r>
    </w:p>
    <w:p w14:paraId="4A1C413A" w14:textId="214DEE48" w:rsidR="00884281" w:rsidRPr="00884281" w:rsidRDefault="008F2751" w:rsidP="00884281">
      <w:pPr>
        <w:spacing w:after="200" w:line="360" w:lineRule="auto"/>
        <w:jc w:val="both"/>
        <w:rPr>
          <w:sz w:val="22"/>
          <w:szCs w:val="22"/>
        </w:rPr>
      </w:pPr>
      <w:r w:rsidRPr="00ED3C05">
        <w:rPr>
          <w:sz w:val="22"/>
          <w:szCs w:val="22"/>
        </w:rPr>
        <w:t xml:space="preserve">Progress has been measurable.  </w:t>
      </w:r>
      <w:r w:rsidR="00A75968">
        <w:rPr>
          <w:sz w:val="22"/>
          <w:szCs w:val="22"/>
        </w:rPr>
        <w:t>Early-stage</w:t>
      </w:r>
      <w:r w:rsidRPr="00ED3C05">
        <w:rPr>
          <w:sz w:val="22"/>
          <w:szCs w:val="22"/>
        </w:rPr>
        <w:t xml:space="preserve"> cancer diagnosis improved from 54% in 2019 to 58% in 2022, and referrals to NHS Talking Therapies increased by 20% over the same period. Integrated Care Systems (ICSs), introduced under the Plan, now operate across all 42 areas </w:t>
      </w:r>
      <w:r w:rsidR="00415B47">
        <w:rPr>
          <w:sz w:val="22"/>
          <w:szCs w:val="22"/>
        </w:rPr>
        <w:t>(Lee</w:t>
      </w:r>
      <w:r w:rsidR="00415B47">
        <w:rPr>
          <w:rFonts w:eastAsia="Times New Roman"/>
        </w:rPr>
        <w:t xml:space="preserve"> </w:t>
      </w:r>
      <w:r w:rsidR="005F083A" w:rsidRPr="005F083A">
        <w:rPr>
          <w:rFonts w:eastAsia="Times New Roman"/>
        </w:rPr>
        <w:t>et al</w:t>
      </w:r>
      <w:r w:rsidR="005F083A" w:rsidRPr="005F083A">
        <w:rPr>
          <w:rFonts w:eastAsia="Times New Roman"/>
          <w:i/>
          <w:iCs/>
        </w:rPr>
        <w:t>.</w:t>
      </w:r>
      <w:r w:rsidR="005F083A" w:rsidRPr="005F083A">
        <w:rPr>
          <w:rFonts w:eastAsia="Times New Roman"/>
        </w:rPr>
        <w:t xml:space="preserve"> 2026)</w:t>
      </w:r>
      <w:r w:rsidR="005F083A">
        <w:rPr>
          <w:rFonts w:eastAsia="Times New Roman"/>
        </w:rPr>
        <w:t>.</w:t>
      </w:r>
      <w:r w:rsidRPr="005F083A">
        <w:rPr>
          <w:sz w:val="22"/>
          <w:szCs w:val="22"/>
        </w:rPr>
        <w:t xml:space="preserve"> </w:t>
      </w:r>
      <w:r w:rsidRPr="00ED3C05">
        <w:rPr>
          <w:sz w:val="22"/>
          <w:szCs w:val="22"/>
        </w:rPr>
        <w:t>ICSs bring together NHS, local authority, and voluntary sector partners to coordinate care and address health inequalities, a structural change that reflects the social determinants model.</w:t>
      </w:r>
      <w:r w:rsidR="00715411">
        <w:rPr>
          <w:sz w:val="22"/>
          <w:szCs w:val="22"/>
        </w:rPr>
        <w:t xml:space="preserve"> </w:t>
      </w:r>
      <w:r w:rsidR="00715411" w:rsidRPr="00715411">
        <w:rPr>
          <w:sz w:val="22"/>
          <w:szCs w:val="22"/>
        </w:rPr>
        <w:t>(Manchanda et al., 2019)</w:t>
      </w:r>
      <w:r w:rsidR="00715411">
        <w:rPr>
          <w:sz w:val="22"/>
          <w:szCs w:val="22"/>
        </w:rPr>
        <w:t xml:space="preserve">. </w:t>
      </w:r>
      <w:r w:rsidRPr="00ED3C05">
        <w:rPr>
          <w:sz w:val="22"/>
          <w:szCs w:val="22"/>
        </w:rPr>
        <w:t xml:space="preserve">However, significant limitations remain. The Plan underestimated demand, particularly for mental health and emergency services.  </w:t>
      </w:r>
      <w:r w:rsidR="0004574C">
        <w:rPr>
          <w:sz w:val="22"/>
          <w:szCs w:val="22"/>
        </w:rPr>
        <w:t>O</w:t>
      </w:r>
      <w:r w:rsidRPr="00ED3C05">
        <w:rPr>
          <w:sz w:val="22"/>
          <w:szCs w:val="22"/>
        </w:rPr>
        <w:t xml:space="preserve">ver 400,000 children </w:t>
      </w:r>
      <w:r w:rsidR="00415B47">
        <w:rPr>
          <w:sz w:val="22"/>
          <w:szCs w:val="22"/>
        </w:rPr>
        <w:t xml:space="preserve">were </w:t>
      </w:r>
      <w:r w:rsidRPr="00ED3C05">
        <w:rPr>
          <w:sz w:val="22"/>
          <w:szCs w:val="22"/>
        </w:rPr>
        <w:t>awaiting</w:t>
      </w:r>
      <w:r w:rsidR="00FB7D56" w:rsidRPr="00FB7D56">
        <w:t xml:space="preserve"> </w:t>
      </w:r>
      <w:r w:rsidR="00FB7D56" w:rsidRPr="00FB7D56">
        <w:rPr>
          <w:sz w:val="22"/>
          <w:szCs w:val="22"/>
        </w:rPr>
        <w:t>Child and Adolescent Mental Health Services</w:t>
      </w:r>
      <w:r w:rsidR="00FB7D56">
        <w:rPr>
          <w:sz w:val="22"/>
          <w:szCs w:val="22"/>
        </w:rPr>
        <w:t xml:space="preserve"> </w:t>
      </w:r>
      <w:r w:rsidRPr="00ED3C05">
        <w:rPr>
          <w:sz w:val="22"/>
          <w:szCs w:val="22"/>
        </w:rPr>
        <w:t xml:space="preserve">in 2022. </w:t>
      </w:r>
      <w:r w:rsidR="005F296E" w:rsidRPr="005F296E">
        <w:rPr>
          <w:sz w:val="22"/>
          <w:szCs w:val="22"/>
        </w:rPr>
        <w:t>(Rethink, 2024)</w:t>
      </w:r>
      <w:r w:rsidR="005F296E">
        <w:rPr>
          <w:sz w:val="22"/>
          <w:szCs w:val="22"/>
        </w:rPr>
        <w:t>.</w:t>
      </w:r>
      <w:r w:rsidR="008C233A">
        <w:rPr>
          <w:sz w:val="22"/>
          <w:szCs w:val="22"/>
        </w:rPr>
        <w:t xml:space="preserve"> </w:t>
      </w:r>
      <w:r w:rsidRPr="00ED3C05">
        <w:rPr>
          <w:sz w:val="22"/>
          <w:szCs w:val="22"/>
        </w:rPr>
        <w:t xml:space="preserve">Workforce shortages are severe, with a 9.9% vacancy rate across the NHS workforce. </w:t>
      </w:r>
      <w:r w:rsidR="0017054B">
        <w:rPr>
          <w:sz w:val="22"/>
          <w:szCs w:val="22"/>
        </w:rPr>
        <w:t>The NHS England</w:t>
      </w:r>
      <w:r w:rsidRPr="00ED3C05">
        <w:rPr>
          <w:sz w:val="22"/>
          <w:szCs w:val="22"/>
        </w:rPr>
        <w:t xml:space="preserve"> projects a £37 billion funding gap by 2030 if current trends continue. The Plan's ambitions are sound, but delivery depends on sustained investment that current fiscal policy does not guarantee.</w:t>
      </w:r>
      <w:r w:rsidR="00884281">
        <w:rPr>
          <w:sz w:val="22"/>
          <w:szCs w:val="22"/>
        </w:rPr>
        <w:t xml:space="preserve"> </w:t>
      </w:r>
      <w:r w:rsidR="00884281" w:rsidRPr="00884281">
        <w:rPr>
          <w:sz w:val="22"/>
          <w:szCs w:val="22"/>
        </w:rPr>
        <w:t>(NHS England, 2024)</w:t>
      </w:r>
      <w:r w:rsidR="000F5CF6">
        <w:rPr>
          <w:sz w:val="22"/>
          <w:szCs w:val="22"/>
        </w:rPr>
        <w:t>.</w:t>
      </w:r>
    </w:p>
    <w:p w14:paraId="37FE22B8" w14:textId="1B544999" w:rsidR="008F2751" w:rsidRDefault="008F2751" w:rsidP="008F2751">
      <w:pPr>
        <w:spacing w:after="200" w:line="360" w:lineRule="auto"/>
        <w:jc w:val="both"/>
        <w:rPr>
          <w:sz w:val="22"/>
          <w:szCs w:val="22"/>
        </w:rPr>
      </w:pPr>
      <w:r w:rsidRPr="00B7717F">
        <w:rPr>
          <w:sz w:val="22"/>
          <w:szCs w:val="22"/>
        </w:rPr>
        <w:t xml:space="preserve">The Plan's key strength is its clear alignment with the priorities of SDG 3, particularly prevention, early diagnosis, mental health, and universal access. Its main limitation is that </w:t>
      </w:r>
      <w:r w:rsidR="00A30C28" w:rsidRPr="00B7717F">
        <w:rPr>
          <w:sz w:val="22"/>
          <w:szCs w:val="22"/>
        </w:rPr>
        <w:t>workforce shortages, rising demand, and uncertain long-term funding constrain delivery</w:t>
      </w:r>
      <w:r w:rsidRPr="00B7717F">
        <w:rPr>
          <w:sz w:val="22"/>
          <w:szCs w:val="22"/>
        </w:rPr>
        <w:t xml:space="preserve">. </w:t>
      </w:r>
      <w:r w:rsidR="00835DBA">
        <w:rPr>
          <w:sz w:val="22"/>
          <w:szCs w:val="22"/>
        </w:rPr>
        <w:t>It is recomme</w:t>
      </w:r>
      <w:r w:rsidR="00877D6F">
        <w:rPr>
          <w:sz w:val="22"/>
          <w:szCs w:val="22"/>
        </w:rPr>
        <w:t xml:space="preserve">nded that </w:t>
      </w:r>
      <w:r w:rsidR="00665354">
        <w:rPr>
          <w:sz w:val="22"/>
          <w:szCs w:val="22"/>
        </w:rPr>
        <w:t>the public health grant be ring-fenced, currently £3.4 billion (DHSC, 2023), against NHS operational pressures and that a mandatory workforce plan with ten-year projections for each speciality be implemented</w:t>
      </w:r>
      <w:r w:rsidRPr="00B7717F">
        <w:rPr>
          <w:sz w:val="22"/>
          <w:szCs w:val="22"/>
        </w:rPr>
        <w:t>. The Health Foundation (2023) estimates that every £1 invested in prevention saves £14 in acute treatment costs, indicating that prevention should drive future spending decisions</w:t>
      </w:r>
      <w:r w:rsidR="00C85108">
        <w:rPr>
          <w:sz w:val="22"/>
          <w:szCs w:val="22"/>
        </w:rPr>
        <w:t>.</w:t>
      </w:r>
    </w:p>
    <w:p w14:paraId="01E45CA3" w14:textId="77777777" w:rsidR="005650A8" w:rsidRDefault="005650A8" w:rsidP="008F2751">
      <w:pPr>
        <w:spacing w:after="200" w:line="360" w:lineRule="auto"/>
        <w:jc w:val="both"/>
        <w:rPr>
          <w:sz w:val="22"/>
          <w:szCs w:val="22"/>
        </w:rPr>
      </w:pPr>
    </w:p>
    <w:p w14:paraId="309F6ADE" w14:textId="77777777" w:rsidR="005650A8" w:rsidRPr="00ED3C05" w:rsidRDefault="005650A8" w:rsidP="008F2751">
      <w:pPr>
        <w:spacing w:after="200" w:line="360" w:lineRule="auto"/>
        <w:jc w:val="both"/>
        <w:rPr>
          <w:sz w:val="22"/>
          <w:szCs w:val="22"/>
        </w:rPr>
      </w:pPr>
    </w:p>
    <w:p w14:paraId="2B86BB72" w14:textId="77777777" w:rsidR="008F2751" w:rsidRPr="00A63797" w:rsidRDefault="008F2751" w:rsidP="008F2751">
      <w:pPr>
        <w:pStyle w:val="Heading2"/>
        <w:spacing w:line="360" w:lineRule="auto"/>
        <w:jc w:val="both"/>
        <w:rPr>
          <w:color w:val="auto"/>
          <w:sz w:val="22"/>
          <w:szCs w:val="22"/>
        </w:rPr>
      </w:pPr>
      <w:bookmarkStart w:id="9" w:name="_Toc236769105"/>
      <w:r w:rsidRPr="00A63797">
        <w:rPr>
          <w:color w:val="auto"/>
          <w:sz w:val="22"/>
          <w:szCs w:val="22"/>
        </w:rPr>
        <w:lastRenderedPageBreak/>
        <w:t>4.2 Healthy People Programme (Office for Health Inequalities and Disparities)</w:t>
      </w:r>
      <w:bookmarkEnd w:id="9"/>
    </w:p>
    <w:p w14:paraId="0DA4B3AE" w14:textId="3FB8532B" w:rsidR="008F2751" w:rsidRPr="004E1B7E" w:rsidRDefault="004B591D" w:rsidP="008F2751">
      <w:pPr>
        <w:spacing w:after="200" w:line="360" w:lineRule="auto"/>
        <w:jc w:val="both"/>
        <w:rPr>
          <w:kern w:val="2"/>
          <w14:ligatures w14:val="standardContextual"/>
        </w:rPr>
      </w:pPr>
      <w:r>
        <w:rPr>
          <w:sz w:val="22"/>
          <w:szCs w:val="22"/>
        </w:rPr>
        <w:t xml:space="preserve">The Office for Health Improvement and Disparities (OHID) Healthy People Programme, launched in 2022, targets the </w:t>
      </w:r>
      <w:r w:rsidRPr="00A26390">
        <w:rPr>
          <w:sz w:val="22"/>
          <w:szCs w:val="22"/>
        </w:rPr>
        <w:t xml:space="preserve">most disadvantaged fifth of communities in England through the Core20PLUS5 framework </w:t>
      </w:r>
      <w:r w:rsidR="004674AA" w:rsidRPr="004674AA">
        <w:rPr>
          <w:sz w:val="22"/>
          <w:szCs w:val="22"/>
        </w:rPr>
        <w:t>(NHS England, 2022)</w:t>
      </w:r>
      <w:r w:rsidR="00825422">
        <w:rPr>
          <w:sz w:val="22"/>
          <w:szCs w:val="22"/>
        </w:rPr>
        <w:t>.</w:t>
      </w:r>
      <w:r w:rsidR="004674AA" w:rsidRPr="004674AA">
        <w:rPr>
          <w:sz w:val="22"/>
          <w:szCs w:val="22"/>
        </w:rPr>
        <w:t xml:space="preserve"> </w:t>
      </w:r>
      <w:r w:rsidRPr="00A26390">
        <w:rPr>
          <w:sz w:val="22"/>
          <w:szCs w:val="22"/>
        </w:rPr>
        <w:t>It concentrates on five priority clinical areas: maternity care, severe mental illness, chronic respiratory disease, earlier cancer detection, and hypertension</w:t>
      </w:r>
      <w:r>
        <w:rPr>
          <w:sz w:val="22"/>
          <w:szCs w:val="22"/>
        </w:rPr>
        <w:t xml:space="preserve"> in the most deprived populations. This initiative directly addresses the intersection of SDG 3 and SDG 1 by linking clinical action to deprivation data.</w:t>
      </w:r>
      <w:r w:rsidR="004E1B7E">
        <w:rPr>
          <w:kern w:val="2"/>
          <w14:ligatures w14:val="standardContextual"/>
        </w:rPr>
        <w:t xml:space="preserve"> </w:t>
      </w:r>
      <w:r w:rsidR="008F2751" w:rsidRPr="00ED3C05">
        <w:rPr>
          <w:sz w:val="22"/>
          <w:szCs w:val="22"/>
        </w:rPr>
        <w:t>Early evaluation is positive</w:t>
      </w:r>
      <w:r w:rsidR="00B02BC3">
        <w:rPr>
          <w:sz w:val="22"/>
          <w:szCs w:val="22"/>
        </w:rPr>
        <w:t>, with reports showing</w:t>
      </w:r>
      <w:r w:rsidR="008F2751" w:rsidRPr="00ED3C05">
        <w:rPr>
          <w:sz w:val="22"/>
          <w:szCs w:val="22"/>
        </w:rPr>
        <w:t xml:space="preserve"> that 35 ICS areas have embedded Core20PLUS5 in their equity plans. The programme's strength lies in its explicit use of deprivation data to link clinical priorities to health inequality reduction. Its limitation is that adoption is not statutory, resulting in inconsistent delivery across local health systems; deprivation data </w:t>
      </w:r>
      <w:r w:rsidR="008F2751" w:rsidRPr="00196BF5">
        <w:rPr>
          <w:color w:val="000000" w:themeColor="text1"/>
          <w:sz w:val="22"/>
          <w:szCs w:val="22"/>
        </w:rPr>
        <w:t xml:space="preserve">can also be outdated, and evaluation frameworks vary between regions </w:t>
      </w:r>
      <w:r w:rsidR="00D8186B" w:rsidRPr="00196BF5">
        <w:rPr>
          <w:color w:val="000000" w:themeColor="text1"/>
          <w:sz w:val="22"/>
          <w:szCs w:val="22"/>
        </w:rPr>
        <w:t>(Khan, 2023).</w:t>
      </w:r>
      <w:r w:rsidR="008F2751" w:rsidRPr="00196BF5">
        <w:rPr>
          <w:color w:val="000000" w:themeColor="text1"/>
          <w:sz w:val="22"/>
          <w:szCs w:val="22"/>
        </w:rPr>
        <w:t xml:space="preserve"> </w:t>
      </w:r>
      <w:r w:rsidR="00332FF4" w:rsidRPr="00196BF5">
        <w:rPr>
          <w:color w:val="000000" w:themeColor="text1"/>
          <w:sz w:val="22"/>
          <w:szCs w:val="22"/>
        </w:rPr>
        <w:t>It is further recommended that adoption of the</w:t>
      </w:r>
      <w:r w:rsidR="008F2751" w:rsidRPr="00196BF5">
        <w:rPr>
          <w:color w:val="000000" w:themeColor="text1"/>
          <w:sz w:val="22"/>
          <w:szCs w:val="22"/>
        </w:rPr>
        <w:t xml:space="preserve"> </w:t>
      </w:r>
      <w:r w:rsidR="00196BF5">
        <w:rPr>
          <w:sz w:val="22"/>
          <w:szCs w:val="22"/>
        </w:rPr>
        <w:t>Core20PLUS5 be made</w:t>
      </w:r>
      <w:r w:rsidR="008F2751" w:rsidRPr="00ED3C05">
        <w:rPr>
          <w:sz w:val="22"/>
          <w:szCs w:val="22"/>
        </w:rPr>
        <w:t xml:space="preserve"> mandatory for all ICSs, link delivery to NHS funding settlements, and update deprivation indices annually using linked administrative data.</w:t>
      </w:r>
    </w:p>
    <w:p w14:paraId="028DD6AF" w14:textId="77777777" w:rsidR="008F2751" w:rsidRPr="00A63797" w:rsidRDefault="008F2751" w:rsidP="008F2751">
      <w:pPr>
        <w:pStyle w:val="Heading1"/>
        <w:spacing w:line="360" w:lineRule="auto"/>
        <w:jc w:val="both"/>
        <w:rPr>
          <w:color w:val="auto"/>
          <w:sz w:val="22"/>
          <w:szCs w:val="22"/>
        </w:rPr>
      </w:pPr>
      <w:bookmarkStart w:id="10" w:name="_Toc236769106"/>
      <w:r w:rsidRPr="00A63797">
        <w:rPr>
          <w:color w:val="auto"/>
          <w:sz w:val="22"/>
          <w:szCs w:val="22"/>
        </w:rPr>
        <w:t>5. Local Wellbeing Initiatives</w:t>
      </w:r>
      <w:bookmarkEnd w:id="10"/>
    </w:p>
    <w:p w14:paraId="16719B18" w14:textId="77777777" w:rsidR="008F2751" w:rsidRPr="00A63797" w:rsidRDefault="008F2751" w:rsidP="008F2751">
      <w:pPr>
        <w:pStyle w:val="Heading2"/>
        <w:spacing w:line="360" w:lineRule="auto"/>
        <w:jc w:val="both"/>
        <w:rPr>
          <w:color w:val="auto"/>
          <w:sz w:val="22"/>
          <w:szCs w:val="22"/>
        </w:rPr>
      </w:pPr>
      <w:bookmarkStart w:id="11" w:name="_Toc236769107"/>
      <w:r w:rsidRPr="00A63797">
        <w:rPr>
          <w:color w:val="auto"/>
          <w:sz w:val="22"/>
          <w:szCs w:val="22"/>
        </w:rPr>
        <w:t>5.1 Healthy Schools London</w:t>
      </w:r>
      <w:bookmarkEnd w:id="11"/>
    </w:p>
    <w:p w14:paraId="0FB5A717" w14:textId="10536659" w:rsidR="001E4D14" w:rsidRPr="001E4D14" w:rsidRDefault="001E4D14" w:rsidP="001E4D14">
      <w:pPr>
        <w:spacing w:after="200" w:line="360" w:lineRule="auto"/>
        <w:jc w:val="both"/>
        <w:rPr>
          <w:sz w:val="22"/>
          <w:szCs w:val="22"/>
        </w:rPr>
      </w:pPr>
      <w:r w:rsidRPr="001E4D14">
        <w:rPr>
          <w:sz w:val="22"/>
          <w:szCs w:val="22"/>
        </w:rPr>
        <w:t>Healthy Schools London (HSL), delivered by the Greater London Authority across all 33 boroughs, awards bronze, silver, and gold levels for embedding health and well-being into the curriculum, culture, and environment (Healthy Schools London, 2025), addressing SDG 3 through physical activity, mental health literacy, nutrition, and emotional well-being; by 2022, over 2,200 schools were engaged (UNICEF, 2025). It also engages SDG 1 by prioritising schools in the bottom Index of Multiple Deprivation quintile with added support (Aay, 2026), narrowing the gap for deprived children, who have less access to sport, extracurricular activities, and mental health support outside school.</w:t>
      </w:r>
    </w:p>
    <w:p w14:paraId="18B89503" w14:textId="46D7E06B" w:rsidR="002311E3" w:rsidRDefault="001E4D14" w:rsidP="001E4D14">
      <w:pPr>
        <w:spacing w:after="200" w:line="360" w:lineRule="auto"/>
        <w:jc w:val="both"/>
        <w:rPr>
          <w:sz w:val="22"/>
          <w:szCs w:val="22"/>
        </w:rPr>
      </w:pPr>
      <w:r w:rsidRPr="001E4D14">
        <w:rPr>
          <w:sz w:val="22"/>
          <w:szCs w:val="22"/>
        </w:rPr>
        <w:t>Its strength is a whole-school model embedding health promotion into everyday settings; its limitation is reliance on school buy-in and staff capacity, under pressure from workload and recruitment challenges (</w:t>
      </w:r>
      <w:proofErr w:type="spellStart"/>
      <w:r w:rsidRPr="001E4D14">
        <w:rPr>
          <w:sz w:val="22"/>
          <w:szCs w:val="22"/>
        </w:rPr>
        <w:t>Pulimeno</w:t>
      </w:r>
      <w:proofErr w:type="spellEnd"/>
      <w:r w:rsidRPr="001E4D14">
        <w:rPr>
          <w:sz w:val="22"/>
          <w:szCs w:val="22"/>
        </w:rPr>
        <w:t xml:space="preserve"> et al., 2020). Award attainment is also uneven, with affluent boroughs achieving higher gold-award rates, suggesting resource inequality persists within the programme. It is recommended that HSL coordinator posts be increased in the ten most deprived boroughs, funded via the public health grant, with annual deprivation-weighted reporting for accountability.</w:t>
      </w:r>
    </w:p>
    <w:p w14:paraId="66F562A2" w14:textId="77777777" w:rsidR="009B074E" w:rsidRDefault="009B074E" w:rsidP="001E4D14">
      <w:pPr>
        <w:spacing w:after="200" w:line="360" w:lineRule="auto"/>
        <w:jc w:val="both"/>
        <w:rPr>
          <w:sz w:val="22"/>
          <w:szCs w:val="22"/>
        </w:rPr>
      </w:pPr>
    </w:p>
    <w:p w14:paraId="09B0FA4D" w14:textId="77777777" w:rsidR="008F2751" w:rsidRPr="00A63797" w:rsidRDefault="008F2751" w:rsidP="008F2751">
      <w:pPr>
        <w:pStyle w:val="Heading2"/>
        <w:spacing w:line="360" w:lineRule="auto"/>
        <w:jc w:val="both"/>
        <w:rPr>
          <w:color w:val="auto"/>
          <w:sz w:val="22"/>
          <w:szCs w:val="22"/>
        </w:rPr>
      </w:pPr>
      <w:bookmarkStart w:id="12" w:name="_Toc236769108"/>
      <w:r w:rsidRPr="00A63797">
        <w:rPr>
          <w:color w:val="auto"/>
          <w:sz w:val="22"/>
          <w:szCs w:val="22"/>
        </w:rPr>
        <w:lastRenderedPageBreak/>
        <w:t>5.2 Healthy Wales: Warm Homes Programme</w:t>
      </w:r>
      <w:bookmarkEnd w:id="12"/>
    </w:p>
    <w:p w14:paraId="2CF4D22D" w14:textId="39A8C859" w:rsidR="001E0DB5" w:rsidRPr="001E0DB5" w:rsidRDefault="001E0DB5" w:rsidP="001E0DB5">
      <w:pPr>
        <w:spacing w:after="200" w:line="360" w:lineRule="auto"/>
        <w:jc w:val="both"/>
        <w:rPr>
          <w:sz w:val="22"/>
          <w:szCs w:val="22"/>
        </w:rPr>
      </w:pPr>
      <w:r w:rsidRPr="001E0DB5">
        <w:rPr>
          <w:sz w:val="22"/>
          <w:szCs w:val="22"/>
        </w:rPr>
        <w:t>Delivered through the Nest and Optimised Retrofit schemes, the Warm Homes Programme improves energy efficiency in low-income Welsh homes, upgrading over 60,000 by 2022 (GOV.WALES, 2026). It targets households in or at risk of fuel poverty, where income and heating costs exceed set thresholds, addressing SDG 1 through reduced hardship and SDG 3 through respiratory and cardiovascular health.</w:t>
      </w:r>
      <w:r>
        <w:rPr>
          <w:sz w:val="22"/>
          <w:szCs w:val="22"/>
        </w:rPr>
        <w:t xml:space="preserve"> </w:t>
      </w:r>
      <w:r w:rsidRPr="001E0DB5">
        <w:rPr>
          <w:sz w:val="22"/>
          <w:szCs w:val="22"/>
        </w:rPr>
        <w:t>Data show reduced GP referrals for respiratory conditions and improved self-reported mental health among participants (</w:t>
      </w:r>
      <w:proofErr w:type="spellStart"/>
      <w:r w:rsidRPr="001E0DB5">
        <w:rPr>
          <w:sz w:val="22"/>
          <w:szCs w:val="22"/>
        </w:rPr>
        <w:t>Chithramali</w:t>
      </w:r>
      <w:proofErr w:type="spellEnd"/>
      <w:r w:rsidRPr="001E0DB5">
        <w:rPr>
          <w:sz w:val="22"/>
          <w:szCs w:val="22"/>
        </w:rPr>
        <w:t xml:space="preserve"> </w:t>
      </w:r>
      <w:proofErr w:type="spellStart"/>
      <w:r w:rsidRPr="001E0DB5">
        <w:rPr>
          <w:sz w:val="22"/>
          <w:szCs w:val="22"/>
        </w:rPr>
        <w:t>Hasanthika</w:t>
      </w:r>
      <w:proofErr w:type="spellEnd"/>
      <w:r w:rsidRPr="001E0DB5">
        <w:rPr>
          <w:sz w:val="22"/>
          <w:szCs w:val="22"/>
        </w:rPr>
        <w:t xml:space="preserve"> Rodrigo et al., 2024). The programme embeds the Well-being of Future Generations (Wales) Act 2015, legally requiring public bodies to weigh long-term health and equity in spending decisions (Davies, 2016), providing accountability absent from many English initiatives.</w:t>
      </w:r>
    </w:p>
    <w:p w14:paraId="18D0F831" w14:textId="5B3D7DD5" w:rsidR="00BB1450" w:rsidRPr="00ED3C05" w:rsidRDefault="001E0DB5" w:rsidP="009B074E">
      <w:pPr>
        <w:spacing w:after="200" w:line="360" w:lineRule="auto"/>
        <w:jc w:val="both"/>
        <w:rPr>
          <w:sz w:val="22"/>
          <w:szCs w:val="22"/>
        </w:rPr>
      </w:pPr>
      <w:r w:rsidRPr="001E0DB5">
        <w:rPr>
          <w:sz w:val="22"/>
          <w:szCs w:val="22"/>
        </w:rPr>
        <w:t>Its strength lies in linking poverty reduction, housing quality, and health; its limitation is reach relative to need, with an estimated 291,000 households remaining in fuel poverty (Morrison-Rees and Lowe, 2023). Outreach should be extended using NHS data to identify eligible households, removing self-referral requirements.</w:t>
      </w:r>
    </w:p>
    <w:p w14:paraId="29961303" w14:textId="64AA0276" w:rsidR="008F2751" w:rsidRPr="00BB1450" w:rsidRDefault="008F2751" w:rsidP="00BB1450">
      <w:pPr>
        <w:pStyle w:val="Heading1"/>
        <w:spacing w:line="360" w:lineRule="auto"/>
        <w:jc w:val="both"/>
        <w:rPr>
          <w:color w:val="auto"/>
          <w:sz w:val="22"/>
          <w:szCs w:val="22"/>
        </w:rPr>
      </w:pPr>
      <w:bookmarkStart w:id="13" w:name="_Toc236769109"/>
      <w:r w:rsidRPr="00A63797">
        <w:rPr>
          <w:color w:val="auto"/>
          <w:sz w:val="22"/>
          <w:szCs w:val="22"/>
        </w:rPr>
        <w:t>6. Conclusion</w:t>
      </w:r>
      <w:bookmarkEnd w:id="13"/>
    </w:p>
    <w:p w14:paraId="7D641AC0" w14:textId="59B86916" w:rsidR="008F2751" w:rsidRPr="00ED3C05" w:rsidRDefault="008F2751" w:rsidP="008F2751">
      <w:pPr>
        <w:spacing w:after="200" w:line="360" w:lineRule="auto"/>
        <w:jc w:val="both"/>
        <w:rPr>
          <w:sz w:val="22"/>
          <w:szCs w:val="22"/>
        </w:rPr>
      </w:pPr>
      <w:r w:rsidRPr="00ED3C05">
        <w:rPr>
          <w:sz w:val="22"/>
          <w:szCs w:val="22"/>
        </w:rPr>
        <w:t>SDG 3 and SDG 1 are interdependent goals that together define the conditions for a healthy society. Poor health and poverty reinforce each other, and no health strategy can succeed without addressing both. In the UK, the NHS Long Term Plan and the Core20PLUS5 framework offer credible national structures</w:t>
      </w:r>
      <w:r w:rsidR="00317D93">
        <w:rPr>
          <w:sz w:val="22"/>
          <w:szCs w:val="22"/>
        </w:rPr>
        <w:t>. At the same time,</w:t>
      </w:r>
      <w:r w:rsidRPr="00ED3C05">
        <w:rPr>
          <w:sz w:val="22"/>
          <w:szCs w:val="22"/>
        </w:rPr>
        <w:t xml:space="preserve"> Healthy Schools London and the Warm Homes Programme demonstrate what targeted local action can achieve. However, all four initiatives face funding pressures, workforce constraints, and equity gaps. Strengthening these programmes through sustained investment, mandatory accountability frameworks, and a health-in-all-policies approach is essential to making SDG 3 and SDG 1 a lived reality for every citizen.</w:t>
      </w:r>
    </w:p>
    <w:p w14:paraId="04632E97" w14:textId="77777777" w:rsidR="008F2751" w:rsidRPr="002A675B" w:rsidRDefault="008F2751" w:rsidP="008F2751">
      <w:pPr>
        <w:spacing w:line="276" w:lineRule="auto"/>
        <w:jc w:val="both"/>
        <w:rPr>
          <w:sz w:val="22"/>
          <w:szCs w:val="22"/>
        </w:rPr>
      </w:pPr>
      <w:r w:rsidRPr="002A675B">
        <w:rPr>
          <w:sz w:val="22"/>
          <w:szCs w:val="22"/>
        </w:rPr>
        <w:br w:type="page"/>
      </w:r>
    </w:p>
    <w:p w14:paraId="7F4D7F2D" w14:textId="47537F81" w:rsidR="008163A5" w:rsidRPr="00E90112" w:rsidRDefault="008F2751" w:rsidP="00E90112">
      <w:pPr>
        <w:pStyle w:val="Heading1"/>
        <w:spacing w:line="360" w:lineRule="auto"/>
        <w:rPr>
          <w:sz w:val="22"/>
          <w:szCs w:val="22"/>
        </w:rPr>
      </w:pPr>
      <w:bookmarkStart w:id="14" w:name="_Toc236769110"/>
      <w:r w:rsidRPr="00E90112">
        <w:rPr>
          <w:sz w:val="22"/>
          <w:szCs w:val="22"/>
        </w:rPr>
        <w:lastRenderedPageBreak/>
        <w:t>References</w:t>
      </w:r>
      <w:bookmarkEnd w:id="14"/>
    </w:p>
    <w:p w14:paraId="04FB8240"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Aay, K. (2026) </w:t>
      </w:r>
      <w:r w:rsidRPr="00E90112">
        <w:rPr>
          <w:rFonts w:eastAsia="Times New Roman"/>
          <w:i/>
          <w:iCs/>
          <w:sz w:val="22"/>
          <w:szCs w:val="22"/>
        </w:rPr>
        <w:t>Global occupational safety and health management handbook</w:t>
      </w:r>
      <w:r w:rsidRPr="00E90112">
        <w:rPr>
          <w:rFonts w:eastAsia="Times New Roman"/>
          <w:sz w:val="22"/>
          <w:szCs w:val="22"/>
        </w:rPr>
        <w:t xml:space="preserve">. </w:t>
      </w:r>
      <w:r w:rsidRPr="00E90112">
        <w:rPr>
          <w:rFonts w:eastAsia="Times New Roman"/>
          <w:i/>
          <w:iCs/>
          <w:sz w:val="22"/>
          <w:szCs w:val="22"/>
        </w:rPr>
        <w:t>Scribd</w:t>
      </w:r>
      <w:r w:rsidRPr="00E90112">
        <w:rPr>
          <w:rFonts w:eastAsia="Times New Roman"/>
          <w:sz w:val="22"/>
          <w:szCs w:val="22"/>
        </w:rPr>
        <w:t xml:space="preserve">. Available at: </w:t>
      </w:r>
      <w:hyperlink r:id="rId9" w:history="1">
        <w:r w:rsidRPr="00E90112">
          <w:rPr>
            <w:rStyle w:val="Hyperlink"/>
            <w:rFonts w:eastAsia="Times New Roman"/>
            <w:sz w:val="22"/>
            <w:szCs w:val="22"/>
          </w:rPr>
          <w:t>https://www.scribd.com/document/462889179/Global-Occupational-Safety-and-Health-Management-Handbook</w:t>
        </w:r>
      </w:hyperlink>
      <w:r w:rsidRPr="00E90112">
        <w:rPr>
          <w:rFonts w:eastAsia="Times New Roman"/>
          <w:sz w:val="22"/>
          <w:szCs w:val="22"/>
        </w:rPr>
        <w:t xml:space="preserve">  (Accessed 4 August 2026).</w:t>
      </w:r>
    </w:p>
    <w:p w14:paraId="3FC07A3C"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Aldridge, R.W., Lewer, D., </w:t>
      </w:r>
      <w:proofErr w:type="spellStart"/>
      <w:r w:rsidRPr="00E90112">
        <w:rPr>
          <w:rFonts w:eastAsia="Times New Roman"/>
          <w:sz w:val="22"/>
          <w:szCs w:val="22"/>
        </w:rPr>
        <w:t>Katikireddi</w:t>
      </w:r>
      <w:proofErr w:type="spellEnd"/>
      <w:r w:rsidRPr="00E90112">
        <w:rPr>
          <w:rFonts w:eastAsia="Times New Roman"/>
          <w:sz w:val="22"/>
          <w:szCs w:val="22"/>
        </w:rPr>
        <w:t xml:space="preserve">, S.V., Mathur, R., Pathak, N., Burns, R., </w:t>
      </w:r>
      <w:proofErr w:type="spellStart"/>
      <w:r w:rsidRPr="00E90112">
        <w:rPr>
          <w:rFonts w:eastAsia="Times New Roman"/>
          <w:sz w:val="22"/>
          <w:szCs w:val="22"/>
        </w:rPr>
        <w:t>Fragaszy</w:t>
      </w:r>
      <w:proofErr w:type="spellEnd"/>
      <w:r w:rsidRPr="00E90112">
        <w:rPr>
          <w:rFonts w:eastAsia="Times New Roman"/>
          <w:sz w:val="22"/>
          <w:szCs w:val="22"/>
        </w:rPr>
        <w:t xml:space="preserve">, E.B., Johnson, A.M., Devakumar, D., Abubakar, I. and Hayward, A. (2020) ‘Black, </w:t>
      </w:r>
      <w:proofErr w:type="spellStart"/>
      <w:r w:rsidRPr="00E90112">
        <w:rPr>
          <w:rFonts w:eastAsia="Times New Roman"/>
          <w:sz w:val="22"/>
          <w:szCs w:val="22"/>
        </w:rPr>
        <w:t>asian</w:t>
      </w:r>
      <w:proofErr w:type="spellEnd"/>
      <w:r w:rsidRPr="00E90112">
        <w:rPr>
          <w:rFonts w:eastAsia="Times New Roman"/>
          <w:sz w:val="22"/>
          <w:szCs w:val="22"/>
        </w:rPr>
        <w:t xml:space="preserve"> and minority ethnic groups in </w:t>
      </w:r>
      <w:proofErr w:type="spellStart"/>
      <w:r w:rsidRPr="00E90112">
        <w:rPr>
          <w:rFonts w:eastAsia="Times New Roman"/>
          <w:sz w:val="22"/>
          <w:szCs w:val="22"/>
        </w:rPr>
        <w:t>england</w:t>
      </w:r>
      <w:proofErr w:type="spellEnd"/>
      <w:r w:rsidRPr="00E90112">
        <w:rPr>
          <w:rFonts w:eastAsia="Times New Roman"/>
          <w:sz w:val="22"/>
          <w:szCs w:val="22"/>
        </w:rPr>
        <w:t xml:space="preserve"> are at increased risk of death from COVID-19: Indirect standardisation of NHS mortality data; </w:t>
      </w:r>
      <w:proofErr w:type="spellStart"/>
      <w:r w:rsidRPr="00E90112">
        <w:rPr>
          <w:rFonts w:eastAsia="Times New Roman"/>
          <w:i/>
          <w:iCs/>
          <w:sz w:val="22"/>
          <w:szCs w:val="22"/>
        </w:rPr>
        <w:t>Wellcome</w:t>
      </w:r>
      <w:proofErr w:type="spellEnd"/>
      <w:r w:rsidRPr="00E90112">
        <w:rPr>
          <w:rFonts w:eastAsia="Times New Roman"/>
          <w:i/>
          <w:iCs/>
          <w:sz w:val="22"/>
          <w:szCs w:val="22"/>
        </w:rPr>
        <w:t xml:space="preserve"> Open </w:t>
      </w:r>
      <w:proofErr w:type="gramStart"/>
      <w:r w:rsidRPr="00E90112">
        <w:rPr>
          <w:rFonts w:eastAsia="Times New Roman"/>
          <w:i/>
          <w:iCs/>
          <w:sz w:val="22"/>
          <w:szCs w:val="22"/>
        </w:rPr>
        <w:t>Research</w:t>
      </w:r>
      <w:r w:rsidRPr="00E90112">
        <w:rPr>
          <w:rFonts w:eastAsia="Times New Roman"/>
          <w:sz w:val="22"/>
          <w:szCs w:val="22"/>
        </w:rPr>
        <w:t>,  5</w:t>
      </w:r>
      <w:proofErr w:type="gramEnd"/>
      <w:r w:rsidRPr="00E90112">
        <w:rPr>
          <w:rFonts w:eastAsia="Times New Roman"/>
          <w:sz w:val="22"/>
          <w:szCs w:val="22"/>
        </w:rPr>
        <w:t xml:space="preserve">(5), p.88. </w:t>
      </w:r>
      <w:hyperlink r:id="rId10" w:history="1">
        <w:r w:rsidRPr="00E90112">
          <w:rPr>
            <w:rStyle w:val="Hyperlink"/>
            <w:rFonts w:eastAsia="Times New Roman"/>
            <w:sz w:val="22"/>
            <w:szCs w:val="22"/>
          </w:rPr>
          <w:t>https://doi:10.12688/wellcomeopenres.15922.2</w:t>
        </w:r>
      </w:hyperlink>
      <w:r w:rsidRPr="00E90112">
        <w:rPr>
          <w:rFonts w:eastAsia="Times New Roman"/>
          <w:sz w:val="22"/>
          <w:szCs w:val="22"/>
        </w:rPr>
        <w:t xml:space="preserve">. </w:t>
      </w:r>
    </w:p>
    <w:p w14:paraId="561E3759"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Bebbington, P.E. and McManus, S. (2019) ‘Revisiting the one in four: The prevalence of psychiatric disorder in the population of </w:t>
      </w:r>
      <w:proofErr w:type="spellStart"/>
      <w:r w:rsidRPr="00E90112">
        <w:rPr>
          <w:rFonts w:eastAsia="Times New Roman"/>
          <w:sz w:val="22"/>
          <w:szCs w:val="22"/>
        </w:rPr>
        <w:t>england</w:t>
      </w:r>
      <w:proofErr w:type="spellEnd"/>
      <w:r w:rsidRPr="00E90112">
        <w:rPr>
          <w:rFonts w:eastAsia="Times New Roman"/>
          <w:sz w:val="22"/>
          <w:szCs w:val="22"/>
        </w:rPr>
        <w:t xml:space="preserve"> 2000–2014; </w:t>
      </w:r>
      <w:r w:rsidRPr="00E90112">
        <w:rPr>
          <w:rFonts w:eastAsia="Times New Roman"/>
          <w:i/>
          <w:iCs/>
          <w:sz w:val="22"/>
          <w:szCs w:val="22"/>
        </w:rPr>
        <w:t>The British Journal of Psychiatry</w:t>
      </w:r>
      <w:r w:rsidRPr="00E90112">
        <w:rPr>
          <w:rFonts w:eastAsia="Times New Roman"/>
          <w:sz w:val="22"/>
          <w:szCs w:val="22"/>
        </w:rPr>
        <w:t xml:space="preserve">, 216(1), pp.55–57. Available at: </w:t>
      </w:r>
      <w:hyperlink r:id="rId11" w:history="1">
        <w:r w:rsidRPr="00E90112">
          <w:rPr>
            <w:rStyle w:val="Hyperlink"/>
            <w:rFonts w:eastAsia="Times New Roman"/>
            <w:sz w:val="22"/>
            <w:szCs w:val="22"/>
          </w:rPr>
          <w:t>https://doi:10.1192/bjp.2019.196</w:t>
        </w:r>
      </w:hyperlink>
      <w:r w:rsidRPr="00E90112">
        <w:rPr>
          <w:rFonts w:eastAsia="Times New Roman"/>
          <w:sz w:val="22"/>
          <w:szCs w:val="22"/>
        </w:rPr>
        <w:t xml:space="preserve">. </w:t>
      </w:r>
    </w:p>
    <w:p w14:paraId="603E2C38" w14:textId="77777777" w:rsidR="00AE3849" w:rsidRPr="00E90112" w:rsidRDefault="00AE3849" w:rsidP="00E90112">
      <w:pPr>
        <w:spacing w:after="240" w:line="360" w:lineRule="auto"/>
        <w:rPr>
          <w:rFonts w:eastAsia="Times New Roman"/>
          <w:sz w:val="22"/>
          <w:szCs w:val="22"/>
        </w:rPr>
      </w:pPr>
      <w:proofErr w:type="spellStart"/>
      <w:r w:rsidRPr="00E90112">
        <w:rPr>
          <w:rFonts w:eastAsia="Times New Roman"/>
          <w:sz w:val="22"/>
          <w:szCs w:val="22"/>
        </w:rPr>
        <w:t>Chithramali</w:t>
      </w:r>
      <w:proofErr w:type="spellEnd"/>
      <w:r w:rsidRPr="00E90112">
        <w:rPr>
          <w:rFonts w:eastAsia="Times New Roman"/>
          <w:sz w:val="22"/>
          <w:szCs w:val="22"/>
        </w:rPr>
        <w:t xml:space="preserve"> </w:t>
      </w:r>
      <w:proofErr w:type="spellStart"/>
      <w:r w:rsidRPr="00E90112">
        <w:rPr>
          <w:rFonts w:eastAsia="Times New Roman"/>
          <w:sz w:val="22"/>
          <w:szCs w:val="22"/>
        </w:rPr>
        <w:t>Hasanthika</w:t>
      </w:r>
      <w:proofErr w:type="spellEnd"/>
      <w:r w:rsidRPr="00E90112">
        <w:rPr>
          <w:rFonts w:eastAsia="Times New Roman"/>
          <w:sz w:val="22"/>
          <w:szCs w:val="22"/>
        </w:rPr>
        <w:t xml:space="preserve"> Rodrigo, Singal, K., Mackie, P. and Shantini </w:t>
      </w:r>
      <w:proofErr w:type="spellStart"/>
      <w:r w:rsidRPr="00E90112">
        <w:rPr>
          <w:rFonts w:eastAsia="Times New Roman"/>
          <w:sz w:val="22"/>
          <w:szCs w:val="22"/>
        </w:rPr>
        <w:t>Paranjothy</w:t>
      </w:r>
      <w:proofErr w:type="spellEnd"/>
      <w:r w:rsidRPr="00E90112">
        <w:rPr>
          <w:rFonts w:eastAsia="Times New Roman"/>
          <w:sz w:val="22"/>
          <w:szCs w:val="22"/>
        </w:rPr>
        <w:t xml:space="preserve"> (2024). Effectiveness of financial support interventions to reduce adverse health outcomes among households in fuel poverty in the United Kingdom. </w:t>
      </w:r>
      <w:r w:rsidRPr="00E90112">
        <w:rPr>
          <w:rFonts w:eastAsia="Times New Roman"/>
          <w:i/>
          <w:iCs/>
          <w:sz w:val="22"/>
          <w:szCs w:val="22"/>
        </w:rPr>
        <w:t>Public health in practice</w:t>
      </w:r>
      <w:r w:rsidRPr="00E90112">
        <w:rPr>
          <w:rFonts w:eastAsia="Times New Roman"/>
          <w:sz w:val="22"/>
          <w:szCs w:val="22"/>
        </w:rPr>
        <w:t xml:space="preserve">, 7, pp.100503–100503. Available at: </w:t>
      </w:r>
      <w:hyperlink r:id="rId12" w:history="1">
        <w:r w:rsidRPr="00E90112">
          <w:rPr>
            <w:rStyle w:val="Hyperlink"/>
            <w:rFonts w:eastAsia="Times New Roman"/>
            <w:sz w:val="22"/>
            <w:szCs w:val="22"/>
          </w:rPr>
          <w:t>https://doi:10.1016/j.puhip.2024.100503</w:t>
        </w:r>
      </w:hyperlink>
      <w:r w:rsidRPr="00E90112">
        <w:rPr>
          <w:rFonts w:eastAsia="Times New Roman"/>
          <w:sz w:val="22"/>
          <w:szCs w:val="22"/>
        </w:rPr>
        <w:t xml:space="preserve">. </w:t>
      </w:r>
    </w:p>
    <w:p w14:paraId="4C3346D8" w14:textId="77777777" w:rsidR="00AE3849" w:rsidRPr="00E90112" w:rsidRDefault="00AE3849" w:rsidP="00E90112">
      <w:pPr>
        <w:spacing w:line="360" w:lineRule="auto"/>
        <w:rPr>
          <w:rFonts w:eastAsia="Times New Roman"/>
          <w:sz w:val="22"/>
          <w:szCs w:val="22"/>
        </w:rPr>
      </w:pPr>
      <w:proofErr w:type="spellStart"/>
      <w:r w:rsidRPr="00E90112">
        <w:rPr>
          <w:rFonts w:eastAsia="Times New Roman"/>
          <w:sz w:val="22"/>
          <w:szCs w:val="22"/>
        </w:rPr>
        <w:t>Dalingwater</w:t>
      </w:r>
      <w:proofErr w:type="spellEnd"/>
      <w:r w:rsidRPr="00E90112">
        <w:rPr>
          <w:rFonts w:eastAsia="Times New Roman"/>
          <w:sz w:val="22"/>
          <w:szCs w:val="22"/>
        </w:rPr>
        <w:t xml:space="preserve">, L. (2020) “Towards a New Health Deal for the North of </w:t>
      </w:r>
      <w:proofErr w:type="gramStart"/>
      <w:r w:rsidRPr="00E90112">
        <w:rPr>
          <w:rFonts w:eastAsia="Times New Roman"/>
          <w:sz w:val="22"/>
          <w:szCs w:val="22"/>
        </w:rPr>
        <w:t>England?,</w:t>
      </w:r>
      <w:proofErr w:type="gramEnd"/>
      <w:r w:rsidRPr="00E90112">
        <w:rPr>
          <w:rFonts w:eastAsia="Times New Roman"/>
          <w:sz w:val="22"/>
          <w:szCs w:val="22"/>
        </w:rPr>
        <w:t xml:space="preserve">” </w:t>
      </w:r>
      <w:r w:rsidRPr="00E90112">
        <w:rPr>
          <w:rFonts w:eastAsia="Times New Roman"/>
          <w:i/>
          <w:iCs/>
          <w:sz w:val="22"/>
          <w:szCs w:val="22"/>
        </w:rPr>
        <w:t xml:space="preserve">Revue française de civilisation </w:t>
      </w:r>
      <w:proofErr w:type="spellStart"/>
      <w:r w:rsidRPr="00E90112">
        <w:rPr>
          <w:rFonts w:eastAsia="Times New Roman"/>
          <w:i/>
          <w:iCs/>
          <w:sz w:val="22"/>
          <w:szCs w:val="22"/>
        </w:rPr>
        <w:t>britannique</w:t>
      </w:r>
      <w:proofErr w:type="spellEnd"/>
      <w:r w:rsidRPr="00E90112">
        <w:rPr>
          <w:rFonts w:eastAsia="Times New Roman"/>
          <w:sz w:val="22"/>
          <w:szCs w:val="22"/>
        </w:rPr>
        <w:t xml:space="preserve">, </w:t>
      </w:r>
      <w:proofErr w:type="gramStart"/>
      <w:r w:rsidRPr="00E90112">
        <w:rPr>
          <w:rFonts w:eastAsia="Times New Roman"/>
          <w:sz w:val="22"/>
          <w:szCs w:val="22"/>
        </w:rPr>
        <w:t>XXV(</w:t>
      </w:r>
      <w:proofErr w:type="gramEnd"/>
      <w:r w:rsidRPr="00E90112">
        <w:rPr>
          <w:rFonts w:eastAsia="Times New Roman"/>
          <w:sz w:val="22"/>
          <w:szCs w:val="22"/>
        </w:rPr>
        <w:t xml:space="preserve">2). Available at: </w:t>
      </w:r>
      <w:hyperlink r:id="rId13" w:history="1">
        <w:r w:rsidRPr="00E90112">
          <w:rPr>
            <w:rStyle w:val="Hyperlink"/>
            <w:rFonts w:eastAsia="Times New Roman"/>
            <w:sz w:val="22"/>
            <w:szCs w:val="22"/>
          </w:rPr>
          <w:t>https://doi.org/10.4000/rfcb.5264</w:t>
        </w:r>
      </w:hyperlink>
      <w:r w:rsidRPr="00E90112">
        <w:rPr>
          <w:rFonts w:eastAsia="Times New Roman"/>
          <w:sz w:val="22"/>
          <w:szCs w:val="22"/>
        </w:rPr>
        <w:t xml:space="preserve">. </w:t>
      </w:r>
    </w:p>
    <w:p w14:paraId="283FDD60" w14:textId="77777777" w:rsidR="000803F8" w:rsidRPr="00E90112" w:rsidRDefault="000803F8" w:rsidP="00E90112">
      <w:pPr>
        <w:spacing w:line="360" w:lineRule="auto"/>
        <w:rPr>
          <w:rFonts w:eastAsia="Times New Roman"/>
          <w:sz w:val="22"/>
          <w:szCs w:val="22"/>
        </w:rPr>
      </w:pPr>
    </w:p>
    <w:p w14:paraId="1C8ED64D"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Davies, H. (2016) ‘The well-being of future generations (</w:t>
      </w:r>
      <w:proofErr w:type="spellStart"/>
      <w:r w:rsidRPr="00E90112">
        <w:rPr>
          <w:rFonts w:eastAsia="Times New Roman"/>
          <w:sz w:val="22"/>
          <w:szCs w:val="22"/>
        </w:rPr>
        <w:t>wales</w:t>
      </w:r>
      <w:proofErr w:type="spellEnd"/>
      <w:r w:rsidRPr="00E90112">
        <w:rPr>
          <w:rFonts w:eastAsia="Times New Roman"/>
          <w:sz w:val="22"/>
          <w:szCs w:val="22"/>
        </w:rPr>
        <w:t xml:space="preserve">) act 2015; </w:t>
      </w:r>
      <w:r w:rsidRPr="00E90112">
        <w:rPr>
          <w:rFonts w:eastAsia="Times New Roman"/>
          <w:i/>
          <w:iCs/>
          <w:sz w:val="22"/>
          <w:szCs w:val="22"/>
        </w:rPr>
        <w:t>Environmental Law Review</w:t>
      </w:r>
      <w:r w:rsidRPr="00E90112">
        <w:rPr>
          <w:rFonts w:eastAsia="Times New Roman"/>
          <w:sz w:val="22"/>
          <w:szCs w:val="22"/>
        </w:rPr>
        <w:t xml:space="preserve">, 18(1), pp.41–56. Available at: </w:t>
      </w:r>
      <w:hyperlink r:id="rId14" w:history="1">
        <w:r w:rsidRPr="00E90112">
          <w:rPr>
            <w:rStyle w:val="Hyperlink"/>
            <w:rFonts w:eastAsia="Times New Roman"/>
            <w:sz w:val="22"/>
            <w:szCs w:val="22"/>
          </w:rPr>
          <w:t>https://doi:10.1177/1461452916631889</w:t>
        </w:r>
      </w:hyperlink>
      <w:r w:rsidRPr="00E90112">
        <w:rPr>
          <w:rFonts w:eastAsia="Times New Roman"/>
          <w:sz w:val="22"/>
          <w:szCs w:val="22"/>
        </w:rPr>
        <w:t xml:space="preserve">. </w:t>
      </w:r>
    </w:p>
    <w:p w14:paraId="2EC008C9" w14:textId="77777777" w:rsidR="00AE3849" w:rsidRPr="00E90112" w:rsidRDefault="00AE3849" w:rsidP="00E90112">
      <w:pPr>
        <w:spacing w:line="360" w:lineRule="auto"/>
        <w:rPr>
          <w:rFonts w:eastAsia="Times New Roman"/>
          <w:sz w:val="22"/>
          <w:szCs w:val="22"/>
        </w:rPr>
      </w:pPr>
      <w:r w:rsidRPr="00E90112">
        <w:rPr>
          <w:rFonts w:eastAsia="Times New Roman"/>
          <w:sz w:val="22"/>
          <w:szCs w:val="22"/>
        </w:rPr>
        <w:t xml:space="preserve">Fitzpatrick, C. and Engels, D. (2016) “Leaving no one behind: a neglected tropical disease indicator and tracers for the Sustainable Development Goals,” </w:t>
      </w:r>
      <w:r w:rsidRPr="00E90112">
        <w:rPr>
          <w:rFonts w:eastAsia="Times New Roman"/>
          <w:i/>
          <w:iCs/>
          <w:sz w:val="22"/>
          <w:szCs w:val="22"/>
        </w:rPr>
        <w:t>International health</w:t>
      </w:r>
      <w:r w:rsidRPr="00E90112">
        <w:rPr>
          <w:rFonts w:eastAsia="Times New Roman"/>
          <w:sz w:val="22"/>
          <w:szCs w:val="22"/>
        </w:rPr>
        <w:t xml:space="preserve">, 8(suppl_1), pp. i15–i18. Available at: </w:t>
      </w:r>
      <w:hyperlink r:id="rId15" w:history="1">
        <w:r w:rsidRPr="00E90112">
          <w:rPr>
            <w:rStyle w:val="Hyperlink"/>
            <w:rFonts w:eastAsia="Times New Roman"/>
            <w:sz w:val="22"/>
            <w:szCs w:val="22"/>
          </w:rPr>
          <w:t>https://doi.org/10.1093/inthealth/ihw002</w:t>
        </w:r>
      </w:hyperlink>
      <w:r w:rsidRPr="00E90112">
        <w:rPr>
          <w:rFonts w:eastAsia="Times New Roman"/>
          <w:sz w:val="22"/>
          <w:szCs w:val="22"/>
        </w:rPr>
        <w:t>.</w:t>
      </w:r>
    </w:p>
    <w:p w14:paraId="520ACE61" w14:textId="77777777" w:rsidR="00736DBD" w:rsidRPr="00E90112" w:rsidRDefault="00736DBD" w:rsidP="00E90112">
      <w:pPr>
        <w:spacing w:line="360" w:lineRule="auto"/>
        <w:rPr>
          <w:rFonts w:eastAsia="Times New Roman"/>
          <w:sz w:val="22"/>
          <w:szCs w:val="22"/>
        </w:rPr>
      </w:pPr>
    </w:p>
    <w:p w14:paraId="4DF781B4"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Food Standards Agency (2026) </w:t>
      </w:r>
      <w:r w:rsidRPr="00E90112">
        <w:rPr>
          <w:rFonts w:eastAsia="Times New Roman"/>
          <w:i/>
          <w:iCs/>
          <w:sz w:val="22"/>
          <w:szCs w:val="22"/>
        </w:rPr>
        <w:t xml:space="preserve">Our food 2022: </w:t>
      </w:r>
      <w:proofErr w:type="spellStart"/>
      <w:r w:rsidRPr="00E90112">
        <w:rPr>
          <w:rFonts w:eastAsia="Times New Roman"/>
          <w:i/>
          <w:iCs/>
          <w:sz w:val="22"/>
          <w:szCs w:val="22"/>
        </w:rPr>
        <w:t>aN</w:t>
      </w:r>
      <w:proofErr w:type="spellEnd"/>
      <w:r w:rsidRPr="00E90112">
        <w:rPr>
          <w:rFonts w:eastAsia="Times New Roman"/>
          <w:i/>
          <w:iCs/>
          <w:sz w:val="22"/>
          <w:szCs w:val="22"/>
        </w:rPr>
        <w:t xml:space="preserve"> annual review of food standards across the UK</w:t>
      </w:r>
      <w:r w:rsidRPr="00E90112">
        <w:rPr>
          <w:rFonts w:eastAsia="Times New Roman"/>
          <w:sz w:val="22"/>
          <w:szCs w:val="22"/>
        </w:rPr>
        <w:t xml:space="preserve">. Available at: </w:t>
      </w:r>
      <w:hyperlink r:id="rId16" w:history="1">
        <w:r w:rsidRPr="00E90112">
          <w:rPr>
            <w:rStyle w:val="Hyperlink"/>
            <w:rFonts w:eastAsia="Times New Roman"/>
            <w:sz w:val="22"/>
            <w:szCs w:val="22"/>
          </w:rPr>
          <w:t>https://www.gov.uk/government/publications/our-food-2022-an-annual-review-of-food-standards-across-the-uk/our-food-2022-an-annual-review-of-food-standards-across-the-uk</w:t>
        </w:r>
      </w:hyperlink>
      <w:r w:rsidRPr="00E90112">
        <w:rPr>
          <w:rFonts w:eastAsia="Times New Roman"/>
          <w:sz w:val="22"/>
          <w:szCs w:val="22"/>
        </w:rPr>
        <w:t xml:space="preserve">  (Accessed 4 August 2026).</w:t>
      </w:r>
    </w:p>
    <w:p w14:paraId="2B37C0F1" w14:textId="77777777" w:rsidR="00AE3849" w:rsidRPr="00E90112" w:rsidRDefault="00AE3849" w:rsidP="00E90112">
      <w:pPr>
        <w:spacing w:after="240" w:line="360" w:lineRule="auto"/>
        <w:rPr>
          <w:rFonts w:eastAsia="Times New Roman"/>
          <w:sz w:val="22"/>
          <w:szCs w:val="22"/>
        </w:rPr>
      </w:pPr>
      <w:proofErr w:type="spellStart"/>
      <w:r w:rsidRPr="00E90112">
        <w:rPr>
          <w:rFonts w:eastAsia="Times New Roman"/>
          <w:sz w:val="22"/>
          <w:szCs w:val="22"/>
        </w:rPr>
        <w:t>Freihat</w:t>
      </w:r>
      <w:proofErr w:type="spellEnd"/>
      <w:r w:rsidRPr="00E90112">
        <w:rPr>
          <w:rFonts w:eastAsia="Times New Roman"/>
          <w:sz w:val="22"/>
          <w:szCs w:val="22"/>
        </w:rPr>
        <w:t xml:space="preserve">, O., Sipos, D., Aamir, M. and Kovacs, A. (2025) ‘Global burden and future projections of non-communicable diseases (2000–2050): progress toward SDG 3.4 and </w:t>
      </w:r>
      <w:r w:rsidRPr="00E90112">
        <w:rPr>
          <w:rFonts w:eastAsia="Times New Roman"/>
          <w:sz w:val="22"/>
          <w:szCs w:val="22"/>
        </w:rPr>
        <w:lastRenderedPageBreak/>
        <w:t xml:space="preserve">disparities across regions and risk factors; </w:t>
      </w:r>
      <w:proofErr w:type="spellStart"/>
      <w:r w:rsidRPr="00E90112">
        <w:rPr>
          <w:rFonts w:eastAsia="Times New Roman"/>
          <w:i/>
          <w:iCs/>
          <w:sz w:val="22"/>
          <w:szCs w:val="22"/>
        </w:rPr>
        <w:t>PLoS</w:t>
      </w:r>
      <w:proofErr w:type="spellEnd"/>
      <w:r w:rsidRPr="00E90112">
        <w:rPr>
          <w:rFonts w:eastAsia="Times New Roman"/>
          <w:i/>
          <w:iCs/>
          <w:sz w:val="22"/>
          <w:szCs w:val="22"/>
        </w:rPr>
        <w:t xml:space="preserve"> </w:t>
      </w:r>
      <w:proofErr w:type="gramStart"/>
      <w:r w:rsidRPr="00E90112">
        <w:rPr>
          <w:rFonts w:eastAsia="Times New Roman"/>
          <w:i/>
          <w:iCs/>
          <w:sz w:val="22"/>
          <w:szCs w:val="22"/>
        </w:rPr>
        <w:t>ONE</w:t>
      </w:r>
      <w:r w:rsidRPr="00E90112">
        <w:rPr>
          <w:rFonts w:eastAsia="Times New Roman"/>
          <w:sz w:val="22"/>
          <w:szCs w:val="22"/>
        </w:rPr>
        <w:t>,  20</w:t>
      </w:r>
      <w:proofErr w:type="gramEnd"/>
      <w:r w:rsidRPr="00E90112">
        <w:rPr>
          <w:rFonts w:eastAsia="Times New Roman"/>
          <w:sz w:val="22"/>
          <w:szCs w:val="22"/>
        </w:rPr>
        <w:t xml:space="preserve">(12), </w:t>
      </w:r>
      <w:proofErr w:type="gramStart"/>
      <w:r w:rsidRPr="00E90112">
        <w:rPr>
          <w:rFonts w:eastAsia="Times New Roman"/>
          <w:sz w:val="22"/>
          <w:szCs w:val="22"/>
        </w:rPr>
        <w:t>pp.e</w:t>
      </w:r>
      <w:proofErr w:type="gramEnd"/>
      <w:r w:rsidRPr="00E90112">
        <w:rPr>
          <w:rFonts w:eastAsia="Times New Roman"/>
          <w:sz w:val="22"/>
          <w:szCs w:val="22"/>
        </w:rPr>
        <w:t xml:space="preserve">0336036-e0336036. Available at: </w:t>
      </w:r>
      <w:hyperlink r:id="rId17" w:history="1">
        <w:r w:rsidRPr="00E90112">
          <w:rPr>
            <w:rStyle w:val="Hyperlink"/>
            <w:rFonts w:eastAsia="Times New Roman"/>
            <w:sz w:val="22"/>
            <w:szCs w:val="22"/>
          </w:rPr>
          <w:t>https://doi:10.1371/journal.pone.0336036</w:t>
        </w:r>
      </w:hyperlink>
      <w:r w:rsidRPr="00E90112">
        <w:rPr>
          <w:rFonts w:eastAsia="Times New Roman"/>
          <w:sz w:val="22"/>
          <w:szCs w:val="22"/>
        </w:rPr>
        <w:t xml:space="preserve">. </w:t>
      </w:r>
    </w:p>
    <w:p w14:paraId="14F19C45"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GOV.WALES. (2026) </w:t>
      </w:r>
      <w:r w:rsidRPr="00E90112">
        <w:rPr>
          <w:rFonts w:eastAsia="Times New Roman"/>
          <w:i/>
          <w:iCs/>
          <w:sz w:val="22"/>
          <w:szCs w:val="22"/>
        </w:rPr>
        <w:t xml:space="preserve">First 100 days: Warmer and more energy efficient homes [HTML] | </w:t>
      </w:r>
      <w:proofErr w:type="spellStart"/>
      <w:proofErr w:type="gramStart"/>
      <w:r w:rsidRPr="00E90112">
        <w:rPr>
          <w:rFonts w:eastAsia="Times New Roman"/>
          <w:i/>
          <w:iCs/>
          <w:sz w:val="22"/>
          <w:szCs w:val="22"/>
        </w:rPr>
        <w:t>gov.wales</w:t>
      </w:r>
      <w:proofErr w:type="spellEnd"/>
      <w:proofErr w:type="gramEnd"/>
      <w:r w:rsidRPr="00E90112">
        <w:rPr>
          <w:rFonts w:eastAsia="Times New Roman"/>
          <w:sz w:val="22"/>
          <w:szCs w:val="22"/>
        </w:rPr>
        <w:t xml:space="preserve">.  Available at: </w:t>
      </w:r>
      <w:hyperlink r:id="rId18" w:history="1">
        <w:r w:rsidRPr="00E90112">
          <w:rPr>
            <w:rStyle w:val="Hyperlink"/>
            <w:rFonts w:eastAsia="Times New Roman"/>
            <w:sz w:val="22"/>
            <w:szCs w:val="22"/>
          </w:rPr>
          <w:t>https://www.gov.wales/first-100-days-warmer-and-more-energy-efficient-homes-html</w:t>
        </w:r>
      </w:hyperlink>
      <w:r w:rsidRPr="00E90112">
        <w:rPr>
          <w:rFonts w:eastAsia="Times New Roman"/>
          <w:sz w:val="22"/>
          <w:szCs w:val="22"/>
        </w:rPr>
        <w:t xml:space="preserve">  (Accessed 4 August 2026).</w:t>
      </w:r>
    </w:p>
    <w:p w14:paraId="1404B7D2"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Healthy schools </w:t>
      </w:r>
      <w:proofErr w:type="spellStart"/>
      <w:r w:rsidRPr="00E90112">
        <w:rPr>
          <w:rFonts w:eastAsia="Times New Roman"/>
          <w:sz w:val="22"/>
          <w:szCs w:val="22"/>
        </w:rPr>
        <w:t>london</w:t>
      </w:r>
      <w:proofErr w:type="spellEnd"/>
      <w:r w:rsidRPr="00E90112">
        <w:rPr>
          <w:rFonts w:eastAsia="Times New Roman"/>
          <w:sz w:val="22"/>
          <w:szCs w:val="22"/>
        </w:rPr>
        <w:t>. (2025</w:t>
      </w:r>
      <w:proofErr w:type="gramStart"/>
      <w:r w:rsidRPr="00E90112">
        <w:rPr>
          <w:rFonts w:eastAsia="Times New Roman"/>
          <w:sz w:val="22"/>
          <w:szCs w:val="22"/>
        </w:rPr>
        <w:t xml:space="preserve">)  </w:t>
      </w:r>
      <w:r w:rsidRPr="00E90112">
        <w:rPr>
          <w:rFonts w:eastAsia="Times New Roman"/>
          <w:i/>
          <w:iCs/>
          <w:sz w:val="22"/>
          <w:szCs w:val="22"/>
        </w:rPr>
        <w:t>London</w:t>
      </w:r>
      <w:proofErr w:type="gramEnd"/>
      <w:r w:rsidRPr="00E90112">
        <w:rPr>
          <w:rFonts w:eastAsia="Times New Roman"/>
          <w:i/>
          <w:iCs/>
          <w:sz w:val="22"/>
          <w:szCs w:val="22"/>
        </w:rPr>
        <w:t xml:space="preserve"> City Hall</w:t>
      </w:r>
      <w:r w:rsidRPr="00E90112">
        <w:rPr>
          <w:rFonts w:eastAsia="Times New Roman"/>
          <w:sz w:val="22"/>
          <w:szCs w:val="22"/>
        </w:rPr>
        <w:t xml:space="preserve">. Available at: </w:t>
      </w:r>
      <w:hyperlink r:id="rId19" w:history="1">
        <w:r w:rsidRPr="00E90112">
          <w:rPr>
            <w:rStyle w:val="Hyperlink"/>
            <w:rFonts w:eastAsia="Times New Roman"/>
            <w:sz w:val="22"/>
            <w:szCs w:val="22"/>
          </w:rPr>
          <w:t>https://www.london.gov.uk/programmes-strategies/education-and-youth/healthy-early-years-london-and-healthy-schools-london/healthy-schools-london</w:t>
        </w:r>
      </w:hyperlink>
      <w:r w:rsidRPr="00E90112">
        <w:rPr>
          <w:rFonts w:eastAsia="Times New Roman"/>
          <w:sz w:val="22"/>
          <w:szCs w:val="22"/>
        </w:rPr>
        <w:t xml:space="preserve">  (Accessed 4 August 2026).</w:t>
      </w:r>
    </w:p>
    <w:p w14:paraId="140CA1F9"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Hughes, C. and Natarajan, S. (2019). ‘The older I get, the colder I get’—Older people’s perspectives on coping in cold homes. </w:t>
      </w:r>
      <w:r w:rsidRPr="00E90112">
        <w:rPr>
          <w:rFonts w:eastAsia="Times New Roman"/>
          <w:i/>
          <w:iCs/>
          <w:sz w:val="22"/>
          <w:szCs w:val="22"/>
        </w:rPr>
        <w:t xml:space="preserve">Journal of Housing </w:t>
      </w:r>
      <w:proofErr w:type="gramStart"/>
      <w:r w:rsidRPr="00E90112">
        <w:rPr>
          <w:rFonts w:eastAsia="Times New Roman"/>
          <w:i/>
          <w:iCs/>
          <w:sz w:val="22"/>
          <w:szCs w:val="22"/>
        </w:rPr>
        <w:t>For</w:t>
      </w:r>
      <w:proofErr w:type="gramEnd"/>
      <w:r w:rsidRPr="00E90112">
        <w:rPr>
          <w:rFonts w:eastAsia="Times New Roman"/>
          <w:i/>
          <w:iCs/>
          <w:sz w:val="22"/>
          <w:szCs w:val="22"/>
        </w:rPr>
        <w:t xml:space="preserve"> the Elderly</w:t>
      </w:r>
      <w:r w:rsidRPr="00E90112">
        <w:rPr>
          <w:rFonts w:eastAsia="Times New Roman"/>
          <w:sz w:val="22"/>
          <w:szCs w:val="22"/>
        </w:rPr>
        <w:t xml:space="preserve">, 33(4), pp.337–357. Available at: </w:t>
      </w:r>
      <w:hyperlink r:id="rId20" w:history="1">
        <w:r w:rsidRPr="00E90112">
          <w:rPr>
            <w:rStyle w:val="Hyperlink"/>
            <w:rFonts w:eastAsia="Times New Roman"/>
            <w:sz w:val="22"/>
            <w:szCs w:val="22"/>
          </w:rPr>
          <w:t>https://doi:10.1080/02763893.2019.1567642</w:t>
        </w:r>
      </w:hyperlink>
      <w:r w:rsidRPr="00E90112">
        <w:rPr>
          <w:rFonts w:eastAsia="Times New Roman"/>
          <w:sz w:val="22"/>
          <w:szCs w:val="22"/>
        </w:rPr>
        <w:t xml:space="preserve">. </w:t>
      </w:r>
    </w:p>
    <w:p w14:paraId="43AE8727"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Khan, Z. (2023) ‘The emerging challenges and strengths of the national health services: A physician perspective; </w:t>
      </w:r>
      <w:proofErr w:type="spellStart"/>
      <w:proofErr w:type="gramStart"/>
      <w:r w:rsidRPr="00E90112">
        <w:rPr>
          <w:rFonts w:eastAsia="Times New Roman"/>
          <w:i/>
          <w:iCs/>
          <w:sz w:val="22"/>
          <w:szCs w:val="22"/>
        </w:rPr>
        <w:t>Cureus</w:t>
      </w:r>
      <w:proofErr w:type="spellEnd"/>
      <w:r w:rsidRPr="00E90112">
        <w:rPr>
          <w:rFonts w:eastAsia="Times New Roman"/>
          <w:sz w:val="22"/>
          <w:szCs w:val="22"/>
        </w:rPr>
        <w:t>,  15</w:t>
      </w:r>
      <w:proofErr w:type="gramEnd"/>
      <w:r w:rsidRPr="00E90112">
        <w:rPr>
          <w:rFonts w:eastAsia="Times New Roman"/>
          <w:sz w:val="22"/>
          <w:szCs w:val="22"/>
        </w:rPr>
        <w:t xml:space="preserve">(5). Available at: </w:t>
      </w:r>
      <w:hyperlink r:id="rId21" w:history="1">
        <w:r w:rsidRPr="00E90112">
          <w:rPr>
            <w:rStyle w:val="Hyperlink"/>
            <w:rFonts w:eastAsia="Times New Roman"/>
            <w:sz w:val="22"/>
            <w:szCs w:val="22"/>
          </w:rPr>
          <w:t>https://pmc.ncbi.nlm.nih.gov/articles/PMC10240167/</w:t>
        </w:r>
      </w:hyperlink>
      <w:r w:rsidRPr="00E90112">
        <w:rPr>
          <w:rFonts w:eastAsia="Times New Roman"/>
          <w:sz w:val="22"/>
          <w:szCs w:val="22"/>
        </w:rPr>
        <w:t xml:space="preserve">  (Accessed 4 August 2026).</w:t>
      </w:r>
    </w:p>
    <w:p w14:paraId="1983B7C4" w14:textId="77777777" w:rsidR="00AE3849" w:rsidRPr="00E90112" w:rsidRDefault="00AE3849" w:rsidP="00E90112">
      <w:pPr>
        <w:spacing w:after="240" w:line="360" w:lineRule="auto"/>
        <w:rPr>
          <w:rFonts w:eastAsia="Times New Roman"/>
          <w:sz w:val="22"/>
          <w:szCs w:val="22"/>
        </w:rPr>
      </w:pPr>
      <w:proofErr w:type="spellStart"/>
      <w:r w:rsidRPr="00E90112">
        <w:rPr>
          <w:rFonts w:eastAsia="Times New Roman"/>
          <w:sz w:val="22"/>
          <w:szCs w:val="22"/>
        </w:rPr>
        <w:t>Knifton</w:t>
      </w:r>
      <w:proofErr w:type="spellEnd"/>
      <w:r w:rsidRPr="00E90112">
        <w:rPr>
          <w:rFonts w:eastAsia="Times New Roman"/>
          <w:sz w:val="22"/>
          <w:szCs w:val="22"/>
        </w:rPr>
        <w:t xml:space="preserve">, L. and Inglis, G. (2020) ‘Poverty and mental health: Policy, practice and research implications; </w:t>
      </w:r>
      <w:proofErr w:type="spellStart"/>
      <w:r w:rsidRPr="00E90112">
        <w:rPr>
          <w:rFonts w:eastAsia="Times New Roman"/>
          <w:i/>
          <w:iCs/>
          <w:sz w:val="22"/>
          <w:szCs w:val="22"/>
        </w:rPr>
        <w:t>BJPsych</w:t>
      </w:r>
      <w:proofErr w:type="spellEnd"/>
      <w:r w:rsidRPr="00E90112">
        <w:rPr>
          <w:rFonts w:eastAsia="Times New Roman"/>
          <w:i/>
          <w:iCs/>
          <w:sz w:val="22"/>
          <w:szCs w:val="22"/>
        </w:rPr>
        <w:t xml:space="preserve"> </w:t>
      </w:r>
      <w:proofErr w:type="gramStart"/>
      <w:r w:rsidRPr="00E90112">
        <w:rPr>
          <w:rFonts w:eastAsia="Times New Roman"/>
          <w:i/>
          <w:iCs/>
          <w:sz w:val="22"/>
          <w:szCs w:val="22"/>
        </w:rPr>
        <w:t>Bulletin</w:t>
      </w:r>
      <w:r w:rsidRPr="00E90112">
        <w:rPr>
          <w:rFonts w:eastAsia="Times New Roman"/>
          <w:sz w:val="22"/>
          <w:szCs w:val="22"/>
        </w:rPr>
        <w:t>,  44</w:t>
      </w:r>
      <w:proofErr w:type="gramEnd"/>
      <w:r w:rsidRPr="00E90112">
        <w:rPr>
          <w:rFonts w:eastAsia="Times New Roman"/>
          <w:sz w:val="22"/>
          <w:szCs w:val="22"/>
        </w:rPr>
        <w:t xml:space="preserve">(5), pp.193–196. Available at: </w:t>
      </w:r>
      <w:hyperlink w:history="1">
        <w:r w:rsidRPr="00E90112">
          <w:rPr>
            <w:rStyle w:val="Hyperlink"/>
            <w:rFonts w:eastAsia="Times New Roman"/>
            <w:sz w:val="22"/>
            <w:szCs w:val="22"/>
          </w:rPr>
          <w:t>https://:doi:10.1192/bjb.2020.78</w:t>
        </w:r>
      </w:hyperlink>
      <w:r w:rsidRPr="00E90112">
        <w:rPr>
          <w:rFonts w:eastAsia="Times New Roman"/>
          <w:sz w:val="22"/>
          <w:szCs w:val="22"/>
        </w:rPr>
        <w:t xml:space="preserve">. </w:t>
      </w:r>
    </w:p>
    <w:p w14:paraId="6D2D9073"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Lachaud, J., Nisenbaum, R., Mejia-Lancheros, C., Latimer, E., Aubry, T., Woodhall-Melnik, J., Distasio, J., Hinds, A., Dutton, D., Somers, J., </w:t>
      </w:r>
      <w:proofErr w:type="spellStart"/>
      <w:r w:rsidRPr="00E90112">
        <w:rPr>
          <w:rFonts w:eastAsia="Times New Roman"/>
          <w:sz w:val="22"/>
          <w:szCs w:val="22"/>
        </w:rPr>
        <w:t>Moniruzzaman</w:t>
      </w:r>
      <w:proofErr w:type="spellEnd"/>
      <w:r w:rsidRPr="00E90112">
        <w:rPr>
          <w:rFonts w:eastAsia="Times New Roman"/>
          <w:sz w:val="22"/>
          <w:szCs w:val="22"/>
        </w:rPr>
        <w:t xml:space="preserve">, A., Stergiopoulos, V., O’Campo, P. and Hwang, S.W. (2025) ‘Housing and support intervention and mortality among homeless adults with mental illnesses: A secondary analysis of a randomized clinical trial; </w:t>
      </w:r>
      <w:r w:rsidRPr="00E90112">
        <w:rPr>
          <w:rFonts w:eastAsia="Times New Roman"/>
          <w:i/>
          <w:iCs/>
          <w:sz w:val="22"/>
          <w:szCs w:val="22"/>
        </w:rPr>
        <w:t xml:space="preserve">JAMA network </w:t>
      </w:r>
      <w:proofErr w:type="gramStart"/>
      <w:r w:rsidRPr="00E90112">
        <w:rPr>
          <w:rFonts w:eastAsia="Times New Roman"/>
          <w:i/>
          <w:iCs/>
          <w:sz w:val="22"/>
          <w:szCs w:val="22"/>
        </w:rPr>
        <w:t>open</w:t>
      </w:r>
      <w:r w:rsidRPr="00E90112">
        <w:rPr>
          <w:rFonts w:eastAsia="Times New Roman"/>
          <w:sz w:val="22"/>
          <w:szCs w:val="22"/>
        </w:rPr>
        <w:t>,  8</w:t>
      </w:r>
      <w:proofErr w:type="gramEnd"/>
      <w:r w:rsidRPr="00E90112">
        <w:rPr>
          <w:rFonts w:eastAsia="Times New Roman"/>
          <w:sz w:val="22"/>
          <w:szCs w:val="22"/>
        </w:rPr>
        <w:t xml:space="preserve">(7), p.e2524302. Available at: </w:t>
      </w:r>
      <w:hyperlink r:id="rId22" w:history="1">
        <w:r w:rsidRPr="00E90112">
          <w:rPr>
            <w:rStyle w:val="Hyperlink"/>
            <w:rFonts w:eastAsia="Times New Roman"/>
            <w:sz w:val="22"/>
            <w:szCs w:val="22"/>
          </w:rPr>
          <w:t>https://doi:10.1001/jamanetworkopen.2025.24302</w:t>
        </w:r>
      </w:hyperlink>
      <w:r w:rsidRPr="00E90112">
        <w:rPr>
          <w:rFonts w:eastAsia="Times New Roman"/>
          <w:sz w:val="22"/>
          <w:szCs w:val="22"/>
        </w:rPr>
        <w:t xml:space="preserve">. </w:t>
      </w:r>
    </w:p>
    <w:p w14:paraId="080B791A" w14:textId="77777777" w:rsidR="00AE3849" w:rsidRPr="00E90112" w:rsidRDefault="00AE3849" w:rsidP="00E90112">
      <w:pPr>
        <w:spacing w:before="200" w:line="360" w:lineRule="auto"/>
        <w:rPr>
          <w:rFonts w:eastAsia="Times New Roman"/>
          <w:sz w:val="22"/>
          <w:szCs w:val="22"/>
        </w:rPr>
      </w:pPr>
      <w:r w:rsidRPr="00E90112">
        <w:rPr>
          <w:rFonts w:eastAsia="Times New Roman"/>
          <w:sz w:val="22"/>
          <w:szCs w:val="22"/>
        </w:rPr>
        <w:t xml:space="preserve">Lee, R.W. </w:t>
      </w:r>
      <w:r w:rsidRPr="00E90112">
        <w:rPr>
          <w:rFonts w:eastAsia="Times New Roman"/>
          <w:i/>
          <w:iCs/>
          <w:sz w:val="22"/>
          <w:szCs w:val="22"/>
        </w:rPr>
        <w:t>et al.</w:t>
      </w:r>
      <w:r w:rsidRPr="00E90112">
        <w:rPr>
          <w:rFonts w:eastAsia="Times New Roman"/>
          <w:sz w:val="22"/>
          <w:szCs w:val="22"/>
        </w:rPr>
        <w:t xml:space="preserve"> (2026) “Implementation of the NHS England Lung Cancer Screening Programme over 5 years,” </w:t>
      </w:r>
      <w:r w:rsidRPr="00E90112">
        <w:rPr>
          <w:rFonts w:eastAsia="Times New Roman"/>
          <w:i/>
          <w:iCs/>
          <w:sz w:val="22"/>
          <w:szCs w:val="22"/>
        </w:rPr>
        <w:t>Nature Medicine</w:t>
      </w:r>
      <w:r w:rsidRPr="00E90112">
        <w:rPr>
          <w:rFonts w:eastAsia="Times New Roman"/>
          <w:sz w:val="22"/>
          <w:szCs w:val="22"/>
        </w:rPr>
        <w:t xml:space="preserve">, 32(5), pp. 1817–1826. Available at: </w:t>
      </w:r>
      <w:hyperlink r:id="rId23" w:history="1">
        <w:r w:rsidRPr="00E90112">
          <w:rPr>
            <w:rStyle w:val="Hyperlink"/>
            <w:rFonts w:eastAsia="Times New Roman"/>
            <w:sz w:val="22"/>
            <w:szCs w:val="22"/>
          </w:rPr>
          <w:t>https://doi.org/10.1038/s41591-026-04292-y</w:t>
        </w:r>
      </w:hyperlink>
      <w:r w:rsidRPr="00E90112">
        <w:rPr>
          <w:rFonts w:eastAsia="Times New Roman"/>
          <w:sz w:val="22"/>
          <w:szCs w:val="22"/>
        </w:rPr>
        <w:t>.</w:t>
      </w:r>
    </w:p>
    <w:p w14:paraId="58C7CA48" w14:textId="77777777" w:rsidR="00C476AC" w:rsidRPr="00E90112" w:rsidRDefault="00C476AC" w:rsidP="00E90112">
      <w:pPr>
        <w:spacing w:before="200" w:line="360" w:lineRule="auto"/>
        <w:rPr>
          <w:rFonts w:eastAsia="Times New Roman"/>
          <w:sz w:val="22"/>
          <w:szCs w:val="22"/>
        </w:rPr>
      </w:pPr>
    </w:p>
    <w:p w14:paraId="7735675E" w14:textId="77777777" w:rsidR="00AE3849" w:rsidRPr="00E90112" w:rsidRDefault="00AE3849" w:rsidP="00E90112">
      <w:pPr>
        <w:spacing w:after="240" w:line="360" w:lineRule="auto"/>
        <w:rPr>
          <w:rFonts w:eastAsia="Times New Roman"/>
          <w:sz w:val="22"/>
          <w:szCs w:val="22"/>
        </w:rPr>
      </w:pPr>
      <w:proofErr w:type="spellStart"/>
      <w:r w:rsidRPr="00E90112">
        <w:rPr>
          <w:rFonts w:eastAsia="Times New Roman"/>
          <w:sz w:val="22"/>
          <w:szCs w:val="22"/>
        </w:rPr>
        <w:t>Loopstra</w:t>
      </w:r>
      <w:proofErr w:type="spellEnd"/>
      <w:r w:rsidRPr="00E90112">
        <w:rPr>
          <w:rFonts w:eastAsia="Times New Roman"/>
          <w:sz w:val="22"/>
          <w:szCs w:val="22"/>
        </w:rPr>
        <w:t xml:space="preserve">, R. and Lambie-Mumford, H. (2023) Food banks: Understanding their role in the food insecure population in the UK. </w:t>
      </w:r>
      <w:r w:rsidRPr="00E90112">
        <w:rPr>
          <w:rFonts w:eastAsia="Times New Roman"/>
          <w:i/>
          <w:iCs/>
          <w:sz w:val="22"/>
          <w:szCs w:val="22"/>
        </w:rPr>
        <w:t xml:space="preserve">Proceedings of the Nutrition </w:t>
      </w:r>
      <w:proofErr w:type="gramStart"/>
      <w:r w:rsidRPr="00E90112">
        <w:rPr>
          <w:rFonts w:eastAsia="Times New Roman"/>
          <w:i/>
          <w:iCs/>
          <w:sz w:val="22"/>
          <w:szCs w:val="22"/>
        </w:rPr>
        <w:t>Society</w:t>
      </w:r>
      <w:r w:rsidRPr="00E90112">
        <w:rPr>
          <w:rFonts w:eastAsia="Times New Roman"/>
          <w:sz w:val="22"/>
          <w:szCs w:val="22"/>
        </w:rPr>
        <w:t>,  82</w:t>
      </w:r>
      <w:proofErr w:type="gramEnd"/>
      <w:r w:rsidRPr="00E90112">
        <w:rPr>
          <w:rFonts w:eastAsia="Times New Roman"/>
          <w:sz w:val="22"/>
          <w:szCs w:val="22"/>
        </w:rPr>
        <w:t xml:space="preserve">(3), pp.1–26. Available at: </w:t>
      </w:r>
      <w:hyperlink r:id="rId24" w:history="1">
        <w:r w:rsidRPr="00E90112">
          <w:rPr>
            <w:rStyle w:val="Hyperlink"/>
            <w:rFonts w:eastAsia="Times New Roman"/>
            <w:sz w:val="22"/>
            <w:szCs w:val="22"/>
          </w:rPr>
          <w:t>https://www.cambridge.org/core/journals/proceedings-of-the-nutrition-</w:t>
        </w:r>
        <w:r w:rsidRPr="00E90112">
          <w:rPr>
            <w:rStyle w:val="Hyperlink"/>
            <w:rFonts w:eastAsia="Times New Roman"/>
            <w:sz w:val="22"/>
            <w:szCs w:val="22"/>
          </w:rPr>
          <w:lastRenderedPageBreak/>
          <w:t>society/article/food-banks-understanding-their-role-in-the-food-insecure-population-in-the-uk/E3B3E630D02914599E472023654A604F</w:t>
        </w:r>
      </w:hyperlink>
      <w:r w:rsidRPr="00E90112">
        <w:rPr>
          <w:rFonts w:eastAsia="Times New Roman"/>
          <w:sz w:val="22"/>
          <w:szCs w:val="22"/>
        </w:rPr>
        <w:t xml:space="preserve"> (Accessed 4 August 2026).</w:t>
      </w:r>
    </w:p>
    <w:p w14:paraId="56CB864C" w14:textId="4672010B"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Manchanda, R., Burnell, M., Gaba, F., Desai, R., Wardle, J., Gessler, S., Side, L., Sanderson, S., </w:t>
      </w:r>
      <w:proofErr w:type="spellStart"/>
      <w:r w:rsidRPr="00E90112">
        <w:rPr>
          <w:rFonts w:eastAsia="Times New Roman"/>
          <w:sz w:val="22"/>
          <w:szCs w:val="22"/>
        </w:rPr>
        <w:t>Loggenberg</w:t>
      </w:r>
      <w:proofErr w:type="spellEnd"/>
      <w:r w:rsidRPr="00E90112">
        <w:rPr>
          <w:rFonts w:eastAsia="Times New Roman"/>
          <w:sz w:val="22"/>
          <w:szCs w:val="22"/>
        </w:rPr>
        <w:t xml:space="preserve">, K., Brady, A., </w:t>
      </w:r>
      <w:proofErr w:type="spellStart"/>
      <w:r w:rsidRPr="00E90112">
        <w:rPr>
          <w:rFonts w:eastAsia="Times New Roman"/>
          <w:sz w:val="22"/>
          <w:szCs w:val="22"/>
        </w:rPr>
        <w:t>Dorkins</w:t>
      </w:r>
      <w:proofErr w:type="spellEnd"/>
      <w:r w:rsidRPr="00E90112">
        <w:rPr>
          <w:rFonts w:eastAsia="Times New Roman"/>
          <w:sz w:val="22"/>
          <w:szCs w:val="22"/>
        </w:rPr>
        <w:t xml:space="preserve">, H., Wallis, Y., Chapman, C., Jacobs, C., </w:t>
      </w:r>
      <w:proofErr w:type="spellStart"/>
      <w:r w:rsidRPr="00E90112">
        <w:rPr>
          <w:rFonts w:eastAsia="Times New Roman"/>
          <w:sz w:val="22"/>
          <w:szCs w:val="22"/>
        </w:rPr>
        <w:t>Legood</w:t>
      </w:r>
      <w:proofErr w:type="spellEnd"/>
      <w:r w:rsidRPr="00E90112">
        <w:rPr>
          <w:rFonts w:eastAsia="Times New Roman"/>
          <w:sz w:val="22"/>
          <w:szCs w:val="22"/>
        </w:rPr>
        <w:t>, R., Beller, U., Tomlinson, I., Menon, U. and Jacobs, I. (2019) ‘Randomised trial of population</w:t>
      </w:r>
      <w:r w:rsidRPr="00E90112">
        <w:rPr>
          <w:rFonts w:ascii="Cambria Math" w:eastAsia="Times New Roman" w:hAnsi="Cambria Math" w:cs="Cambria Math"/>
          <w:sz w:val="22"/>
          <w:szCs w:val="22"/>
        </w:rPr>
        <w:t>‐</w:t>
      </w:r>
      <w:r w:rsidRPr="00E90112">
        <w:rPr>
          <w:rFonts w:eastAsia="Times New Roman"/>
          <w:sz w:val="22"/>
          <w:szCs w:val="22"/>
        </w:rPr>
        <w:t xml:space="preserve">based testing in </w:t>
      </w:r>
      <w:proofErr w:type="spellStart"/>
      <w:r w:rsidRPr="00E90112">
        <w:rPr>
          <w:rFonts w:eastAsia="Times New Roman"/>
          <w:sz w:val="22"/>
          <w:szCs w:val="22"/>
        </w:rPr>
        <w:t>ashkenazi</w:t>
      </w:r>
      <w:proofErr w:type="spellEnd"/>
      <w:r w:rsidRPr="00E90112">
        <w:rPr>
          <w:rFonts w:eastAsia="Times New Roman"/>
          <w:sz w:val="22"/>
          <w:szCs w:val="22"/>
        </w:rPr>
        <w:t xml:space="preserve"> jews: Long</w:t>
      </w:r>
      <w:r w:rsidRPr="00E90112">
        <w:rPr>
          <w:rFonts w:ascii="Cambria Math" w:eastAsia="Times New Roman" w:hAnsi="Cambria Math" w:cs="Cambria Math"/>
          <w:sz w:val="22"/>
          <w:szCs w:val="22"/>
        </w:rPr>
        <w:t>‐</w:t>
      </w:r>
      <w:r w:rsidRPr="00E90112">
        <w:rPr>
          <w:rFonts w:eastAsia="Times New Roman"/>
          <w:sz w:val="22"/>
          <w:szCs w:val="22"/>
        </w:rPr>
        <w:t xml:space="preserve">term outcomes; </w:t>
      </w:r>
      <w:r w:rsidRPr="00E90112">
        <w:rPr>
          <w:rFonts w:eastAsia="Times New Roman"/>
          <w:i/>
          <w:iCs/>
          <w:sz w:val="22"/>
          <w:szCs w:val="22"/>
        </w:rPr>
        <w:t>BJOG: An International Journal of Obstetrics &amp;amp; Gynaecology</w:t>
      </w:r>
      <w:r w:rsidRPr="00E90112">
        <w:rPr>
          <w:rFonts w:eastAsia="Times New Roman"/>
          <w:sz w:val="22"/>
          <w:szCs w:val="22"/>
        </w:rPr>
        <w:t xml:space="preserve">, 127(3), pp.364–375. Available at: </w:t>
      </w:r>
      <w:hyperlink r:id="rId25" w:history="1">
        <w:r w:rsidRPr="00E90112">
          <w:rPr>
            <w:rStyle w:val="Hyperlink"/>
            <w:rFonts w:eastAsia="Times New Roman"/>
            <w:sz w:val="22"/>
            <w:szCs w:val="22"/>
          </w:rPr>
          <w:t>https://doi:10.1111/1471-0528.15905</w:t>
        </w:r>
      </w:hyperlink>
      <w:r w:rsidRPr="00E90112">
        <w:rPr>
          <w:rFonts w:eastAsia="Times New Roman"/>
          <w:sz w:val="22"/>
          <w:szCs w:val="22"/>
        </w:rPr>
        <w:t xml:space="preserve">. </w:t>
      </w:r>
    </w:p>
    <w:p w14:paraId="58EBE2E8" w14:textId="77777777" w:rsidR="00AE3849" w:rsidRPr="00E90112" w:rsidRDefault="00AE3849" w:rsidP="00E90112">
      <w:pPr>
        <w:spacing w:after="240" w:line="360" w:lineRule="auto"/>
        <w:rPr>
          <w:rFonts w:eastAsia="Times New Roman"/>
          <w:sz w:val="22"/>
          <w:szCs w:val="22"/>
        </w:rPr>
      </w:pPr>
      <w:proofErr w:type="spellStart"/>
      <w:r w:rsidRPr="00E90112">
        <w:rPr>
          <w:rFonts w:eastAsia="Times New Roman"/>
          <w:sz w:val="22"/>
          <w:szCs w:val="22"/>
        </w:rPr>
        <w:t>McCordic</w:t>
      </w:r>
      <w:proofErr w:type="spellEnd"/>
      <w:r w:rsidRPr="00E90112">
        <w:rPr>
          <w:rFonts w:eastAsia="Times New Roman"/>
          <w:sz w:val="22"/>
          <w:szCs w:val="22"/>
        </w:rPr>
        <w:t xml:space="preserve">, C. and Frayne, B. (2020) ‘The Network of Household Barriers to Achieving SDG 1, 2 and 3 in Maputo, Mozambique; </w:t>
      </w:r>
      <w:r w:rsidRPr="00E90112">
        <w:rPr>
          <w:rFonts w:eastAsia="Times New Roman"/>
          <w:i/>
          <w:iCs/>
          <w:sz w:val="22"/>
          <w:szCs w:val="22"/>
        </w:rPr>
        <w:t>Journal of Hunger &amp; Environmental Nutrition</w:t>
      </w:r>
      <w:r w:rsidRPr="00E90112">
        <w:rPr>
          <w:rFonts w:eastAsia="Times New Roman"/>
          <w:sz w:val="22"/>
          <w:szCs w:val="22"/>
        </w:rPr>
        <w:t xml:space="preserve">, 16(6), pp.739–750. Available at: </w:t>
      </w:r>
      <w:hyperlink r:id="rId26" w:history="1">
        <w:r w:rsidRPr="00E90112">
          <w:rPr>
            <w:rStyle w:val="Hyperlink"/>
            <w:rFonts w:eastAsia="Times New Roman"/>
            <w:sz w:val="22"/>
            <w:szCs w:val="22"/>
          </w:rPr>
          <w:t>https://doi:10.1080/19320248.2020.1848686</w:t>
        </w:r>
      </w:hyperlink>
      <w:r w:rsidRPr="00E90112">
        <w:rPr>
          <w:rFonts w:eastAsia="Times New Roman"/>
          <w:sz w:val="22"/>
          <w:szCs w:val="22"/>
        </w:rPr>
        <w:t xml:space="preserve">. </w:t>
      </w:r>
    </w:p>
    <w:p w14:paraId="6C6CBB31"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Morrison-Rees, S. and Lowe, S. (2023) ‘A policy impact case study using real world data from Welsh government fuel poverty schemes to inform scheme design; </w:t>
      </w:r>
      <w:r w:rsidRPr="00E90112">
        <w:rPr>
          <w:rFonts w:eastAsia="Times New Roman"/>
          <w:i/>
          <w:iCs/>
          <w:sz w:val="22"/>
          <w:szCs w:val="22"/>
        </w:rPr>
        <w:t>International Journal of Population Data Science</w:t>
      </w:r>
      <w:r w:rsidRPr="00E90112">
        <w:rPr>
          <w:rFonts w:eastAsia="Times New Roman"/>
          <w:sz w:val="22"/>
          <w:szCs w:val="22"/>
        </w:rPr>
        <w:t xml:space="preserve">, 8(2). Available at: </w:t>
      </w:r>
      <w:hyperlink r:id="rId27" w:history="1">
        <w:r w:rsidRPr="00E90112">
          <w:rPr>
            <w:rStyle w:val="Hyperlink"/>
            <w:rFonts w:eastAsia="Times New Roman"/>
            <w:sz w:val="22"/>
            <w:szCs w:val="22"/>
          </w:rPr>
          <w:t>https://doi:10.23889/ijpds.v8i2.2354</w:t>
        </w:r>
      </w:hyperlink>
      <w:r w:rsidRPr="00E90112">
        <w:rPr>
          <w:rFonts w:eastAsia="Times New Roman"/>
          <w:sz w:val="22"/>
          <w:szCs w:val="22"/>
        </w:rPr>
        <w:t xml:space="preserve">. </w:t>
      </w:r>
    </w:p>
    <w:p w14:paraId="225629A2"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Nations, U. (2020) </w:t>
      </w:r>
      <w:r w:rsidRPr="00E90112">
        <w:rPr>
          <w:rFonts w:eastAsia="Times New Roman"/>
          <w:i/>
          <w:iCs/>
          <w:sz w:val="22"/>
          <w:szCs w:val="22"/>
        </w:rPr>
        <w:t>Mental health and wellbeing | United Nations</w:t>
      </w:r>
      <w:r w:rsidRPr="00E90112">
        <w:rPr>
          <w:rFonts w:eastAsia="Times New Roman"/>
          <w:sz w:val="22"/>
          <w:szCs w:val="22"/>
        </w:rPr>
        <w:t xml:space="preserve">.  Available at: </w:t>
      </w:r>
      <w:hyperlink r:id="rId28" w:history="1">
        <w:r w:rsidRPr="00E90112">
          <w:rPr>
            <w:rStyle w:val="Hyperlink"/>
            <w:rFonts w:eastAsia="Times New Roman"/>
            <w:sz w:val="22"/>
            <w:szCs w:val="22"/>
          </w:rPr>
          <w:t>https://www.un.org/en/global-issues/mental-health</w:t>
        </w:r>
      </w:hyperlink>
      <w:r w:rsidRPr="00E90112">
        <w:rPr>
          <w:rFonts w:eastAsia="Times New Roman"/>
          <w:sz w:val="22"/>
          <w:szCs w:val="22"/>
        </w:rPr>
        <w:t xml:space="preserve">  (Accessed 4 August 2026).</w:t>
      </w:r>
    </w:p>
    <w:p w14:paraId="20E0AF2D" w14:textId="7C69B4D2" w:rsidR="00470132" w:rsidRPr="00E90112" w:rsidRDefault="00AE3849" w:rsidP="00E90112">
      <w:pPr>
        <w:spacing w:before="200" w:line="360" w:lineRule="auto"/>
        <w:rPr>
          <w:rFonts w:eastAsiaTheme="minorEastAsia"/>
          <w:color w:val="000000" w:themeColor="text1"/>
          <w:kern w:val="24"/>
          <w:sz w:val="22"/>
          <w:szCs w:val="22"/>
        </w:rPr>
      </w:pPr>
      <w:r w:rsidRPr="00E90112">
        <w:rPr>
          <w:rFonts w:eastAsiaTheme="minorEastAsia"/>
          <w:color w:val="000000" w:themeColor="text1"/>
          <w:kern w:val="24"/>
          <w:sz w:val="22"/>
          <w:szCs w:val="22"/>
        </w:rPr>
        <w:t xml:space="preserve">NHS England (2019) NHS England Respiratory Disease.  NHS England. Available at: </w:t>
      </w:r>
      <w:hyperlink r:id="rId29" w:history="1">
        <w:r w:rsidR="00390290" w:rsidRPr="00E90112">
          <w:rPr>
            <w:rStyle w:val="Hyperlink"/>
            <w:rFonts w:eastAsiaTheme="minorEastAsia"/>
            <w:kern w:val="24"/>
            <w:sz w:val="22"/>
            <w:szCs w:val="22"/>
          </w:rPr>
          <w:t>https://www.england.nhs.uk/ourwork/clinical-policy/respiratory-disease /</w:t>
        </w:r>
      </w:hyperlink>
      <w:r w:rsidRPr="00E90112">
        <w:rPr>
          <w:rFonts w:eastAsiaTheme="minorEastAsia"/>
          <w:color w:val="000000" w:themeColor="text1"/>
          <w:kern w:val="24"/>
          <w:sz w:val="22"/>
          <w:szCs w:val="22"/>
        </w:rPr>
        <w:t xml:space="preserve">  (Accessed 29 July 2026).</w:t>
      </w:r>
    </w:p>
    <w:p w14:paraId="6CF2E621" w14:textId="77777777" w:rsidR="00470132" w:rsidRPr="00E90112" w:rsidRDefault="00470132" w:rsidP="00E90112">
      <w:pPr>
        <w:spacing w:before="200" w:line="360" w:lineRule="auto"/>
        <w:rPr>
          <w:rFonts w:eastAsiaTheme="minorEastAsia"/>
          <w:color w:val="000000" w:themeColor="text1"/>
          <w:kern w:val="24"/>
          <w:sz w:val="22"/>
          <w:szCs w:val="22"/>
        </w:rPr>
      </w:pPr>
    </w:p>
    <w:p w14:paraId="5C940106"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NHS England (2022) </w:t>
      </w:r>
      <w:r w:rsidRPr="00E90112">
        <w:rPr>
          <w:rFonts w:eastAsia="Times New Roman"/>
          <w:i/>
          <w:iCs/>
          <w:sz w:val="22"/>
          <w:szCs w:val="22"/>
        </w:rPr>
        <w:t xml:space="preserve">NHS </w:t>
      </w:r>
      <w:proofErr w:type="spellStart"/>
      <w:r w:rsidRPr="00E90112">
        <w:rPr>
          <w:rFonts w:eastAsia="Times New Roman"/>
          <w:i/>
          <w:iCs/>
          <w:sz w:val="22"/>
          <w:szCs w:val="22"/>
        </w:rPr>
        <w:t>england</w:t>
      </w:r>
      <w:proofErr w:type="spellEnd"/>
      <w:r w:rsidRPr="00E90112">
        <w:rPr>
          <w:rFonts w:eastAsia="Times New Roman"/>
          <w:i/>
          <w:iCs/>
          <w:sz w:val="22"/>
          <w:szCs w:val="22"/>
        </w:rPr>
        <w:t> » core20plus5 – an approach to reducing health inequalities for children and young people</w:t>
      </w:r>
      <w:r w:rsidRPr="00E90112">
        <w:rPr>
          <w:rFonts w:eastAsia="Times New Roman"/>
          <w:sz w:val="22"/>
          <w:szCs w:val="22"/>
        </w:rPr>
        <w:t xml:space="preserve">. </w:t>
      </w:r>
      <w:r w:rsidRPr="00E90112">
        <w:rPr>
          <w:rFonts w:eastAsia="Times New Roman"/>
          <w:i/>
          <w:iCs/>
          <w:sz w:val="22"/>
          <w:szCs w:val="22"/>
        </w:rPr>
        <w:t>www.england.nhs.uk</w:t>
      </w:r>
      <w:r w:rsidRPr="00E90112">
        <w:rPr>
          <w:rFonts w:eastAsia="Times New Roman"/>
          <w:sz w:val="22"/>
          <w:szCs w:val="22"/>
        </w:rPr>
        <w:t xml:space="preserve">. Available at: </w:t>
      </w:r>
      <w:hyperlink r:id="rId30" w:history="1">
        <w:r w:rsidRPr="00E90112">
          <w:rPr>
            <w:rStyle w:val="Hyperlink"/>
            <w:rFonts w:eastAsia="Times New Roman"/>
            <w:sz w:val="22"/>
            <w:szCs w:val="22"/>
          </w:rPr>
          <w:t>https://www.england.nhs.uk/about/equality/equality-hub/national-healthcare-inequalities-improvement-programme/core20plus5/core20plus5-cyp/</w:t>
        </w:r>
      </w:hyperlink>
      <w:r w:rsidRPr="00E90112">
        <w:rPr>
          <w:rFonts w:eastAsia="Times New Roman"/>
          <w:sz w:val="22"/>
          <w:szCs w:val="22"/>
        </w:rPr>
        <w:t xml:space="preserve">  (Accessed 4 August 2026).</w:t>
      </w:r>
    </w:p>
    <w:p w14:paraId="34F83512"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NHS England (2024) </w:t>
      </w:r>
      <w:r w:rsidRPr="00E90112">
        <w:rPr>
          <w:rFonts w:eastAsia="Times New Roman"/>
          <w:i/>
          <w:iCs/>
          <w:sz w:val="22"/>
          <w:szCs w:val="22"/>
        </w:rPr>
        <w:t xml:space="preserve">NHS </w:t>
      </w:r>
      <w:proofErr w:type="spellStart"/>
      <w:r w:rsidRPr="00E90112">
        <w:rPr>
          <w:rFonts w:eastAsia="Times New Roman"/>
          <w:i/>
          <w:iCs/>
          <w:sz w:val="22"/>
          <w:szCs w:val="22"/>
        </w:rPr>
        <w:t>england</w:t>
      </w:r>
      <w:proofErr w:type="spellEnd"/>
      <w:r w:rsidRPr="00E90112">
        <w:rPr>
          <w:rFonts w:eastAsia="Times New Roman"/>
          <w:i/>
          <w:iCs/>
          <w:sz w:val="22"/>
          <w:szCs w:val="22"/>
        </w:rPr>
        <w:t xml:space="preserve"> - NHS long term workforce plan</w:t>
      </w:r>
      <w:r w:rsidRPr="00E90112">
        <w:rPr>
          <w:rFonts w:eastAsia="Times New Roman"/>
          <w:sz w:val="22"/>
          <w:szCs w:val="22"/>
        </w:rPr>
        <w:t xml:space="preserve">. </w:t>
      </w:r>
      <w:r w:rsidRPr="00E90112">
        <w:rPr>
          <w:rFonts w:eastAsia="Times New Roman"/>
          <w:i/>
          <w:iCs/>
          <w:sz w:val="22"/>
          <w:szCs w:val="22"/>
        </w:rPr>
        <w:t>NHS England</w:t>
      </w:r>
      <w:r w:rsidRPr="00E90112">
        <w:rPr>
          <w:rFonts w:eastAsia="Times New Roman"/>
          <w:sz w:val="22"/>
          <w:szCs w:val="22"/>
        </w:rPr>
        <w:t xml:space="preserve">. NHS England. Available at: </w:t>
      </w:r>
      <w:hyperlink r:id="rId31" w:history="1">
        <w:r w:rsidRPr="00E90112">
          <w:rPr>
            <w:rStyle w:val="Hyperlink"/>
            <w:rFonts w:eastAsia="Times New Roman"/>
            <w:sz w:val="22"/>
            <w:szCs w:val="22"/>
          </w:rPr>
          <w:t>https://www.england.nhs.uk/long-read/nhs-long-term-workforce-plan-2/</w:t>
        </w:r>
      </w:hyperlink>
      <w:r w:rsidRPr="00E90112">
        <w:rPr>
          <w:rFonts w:eastAsia="Times New Roman"/>
          <w:sz w:val="22"/>
          <w:szCs w:val="22"/>
        </w:rPr>
        <w:t xml:space="preserve">  (Accessed 4 August 2026).</w:t>
      </w:r>
    </w:p>
    <w:p w14:paraId="62B2139B" w14:textId="77777777" w:rsidR="00470132" w:rsidRPr="00E90112" w:rsidRDefault="00470132" w:rsidP="00E90112">
      <w:pPr>
        <w:spacing w:after="240" w:line="360" w:lineRule="auto"/>
        <w:rPr>
          <w:rFonts w:eastAsia="Times New Roman"/>
          <w:sz w:val="22"/>
          <w:szCs w:val="22"/>
        </w:rPr>
      </w:pPr>
    </w:p>
    <w:p w14:paraId="3118D0FA" w14:textId="64A718AB"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ONS (2022) </w:t>
      </w:r>
      <w:r w:rsidRPr="00E90112">
        <w:rPr>
          <w:rFonts w:eastAsia="Times New Roman"/>
          <w:i/>
          <w:iCs/>
          <w:sz w:val="22"/>
          <w:szCs w:val="22"/>
        </w:rPr>
        <w:t xml:space="preserve">Health state life expectancies by national deprivation deciles, </w:t>
      </w:r>
      <w:proofErr w:type="spellStart"/>
      <w:r w:rsidRPr="00E90112">
        <w:rPr>
          <w:rFonts w:eastAsia="Times New Roman"/>
          <w:i/>
          <w:iCs/>
          <w:sz w:val="22"/>
          <w:szCs w:val="22"/>
        </w:rPr>
        <w:t>england</w:t>
      </w:r>
      <w:proofErr w:type="spellEnd"/>
      <w:r w:rsidRPr="00E90112">
        <w:rPr>
          <w:rFonts w:eastAsia="Times New Roman"/>
          <w:i/>
          <w:iCs/>
          <w:sz w:val="22"/>
          <w:szCs w:val="22"/>
        </w:rPr>
        <w:t>: 2018 To 2020</w:t>
      </w:r>
      <w:r w:rsidRPr="00E90112">
        <w:rPr>
          <w:rFonts w:eastAsia="Times New Roman"/>
          <w:sz w:val="22"/>
          <w:szCs w:val="22"/>
        </w:rPr>
        <w:t xml:space="preserve">.  </w:t>
      </w:r>
      <w:r w:rsidRPr="00E90112">
        <w:rPr>
          <w:rFonts w:eastAsia="Times New Roman"/>
          <w:i/>
          <w:iCs/>
          <w:sz w:val="22"/>
          <w:szCs w:val="22"/>
        </w:rPr>
        <w:t>www.ons.gov.uk</w:t>
      </w:r>
      <w:r w:rsidRPr="00E90112">
        <w:rPr>
          <w:rFonts w:eastAsia="Times New Roman"/>
          <w:sz w:val="22"/>
          <w:szCs w:val="22"/>
        </w:rPr>
        <w:t xml:space="preserve">. Office for National Statistics. Available at: </w:t>
      </w:r>
      <w:hyperlink r:id="rId32" w:history="1">
        <w:r w:rsidRPr="00E90112">
          <w:rPr>
            <w:rStyle w:val="Hyperlink"/>
            <w:rFonts w:eastAsia="Times New Roman"/>
            <w:sz w:val="22"/>
            <w:szCs w:val="22"/>
          </w:rPr>
          <w:t>https://www.ons.gov.uk/peoplepopulationandcommunity/healthandsocialcare/healthinequalities/bulletins/healthstatelifeexpectanciesbyindexofmultipledeprivationimd/2018to2020</w:t>
        </w:r>
      </w:hyperlink>
      <w:r w:rsidRPr="00E90112">
        <w:rPr>
          <w:rFonts w:eastAsia="Times New Roman"/>
          <w:sz w:val="22"/>
          <w:szCs w:val="22"/>
        </w:rPr>
        <w:t xml:space="preserve">  (Accessed 4 August 2026). </w:t>
      </w:r>
    </w:p>
    <w:p w14:paraId="2015CDB4" w14:textId="6EC41D08"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Parkin, E. (2023) Mental health policy in </w:t>
      </w:r>
      <w:proofErr w:type="spellStart"/>
      <w:r w:rsidRPr="00E90112">
        <w:rPr>
          <w:rFonts w:eastAsia="Times New Roman"/>
          <w:sz w:val="22"/>
          <w:szCs w:val="22"/>
        </w:rPr>
        <w:t>england</w:t>
      </w:r>
      <w:proofErr w:type="spellEnd"/>
      <w:r w:rsidRPr="00E90112">
        <w:rPr>
          <w:rFonts w:eastAsia="Times New Roman"/>
          <w:sz w:val="22"/>
          <w:szCs w:val="22"/>
        </w:rPr>
        <w:t xml:space="preserve">. </w:t>
      </w:r>
      <w:r w:rsidRPr="00E90112">
        <w:rPr>
          <w:rFonts w:eastAsia="Times New Roman"/>
          <w:i/>
          <w:iCs/>
          <w:sz w:val="22"/>
          <w:szCs w:val="22"/>
        </w:rPr>
        <w:t>commonslibrary.parliament.uk</w:t>
      </w:r>
      <w:r w:rsidRPr="00E90112">
        <w:rPr>
          <w:rFonts w:eastAsia="Times New Roman"/>
          <w:sz w:val="22"/>
          <w:szCs w:val="22"/>
        </w:rPr>
        <w:t>, [online] 1(1). Available at:</w:t>
      </w:r>
      <w:r w:rsidRPr="00E90112">
        <w:rPr>
          <w:rFonts w:eastAsia="Times New Roman"/>
          <w:i/>
          <w:iCs/>
          <w:sz w:val="22"/>
          <w:szCs w:val="22"/>
        </w:rPr>
        <w:t xml:space="preserve"> </w:t>
      </w:r>
      <w:hyperlink r:id="rId33" w:history="1">
        <w:r w:rsidRPr="00E90112">
          <w:rPr>
            <w:rStyle w:val="Hyperlink"/>
            <w:rFonts w:eastAsia="Times New Roman"/>
            <w:i/>
            <w:iCs/>
            <w:sz w:val="22"/>
            <w:szCs w:val="22"/>
          </w:rPr>
          <w:t>https://commonslibrary.parliament.uk/research-briefings/cbp-7547/</w:t>
        </w:r>
      </w:hyperlink>
      <w:r w:rsidRPr="00E90112">
        <w:rPr>
          <w:rFonts w:eastAsia="Times New Roman"/>
          <w:i/>
          <w:iCs/>
          <w:sz w:val="22"/>
          <w:szCs w:val="22"/>
        </w:rPr>
        <w:t xml:space="preserve">  </w:t>
      </w:r>
      <w:r w:rsidRPr="00E90112">
        <w:rPr>
          <w:rFonts w:eastAsia="Times New Roman"/>
          <w:sz w:val="22"/>
          <w:szCs w:val="22"/>
        </w:rPr>
        <w:t>(Accessed 4 August 2026).</w:t>
      </w:r>
    </w:p>
    <w:p w14:paraId="7F8145C8" w14:textId="749AAFBE" w:rsidR="00AE3849" w:rsidRPr="00E90112" w:rsidRDefault="00AE3849" w:rsidP="00E90112">
      <w:pPr>
        <w:spacing w:after="240" w:line="360" w:lineRule="auto"/>
        <w:rPr>
          <w:rFonts w:eastAsia="Times New Roman"/>
          <w:sz w:val="22"/>
          <w:szCs w:val="22"/>
        </w:rPr>
      </w:pPr>
      <w:proofErr w:type="spellStart"/>
      <w:r w:rsidRPr="00E90112">
        <w:rPr>
          <w:rFonts w:eastAsia="Times New Roman"/>
          <w:sz w:val="22"/>
          <w:szCs w:val="22"/>
        </w:rPr>
        <w:t>Pulimeno</w:t>
      </w:r>
      <w:proofErr w:type="spellEnd"/>
      <w:r w:rsidRPr="00E90112">
        <w:rPr>
          <w:rFonts w:eastAsia="Times New Roman"/>
          <w:sz w:val="22"/>
          <w:szCs w:val="22"/>
        </w:rPr>
        <w:t xml:space="preserve">, M., Piscitelli, P., </w:t>
      </w:r>
      <w:proofErr w:type="spellStart"/>
      <w:r w:rsidRPr="00E90112">
        <w:rPr>
          <w:rFonts w:eastAsia="Times New Roman"/>
          <w:sz w:val="22"/>
          <w:szCs w:val="22"/>
        </w:rPr>
        <w:t>Colazzo</w:t>
      </w:r>
      <w:proofErr w:type="spellEnd"/>
      <w:r w:rsidRPr="00E90112">
        <w:rPr>
          <w:rFonts w:eastAsia="Times New Roman"/>
          <w:sz w:val="22"/>
          <w:szCs w:val="22"/>
        </w:rPr>
        <w:t xml:space="preserve">, S., Colao, A. and Miani, A. (2020) ‘School as ideal setting to promote health and wellbeing among young people; </w:t>
      </w:r>
      <w:r w:rsidRPr="00E90112">
        <w:rPr>
          <w:rFonts w:eastAsia="Times New Roman"/>
          <w:i/>
          <w:iCs/>
          <w:sz w:val="22"/>
          <w:szCs w:val="22"/>
        </w:rPr>
        <w:t>Health Promotion Perspectives</w:t>
      </w:r>
      <w:r w:rsidRPr="00E90112">
        <w:rPr>
          <w:rFonts w:eastAsia="Times New Roman"/>
          <w:sz w:val="22"/>
          <w:szCs w:val="22"/>
        </w:rPr>
        <w:t xml:space="preserve">, 10(4), pp.316–324. Available at: </w:t>
      </w:r>
      <w:hyperlink r:id="rId34" w:history="1">
        <w:r w:rsidRPr="00E90112">
          <w:rPr>
            <w:rStyle w:val="Hyperlink"/>
            <w:rFonts w:eastAsia="Times New Roman"/>
            <w:sz w:val="22"/>
            <w:szCs w:val="22"/>
          </w:rPr>
          <w:t>https://doi:10.34172/hpp.2020.50</w:t>
        </w:r>
      </w:hyperlink>
      <w:r w:rsidRPr="00E90112">
        <w:rPr>
          <w:rFonts w:eastAsia="Times New Roman"/>
          <w:sz w:val="22"/>
          <w:szCs w:val="22"/>
        </w:rPr>
        <w:t xml:space="preserve">. </w:t>
      </w:r>
    </w:p>
    <w:p w14:paraId="1D5F103B"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Rethink (2024) </w:t>
      </w:r>
      <w:r w:rsidRPr="00E90112">
        <w:rPr>
          <w:rFonts w:eastAsia="Times New Roman"/>
          <w:i/>
          <w:iCs/>
          <w:sz w:val="22"/>
          <w:szCs w:val="22"/>
        </w:rPr>
        <w:t>The hidden toll of CAMHS waiting lists on young people’s mental health</w:t>
      </w:r>
      <w:r w:rsidRPr="00E90112">
        <w:rPr>
          <w:rFonts w:eastAsia="Times New Roman"/>
          <w:sz w:val="22"/>
          <w:szCs w:val="22"/>
        </w:rPr>
        <w:t xml:space="preserve">.  </w:t>
      </w:r>
      <w:r w:rsidRPr="00E90112">
        <w:rPr>
          <w:rFonts w:eastAsia="Times New Roman"/>
          <w:i/>
          <w:iCs/>
          <w:sz w:val="22"/>
          <w:szCs w:val="22"/>
        </w:rPr>
        <w:t xml:space="preserve">The hidden toll of CAMHS waiting lists on young people’s mental </w:t>
      </w:r>
      <w:proofErr w:type="gramStart"/>
      <w:r w:rsidRPr="00E90112">
        <w:rPr>
          <w:rFonts w:eastAsia="Times New Roman"/>
          <w:i/>
          <w:iCs/>
          <w:sz w:val="22"/>
          <w:szCs w:val="22"/>
        </w:rPr>
        <w:t xml:space="preserve">health </w:t>
      </w:r>
      <w:r w:rsidRPr="00E90112">
        <w:rPr>
          <w:rFonts w:eastAsia="Times New Roman"/>
          <w:sz w:val="22"/>
          <w:szCs w:val="22"/>
        </w:rPr>
        <w:t>.</w:t>
      </w:r>
      <w:proofErr w:type="gramEnd"/>
      <w:r w:rsidRPr="00E90112">
        <w:rPr>
          <w:rFonts w:eastAsia="Times New Roman"/>
          <w:sz w:val="22"/>
          <w:szCs w:val="22"/>
        </w:rPr>
        <w:t xml:space="preserve"> Available at: </w:t>
      </w:r>
      <w:hyperlink r:id="rId35" w:history="1">
        <w:r w:rsidRPr="00E90112">
          <w:rPr>
            <w:rStyle w:val="Hyperlink"/>
            <w:rFonts w:eastAsia="Times New Roman"/>
            <w:sz w:val="22"/>
            <w:szCs w:val="22"/>
          </w:rPr>
          <w:t>https://rethink.org/news-and-stories/news-and-views/2024/the-hidden-toll-of-camhs-waiting-lists-on-young-people-s-mental-health/</w:t>
        </w:r>
      </w:hyperlink>
      <w:r w:rsidRPr="00E90112">
        <w:rPr>
          <w:rFonts w:eastAsia="Times New Roman"/>
          <w:sz w:val="22"/>
          <w:szCs w:val="22"/>
        </w:rPr>
        <w:t xml:space="preserve">  (Accessed 4 August 2026).</w:t>
      </w:r>
    </w:p>
    <w:p w14:paraId="62FE6399" w14:textId="77777777" w:rsidR="00AE3849" w:rsidRPr="00E90112" w:rsidRDefault="00AE3849" w:rsidP="00E90112">
      <w:pPr>
        <w:spacing w:line="360" w:lineRule="auto"/>
        <w:rPr>
          <w:rFonts w:eastAsia="Times New Roman"/>
          <w:sz w:val="22"/>
          <w:szCs w:val="22"/>
        </w:rPr>
      </w:pPr>
      <w:r w:rsidRPr="00E90112">
        <w:rPr>
          <w:rFonts w:eastAsia="Times New Roman"/>
          <w:sz w:val="22"/>
          <w:szCs w:val="22"/>
        </w:rPr>
        <w:t>Sachs, J.D., Karim, S.S.A., Aknin, L., Allen, J., Brosbøl, K., Colombo, F., Barron, G.C., Espinosa, M.F., Gaspar, V., Gaviria, A. and Givens, M. (2022) The Lancet Commission on lessons for the future from the COVID-19 pandemic. Lancet, 400(10359), pp.1224–1280.</w:t>
      </w:r>
    </w:p>
    <w:p w14:paraId="3166EE22"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Srinivas, J. and Yuvaraj, V. (2023) ‘452 Child poverty is a political choice- a pilot addressing the ethical dilemma; </w:t>
      </w:r>
      <w:r w:rsidRPr="00E90112">
        <w:rPr>
          <w:rFonts w:eastAsia="Times New Roman"/>
          <w:i/>
          <w:iCs/>
          <w:sz w:val="22"/>
          <w:szCs w:val="22"/>
        </w:rPr>
        <w:t>Children’s Ethics &amp; Law Special Interest Group</w:t>
      </w:r>
      <w:r w:rsidRPr="00E90112">
        <w:rPr>
          <w:rFonts w:eastAsia="Times New Roman"/>
          <w:sz w:val="22"/>
          <w:szCs w:val="22"/>
        </w:rPr>
        <w:t xml:space="preserve">, </w:t>
      </w:r>
      <w:proofErr w:type="gramStart"/>
      <w:r w:rsidRPr="00E90112">
        <w:rPr>
          <w:rFonts w:eastAsia="Times New Roman"/>
          <w:sz w:val="22"/>
          <w:szCs w:val="22"/>
        </w:rPr>
        <w:t>pp.A</w:t>
      </w:r>
      <w:proofErr w:type="gramEnd"/>
      <w:r w:rsidRPr="00E90112">
        <w:rPr>
          <w:rFonts w:eastAsia="Times New Roman"/>
          <w:sz w:val="22"/>
          <w:szCs w:val="22"/>
        </w:rPr>
        <w:t xml:space="preserve">284.1-A284. Available at: </w:t>
      </w:r>
      <w:hyperlink r:id="rId36" w:history="1">
        <w:r w:rsidRPr="00E90112">
          <w:rPr>
            <w:rStyle w:val="Hyperlink"/>
            <w:rFonts w:eastAsia="Times New Roman"/>
            <w:sz w:val="22"/>
            <w:szCs w:val="22"/>
          </w:rPr>
          <w:t>https://doi:10.1136/archdischild-2023-rcpch.448</w:t>
        </w:r>
      </w:hyperlink>
      <w:r w:rsidRPr="00E90112">
        <w:rPr>
          <w:rFonts w:eastAsia="Times New Roman"/>
          <w:sz w:val="22"/>
          <w:szCs w:val="22"/>
        </w:rPr>
        <w:t xml:space="preserve">. </w:t>
      </w:r>
    </w:p>
    <w:p w14:paraId="54CA61AC"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Taylor, L. (2023) ‘More than half the world’s population lack basic health services as progress stalls; </w:t>
      </w:r>
      <w:proofErr w:type="gramStart"/>
      <w:r w:rsidRPr="00E90112">
        <w:rPr>
          <w:rFonts w:eastAsia="Times New Roman"/>
          <w:i/>
          <w:iCs/>
          <w:sz w:val="22"/>
          <w:szCs w:val="22"/>
        </w:rPr>
        <w:t>BMJ</w:t>
      </w:r>
      <w:r w:rsidRPr="00E90112">
        <w:rPr>
          <w:rFonts w:eastAsia="Times New Roman"/>
          <w:sz w:val="22"/>
          <w:szCs w:val="22"/>
        </w:rPr>
        <w:t>,  382</w:t>
      </w:r>
      <w:proofErr w:type="gramEnd"/>
      <w:r w:rsidRPr="00E90112">
        <w:rPr>
          <w:rFonts w:eastAsia="Times New Roman"/>
          <w:sz w:val="22"/>
          <w:szCs w:val="22"/>
        </w:rPr>
        <w:t xml:space="preserve">, p.p2160.  Available at: </w:t>
      </w:r>
      <w:hyperlink r:id="rId37" w:history="1">
        <w:r w:rsidRPr="00E90112">
          <w:rPr>
            <w:rStyle w:val="Hyperlink"/>
            <w:rFonts w:eastAsia="Times New Roman"/>
            <w:sz w:val="22"/>
            <w:szCs w:val="22"/>
          </w:rPr>
          <w:t>https://doi:10.1136/bmj.p2160</w:t>
        </w:r>
      </w:hyperlink>
      <w:r w:rsidRPr="00E90112">
        <w:rPr>
          <w:rFonts w:eastAsia="Times New Roman"/>
          <w:sz w:val="22"/>
          <w:szCs w:val="22"/>
        </w:rPr>
        <w:t xml:space="preserve">.     </w:t>
      </w:r>
    </w:p>
    <w:p w14:paraId="7311DCB9"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UNDP (2022) </w:t>
      </w:r>
      <w:r w:rsidRPr="00E90112">
        <w:rPr>
          <w:rFonts w:eastAsia="Times New Roman"/>
          <w:i/>
          <w:iCs/>
          <w:sz w:val="22"/>
          <w:szCs w:val="22"/>
        </w:rPr>
        <w:t>Human development report 2021-22</w:t>
      </w:r>
      <w:r w:rsidRPr="00E90112">
        <w:rPr>
          <w:rFonts w:eastAsia="Times New Roman"/>
          <w:sz w:val="22"/>
          <w:szCs w:val="22"/>
        </w:rPr>
        <w:t xml:space="preserve">.  </w:t>
      </w:r>
      <w:r w:rsidRPr="00E90112">
        <w:rPr>
          <w:rFonts w:eastAsia="Times New Roman"/>
          <w:i/>
          <w:iCs/>
          <w:sz w:val="22"/>
          <w:szCs w:val="22"/>
        </w:rPr>
        <w:t>hdr.undp.org</w:t>
      </w:r>
      <w:r w:rsidRPr="00E90112">
        <w:rPr>
          <w:rFonts w:eastAsia="Times New Roman"/>
          <w:sz w:val="22"/>
          <w:szCs w:val="22"/>
        </w:rPr>
        <w:t xml:space="preserve">. Available at: </w:t>
      </w:r>
      <w:hyperlink r:id="rId38" w:history="1">
        <w:r w:rsidRPr="00E90112">
          <w:rPr>
            <w:rStyle w:val="Hyperlink"/>
            <w:rFonts w:eastAsia="Times New Roman"/>
            <w:sz w:val="22"/>
            <w:szCs w:val="22"/>
          </w:rPr>
          <w:t>https://hdr.undp.org/content/human-development-report-2021-22</w:t>
        </w:r>
      </w:hyperlink>
      <w:r w:rsidRPr="00E90112">
        <w:rPr>
          <w:rFonts w:eastAsia="Times New Roman"/>
          <w:sz w:val="22"/>
          <w:szCs w:val="22"/>
        </w:rPr>
        <w:t xml:space="preserve">  (Accessed 4 August 2026).</w:t>
      </w:r>
    </w:p>
    <w:p w14:paraId="0F4D8BDD"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UNICEF (2025) </w:t>
      </w:r>
      <w:r w:rsidRPr="00E90112">
        <w:rPr>
          <w:rFonts w:eastAsia="Times New Roman"/>
          <w:i/>
          <w:iCs/>
          <w:sz w:val="22"/>
          <w:szCs w:val="22"/>
        </w:rPr>
        <w:t>SDG goal 3: Good health and well-being</w:t>
      </w:r>
      <w:r w:rsidRPr="00E90112">
        <w:rPr>
          <w:rFonts w:eastAsia="Times New Roman"/>
          <w:sz w:val="22"/>
          <w:szCs w:val="22"/>
        </w:rPr>
        <w:t xml:space="preserve">.  </w:t>
      </w:r>
      <w:proofErr w:type="spellStart"/>
      <w:r w:rsidRPr="00E90112">
        <w:rPr>
          <w:rFonts w:eastAsia="Times New Roman"/>
          <w:i/>
          <w:iCs/>
          <w:sz w:val="22"/>
          <w:szCs w:val="22"/>
        </w:rPr>
        <w:t>Unicef</w:t>
      </w:r>
      <w:proofErr w:type="spellEnd"/>
      <w:r w:rsidRPr="00E90112">
        <w:rPr>
          <w:rFonts w:eastAsia="Times New Roman"/>
          <w:sz w:val="22"/>
          <w:szCs w:val="22"/>
        </w:rPr>
        <w:t xml:space="preserve">. Available at: </w:t>
      </w:r>
      <w:hyperlink r:id="rId39" w:history="1">
        <w:r w:rsidRPr="00E90112">
          <w:rPr>
            <w:rStyle w:val="Hyperlink"/>
            <w:rFonts w:eastAsia="Times New Roman"/>
            <w:sz w:val="22"/>
            <w:szCs w:val="22"/>
          </w:rPr>
          <w:t>https://data.unicef.org/sdgs/goal-3-good-health-wellbeing/</w:t>
        </w:r>
      </w:hyperlink>
      <w:proofErr w:type="gramStart"/>
      <w:r w:rsidRPr="00E90112">
        <w:rPr>
          <w:rFonts w:eastAsia="Times New Roman"/>
          <w:sz w:val="22"/>
          <w:szCs w:val="22"/>
        </w:rPr>
        <w:t xml:space="preserve">   (</w:t>
      </w:r>
      <w:proofErr w:type="gramEnd"/>
      <w:r w:rsidRPr="00E90112">
        <w:rPr>
          <w:rFonts w:eastAsia="Times New Roman"/>
          <w:sz w:val="22"/>
          <w:szCs w:val="22"/>
        </w:rPr>
        <w:t>Accessed 4 August 2026).</w:t>
      </w:r>
    </w:p>
    <w:p w14:paraId="2CFB4B11"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t xml:space="preserve">United Nations (2023) </w:t>
      </w:r>
      <w:r w:rsidRPr="00E90112">
        <w:rPr>
          <w:rFonts w:eastAsia="Times New Roman"/>
          <w:i/>
          <w:iCs/>
          <w:sz w:val="22"/>
          <w:szCs w:val="22"/>
        </w:rPr>
        <w:t>Goal 3: Ensure healthy lives and promote well-being for all at all ages</w:t>
      </w:r>
      <w:r w:rsidRPr="00E90112">
        <w:rPr>
          <w:rFonts w:eastAsia="Times New Roman"/>
          <w:sz w:val="22"/>
          <w:szCs w:val="22"/>
        </w:rPr>
        <w:t xml:space="preserve">.  </w:t>
      </w:r>
      <w:r w:rsidRPr="00E90112">
        <w:rPr>
          <w:rFonts w:eastAsia="Times New Roman"/>
          <w:i/>
          <w:iCs/>
          <w:sz w:val="22"/>
          <w:szCs w:val="22"/>
        </w:rPr>
        <w:t>United Nations Sustainable Development Goals</w:t>
      </w:r>
      <w:r w:rsidRPr="00E90112">
        <w:rPr>
          <w:rFonts w:eastAsia="Times New Roman"/>
          <w:sz w:val="22"/>
          <w:szCs w:val="22"/>
        </w:rPr>
        <w:t xml:space="preserve">. Available at: </w:t>
      </w:r>
      <w:hyperlink r:id="rId40" w:history="1">
        <w:r w:rsidRPr="00E90112">
          <w:rPr>
            <w:rStyle w:val="Hyperlink"/>
            <w:rFonts w:eastAsia="Times New Roman"/>
            <w:sz w:val="22"/>
            <w:szCs w:val="22"/>
          </w:rPr>
          <w:t>https://www.un.org/sustainabledevelopment/health/</w:t>
        </w:r>
      </w:hyperlink>
      <w:r w:rsidRPr="00E90112">
        <w:rPr>
          <w:rFonts w:eastAsia="Times New Roman"/>
          <w:sz w:val="22"/>
          <w:szCs w:val="22"/>
        </w:rPr>
        <w:t xml:space="preserve">  (Accessed 3 Aug. 2026).</w:t>
      </w:r>
    </w:p>
    <w:p w14:paraId="3F7BA457" w14:textId="77777777" w:rsidR="00AE3849" w:rsidRPr="00E90112" w:rsidRDefault="00AE3849" w:rsidP="00E90112">
      <w:pPr>
        <w:spacing w:after="240" w:line="360" w:lineRule="auto"/>
        <w:rPr>
          <w:rFonts w:eastAsia="Times New Roman"/>
          <w:sz w:val="22"/>
          <w:szCs w:val="22"/>
        </w:rPr>
      </w:pPr>
      <w:r w:rsidRPr="00E90112">
        <w:rPr>
          <w:rFonts w:eastAsia="Times New Roman"/>
          <w:sz w:val="22"/>
          <w:szCs w:val="22"/>
        </w:rPr>
        <w:lastRenderedPageBreak/>
        <w:t xml:space="preserve">United Nations (2025) </w:t>
      </w:r>
      <w:r w:rsidRPr="00E90112">
        <w:rPr>
          <w:rFonts w:eastAsia="Times New Roman"/>
          <w:i/>
          <w:iCs/>
          <w:sz w:val="22"/>
          <w:szCs w:val="22"/>
        </w:rPr>
        <w:t>Goal 1: end poverty in all its forms everywhere</w:t>
      </w:r>
      <w:r w:rsidRPr="00E90112">
        <w:rPr>
          <w:rFonts w:eastAsia="Times New Roman"/>
          <w:sz w:val="22"/>
          <w:szCs w:val="22"/>
        </w:rPr>
        <w:t xml:space="preserve">. </w:t>
      </w:r>
      <w:r w:rsidRPr="00E90112">
        <w:rPr>
          <w:rFonts w:eastAsia="Times New Roman"/>
          <w:i/>
          <w:iCs/>
          <w:sz w:val="22"/>
          <w:szCs w:val="22"/>
        </w:rPr>
        <w:t>Sustainable Development Goals</w:t>
      </w:r>
      <w:r w:rsidRPr="00E90112">
        <w:rPr>
          <w:rFonts w:eastAsia="Times New Roman"/>
          <w:sz w:val="22"/>
          <w:szCs w:val="22"/>
        </w:rPr>
        <w:t xml:space="preserve">. Available at: </w:t>
      </w:r>
      <w:hyperlink r:id="rId41" w:history="1">
        <w:r w:rsidRPr="00E90112">
          <w:rPr>
            <w:rStyle w:val="Hyperlink"/>
            <w:rFonts w:eastAsia="Times New Roman"/>
            <w:sz w:val="22"/>
            <w:szCs w:val="22"/>
          </w:rPr>
          <w:t>https://www.un.org/sustainabledevelopment/poverty/</w:t>
        </w:r>
      </w:hyperlink>
      <w:r w:rsidRPr="00E90112">
        <w:rPr>
          <w:rFonts w:eastAsia="Times New Roman"/>
          <w:sz w:val="22"/>
          <w:szCs w:val="22"/>
        </w:rPr>
        <w:t xml:space="preserve">  (Accessed 4 August 2026).</w:t>
      </w:r>
    </w:p>
    <w:p w14:paraId="055C7D4B" w14:textId="77777777" w:rsidR="00AE3849" w:rsidRDefault="00AE3849" w:rsidP="009B074E">
      <w:pPr>
        <w:spacing w:line="360" w:lineRule="auto"/>
        <w:rPr>
          <w:rFonts w:eastAsia="Times New Roman"/>
          <w:sz w:val="22"/>
          <w:szCs w:val="22"/>
        </w:rPr>
      </w:pPr>
      <w:r w:rsidRPr="009B074E">
        <w:rPr>
          <w:rFonts w:eastAsia="Times New Roman"/>
          <w:sz w:val="22"/>
          <w:szCs w:val="22"/>
        </w:rPr>
        <w:t xml:space="preserve">WHO (2022) </w:t>
      </w:r>
      <w:r w:rsidRPr="009B074E">
        <w:rPr>
          <w:rFonts w:eastAsia="Times New Roman"/>
          <w:i/>
          <w:iCs/>
          <w:sz w:val="22"/>
          <w:szCs w:val="22"/>
        </w:rPr>
        <w:t>Targets of Sustainable Development Goal 3</w:t>
      </w:r>
      <w:r w:rsidRPr="009B074E">
        <w:rPr>
          <w:rFonts w:eastAsia="Times New Roman"/>
          <w:sz w:val="22"/>
          <w:szCs w:val="22"/>
        </w:rPr>
        <w:t xml:space="preserve">.  </w:t>
      </w:r>
      <w:r w:rsidRPr="009B074E">
        <w:rPr>
          <w:rFonts w:eastAsia="Times New Roman"/>
          <w:i/>
          <w:iCs/>
          <w:sz w:val="22"/>
          <w:szCs w:val="22"/>
        </w:rPr>
        <w:t>World Health Organisation</w:t>
      </w:r>
      <w:r w:rsidRPr="009B074E">
        <w:rPr>
          <w:rFonts w:eastAsia="Times New Roman"/>
          <w:sz w:val="22"/>
          <w:szCs w:val="22"/>
        </w:rPr>
        <w:t xml:space="preserve">. Available at: </w:t>
      </w:r>
      <w:hyperlink r:id="rId42" w:history="1">
        <w:r w:rsidRPr="009B074E">
          <w:rPr>
            <w:rStyle w:val="Hyperlink"/>
            <w:rFonts w:eastAsia="Times New Roman"/>
            <w:sz w:val="22"/>
            <w:szCs w:val="22"/>
          </w:rPr>
          <w:t>https://www.who.int/europe/about-us/our-work/sustainable-development-goals/targets-of-sustainable-development-goal-3</w:t>
        </w:r>
      </w:hyperlink>
      <w:r w:rsidRPr="009B074E">
        <w:rPr>
          <w:rFonts w:eastAsia="Times New Roman"/>
          <w:sz w:val="22"/>
          <w:szCs w:val="22"/>
        </w:rPr>
        <w:t xml:space="preserve">  (Accessed 3 August 2026).</w:t>
      </w:r>
    </w:p>
    <w:p w14:paraId="33FA13F7" w14:textId="77777777" w:rsidR="009B074E" w:rsidRPr="009B074E" w:rsidRDefault="009B074E" w:rsidP="009B074E">
      <w:pPr>
        <w:spacing w:line="360" w:lineRule="auto"/>
        <w:rPr>
          <w:sz w:val="22"/>
          <w:szCs w:val="22"/>
        </w:rPr>
      </w:pPr>
    </w:p>
    <w:p w14:paraId="483F5800" w14:textId="77777777" w:rsidR="00AE3849" w:rsidRPr="00E90112" w:rsidRDefault="00AE3849" w:rsidP="00E90112">
      <w:pPr>
        <w:spacing w:line="360" w:lineRule="auto"/>
        <w:rPr>
          <w:rFonts w:eastAsia="Times New Roman"/>
          <w:sz w:val="22"/>
          <w:szCs w:val="22"/>
        </w:rPr>
      </w:pPr>
      <w:r w:rsidRPr="00E90112">
        <w:rPr>
          <w:rFonts w:eastAsia="Times New Roman"/>
          <w:sz w:val="22"/>
          <w:szCs w:val="22"/>
        </w:rPr>
        <w:t>World Bank, W. (2017) ‘</w:t>
      </w:r>
      <w:r w:rsidRPr="00E90112">
        <w:rPr>
          <w:rFonts w:eastAsia="Times New Roman"/>
          <w:i/>
          <w:iCs/>
          <w:sz w:val="22"/>
          <w:szCs w:val="22"/>
        </w:rPr>
        <w:t>Monitoring global poverty: report of the Commission on Global Poverty</w:t>
      </w:r>
      <w:r w:rsidRPr="00E90112">
        <w:rPr>
          <w:rFonts w:eastAsia="Times New Roman"/>
          <w:sz w:val="22"/>
          <w:szCs w:val="22"/>
        </w:rPr>
        <w:t xml:space="preserve">; 1st ed. Washington, D.C: THE WORLD BANK. Available at: </w:t>
      </w:r>
      <w:hyperlink r:id="rId43" w:history="1">
        <w:r w:rsidRPr="00E90112">
          <w:rPr>
            <w:rStyle w:val="Hyperlink"/>
            <w:rFonts w:eastAsia="Times New Roman"/>
            <w:sz w:val="22"/>
            <w:szCs w:val="22"/>
          </w:rPr>
          <w:t>https://doi.org/10.1596/978-1-4648-0961-3</w:t>
        </w:r>
      </w:hyperlink>
      <w:r w:rsidRPr="00E90112">
        <w:rPr>
          <w:rFonts w:eastAsia="Times New Roman"/>
          <w:sz w:val="22"/>
          <w:szCs w:val="22"/>
        </w:rPr>
        <w:t xml:space="preserve">. </w:t>
      </w:r>
    </w:p>
    <w:p w14:paraId="750E3FE9" w14:textId="77777777" w:rsidR="00676729" w:rsidRPr="00E90112" w:rsidRDefault="00676729" w:rsidP="00E90112">
      <w:pPr>
        <w:spacing w:line="360" w:lineRule="auto"/>
        <w:rPr>
          <w:rFonts w:eastAsia="Times New Roman"/>
          <w:sz w:val="22"/>
          <w:szCs w:val="22"/>
        </w:rPr>
      </w:pPr>
    </w:p>
    <w:p w14:paraId="7A8310A4" w14:textId="77777777" w:rsidR="00AE3849" w:rsidRPr="00E90112" w:rsidRDefault="00AE3849" w:rsidP="00E90112">
      <w:pPr>
        <w:spacing w:line="360" w:lineRule="auto"/>
        <w:rPr>
          <w:rFonts w:eastAsia="Times New Roman"/>
          <w:sz w:val="22"/>
          <w:szCs w:val="22"/>
        </w:rPr>
      </w:pPr>
      <w:r w:rsidRPr="00E90112">
        <w:rPr>
          <w:rFonts w:eastAsia="Times New Roman"/>
          <w:sz w:val="22"/>
          <w:szCs w:val="22"/>
        </w:rPr>
        <w:t xml:space="preserve">World Health Organization and World Bank (2017) </w:t>
      </w:r>
      <w:r w:rsidRPr="00E90112">
        <w:rPr>
          <w:rFonts w:eastAsia="Times New Roman"/>
          <w:i/>
          <w:iCs/>
          <w:sz w:val="22"/>
          <w:szCs w:val="22"/>
        </w:rPr>
        <w:t>Tracking Universal Health Coverage: 2017 Global Monitoring Report</w:t>
      </w:r>
      <w:r w:rsidRPr="00E90112">
        <w:rPr>
          <w:rFonts w:eastAsia="Times New Roman"/>
          <w:sz w:val="22"/>
          <w:szCs w:val="22"/>
        </w:rPr>
        <w:t xml:space="preserve">, </w:t>
      </w:r>
      <w:r w:rsidRPr="00E90112">
        <w:rPr>
          <w:rFonts w:eastAsia="Times New Roman"/>
          <w:i/>
          <w:iCs/>
          <w:sz w:val="22"/>
          <w:szCs w:val="22"/>
        </w:rPr>
        <w:t>Washington, DC: World Health Organization eBooks</w:t>
      </w:r>
      <w:r w:rsidRPr="00E90112">
        <w:rPr>
          <w:rFonts w:eastAsia="Times New Roman"/>
          <w:sz w:val="22"/>
          <w:szCs w:val="22"/>
        </w:rPr>
        <w:t xml:space="preserve">. Washington, DC: World Health Organization. Available at: </w:t>
      </w:r>
      <w:hyperlink r:id="rId44" w:history="1">
        <w:r w:rsidRPr="00E90112">
          <w:rPr>
            <w:rStyle w:val="Hyperlink"/>
            <w:rFonts w:eastAsia="Times New Roman"/>
            <w:sz w:val="22"/>
            <w:szCs w:val="22"/>
          </w:rPr>
          <w:t>https://doi.org/10.1596/978-92-4-151355-5</w:t>
        </w:r>
      </w:hyperlink>
      <w:r w:rsidRPr="00E90112">
        <w:rPr>
          <w:rFonts w:eastAsia="Times New Roman"/>
          <w:sz w:val="22"/>
          <w:szCs w:val="22"/>
        </w:rPr>
        <w:t>.</w:t>
      </w:r>
    </w:p>
    <w:p w14:paraId="0D0A9AD0" w14:textId="77777777" w:rsidR="00E90112" w:rsidRPr="00AE3849" w:rsidRDefault="00E90112" w:rsidP="00AE3849">
      <w:pPr>
        <w:spacing w:line="360" w:lineRule="auto"/>
        <w:rPr>
          <w:rFonts w:eastAsia="Times New Roman"/>
          <w:sz w:val="22"/>
          <w:szCs w:val="22"/>
        </w:rPr>
      </w:pPr>
    </w:p>
    <w:p w14:paraId="3DD6A89E" w14:textId="77777777" w:rsidR="008F2751" w:rsidRPr="005763DF" w:rsidRDefault="008F2751" w:rsidP="00CE5051">
      <w:pPr>
        <w:pStyle w:val="Heading1"/>
        <w:spacing w:line="360" w:lineRule="auto"/>
        <w:jc w:val="both"/>
        <w:rPr>
          <w:sz w:val="22"/>
          <w:szCs w:val="22"/>
        </w:rPr>
      </w:pPr>
    </w:p>
    <w:p w14:paraId="43196748" w14:textId="77777777" w:rsidR="008F2751" w:rsidRPr="005763DF" w:rsidRDefault="008F2751" w:rsidP="00CE5051">
      <w:pPr>
        <w:pStyle w:val="Heading1"/>
        <w:spacing w:line="360" w:lineRule="auto"/>
        <w:jc w:val="both"/>
        <w:rPr>
          <w:sz w:val="22"/>
          <w:szCs w:val="22"/>
        </w:rPr>
      </w:pPr>
    </w:p>
    <w:p w14:paraId="3C4331F7" w14:textId="77777777" w:rsidR="008F2751" w:rsidRPr="005763DF" w:rsidRDefault="008F2751" w:rsidP="00CE5051">
      <w:pPr>
        <w:pStyle w:val="Heading1"/>
        <w:spacing w:line="360" w:lineRule="auto"/>
        <w:jc w:val="both"/>
        <w:rPr>
          <w:sz w:val="22"/>
          <w:szCs w:val="22"/>
        </w:rPr>
      </w:pPr>
    </w:p>
    <w:p w14:paraId="5FCE1FC2" w14:textId="77777777" w:rsidR="008F2751" w:rsidRPr="005763DF" w:rsidRDefault="008F2751" w:rsidP="00CE5051">
      <w:pPr>
        <w:pStyle w:val="Heading1"/>
        <w:spacing w:line="360" w:lineRule="auto"/>
        <w:jc w:val="both"/>
        <w:rPr>
          <w:sz w:val="22"/>
          <w:szCs w:val="22"/>
        </w:rPr>
      </w:pPr>
    </w:p>
    <w:p w14:paraId="3C73614D" w14:textId="77777777" w:rsidR="008F2751" w:rsidRPr="005763DF" w:rsidRDefault="008F2751" w:rsidP="00CE5051">
      <w:pPr>
        <w:pStyle w:val="Heading1"/>
        <w:spacing w:line="360" w:lineRule="auto"/>
        <w:jc w:val="both"/>
        <w:rPr>
          <w:sz w:val="22"/>
          <w:szCs w:val="22"/>
        </w:rPr>
      </w:pPr>
    </w:p>
    <w:sectPr w:rsidR="008F2751" w:rsidRPr="005763DF">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7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E9809" w14:textId="77777777" w:rsidR="00950ED9" w:rsidRDefault="00950ED9">
      <w:r>
        <w:separator/>
      </w:r>
    </w:p>
  </w:endnote>
  <w:endnote w:type="continuationSeparator" w:id="0">
    <w:p w14:paraId="7CC91EE7" w14:textId="77777777" w:rsidR="00950ED9" w:rsidRDefault="00950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BC1C2E" w14:textId="77777777" w:rsidR="00707E07" w:rsidRDefault="00707E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496753"/>
      <w:docPartObj>
        <w:docPartGallery w:val="Page Numbers (Bottom of Page)"/>
        <w:docPartUnique/>
      </w:docPartObj>
    </w:sdtPr>
    <w:sdtEndPr/>
    <w:sdtContent>
      <w:p w14:paraId="523A29E7" w14:textId="685F62B9" w:rsidR="00707E07" w:rsidRDefault="00707E07">
        <w:pPr>
          <w:pStyle w:val="Footer"/>
          <w:jc w:val="center"/>
        </w:pPr>
        <w:r>
          <w:fldChar w:fldCharType="begin"/>
        </w:r>
        <w:r>
          <w:instrText>PAGE   \* MERGEFORMAT</w:instrText>
        </w:r>
        <w:r>
          <w:fldChar w:fldCharType="separate"/>
        </w:r>
        <w:r>
          <w:t>2</w:t>
        </w:r>
        <w:r>
          <w:fldChar w:fldCharType="end"/>
        </w:r>
      </w:p>
    </w:sdtContent>
  </w:sdt>
  <w:p w14:paraId="27748FC0" w14:textId="7605A93B" w:rsidR="007F3A24" w:rsidRDefault="007F3A24">
    <w:pP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D3F90A" w14:textId="77777777" w:rsidR="00707E07" w:rsidRDefault="00707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9FE980" w14:textId="77777777" w:rsidR="00950ED9" w:rsidRDefault="00950ED9">
      <w:r>
        <w:separator/>
      </w:r>
    </w:p>
  </w:footnote>
  <w:footnote w:type="continuationSeparator" w:id="0">
    <w:p w14:paraId="6C5CDECF" w14:textId="77777777" w:rsidR="00950ED9" w:rsidRDefault="00950E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AE3D3" w14:textId="77777777" w:rsidR="00707E07" w:rsidRDefault="00707E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2EBE5" w14:textId="77777777" w:rsidR="00707E07" w:rsidRDefault="00707E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5DBE5" w14:textId="77777777" w:rsidR="00707E07" w:rsidRDefault="00707E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93326"/>
    <w:multiLevelType w:val="hybridMultilevel"/>
    <w:tmpl w:val="C9D22EF4"/>
    <w:lvl w:ilvl="0" w:tplc="CA6C3C34">
      <w:start w:val="1"/>
      <w:numFmt w:val="bullet"/>
      <w:lvlText w:val="●"/>
      <w:lvlJc w:val="left"/>
      <w:pPr>
        <w:ind w:left="720" w:hanging="360"/>
      </w:pPr>
    </w:lvl>
    <w:lvl w:ilvl="1" w:tplc="1C94AF34">
      <w:start w:val="1"/>
      <w:numFmt w:val="bullet"/>
      <w:lvlText w:val="○"/>
      <w:lvlJc w:val="left"/>
      <w:pPr>
        <w:ind w:left="1440" w:hanging="360"/>
      </w:pPr>
    </w:lvl>
    <w:lvl w:ilvl="2" w:tplc="0C544A44">
      <w:start w:val="1"/>
      <w:numFmt w:val="bullet"/>
      <w:lvlText w:val="■"/>
      <w:lvlJc w:val="left"/>
      <w:pPr>
        <w:ind w:left="2160" w:hanging="360"/>
      </w:pPr>
    </w:lvl>
    <w:lvl w:ilvl="3" w:tplc="6D3E743E">
      <w:start w:val="1"/>
      <w:numFmt w:val="bullet"/>
      <w:lvlText w:val="●"/>
      <w:lvlJc w:val="left"/>
      <w:pPr>
        <w:ind w:left="2880" w:hanging="360"/>
      </w:pPr>
    </w:lvl>
    <w:lvl w:ilvl="4" w:tplc="10944FD8">
      <w:start w:val="1"/>
      <w:numFmt w:val="bullet"/>
      <w:lvlText w:val="○"/>
      <w:lvlJc w:val="left"/>
      <w:pPr>
        <w:ind w:left="3600" w:hanging="360"/>
      </w:pPr>
    </w:lvl>
    <w:lvl w:ilvl="5" w:tplc="8556C52E">
      <w:start w:val="1"/>
      <w:numFmt w:val="bullet"/>
      <w:lvlText w:val="■"/>
      <w:lvlJc w:val="left"/>
      <w:pPr>
        <w:ind w:left="4320" w:hanging="360"/>
      </w:pPr>
    </w:lvl>
    <w:lvl w:ilvl="6" w:tplc="09D234A4">
      <w:start w:val="1"/>
      <w:numFmt w:val="bullet"/>
      <w:lvlText w:val="●"/>
      <w:lvlJc w:val="left"/>
      <w:pPr>
        <w:ind w:left="5040" w:hanging="360"/>
      </w:pPr>
    </w:lvl>
    <w:lvl w:ilvl="7" w:tplc="C9EE6914">
      <w:start w:val="1"/>
      <w:numFmt w:val="bullet"/>
      <w:lvlText w:val="●"/>
      <w:lvlJc w:val="left"/>
      <w:pPr>
        <w:ind w:left="5760" w:hanging="360"/>
      </w:pPr>
    </w:lvl>
    <w:lvl w:ilvl="8" w:tplc="C06A1E94">
      <w:start w:val="1"/>
      <w:numFmt w:val="bullet"/>
      <w:lvlText w:val="●"/>
      <w:lvlJc w:val="left"/>
      <w:pPr>
        <w:ind w:left="6480" w:hanging="360"/>
      </w:pPr>
    </w:lvl>
  </w:abstractNum>
  <w:abstractNum w:abstractNumId="1" w15:restartNumberingAfterBreak="0">
    <w:nsid w:val="44D844A7"/>
    <w:multiLevelType w:val="hybridMultilevel"/>
    <w:tmpl w:val="DC0EA87E"/>
    <w:lvl w:ilvl="0" w:tplc="78DE6FA0">
      <w:start w:val="1"/>
      <w:numFmt w:val="bullet"/>
      <w:lvlText w:val="•"/>
      <w:lvlJc w:val="left"/>
      <w:pPr>
        <w:ind w:left="720" w:hanging="360"/>
      </w:pPr>
    </w:lvl>
    <w:lvl w:ilvl="1" w:tplc="E01E62EE">
      <w:numFmt w:val="decimal"/>
      <w:lvlText w:val=""/>
      <w:lvlJc w:val="left"/>
    </w:lvl>
    <w:lvl w:ilvl="2" w:tplc="C93A325C">
      <w:numFmt w:val="decimal"/>
      <w:lvlText w:val=""/>
      <w:lvlJc w:val="left"/>
    </w:lvl>
    <w:lvl w:ilvl="3" w:tplc="753E5D1C">
      <w:numFmt w:val="decimal"/>
      <w:lvlText w:val=""/>
      <w:lvlJc w:val="left"/>
    </w:lvl>
    <w:lvl w:ilvl="4" w:tplc="7AC8C806">
      <w:numFmt w:val="decimal"/>
      <w:lvlText w:val=""/>
      <w:lvlJc w:val="left"/>
    </w:lvl>
    <w:lvl w:ilvl="5" w:tplc="408A43F0">
      <w:numFmt w:val="decimal"/>
      <w:lvlText w:val=""/>
      <w:lvlJc w:val="left"/>
    </w:lvl>
    <w:lvl w:ilvl="6" w:tplc="DFE4CA96">
      <w:numFmt w:val="decimal"/>
      <w:lvlText w:val=""/>
      <w:lvlJc w:val="left"/>
    </w:lvl>
    <w:lvl w:ilvl="7" w:tplc="5FF4904C">
      <w:numFmt w:val="decimal"/>
      <w:lvlText w:val=""/>
      <w:lvlJc w:val="left"/>
    </w:lvl>
    <w:lvl w:ilvl="8" w:tplc="20F26926">
      <w:numFmt w:val="decimal"/>
      <w:lvlText w:val=""/>
      <w:lvlJc w:val="left"/>
    </w:lvl>
  </w:abstractNum>
  <w:num w:numId="1" w16cid:durableId="136020321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3A24"/>
    <w:rsid w:val="00004E81"/>
    <w:rsid w:val="000060F5"/>
    <w:rsid w:val="00025B9B"/>
    <w:rsid w:val="00027C62"/>
    <w:rsid w:val="000346D9"/>
    <w:rsid w:val="000353B6"/>
    <w:rsid w:val="0004574C"/>
    <w:rsid w:val="00046363"/>
    <w:rsid w:val="00053721"/>
    <w:rsid w:val="000557A2"/>
    <w:rsid w:val="00064978"/>
    <w:rsid w:val="00066E7C"/>
    <w:rsid w:val="000803F8"/>
    <w:rsid w:val="00095037"/>
    <w:rsid w:val="000A3683"/>
    <w:rsid w:val="000B47DB"/>
    <w:rsid w:val="000B4C75"/>
    <w:rsid w:val="000B7517"/>
    <w:rsid w:val="000C5F6B"/>
    <w:rsid w:val="000D2306"/>
    <w:rsid w:val="000D3A84"/>
    <w:rsid w:val="000D3A94"/>
    <w:rsid w:val="000E347A"/>
    <w:rsid w:val="000E43AA"/>
    <w:rsid w:val="000F1E89"/>
    <w:rsid w:val="000F5CF6"/>
    <w:rsid w:val="000F5D86"/>
    <w:rsid w:val="0010429B"/>
    <w:rsid w:val="0010461E"/>
    <w:rsid w:val="00127665"/>
    <w:rsid w:val="001538DD"/>
    <w:rsid w:val="001546A0"/>
    <w:rsid w:val="0017054B"/>
    <w:rsid w:val="0017495C"/>
    <w:rsid w:val="00194178"/>
    <w:rsid w:val="00196B17"/>
    <w:rsid w:val="00196BF5"/>
    <w:rsid w:val="001A7017"/>
    <w:rsid w:val="001E010C"/>
    <w:rsid w:val="001E0DB5"/>
    <w:rsid w:val="001E4D14"/>
    <w:rsid w:val="001F2897"/>
    <w:rsid w:val="0020722C"/>
    <w:rsid w:val="00213ED5"/>
    <w:rsid w:val="00216136"/>
    <w:rsid w:val="0022550F"/>
    <w:rsid w:val="002311E3"/>
    <w:rsid w:val="00254A82"/>
    <w:rsid w:val="00264ABE"/>
    <w:rsid w:val="002A675B"/>
    <w:rsid w:val="002B174E"/>
    <w:rsid w:val="002C0A9D"/>
    <w:rsid w:val="002C7DCA"/>
    <w:rsid w:val="002D40D8"/>
    <w:rsid w:val="002D73C5"/>
    <w:rsid w:val="00305388"/>
    <w:rsid w:val="00317D93"/>
    <w:rsid w:val="0032025C"/>
    <w:rsid w:val="00323544"/>
    <w:rsid w:val="003279C5"/>
    <w:rsid w:val="003308CA"/>
    <w:rsid w:val="00332FF4"/>
    <w:rsid w:val="00347995"/>
    <w:rsid w:val="003562A4"/>
    <w:rsid w:val="00390290"/>
    <w:rsid w:val="0039171B"/>
    <w:rsid w:val="003A307C"/>
    <w:rsid w:val="003C3BA3"/>
    <w:rsid w:val="003C54B0"/>
    <w:rsid w:val="003C69A7"/>
    <w:rsid w:val="003D109C"/>
    <w:rsid w:val="003F4D80"/>
    <w:rsid w:val="00404445"/>
    <w:rsid w:val="00415B47"/>
    <w:rsid w:val="00424665"/>
    <w:rsid w:val="004373D3"/>
    <w:rsid w:val="00444B81"/>
    <w:rsid w:val="0044704F"/>
    <w:rsid w:val="0045010D"/>
    <w:rsid w:val="00452346"/>
    <w:rsid w:val="004626D0"/>
    <w:rsid w:val="004674AA"/>
    <w:rsid w:val="00470132"/>
    <w:rsid w:val="00477760"/>
    <w:rsid w:val="004820E3"/>
    <w:rsid w:val="00493BAD"/>
    <w:rsid w:val="0049600F"/>
    <w:rsid w:val="004B47D6"/>
    <w:rsid w:val="004B591D"/>
    <w:rsid w:val="004C0196"/>
    <w:rsid w:val="004C09EA"/>
    <w:rsid w:val="004C5642"/>
    <w:rsid w:val="004C6DB6"/>
    <w:rsid w:val="004D1259"/>
    <w:rsid w:val="004D1B7A"/>
    <w:rsid w:val="004E1B7E"/>
    <w:rsid w:val="004E5A7A"/>
    <w:rsid w:val="00506FB6"/>
    <w:rsid w:val="005316AC"/>
    <w:rsid w:val="00540068"/>
    <w:rsid w:val="0054073F"/>
    <w:rsid w:val="0054462A"/>
    <w:rsid w:val="005650A8"/>
    <w:rsid w:val="005763DF"/>
    <w:rsid w:val="00580D78"/>
    <w:rsid w:val="0059263F"/>
    <w:rsid w:val="00595201"/>
    <w:rsid w:val="005B0D0B"/>
    <w:rsid w:val="005B759C"/>
    <w:rsid w:val="005C1043"/>
    <w:rsid w:val="005C66CB"/>
    <w:rsid w:val="005C7F00"/>
    <w:rsid w:val="005E20E3"/>
    <w:rsid w:val="005E4C36"/>
    <w:rsid w:val="005E77AC"/>
    <w:rsid w:val="005F083A"/>
    <w:rsid w:val="005F296E"/>
    <w:rsid w:val="005F466A"/>
    <w:rsid w:val="00620442"/>
    <w:rsid w:val="006249E6"/>
    <w:rsid w:val="00631374"/>
    <w:rsid w:val="00654754"/>
    <w:rsid w:val="00665354"/>
    <w:rsid w:val="00676729"/>
    <w:rsid w:val="00691263"/>
    <w:rsid w:val="00696476"/>
    <w:rsid w:val="006A0413"/>
    <w:rsid w:val="006A0512"/>
    <w:rsid w:val="006F01BD"/>
    <w:rsid w:val="006F4137"/>
    <w:rsid w:val="0070357A"/>
    <w:rsid w:val="00707E07"/>
    <w:rsid w:val="00715411"/>
    <w:rsid w:val="00733C94"/>
    <w:rsid w:val="00736DBD"/>
    <w:rsid w:val="00751813"/>
    <w:rsid w:val="007563FA"/>
    <w:rsid w:val="00760407"/>
    <w:rsid w:val="0076408E"/>
    <w:rsid w:val="007906DA"/>
    <w:rsid w:val="007B4C7E"/>
    <w:rsid w:val="007C221A"/>
    <w:rsid w:val="007C4BC4"/>
    <w:rsid w:val="007C58BC"/>
    <w:rsid w:val="007C6631"/>
    <w:rsid w:val="007F2B5F"/>
    <w:rsid w:val="007F3A24"/>
    <w:rsid w:val="00800CB7"/>
    <w:rsid w:val="00807695"/>
    <w:rsid w:val="00807CAF"/>
    <w:rsid w:val="008122AE"/>
    <w:rsid w:val="008163A5"/>
    <w:rsid w:val="00821A18"/>
    <w:rsid w:val="00825422"/>
    <w:rsid w:val="0082548A"/>
    <w:rsid w:val="00835DBA"/>
    <w:rsid w:val="00844986"/>
    <w:rsid w:val="00847048"/>
    <w:rsid w:val="00863093"/>
    <w:rsid w:val="00863C15"/>
    <w:rsid w:val="00867CBA"/>
    <w:rsid w:val="00877D6F"/>
    <w:rsid w:val="00884281"/>
    <w:rsid w:val="00885249"/>
    <w:rsid w:val="008901FC"/>
    <w:rsid w:val="008962E2"/>
    <w:rsid w:val="008C233A"/>
    <w:rsid w:val="008F2751"/>
    <w:rsid w:val="008F5B20"/>
    <w:rsid w:val="00922209"/>
    <w:rsid w:val="00927781"/>
    <w:rsid w:val="00930BBC"/>
    <w:rsid w:val="00937449"/>
    <w:rsid w:val="00943364"/>
    <w:rsid w:val="00950ED9"/>
    <w:rsid w:val="0095225C"/>
    <w:rsid w:val="009527E7"/>
    <w:rsid w:val="009611AA"/>
    <w:rsid w:val="009616ED"/>
    <w:rsid w:val="009847A5"/>
    <w:rsid w:val="009A5ECF"/>
    <w:rsid w:val="009B0255"/>
    <w:rsid w:val="009B074E"/>
    <w:rsid w:val="009B2DA0"/>
    <w:rsid w:val="009B785B"/>
    <w:rsid w:val="009D0A29"/>
    <w:rsid w:val="009E75C6"/>
    <w:rsid w:val="009E7EDE"/>
    <w:rsid w:val="009F1772"/>
    <w:rsid w:val="00A021FA"/>
    <w:rsid w:val="00A07E06"/>
    <w:rsid w:val="00A127BA"/>
    <w:rsid w:val="00A13046"/>
    <w:rsid w:val="00A26390"/>
    <w:rsid w:val="00A30C28"/>
    <w:rsid w:val="00A35330"/>
    <w:rsid w:val="00A63060"/>
    <w:rsid w:val="00A63797"/>
    <w:rsid w:val="00A73D0A"/>
    <w:rsid w:val="00A75968"/>
    <w:rsid w:val="00A820F2"/>
    <w:rsid w:val="00A863D3"/>
    <w:rsid w:val="00A94E6C"/>
    <w:rsid w:val="00AB7E3F"/>
    <w:rsid w:val="00AD032D"/>
    <w:rsid w:val="00AE3849"/>
    <w:rsid w:val="00B02BC3"/>
    <w:rsid w:val="00B16126"/>
    <w:rsid w:val="00B17174"/>
    <w:rsid w:val="00B426DB"/>
    <w:rsid w:val="00B44571"/>
    <w:rsid w:val="00B50D53"/>
    <w:rsid w:val="00B7717F"/>
    <w:rsid w:val="00B845D6"/>
    <w:rsid w:val="00B86CE6"/>
    <w:rsid w:val="00B905A4"/>
    <w:rsid w:val="00B916E1"/>
    <w:rsid w:val="00B91874"/>
    <w:rsid w:val="00B91A2E"/>
    <w:rsid w:val="00BA4CB6"/>
    <w:rsid w:val="00BA648C"/>
    <w:rsid w:val="00BB1450"/>
    <w:rsid w:val="00BB1908"/>
    <w:rsid w:val="00BC45E0"/>
    <w:rsid w:val="00BE165E"/>
    <w:rsid w:val="00BF58CF"/>
    <w:rsid w:val="00C030EF"/>
    <w:rsid w:val="00C06AC4"/>
    <w:rsid w:val="00C335E8"/>
    <w:rsid w:val="00C476AC"/>
    <w:rsid w:val="00C601C1"/>
    <w:rsid w:val="00C7645F"/>
    <w:rsid w:val="00C77A46"/>
    <w:rsid w:val="00C82271"/>
    <w:rsid w:val="00C85108"/>
    <w:rsid w:val="00C95CC8"/>
    <w:rsid w:val="00CB12C7"/>
    <w:rsid w:val="00CB4626"/>
    <w:rsid w:val="00CB6687"/>
    <w:rsid w:val="00CC7426"/>
    <w:rsid w:val="00CD74CE"/>
    <w:rsid w:val="00CE3196"/>
    <w:rsid w:val="00CE5051"/>
    <w:rsid w:val="00CF2AE2"/>
    <w:rsid w:val="00CF54CA"/>
    <w:rsid w:val="00CF60FF"/>
    <w:rsid w:val="00D0140D"/>
    <w:rsid w:val="00D10F72"/>
    <w:rsid w:val="00D14B83"/>
    <w:rsid w:val="00D20244"/>
    <w:rsid w:val="00D22F4D"/>
    <w:rsid w:val="00D27399"/>
    <w:rsid w:val="00D277C7"/>
    <w:rsid w:val="00D32065"/>
    <w:rsid w:val="00D467F8"/>
    <w:rsid w:val="00D532D1"/>
    <w:rsid w:val="00D65283"/>
    <w:rsid w:val="00D74ADE"/>
    <w:rsid w:val="00D8186B"/>
    <w:rsid w:val="00D97F4E"/>
    <w:rsid w:val="00DA128E"/>
    <w:rsid w:val="00DB1284"/>
    <w:rsid w:val="00DB16F2"/>
    <w:rsid w:val="00DB1A81"/>
    <w:rsid w:val="00DB1D42"/>
    <w:rsid w:val="00DB30FF"/>
    <w:rsid w:val="00DB3332"/>
    <w:rsid w:val="00DC6763"/>
    <w:rsid w:val="00DD4585"/>
    <w:rsid w:val="00DE4054"/>
    <w:rsid w:val="00E370C7"/>
    <w:rsid w:val="00E42D43"/>
    <w:rsid w:val="00E52790"/>
    <w:rsid w:val="00E57086"/>
    <w:rsid w:val="00E61AA8"/>
    <w:rsid w:val="00E6200F"/>
    <w:rsid w:val="00E66D2F"/>
    <w:rsid w:val="00E82AE7"/>
    <w:rsid w:val="00E90112"/>
    <w:rsid w:val="00E92326"/>
    <w:rsid w:val="00E92402"/>
    <w:rsid w:val="00EA40F0"/>
    <w:rsid w:val="00EB3F19"/>
    <w:rsid w:val="00EC216C"/>
    <w:rsid w:val="00ED2FBA"/>
    <w:rsid w:val="00ED3C05"/>
    <w:rsid w:val="00F07312"/>
    <w:rsid w:val="00F07B9F"/>
    <w:rsid w:val="00F21B5C"/>
    <w:rsid w:val="00F23FE9"/>
    <w:rsid w:val="00F26749"/>
    <w:rsid w:val="00F45CFD"/>
    <w:rsid w:val="00F74B26"/>
    <w:rsid w:val="00F777B4"/>
    <w:rsid w:val="00F82DE4"/>
    <w:rsid w:val="00F96FBF"/>
    <w:rsid w:val="00F97B8B"/>
    <w:rsid w:val="00FA59E9"/>
    <w:rsid w:val="00FB7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3A3E8"/>
  <w15:docId w15:val="{5C1E837F-D8D9-4E11-8C02-76C4B00B6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C05"/>
  </w:style>
  <w:style w:type="paragraph" w:styleId="Heading1">
    <w:name w:val="heading 1"/>
    <w:link w:val="Heading1Char"/>
    <w:uiPriority w:val="9"/>
    <w:qFormat/>
    <w:pPr>
      <w:spacing w:before="360" w:after="180"/>
      <w:outlineLvl w:val="0"/>
    </w:pPr>
    <w:rPr>
      <w:b/>
      <w:bCs/>
      <w:color w:val="1F3864"/>
      <w:sz w:val="30"/>
      <w:szCs w:val="30"/>
    </w:rPr>
  </w:style>
  <w:style w:type="paragraph" w:styleId="Heading2">
    <w:name w:val="heading 2"/>
    <w:link w:val="Heading2Char"/>
    <w:uiPriority w:val="9"/>
    <w:unhideWhenUsed/>
    <w:qFormat/>
    <w:pPr>
      <w:spacing w:before="280" w:after="140"/>
      <w:outlineLvl w:val="1"/>
    </w:pPr>
    <w:rPr>
      <w:b/>
      <w:bCs/>
      <w:color w:val="2E5DA0"/>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027C62"/>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027C62"/>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27C6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A63060"/>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character" w:customStyle="1" w:styleId="Heading1Char">
    <w:name w:val="Heading 1 Char"/>
    <w:basedOn w:val="DefaultParagraphFont"/>
    <w:link w:val="Heading1"/>
    <w:uiPriority w:val="9"/>
    <w:rsid w:val="00ED3C05"/>
    <w:rPr>
      <w:b/>
      <w:bCs/>
      <w:color w:val="1F3864"/>
      <w:sz w:val="30"/>
      <w:szCs w:val="30"/>
    </w:rPr>
  </w:style>
  <w:style w:type="character" w:customStyle="1" w:styleId="Heading2Char">
    <w:name w:val="Heading 2 Char"/>
    <w:basedOn w:val="DefaultParagraphFont"/>
    <w:link w:val="Heading2"/>
    <w:uiPriority w:val="9"/>
    <w:rsid w:val="00ED3C05"/>
    <w:rPr>
      <w:b/>
      <w:bCs/>
      <w:color w:val="2E5DA0"/>
      <w:sz w:val="26"/>
      <w:szCs w:val="26"/>
    </w:rPr>
  </w:style>
  <w:style w:type="paragraph" w:styleId="Header">
    <w:name w:val="header"/>
    <w:basedOn w:val="Normal"/>
    <w:link w:val="HeaderChar"/>
    <w:uiPriority w:val="99"/>
    <w:unhideWhenUsed/>
    <w:rsid w:val="00707E07"/>
    <w:pPr>
      <w:tabs>
        <w:tab w:val="center" w:pos="4513"/>
        <w:tab w:val="right" w:pos="9026"/>
      </w:tabs>
    </w:pPr>
  </w:style>
  <w:style w:type="character" w:customStyle="1" w:styleId="HeaderChar">
    <w:name w:val="Header Char"/>
    <w:basedOn w:val="DefaultParagraphFont"/>
    <w:link w:val="Header"/>
    <w:uiPriority w:val="99"/>
    <w:rsid w:val="00707E07"/>
  </w:style>
  <w:style w:type="paragraph" w:styleId="Footer">
    <w:name w:val="footer"/>
    <w:basedOn w:val="Normal"/>
    <w:link w:val="FooterChar"/>
    <w:uiPriority w:val="99"/>
    <w:unhideWhenUsed/>
    <w:rsid w:val="00707E07"/>
    <w:pPr>
      <w:tabs>
        <w:tab w:val="center" w:pos="4513"/>
        <w:tab w:val="right" w:pos="9026"/>
      </w:tabs>
    </w:pPr>
  </w:style>
  <w:style w:type="character" w:customStyle="1" w:styleId="FooterChar">
    <w:name w:val="Footer Char"/>
    <w:basedOn w:val="DefaultParagraphFont"/>
    <w:link w:val="Footer"/>
    <w:uiPriority w:val="99"/>
    <w:rsid w:val="00707E07"/>
  </w:style>
  <w:style w:type="paragraph" w:styleId="TOC1">
    <w:name w:val="toc 1"/>
    <w:basedOn w:val="Normal"/>
    <w:next w:val="Normal"/>
    <w:autoRedefine/>
    <w:uiPriority w:val="39"/>
    <w:unhideWhenUsed/>
    <w:rsid w:val="009B074E"/>
    <w:pPr>
      <w:tabs>
        <w:tab w:val="right" w:leader="dot" w:pos="8756"/>
      </w:tabs>
      <w:spacing w:after="100" w:line="360" w:lineRule="auto"/>
    </w:pPr>
  </w:style>
  <w:style w:type="paragraph" w:styleId="TOC2">
    <w:name w:val="toc 2"/>
    <w:basedOn w:val="Normal"/>
    <w:next w:val="Normal"/>
    <w:autoRedefine/>
    <w:uiPriority w:val="39"/>
    <w:unhideWhenUsed/>
    <w:rsid w:val="00B91874"/>
    <w:pPr>
      <w:spacing w:after="100"/>
      <w:ind w:left="240"/>
    </w:pPr>
  </w:style>
  <w:style w:type="character" w:styleId="BookTitle">
    <w:name w:val="Book Title"/>
    <w:basedOn w:val="DefaultParagraphFont"/>
    <w:uiPriority w:val="33"/>
    <w:qFormat/>
    <w:rsid w:val="00027C62"/>
    <w:rPr>
      <w:b/>
      <w:bCs/>
      <w:i/>
      <w:iCs/>
      <w:spacing w:val="5"/>
    </w:rPr>
  </w:style>
  <w:style w:type="paragraph" w:styleId="Caption">
    <w:name w:val="caption"/>
    <w:basedOn w:val="Normal"/>
    <w:next w:val="Normal"/>
    <w:uiPriority w:val="35"/>
    <w:semiHidden/>
    <w:unhideWhenUsed/>
    <w:qFormat/>
    <w:rsid w:val="00027C62"/>
    <w:pPr>
      <w:spacing w:after="200"/>
    </w:pPr>
    <w:rPr>
      <w:i/>
      <w:iCs/>
      <w:color w:val="0E2841" w:themeColor="text2"/>
      <w:sz w:val="18"/>
      <w:szCs w:val="18"/>
    </w:rPr>
  </w:style>
  <w:style w:type="character" w:styleId="Emphasis">
    <w:name w:val="Emphasis"/>
    <w:basedOn w:val="DefaultParagraphFont"/>
    <w:uiPriority w:val="20"/>
    <w:qFormat/>
    <w:rsid w:val="00027C62"/>
    <w:rPr>
      <w:i/>
      <w:iCs/>
    </w:rPr>
  </w:style>
  <w:style w:type="character" w:customStyle="1" w:styleId="Heading7Char">
    <w:name w:val="Heading 7 Char"/>
    <w:basedOn w:val="DefaultParagraphFont"/>
    <w:link w:val="Heading7"/>
    <w:uiPriority w:val="9"/>
    <w:semiHidden/>
    <w:rsid w:val="00027C62"/>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027C6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27C62"/>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027C62"/>
    <w:rPr>
      <w:i/>
      <w:iCs/>
      <w:color w:val="156082" w:themeColor="accent1"/>
    </w:rPr>
  </w:style>
  <w:style w:type="paragraph" w:styleId="IntenseQuote">
    <w:name w:val="Intense Quote"/>
    <w:basedOn w:val="Normal"/>
    <w:next w:val="Normal"/>
    <w:link w:val="IntenseQuoteChar"/>
    <w:uiPriority w:val="30"/>
    <w:qFormat/>
    <w:rsid w:val="00027C62"/>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027C62"/>
    <w:rPr>
      <w:i/>
      <w:iCs/>
      <w:color w:val="156082" w:themeColor="accent1"/>
    </w:rPr>
  </w:style>
  <w:style w:type="character" w:styleId="IntenseReference">
    <w:name w:val="Intense Reference"/>
    <w:basedOn w:val="DefaultParagraphFont"/>
    <w:uiPriority w:val="32"/>
    <w:qFormat/>
    <w:rsid w:val="00027C62"/>
    <w:rPr>
      <w:b/>
      <w:bCs/>
      <w:smallCaps/>
      <w:color w:val="156082" w:themeColor="accent1"/>
      <w:spacing w:val="5"/>
    </w:rPr>
  </w:style>
  <w:style w:type="paragraph" w:styleId="NoSpacing">
    <w:name w:val="No Spacing"/>
    <w:uiPriority w:val="1"/>
    <w:qFormat/>
    <w:rsid w:val="00027C62"/>
  </w:style>
  <w:style w:type="paragraph" w:styleId="Quote">
    <w:name w:val="Quote"/>
    <w:basedOn w:val="Normal"/>
    <w:next w:val="Normal"/>
    <w:link w:val="QuoteChar"/>
    <w:uiPriority w:val="29"/>
    <w:qFormat/>
    <w:rsid w:val="00027C6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027C62"/>
    <w:rPr>
      <w:i/>
      <w:iCs/>
      <w:color w:val="404040" w:themeColor="text1" w:themeTint="BF"/>
    </w:rPr>
  </w:style>
  <w:style w:type="character" w:styleId="Strong">
    <w:name w:val="Strong"/>
    <w:basedOn w:val="DefaultParagraphFont"/>
    <w:uiPriority w:val="22"/>
    <w:qFormat/>
    <w:rsid w:val="00027C62"/>
    <w:rPr>
      <w:b/>
      <w:bCs/>
    </w:rPr>
  </w:style>
  <w:style w:type="paragraph" w:styleId="Subtitle">
    <w:name w:val="Subtitle"/>
    <w:basedOn w:val="Normal"/>
    <w:next w:val="Normal"/>
    <w:link w:val="SubtitleChar"/>
    <w:uiPriority w:val="11"/>
    <w:qFormat/>
    <w:rsid w:val="00027C6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027C62"/>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027C62"/>
    <w:rPr>
      <w:i/>
      <w:iCs/>
      <w:color w:val="404040" w:themeColor="text1" w:themeTint="BF"/>
    </w:rPr>
  </w:style>
  <w:style w:type="character" w:styleId="SubtleReference">
    <w:name w:val="Subtle Reference"/>
    <w:basedOn w:val="DefaultParagraphFont"/>
    <w:uiPriority w:val="31"/>
    <w:qFormat/>
    <w:rsid w:val="00027C62"/>
    <w:rPr>
      <w:smallCaps/>
      <w:color w:val="5A5A5A" w:themeColor="text1" w:themeTint="A5"/>
    </w:rPr>
  </w:style>
  <w:style w:type="character" w:styleId="UnresolvedMention">
    <w:name w:val="Unresolved Mention"/>
    <w:basedOn w:val="DefaultParagraphFont"/>
    <w:uiPriority w:val="99"/>
    <w:semiHidden/>
    <w:unhideWhenUsed/>
    <w:rsid w:val="00922209"/>
    <w:rPr>
      <w:color w:val="605E5C"/>
      <w:shd w:val="clear" w:color="auto" w:fill="E1DFDD"/>
    </w:rPr>
  </w:style>
  <w:style w:type="paragraph" w:styleId="NormalWeb">
    <w:name w:val="Normal (Web)"/>
    <w:basedOn w:val="Normal"/>
    <w:uiPriority w:val="99"/>
    <w:semiHidden/>
    <w:unhideWhenUsed/>
    <w:rsid w:val="001A7017"/>
    <w:pPr>
      <w:spacing w:before="100" w:beforeAutospacing="1" w:after="100" w:afterAutospacing="1"/>
    </w:pPr>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DB1D42"/>
    <w:rPr>
      <w:sz w:val="16"/>
      <w:szCs w:val="16"/>
    </w:rPr>
  </w:style>
  <w:style w:type="paragraph" w:styleId="CommentText">
    <w:name w:val="annotation text"/>
    <w:basedOn w:val="Normal"/>
    <w:link w:val="CommentTextChar"/>
    <w:uiPriority w:val="99"/>
    <w:unhideWhenUsed/>
    <w:rsid w:val="00DB1D42"/>
    <w:rPr>
      <w:sz w:val="20"/>
      <w:szCs w:val="20"/>
    </w:rPr>
  </w:style>
  <w:style w:type="character" w:customStyle="1" w:styleId="CommentTextChar">
    <w:name w:val="Comment Text Char"/>
    <w:basedOn w:val="DefaultParagraphFont"/>
    <w:link w:val="CommentText"/>
    <w:uiPriority w:val="99"/>
    <w:rsid w:val="00DB1D42"/>
    <w:rPr>
      <w:sz w:val="20"/>
      <w:szCs w:val="20"/>
    </w:rPr>
  </w:style>
  <w:style w:type="paragraph" w:styleId="CommentSubject">
    <w:name w:val="annotation subject"/>
    <w:basedOn w:val="CommentText"/>
    <w:next w:val="CommentText"/>
    <w:link w:val="CommentSubjectChar"/>
    <w:uiPriority w:val="99"/>
    <w:semiHidden/>
    <w:unhideWhenUsed/>
    <w:rsid w:val="00DB1D42"/>
    <w:rPr>
      <w:b/>
      <w:bCs/>
    </w:rPr>
  </w:style>
  <w:style w:type="character" w:customStyle="1" w:styleId="CommentSubjectChar">
    <w:name w:val="Comment Subject Char"/>
    <w:basedOn w:val="CommentTextChar"/>
    <w:link w:val="CommentSubject"/>
    <w:uiPriority w:val="99"/>
    <w:semiHidden/>
    <w:rsid w:val="00DB1D4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4000/rfcb.5264" TargetMode="External"/><Relationship Id="rId18" Type="http://schemas.openxmlformats.org/officeDocument/2006/relationships/hyperlink" Target="https://www.gov.wales/first-100-days-warmer-and-more-energy-efficient-homes-html" TargetMode="External"/><Relationship Id="rId26" Type="http://schemas.openxmlformats.org/officeDocument/2006/relationships/hyperlink" Target="https://doi:10.1080/19320248.2020.1848686" TargetMode="External"/><Relationship Id="rId39" Type="http://schemas.openxmlformats.org/officeDocument/2006/relationships/hyperlink" Target="https://data.unicef.org/sdgs/goal-3-good-health-wellbeing/" TargetMode="External"/><Relationship Id="rId21" Type="http://schemas.openxmlformats.org/officeDocument/2006/relationships/hyperlink" Target="https://pmc.ncbi.nlm.nih.gov/articles/PMC10240167/" TargetMode="External"/><Relationship Id="rId34" Type="http://schemas.openxmlformats.org/officeDocument/2006/relationships/hyperlink" Target="https://doi:10.34172/hpp.2020.50" TargetMode="External"/><Relationship Id="rId42" Type="http://schemas.openxmlformats.org/officeDocument/2006/relationships/hyperlink" Target="https://www.who.int/europe/about-us/our-work/sustainable-development-goals/targets-of-sustainable-development-goal-3"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our-food-2022-an-annual-review-of-food-standards-across-the-uk/our-food-2022-an-annual-review-of-food-standards-across-the-uk" TargetMode="External"/><Relationship Id="rId29" Type="http://schemas.openxmlformats.org/officeDocument/2006/relationships/hyperlink" Target="https://www.england.nhs.uk/ourwork/clinical-policy/respiratory-disease%20/" TargetMode="External"/><Relationship Id="rId11" Type="http://schemas.openxmlformats.org/officeDocument/2006/relationships/hyperlink" Target="https://doi:10.1192/bjp.2019.196" TargetMode="External"/><Relationship Id="rId24" Type="http://schemas.openxmlformats.org/officeDocument/2006/relationships/hyperlink" Target="https://www.cambridge.org/core/journals/proceedings-of-the-nutrition-society/article/food-banks-understanding-their-role-in-the-food-insecure-population-in-the-uk/E3B3E630D02914599E472023654A604F" TargetMode="External"/><Relationship Id="rId32" Type="http://schemas.openxmlformats.org/officeDocument/2006/relationships/hyperlink" Target="https://www.ons.gov.uk/peoplepopulationandcommunity/healthandsocialcare/healthinequalities/bulletins/healthstatelifeexpectanciesbyindexofmultipledeprivationimd/2018to2020" TargetMode="External"/><Relationship Id="rId37" Type="http://schemas.openxmlformats.org/officeDocument/2006/relationships/hyperlink" Target="https://doi:10.1136/bmj.p2160" TargetMode="External"/><Relationship Id="rId40" Type="http://schemas.openxmlformats.org/officeDocument/2006/relationships/hyperlink" Target="https://www.un.org/sustainabledevelopment/health/"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93/inthealth/ihw002" TargetMode="External"/><Relationship Id="rId23" Type="http://schemas.openxmlformats.org/officeDocument/2006/relationships/hyperlink" Target="https://doi.org/10.1038/s41591-026-04292-y" TargetMode="External"/><Relationship Id="rId28" Type="http://schemas.openxmlformats.org/officeDocument/2006/relationships/hyperlink" Target="https://www.un.org/en/global-issues/mental-health" TargetMode="External"/><Relationship Id="rId36" Type="http://schemas.openxmlformats.org/officeDocument/2006/relationships/hyperlink" Target="https://doi:10.1136/archdischild-2023-rcpch.448" TargetMode="External"/><Relationship Id="rId49" Type="http://schemas.openxmlformats.org/officeDocument/2006/relationships/header" Target="header3.xml"/><Relationship Id="rId10" Type="http://schemas.openxmlformats.org/officeDocument/2006/relationships/hyperlink" Target="https://doi:10.12688/wellcomeopenres.15922.2" TargetMode="External"/><Relationship Id="rId19" Type="http://schemas.openxmlformats.org/officeDocument/2006/relationships/hyperlink" Target="https://www.london.gov.uk/programmes-strategies/education-and-youth/healthy-early-years-london-and-healthy-schools-london/healthy-schools-london" TargetMode="External"/><Relationship Id="rId31" Type="http://schemas.openxmlformats.org/officeDocument/2006/relationships/hyperlink" Target="https://www.england.nhs.uk/long-read/nhs-long-term-workforce-plan-2/" TargetMode="External"/><Relationship Id="rId44" Type="http://schemas.openxmlformats.org/officeDocument/2006/relationships/hyperlink" Target="https://doi.org/10.1596/978-92-4-151355-5"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cribd.com/document/462889179/Global-Occupational-Safety-and-Health-Management-Handbook" TargetMode="External"/><Relationship Id="rId14" Type="http://schemas.openxmlformats.org/officeDocument/2006/relationships/hyperlink" Target="https://doi:10.1177/1461452916631889" TargetMode="External"/><Relationship Id="rId22" Type="http://schemas.openxmlformats.org/officeDocument/2006/relationships/hyperlink" Target="https://doi:10.1001/jamanetworkopen.2025.24302" TargetMode="External"/><Relationship Id="rId27" Type="http://schemas.openxmlformats.org/officeDocument/2006/relationships/hyperlink" Target="https://doi:10.23889/ijpds.v8i2.2354" TargetMode="External"/><Relationship Id="rId30" Type="http://schemas.openxmlformats.org/officeDocument/2006/relationships/hyperlink" Target="https://www.england.nhs.uk/about/equality/equality-hub/national-healthcare-inequalities-improvement-programme/core20plus5/core20plus5-cyp/" TargetMode="External"/><Relationship Id="rId35" Type="http://schemas.openxmlformats.org/officeDocument/2006/relationships/hyperlink" Target="https://rethink.org/news-and-stories/news-and-views/2024/the-hidden-toll-of-camhs-waiting-lists-on-young-people-s-mental-health/" TargetMode="External"/><Relationship Id="rId43" Type="http://schemas.openxmlformats.org/officeDocument/2006/relationships/hyperlink" Target="https://doi.org/10.1596/978-1-4648-0961-3"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10.1016/j.puhip.2024.100503" TargetMode="External"/><Relationship Id="rId17" Type="http://schemas.openxmlformats.org/officeDocument/2006/relationships/hyperlink" Target="https://doi:10.1371/journal.pone.0336036" TargetMode="External"/><Relationship Id="rId25" Type="http://schemas.openxmlformats.org/officeDocument/2006/relationships/hyperlink" Target="https://doi:10.1111/1471-0528.15905" TargetMode="External"/><Relationship Id="rId33" Type="http://schemas.openxmlformats.org/officeDocument/2006/relationships/hyperlink" Target="https://commonslibrary.parliament.uk/research-briefings/cbp-7547/" TargetMode="External"/><Relationship Id="rId38" Type="http://schemas.openxmlformats.org/officeDocument/2006/relationships/hyperlink" Target="https://hdr.undp.org/content/human-development-report-2021-22" TargetMode="External"/><Relationship Id="rId46" Type="http://schemas.openxmlformats.org/officeDocument/2006/relationships/header" Target="header2.xml"/><Relationship Id="rId20" Type="http://schemas.openxmlformats.org/officeDocument/2006/relationships/hyperlink" Target="https://doi:10.1080/02763893.2019.1567642" TargetMode="External"/><Relationship Id="rId41" Type="http://schemas.openxmlformats.org/officeDocument/2006/relationships/hyperlink" Target="https://www.un.org/sustainabledevelopment/povert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8DEBF-40BC-4A56-9BDF-35B4FBDDD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TotalTime>
  <Pages>13</Pages>
  <Words>4002</Words>
  <Characters>25818</Characters>
  <Application>Microsoft Office Word</Application>
  <DocSecurity>0</DocSecurity>
  <Lines>445</Lines>
  <Paragraphs>126</Paragraphs>
  <ScaleCrop>false</ScaleCrop>
  <HeadingPairs>
    <vt:vector size="2" baseType="variant">
      <vt:variant>
        <vt:lpstr>Title</vt:lpstr>
      </vt:variant>
      <vt:variant>
        <vt:i4>1</vt:i4>
      </vt:variant>
    </vt:vector>
  </HeadingPairs>
  <TitlesOfParts>
    <vt:vector size="1" baseType="lpstr">
      <vt:lpstr/>
    </vt:vector>
  </TitlesOfParts>
  <Company>Churchill Services Ltd</Company>
  <LinksUpToDate>false</LinksUpToDate>
  <CharactersWithSpaces>29694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Christiana Joseph</cp:lastModifiedBy>
  <cp:revision>262</cp:revision>
  <dcterms:created xsi:type="dcterms:W3CDTF">2026-06-26T12:36:00Z</dcterms:created>
  <dcterms:modified xsi:type="dcterms:W3CDTF">2026-08-04T19:54:00Z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e76646c9-17a3-47b5-8d0f-9ffae0cf9587</vt:lpwstr>
  </property>
</Properties>
</file>