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b/>
          <w:bCs/>
          <w:sz w:val="28"/>
          <w:szCs w:val="28"/>
        </w:rPr>
      </w:pPr>
    </w:p>
    <w:p>
      <w:pPr>
        <w:pStyle w:val="style0"/>
        <w:rPr>
          <w:b/>
          <w:bCs/>
          <w:sz w:val="28"/>
          <w:szCs w:val="28"/>
        </w:rPr>
      </w:pPr>
    </w:p>
    <w:p>
      <w:pPr>
        <w:pStyle w:val="style0"/>
        <w:rPr>
          <w:b/>
          <w:bCs/>
          <w:sz w:val="28"/>
          <w:szCs w:val="28"/>
        </w:rPr>
      </w:pPr>
    </w:p>
    <w:p>
      <w:pPr>
        <w:pStyle w:val="style0"/>
        <w:rPr>
          <w:b/>
          <w:bCs/>
          <w:sz w:val="28"/>
          <w:szCs w:val="28"/>
        </w:rPr>
      </w:pPr>
    </w:p>
    <w:p>
      <w:pPr>
        <w:pStyle w:val="style0"/>
        <w:rPr>
          <w:b/>
          <w:bCs/>
          <w:sz w:val="28"/>
          <w:szCs w:val="28"/>
        </w:rPr>
      </w:pPr>
    </w:p>
    <w:p>
      <w:pPr>
        <w:pStyle w:val="style0"/>
        <w:rPr>
          <w:b/>
          <w:bCs/>
          <w:sz w:val="28"/>
          <w:szCs w:val="28"/>
        </w:rPr>
      </w:pPr>
    </w:p>
    <w:p>
      <w:pPr>
        <w:pStyle w:val="style0"/>
        <w:spacing w:lineRule="auto" w:line="360"/>
        <w:jc w:val="center"/>
        <w:rPr>
          <w:b/>
          <w:sz w:val="36"/>
        </w:rPr>
      </w:pPr>
    </w:p>
    <w:p>
      <w:pPr>
        <w:pStyle w:val="style0"/>
        <w:spacing w:lineRule="auto" w:line="360"/>
        <w:jc w:val="center"/>
        <w:rPr>
          <w:b/>
          <w:sz w:val="36"/>
        </w:rPr>
      </w:pPr>
    </w:p>
    <w:p>
      <w:pPr>
        <w:pStyle w:val="style0"/>
        <w:spacing w:lineRule="auto" w:line="360"/>
        <w:jc w:val="center"/>
        <w:rPr>
          <w:b/>
          <w:sz w:val="36"/>
        </w:rPr>
      </w:pPr>
    </w:p>
    <w:p>
      <w:pPr>
        <w:pStyle w:val="style0"/>
        <w:spacing w:lineRule="auto" w:line="360"/>
        <w:jc w:val="center"/>
        <w:rPr>
          <w:b/>
          <w:sz w:val="36"/>
        </w:rPr>
      </w:pPr>
      <w:r>
        <w:rPr>
          <w:b/>
          <w:sz w:val="36"/>
        </w:rPr>
        <w:t>Programme: BA Business Management</w:t>
      </w:r>
    </w:p>
    <w:p>
      <w:pPr>
        <w:pStyle w:val="style0"/>
        <w:spacing w:lineRule="auto" w:line="360"/>
        <w:jc w:val="center"/>
        <w:rPr>
          <w:b/>
          <w:sz w:val="36"/>
        </w:rPr>
      </w:pPr>
      <w:r>
        <w:rPr>
          <w:b/>
          <w:sz w:val="36"/>
        </w:rPr>
        <w:t>Module: Entrepreneurship</w:t>
      </w:r>
    </w:p>
    <w:p>
      <w:pPr>
        <w:pStyle w:val="style0"/>
        <w:spacing w:lineRule="auto" w:line="360"/>
        <w:jc w:val="center"/>
        <w:rPr>
          <w:b/>
          <w:bCs/>
          <w:sz w:val="40"/>
          <w:szCs w:val="28"/>
        </w:rPr>
      </w:pPr>
      <w:r>
        <w:rPr>
          <w:b/>
          <w:sz w:val="36"/>
        </w:rPr>
        <w:t>Module code: LCBB5001</w:t>
      </w:r>
    </w:p>
    <w:p>
      <w:pPr>
        <w:pStyle w:val="style0"/>
        <w:rPr>
          <w:b/>
          <w:bCs/>
          <w:sz w:val="28"/>
          <w:szCs w:val="28"/>
        </w:rPr>
      </w:pPr>
    </w:p>
    <w:p>
      <w:pPr>
        <w:pStyle w:val="style0"/>
        <w:rPr>
          <w:b/>
          <w:bCs/>
          <w:sz w:val="28"/>
          <w:szCs w:val="28"/>
        </w:rPr>
      </w:pPr>
    </w:p>
    <w:p>
      <w:pPr>
        <w:pStyle w:val="style0"/>
        <w:rPr>
          <w:b/>
          <w:bCs/>
          <w:sz w:val="28"/>
          <w:szCs w:val="28"/>
        </w:rPr>
      </w:pPr>
    </w:p>
    <w:p>
      <w:pPr>
        <w:pStyle w:val="style0"/>
        <w:rPr>
          <w:b/>
          <w:bCs/>
          <w:sz w:val="28"/>
          <w:szCs w:val="28"/>
        </w:rPr>
      </w:pPr>
    </w:p>
    <w:p>
      <w:pPr>
        <w:pStyle w:val="style0"/>
        <w:rPr>
          <w:b/>
          <w:bCs/>
          <w:sz w:val="28"/>
          <w:szCs w:val="28"/>
        </w:rPr>
      </w:pPr>
      <w:r>
        <w:rPr>
          <w:b/>
          <w:bCs/>
          <w:sz w:val="28"/>
          <w:szCs w:val="28"/>
          <w:lang w:val="en-US"/>
        </w:rPr>
        <w:t>Student Name: Kostadin Dimitrov kostov</w:t>
      </w:r>
    </w:p>
    <w:p>
      <w:pPr>
        <w:pStyle w:val="style0"/>
        <w:rPr>
          <w:b/>
          <w:bCs/>
          <w:sz w:val="28"/>
          <w:szCs w:val="28"/>
        </w:rPr>
      </w:pPr>
      <w:r>
        <w:rPr>
          <w:b/>
          <w:bCs/>
          <w:sz w:val="28"/>
          <w:szCs w:val="28"/>
          <w:lang w:val="en-US"/>
        </w:rPr>
        <w:t>Student ID:2115193</w:t>
      </w:r>
    </w:p>
    <w:p>
      <w:pPr>
        <w:pStyle w:val="style0"/>
        <w:rPr>
          <w:b/>
          <w:bCs/>
          <w:sz w:val="28"/>
          <w:szCs w:val="28"/>
        </w:rPr>
      </w:pPr>
    </w:p>
    <w:p>
      <w:pPr>
        <w:pStyle w:val="style0"/>
        <w:rPr>
          <w:b/>
          <w:bCs/>
          <w:sz w:val="28"/>
          <w:szCs w:val="28"/>
        </w:rPr>
      </w:pPr>
    </w:p>
    <w:tbl>
      <w:tblPr>
        <w:tblStyle w:val="style4098"/>
        <w:tblW w:w="0" w:type="auto"/>
        <w:tblLook w:val="04A0" w:firstRow="1" w:lastRow="0" w:firstColumn="1" w:lastColumn="0" w:noHBand="0" w:noVBand="1"/>
      </w:tblPr>
      <w:tblGrid>
        <w:gridCol w:w="13948"/>
      </w:tblGrid>
      <w:tr>
        <w:trPr/>
        <w:tc>
          <w:tcPr>
            <w:tcW w:w="13948" w:type="dxa"/>
            <w:tcBorders/>
          </w:tcPr>
          <w:p>
            <w:pPr>
              <w:pStyle w:val="style0"/>
              <w:rPr>
                <w:rFonts w:ascii="Arial" w:cs="Arial" w:hAnsi="Arial"/>
                <w:b w:val="false"/>
                <w:bCs w:val="false"/>
              </w:rPr>
            </w:pPr>
            <w:r>
              <w:rPr>
                <w:rFonts w:ascii="Arial" w:cs="Arial" w:hAnsi="Arial"/>
              </w:rPr>
              <w:t xml:space="preserve">BUSINESS </w:t>
            </w:r>
            <w:r>
              <w:rPr>
                <w:rFonts w:ascii="Arial" w:cs="Arial" w:hAnsi="Arial"/>
              </w:rPr>
              <w:t>DESCRIPTION / MARKET OPPORTUNITY</w:t>
            </w:r>
          </w:p>
          <w:p>
            <w:pPr>
              <w:pStyle w:val="style0"/>
              <w:rPr>
                <w:rFonts w:ascii="Arial" w:cs="Arial" w:hAnsi="Arial"/>
                <w:b w:val="false"/>
                <w:bCs w:val="false"/>
              </w:rPr>
            </w:pPr>
          </w:p>
          <w:p>
            <w:pPr>
              <w:pStyle w:val="style0"/>
              <w:spacing w:lineRule="auto" w:line="360"/>
              <w:jc w:val="both"/>
              <w:rPr>
                <w:b w:val="false"/>
              </w:rPr>
            </w:pPr>
            <w:r>
              <w:rPr>
                <w:b w:val="false"/>
              </w:rPr>
              <w:t>The company will operate in the fast-growing online meal delivery market. Businesses that provide "Mobile/Online Food Services" make and serve meals and snacks that may be eaten right away, either from motorised carts or other non-motorized vehicles. Ethnicity is a major factor in the success of La Vida Lola, a food truck based in Atlanta that specialises</w:t>
            </w:r>
            <w:r>
              <w:rPr>
                <w:b w:val="false"/>
              </w:rPr>
              <w:t xml:space="preserve"> in Latin </w:t>
            </w:r>
            <w:r>
              <w:rPr>
                <w:b w:val="false"/>
              </w:rPr>
              <w:t xml:space="preserve">cuisine </w:t>
            </w:r>
            <w:r>
              <w:rPr/>
              <w:fldChar w:fldCharType="begin"/>
            </w:r>
            <w:r>
              <w:rPr>
                <w:b w:val="false"/>
              </w:rPr>
              <w:instrText xml:space="preserve"> ADDIN ZOTERO_ITEM CSL_CITATION {"citationID":"yuYCWgHP","properties":{"formattedCitation":"(Kamath, 2018)","plainCitation":"(Kamath, 2018)","noteIndex":0},"citationItems":[{"id":18017,"uris":["http://zotero.org/users/local/H5sehU5t/items/QUP2Z2QU"],"itemData":{"id":18017,"type":"article-journal","container-title":"The Journal of the British Blockchain Association","issue":"1","note":"publisher: The British Blockchain Association","source":"Google Scholar","title":"Food traceability on blockchain: Walmart’s pork and mango pilots with IBM","title-short":"Food traceability on blockchain","volume":"1","author":[{"family":"Kamath","given":"Reshma"}],"issued":{"date-parts":[["2018"]]}}}],"schema":"https://github.com/citation-style-language/schema/raw/master/csl-citation.json"} </w:instrText>
            </w:r>
            <w:r>
              <w:rPr/>
              <w:fldChar w:fldCharType="separate"/>
            </w:r>
            <w:r>
              <w:rPr>
                <w:rFonts w:ascii="Calibri" w:cs="Calibri" w:hAnsi="Calibri"/>
                <w:b w:val="false"/>
              </w:rPr>
              <w:t>(Kamath, 2018)</w:t>
            </w:r>
            <w:r>
              <w:rPr/>
              <w:fldChar w:fldCharType="end"/>
            </w:r>
            <w:r>
              <w:rPr>
                <w:b w:val="false"/>
              </w:rPr>
              <w:t>.</w:t>
            </w:r>
          </w:p>
          <w:p>
            <w:pPr>
              <w:pStyle w:val="style0"/>
              <w:spacing w:lineRule="auto" w:line="360"/>
              <w:jc w:val="both"/>
              <w:rPr>
                <w:b w:val="false"/>
              </w:rPr>
            </w:pPr>
          </w:p>
          <w:p>
            <w:pPr>
              <w:pStyle w:val="style0"/>
              <w:keepNext/>
              <w:spacing w:lineRule="auto" w:line="360"/>
              <w:jc w:val="center"/>
              <w:rPr>
                <w:b w:val="false"/>
                <w:bCs w:val="false"/>
              </w:rPr>
            </w:pPr>
            <w:r>
              <w:rPr>
                <w:noProof/>
                <w:lang w:val="en-US"/>
              </w:rPr>
              <w:drawing>
                <wp:inline distL="0" distT="0" distB="0" distR="0">
                  <wp:extent cx="2838450" cy="1838325"/>
                  <wp:effectExtent l="0" t="0" r="0" b="952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5723" t="7523" r="4518" b="7080"/>
                          <a:stretch/>
                        </pic:blipFill>
                        <pic:spPr>
                          <a:xfrm rot="0">
                            <a:off x="0" y="0"/>
                            <a:ext cx="2838450" cy="1838325"/>
                          </a:xfrm>
                          <a:prstGeom prst="rect"/>
                          <a:ln>
                            <a:noFill/>
                          </a:ln>
                        </pic:spPr>
                      </pic:pic>
                    </a:graphicData>
                  </a:graphic>
                </wp:inline>
              </w:drawing>
            </w:r>
          </w:p>
          <w:p>
            <w:pPr>
              <w:pStyle w:val="style34"/>
              <w:jc w:val="center"/>
              <w:rPr>
                <w:i w:val="false"/>
                <w:color w:val="auto"/>
              </w:rPr>
            </w:pPr>
            <w:r>
              <w:rPr>
                <w:i w:val="false"/>
                <w:color w:val="auto"/>
              </w:rPr>
              <w:t xml:space="preserve">Figure </w:t>
            </w:r>
            <w:r>
              <w:rPr>
                <w:i w:val="false"/>
                <w:color w:val="auto"/>
              </w:rPr>
              <w:fldChar w:fldCharType="begin"/>
            </w:r>
            <w:r>
              <w:rPr>
                <w:i w:val="false"/>
                <w:color w:val="auto"/>
              </w:rPr>
              <w:instrText xml:space="preserve"> SEQ Figure \* ARABIC </w:instrText>
            </w:r>
            <w:r>
              <w:rPr>
                <w:i w:val="false"/>
                <w:color w:val="auto"/>
              </w:rPr>
              <w:fldChar w:fldCharType="separate"/>
            </w:r>
            <w:r>
              <w:rPr>
                <w:i w:val="false"/>
                <w:noProof/>
                <w:color w:val="auto"/>
              </w:rPr>
              <w:t>1</w:t>
            </w:r>
            <w:r>
              <w:rPr>
                <w:i w:val="false"/>
                <w:color w:val="auto"/>
              </w:rPr>
              <w:fldChar w:fldCharType="end"/>
            </w:r>
            <w:r>
              <w:rPr>
                <w:i w:val="false"/>
                <w:color w:val="auto"/>
              </w:rPr>
              <w:t xml:space="preserve"> Logo of LA VIDA LOLA</w:t>
            </w:r>
          </w:p>
          <w:p>
            <w:pPr>
              <w:pStyle w:val="style0"/>
              <w:rPr/>
            </w:pPr>
          </w:p>
          <w:p>
            <w:pPr>
              <w:pStyle w:val="style0"/>
              <w:jc w:val="both"/>
              <w:rPr>
                <w:b w:val="false"/>
              </w:rPr>
            </w:pPr>
            <w:r>
              <w:rPr>
                <w:b w:val="false"/>
              </w:rPr>
              <w:t>La Vida Lola's mission is to encourage romantic feelings by serving up authentic Latin food and other delectable dishes that pay homage to many cultures and cuisines. In the greater Atlanta region, La Vida Lola plans to bring its food and drink truck to festivals, parks, commercial buildings, breweries, and other gatherings. Future growth opportunities include increasing the number of available food vendors, introducing meal delivery on demand, and establishing a food kiosk at a regional market. After spending over a decade in prestigious kitchens, including one run by Jose Andres, local restaurateur Gonzalez decided to go out on her own. Gonzalez was profoundly impacted by how her parents cooked traditiona</w:t>
            </w:r>
            <w:r>
              <w:rPr>
                <w:b w:val="false"/>
              </w:rPr>
              <w:t>l cuisine growing up</w:t>
            </w:r>
            <w:r>
              <w:rPr>
                <w:b w:val="false"/>
              </w:rPr>
              <w:t>, despite the fact that she had formal training from world-class chefs</w:t>
            </w:r>
            <w:r>
              <w:rPr>
                <w:b w:val="false"/>
              </w:rPr>
              <w:t xml:space="preserve"> </w:t>
            </w:r>
            <w:r>
              <w:rPr/>
              <w:fldChar w:fldCharType="begin"/>
            </w:r>
            <w:r>
              <w:rPr>
                <w:b w:val="false"/>
              </w:rPr>
              <w:instrText xml:space="preserve"> ADDIN ZOTERO_ITEM CSL_CITATION {"citationID":"WY83449j","properties":{"formattedCitation":"(Baker and Welter, 2018)","plainCitation":"(Baker and Welter, 2018)","noteIndex":0},"citationItems":[{"id":18021,"uris":["http://zotero.org/users/local/H5sehU5t/items/38ET3LJT"],"itemData":{"id":18021,"type":"article-journal","container-title":"Foundations and Trends® in Entrepreneurship","issue":"4","note":"publisher: Now Publishers, Inc.","page":"357–426","source":"Google Scholar","title":"Contextual entrepreneurship: An interdisciplinary perspective","title-short":"Contextual entrepreneurship","volume":"14","author":[{"family":"Baker","given":"Ted"},{"family":"Welter","given":"Friederike"}],"issued":{"date-parts":[["2018"]]}}}],"schema":"https://github.com/citation-style-language/schema/raw/master/csl-citation.json"} </w:instrText>
            </w:r>
            <w:r>
              <w:rPr/>
              <w:fldChar w:fldCharType="separate"/>
            </w:r>
            <w:r>
              <w:rPr>
                <w:rFonts w:ascii="Calibri" w:cs="Calibri" w:hAnsi="Calibri"/>
                <w:b w:val="false"/>
              </w:rPr>
              <w:t>(Baker and Welter, 2018)</w:t>
            </w:r>
            <w:r>
              <w:rPr/>
              <w:fldChar w:fldCharType="end"/>
            </w:r>
            <w:r>
              <w:rPr>
                <w:b w:val="false"/>
              </w:rPr>
              <w:t>.</w:t>
            </w:r>
          </w:p>
        </w:tc>
      </w:tr>
    </w:tbl>
    <w:p>
      <w:pPr>
        <w:pStyle w:val="style0"/>
        <w:rPr/>
      </w:pPr>
    </w:p>
    <w:p>
      <w:pPr>
        <w:pStyle w:val="style0"/>
        <w:rPr/>
      </w:pPr>
    </w:p>
    <w:tbl>
      <w:tblPr>
        <w:tblStyle w:val="style4098"/>
        <w:tblW w:w="0" w:type="auto"/>
        <w:tblLook w:val="04A0" w:firstRow="1" w:lastRow="0" w:firstColumn="1" w:lastColumn="0" w:noHBand="0" w:noVBand="1"/>
      </w:tblPr>
      <w:tblGrid>
        <w:gridCol w:w="13948"/>
      </w:tblGrid>
      <w:tr>
        <w:trPr/>
        <w:tc>
          <w:tcPr>
            <w:tcW w:w="13948" w:type="dxa"/>
            <w:tcBorders/>
          </w:tcPr>
          <w:p>
            <w:pPr>
              <w:pStyle w:val="style0"/>
              <w:rPr>
                <w:rFonts w:ascii="Arial" w:cs="Arial" w:hAnsi="Arial"/>
                <w:b w:val="false"/>
                <w:bCs w:val="false"/>
              </w:rPr>
            </w:pPr>
            <w:r>
              <w:rPr>
                <w:rFonts w:ascii="Arial" w:cs="Arial" w:hAnsi="Arial"/>
              </w:rPr>
              <w:t>INDUSTRY ANALYSIS</w:t>
            </w:r>
            <w:r>
              <w:rPr>
                <w:rFonts w:ascii="Arial" w:cs="Arial" w:hAnsi="Arial"/>
              </w:rPr>
              <w:t xml:space="preserve"> – Porter’s 5 forces </w:t>
            </w:r>
          </w:p>
          <w:p>
            <w:pPr>
              <w:pStyle w:val="style0"/>
              <w:rPr>
                <w:rFonts w:ascii="Arial" w:cs="Arial" w:hAnsi="Arial"/>
                <w:b w:val="false"/>
                <w:bCs w:val="false"/>
              </w:rPr>
            </w:pPr>
          </w:p>
          <w:p>
            <w:pPr>
              <w:pStyle w:val="style0"/>
              <w:rPr>
                <w:rFonts w:ascii="Arial" w:cs="Arial" w:hAnsi="Arial"/>
                <w:bCs w:val="false"/>
                <w:i/>
              </w:rPr>
            </w:pPr>
            <w:r>
              <w:rPr>
                <w:rFonts w:ascii="Arial" w:cs="Arial" w:hAnsi="Arial"/>
                <w:bCs w:val="false"/>
                <w:i/>
              </w:rPr>
              <w:t>Threat of New E</w:t>
            </w:r>
            <w:r>
              <w:rPr>
                <w:rFonts w:ascii="Arial" w:cs="Arial" w:hAnsi="Arial"/>
                <w:bCs w:val="false"/>
                <w:i/>
              </w:rPr>
              <w:t xml:space="preserve">ntry </w:t>
            </w:r>
          </w:p>
          <w:p>
            <w:pPr>
              <w:pStyle w:val="style0"/>
              <w:rPr>
                <w:rFonts w:ascii="Arial" w:cs="Arial" w:hAnsi="Arial"/>
                <w:b w:val="false"/>
                <w:bCs w:val="false"/>
              </w:rPr>
            </w:pPr>
          </w:p>
          <w:p>
            <w:pPr>
              <w:pStyle w:val="style0"/>
              <w:jc w:val="both"/>
              <w:rPr>
                <w:rFonts w:cs="Calibri"/>
                <w:b w:val="false"/>
                <w:bCs w:val="false"/>
              </w:rPr>
            </w:pPr>
            <w:r>
              <w:rPr>
                <w:rFonts w:cs="Calibri"/>
                <w:b w:val="false"/>
                <w:bCs w:val="false"/>
              </w:rPr>
              <w:t xml:space="preserve">Off the Grid, situated in San Francisco, supports food markets around the nation and food trucks in the United States, and claims that the food truck business will expand by almost 20%, from $800 million in 2017 to $985 million in 2019, respectively. IBISWorld predicts that the street food vendor business will grow from its current level of $2.2 billion in 2016 to $3.2 billion in 2018. According to IBISWorld, specialty genuine ethnic, traditional, and Fusion dishes are getting more attention and investment from street food sellers and food trucks. The IBIS World analysis notes that major metropolitan areas may expand sustainably while also predicting a drop in demand over the next five years. Street sellers are an example of success in the food service </w:t>
            </w:r>
            <w:r>
              <w:rPr>
                <w:rFonts w:cs="Calibri"/>
                <w:b w:val="false"/>
                <w:bCs w:val="false"/>
              </w:rPr>
              <w:t>business as</w:t>
            </w:r>
            <w:r>
              <w:rPr>
                <w:rFonts w:cs="Calibri"/>
                <w:b w:val="false"/>
                <w:bCs w:val="false"/>
              </w:rPr>
              <w:t xml:space="preserve"> a whole </w:t>
            </w:r>
            <w:r>
              <w:rPr>
                <w:rFonts w:cs="Calibri"/>
              </w:rPr>
              <w:fldChar w:fldCharType="begin"/>
            </w:r>
            <w:r>
              <w:rPr>
                <w:rFonts w:cs="Calibri"/>
                <w:b w:val="false"/>
                <w:bCs w:val="false"/>
              </w:rPr>
              <w:instrText xml:space="preserve"> ADDIN ZOTERO_ITEM CSL_CITATION {"citationID":"MQRaogtL","properties":{"formattedCitation":"(Bruijl and Gerard, 2018)","plainCitation":"(Bruijl and Gerard, 2018)","noteIndex":0},"citationItems":[{"id":18010,"uris":["http://zotero.org/users/local/H5sehU5t/items/FGAMJEDC"],"itemData":{"id":18010,"type":"article-journal","container-title":"Available at SSRN 3192207","source":"Google Scholar","title":"The relevance of Porter's five forces in today's innovative and changing business environment","author":[{"family":"Bruijl","given":"Dr"},{"family":"Gerard","given":"H. Th"}],"issued":{"date-parts":[["2018"]]}}}],"schema":"https://github.com/citation-style-language/schema/raw/master/csl-citation.json"} </w:instrText>
            </w:r>
            <w:r>
              <w:rPr>
                <w:rFonts w:cs="Calibri"/>
              </w:rPr>
              <w:fldChar w:fldCharType="separate"/>
            </w:r>
            <w:r>
              <w:rPr>
                <w:rFonts w:ascii="Calibri" w:cs="Calibri" w:hAnsi="Calibri"/>
                <w:b w:val="false"/>
              </w:rPr>
              <w:t>(Bruijl and Gerard, 2018)</w:t>
            </w:r>
            <w:r>
              <w:rPr>
                <w:rFonts w:cs="Calibri"/>
              </w:rPr>
              <w:fldChar w:fldCharType="end"/>
            </w:r>
            <w:r>
              <w:rPr>
                <w:rFonts w:cs="Calibri"/>
                <w:b w:val="false"/>
                <w:bCs w:val="false"/>
              </w:rPr>
              <w:t>. The</w:t>
            </w:r>
            <w:r>
              <w:rPr>
                <w:rFonts w:cs="Calibri"/>
                <w:b w:val="false"/>
                <w:bCs w:val="false"/>
              </w:rPr>
              <w:t xml:space="preserve"> food industry is now seeing growth throughout all stages. Due to the cheap overhead involved in running a food truck, several individuals, including aspiring specialty chefs, have opted to do so rather than open a traditional restaurant. It usually takes between $55,000 and $75,000 in the first year to launch a mobile kitchen.</w:t>
            </w:r>
          </w:p>
          <w:p>
            <w:pPr>
              <w:pStyle w:val="style0"/>
              <w:rPr>
                <w:rFonts w:ascii="Arial" w:cs="Arial" w:hAnsi="Arial"/>
                <w:bCs w:val="false"/>
                <w:i/>
              </w:rPr>
            </w:pPr>
          </w:p>
          <w:p>
            <w:pPr>
              <w:pStyle w:val="style0"/>
              <w:rPr>
                <w:rFonts w:ascii="Arial" w:cs="Arial" w:hAnsi="Arial"/>
                <w:bCs w:val="false"/>
                <w:i/>
              </w:rPr>
            </w:pPr>
            <w:r>
              <w:rPr>
                <w:rFonts w:ascii="Arial" w:cs="Arial" w:hAnsi="Arial"/>
                <w:bCs w:val="false"/>
                <w:i/>
              </w:rPr>
              <w:t xml:space="preserve">Threat of </w:t>
            </w:r>
            <w:r>
              <w:rPr>
                <w:rFonts w:ascii="Arial" w:cs="Arial" w:hAnsi="Arial"/>
                <w:bCs w:val="false"/>
                <w:i/>
              </w:rPr>
              <w:t>S</w:t>
            </w:r>
            <w:r>
              <w:rPr>
                <w:rFonts w:ascii="Arial" w:cs="Arial" w:hAnsi="Arial"/>
                <w:bCs w:val="false"/>
                <w:i/>
              </w:rPr>
              <w:t>ubstitutes</w:t>
            </w:r>
          </w:p>
          <w:p>
            <w:pPr>
              <w:pStyle w:val="style0"/>
              <w:rPr>
                <w:rFonts w:ascii="Arial" w:cs="Arial" w:hAnsi="Arial"/>
                <w:b w:val="false"/>
                <w:bCs w:val="false"/>
              </w:rPr>
            </w:pPr>
          </w:p>
          <w:p>
            <w:pPr>
              <w:pStyle w:val="style0"/>
              <w:jc w:val="both"/>
              <w:rPr>
                <w:rFonts w:cs="Calibri"/>
                <w:b w:val="false"/>
                <w:bCs w:val="false"/>
              </w:rPr>
            </w:pPr>
            <w:r>
              <w:rPr>
                <w:rFonts w:cs="Calibri"/>
                <w:b w:val="false"/>
                <w:bCs w:val="false"/>
              </w:rPr>
              <w:t xml:space="preserve">The restaurant industry generates $800 billion annually in the United States. The Georgia Restaurant Association reports that the state's restaurant business generated $19.6 billion in 2017. </w:t>
            </w:r>
            <w:r>
              <w:rPr>
                <w:rFonts w:cs="Calibri"/>
                <w:b w:val="false"/>
                <w:bCs w:val="false"/>
              </w:rPr>
              <w:t xml:space="preserve">About 12,000 eateries may be found in the greater Atlanta region. More than two-thirds of Georgia's restaurant business is located in the greater Atlanta region. </w:t>
            </w:r>
            <w:r>
              <w:rPr>
                <w:rFonts w:cs="Calibri"/>
                <w:b w:val="false"/>
                <w:bCs w:val="false"/>
              </w:rPr>
              <w:t>Moreno-Izquierdo, Ramón-Rodrguez, and Perles-Ribes (2016) estimate that the SAM will cost around $360 million. There is a substantial subsection of the food and street vendor industry that consists of mobile food stands, mobile concession stands, snack carts on wheels, street food vendors, and mobile food concession sta</w:t>
            </w:r>
            <w:r>
              <w:rPr>
                <w:rFonts w:cs="Calibri"/>
                <w:b w:val="false"/>
                <w:bCs w:val="false"/>
              </w:rPr>
              <w:t xml:space="preserve">lls </w:t>
            </w:r>
            <w:r>
              <w:rPr>
                <w:rFonts w:cs="Calibri"/>
              </w:rPr>
              <w:fldChar w:fldCharType="begin"/>
            </w:r>
            <w:r>
              <w:rPr>
                <w:rFonts w:cs="Calibri"/>
                <w:b w:val="false"/>
                <w:bCs w:val="false"/>
              </w:rPr>
              <w:instrText xml:space="preserve"> ADDIN ZOTERO_ITEM CSL_CITATION {"citationID":"whrflvfC","properties":{"formattedCitation":"(Moreno-Izquierdo, Ram\\uc0\\u243{}n-Rodr\\uc0\\u237{}guez and Perles-Ribes, 2016)","plainCitation":"(Moreno-Izquierdo, Ramón-Rodríguez and Perles-Ribes, 2016)","noteIndex":0},"citationItems":[{"id":18016,"uris":["http://zotero.org/users/local/H5sehU5t/items/N5NBSUZQ"],"itemData":{"id":18016,"type":"article-journal","container-title":"Tourism Economics","issue":"2","note":"publisher: Sage Publications Sage UK: London, England","page":"293–310","source":"Google Scholar","title":"Pricing strategies of the European low-cost carriers explained using Porter's Five Forces Model","volume":"22","author":[{"family":"Moreno-Izquierdo","given":"Luis"},{"family":"Ramón-Rodríguez","given":"Ana B."},{"family":"Perles-Ribes","given":"José Francisco"}],"issued":{"date-parts":[["2016"]]}}}],"schema":"https://github.com/citation-style-language/schema/raw/master/csl-citation.json"} </w:instrText>
            </w:r>
            <w:r>
              <w:rPr>
                <w:rFonts w:cs="Calibri"/>
              </w:rPr>
              <w:fldChar w:fldCharType="separate"/>
            </w:r>
            <w:r>
              <w:rPr>
                <w:rFonts w:ascii="Calibri" w:cs="Calibri" w:hAnsi="Calibri"/>
                <w:b w:val="false"/>
              </w:rPr>
              <w:t>(Moreno-Izquierdo, Ramón-Rodríguez and Perles-Ribes, 2016)</w:t>
            </w:r>
            <w:r>
              <w:rPr>
                <w:rFonts w:cs="Calibri"/>
              </w:rPr>
              <w:fldChar w:fldCharType="end"/>
            </w:r>
            <w:r>
              <w:rPr>
                <w:rFonts w:cs="Calibri"/>
                <w:b w:val="false"/>
                <w:bCs w:val="false"/>
              </w:rPr>
              <w:t>.</w:t>
            </w:r>
          </w:p>
          <w:p>
            <w:pPr>
              <w:pStyle w:val="style0"/>
              <w:rPr>
                <w:rFonts w:ascii="Arial" w:cs="Arial" w:hAnsi="Arial"/>
                <w:b w:val="false"/>
                <w:bCs w:val="false"/>
              </w:rPr>
            </w:pPr>
          </w:p>
          <w:p>
            <w:pPr>
              <w:pStyle w:val="style0"/>
              <w:rPr>
                <w:rFonts w:ascii="Arial" w:cs="Arial" w:hAnsi="Arial"/>
                <w:bCs w:val="false"/>
                <w:i/>
              </w:rPr>
            </w:pPr>
            <w:r>
              <w:rPr>
                <w:rFonts w:ascii="Arial" w:cs="Arial" w:hAnsi="Arial"/>
                <w:bCs w:val="false"/>
                <w:i/>
              </w:rPr>
              <w:t>Bargaining Power of C</w:t>
            </w:r>
            <w:r>
              <w:rPr>
                <w:rFonts w:ascii="Arial" w:cs="Arial" w:hAnsi="Arial"/>
                <w:bCs w:val="false"/>
                <w:i/>
              </w:rPr>
              <w:t>ustomers</w:t>
            </w:r>
          </w:p>
          <w:p>
            <w:pPr>
              <w:pStyle w:val="style0"/>
              <w:rPr>
                <w:rFonts w:ascii="Arial" w:cs="Arial" w:hAnsi="Arial"/>
                <w:b w:val="false"/>
                <w:bCs w:val="false"/>
              </w:rPr>
            </w:pPr>
          </w:p>
          <w:p>
            <w:pPr>
              <w:pStyle w:val="style0"/>
              <w:jc w:val="both"/>
              <w:rPr>
                <w:rFonts w:cs="Calibri"/>
                <w:b w:val="false"/>
                <w:bCs w:val="false"/>
              </w:rPr>
            </w:pPr>
            <w:r>
              <w:rPr>
                <w:rFonts w:cs="Calibri"/>
                <w:b w:val="false"/>
                <w:bCs w:val="false"/>
              </w:rPr>
              <w:t xml:space="preserve">Many businesses in this sector are very competitive, </w:t>
            </w:r>
            <w:r>
              <w:rPr>
                <w:rFonts w:cs="Calibri"/>
                <w:b w:val="false"/>
                <w:bCs w:val="false"/>
              </w:rPr>
              <w:t>including restaurants (both chain and independent), food delivery services, catering businesses, quick-service eateries, and</w:t>
            </w:r>
            <w:r>
              <w:rPr>
                <w:rFonts w:cs="Calibri"/>
                <w:b w:val="false"/>
                <w:bCs w:val="false"/>
              </w:rPr>
              <w:t xml:space="preserve"> snack bars </w:t>
            </w:r>
            <w:r>
              <w:rPr>
                <w:rFonts w:cs="Calibri"/>
              </w:rPr>
              <w:fldChar w:fldCharType="begin"/>
            </w:r>
            <w:r>
              <w:rPr>
                <w:rFonts w:cs="Calibri"/>
                <w:b w:val="false"/>
                <w:bCs w:val="false"/>
              </w:rPr>
              <w:instrText xml:space="preserve"> ADDIN ZOTERO_ITEM CSL_CITATION {"citationID":"1XsyjYX7","properties":{"formattedCitation":"(Venkataraman, 2019)","plainCitation":"(Venkataraman, 2019)","noteIndex":0},"citationItems":[{"id":18011,"uris":["http://zotero.org/users/local/H5sehU5t/items/LRI7URAK"],"itemData":{"id":18011,"type":"chapter","container-title":"Seminal ideas for the next twenty-five years of advances","page":"5–20","publisher":"Emerald Publishing Limited","source":"Google Scholar","title":"The distinctive domain of entrepreneurship research","volume":"21","author":[{"family":"Venkataraman","given":"Sankaran"}],"issued":{"date-parts":[["2019"]]}}}],"schema":"https://github.com/citation-style-language/schema/raw/master/csl-citation.json"} </w:instrText>
            </w:r>
            <w:r>
              <w:rPr>
                <w:rFonts w:cs="Calibri"/>
              </w:rPr>
              <w:fldChar w:fldCharType="separate"/>
            </w:r>
            <w:r>
              <w:rPr>
                <w:rFonts w:ascii="Calibri" w:cs="Calibri" w:hAnsi="Calibri"/>
                <w:b w:val="false"/>
              </w:rPr>
              <w:t>(Venkataraman, 2019)</w:t>
            </w:r>
            <w:r>
              <w:rPr>
                <w:rFonts w:cs="Calibri"/>
              </w:rPr>
              <w:fldChar w:fldCharType="end"/>
            </w:r>
            <w:r>
              <w:rPr>
                <w:rFonts w:cs="Calibri"/>
                <w:b w:val="false"/>
                <w:bCs w:val="false"/>
              </w:rPr>
              <w:t>. Bento</w:t>
            </w:r>
            <w:r>
              <w:rPr>
                <w:rFonts w:cs="Calibri"/>
                <w:b w:val="false"/>
                <w:bCs w:val="false"/>
              </w:rPr>
              <w:t xml:space="preserve"> Bus advertises itself as a Japanese-inspired mobile eatery that features organic food and sustainable products. "Mexican soul cuisine," as it is called on the menu of the Blaxican, is a mashup of classic Southern comfort food with Mexican fare. The three mobile eateries pose the greatest threat to La Vida since they provide "ethnic food" in contrast to the diner's standard American menu. Dinner meals offered by rivals typically range in price from $10 to $13 per person. You should expect to pay between $6 and $13 for a dinne</w:t>
            </w:r>
            <w:r>
              <w:rPr>
                <w:rFonts w:cs="Calibri"/>
                <w:b w:val="false"/>
                <w:bCs w:val="false"/>
              </w:rPr>
              <w:t xml:space="preserve">r at </w:t>
            </w:r>
            <w:r>
              <w:rPr>
                <w:rFonts w:cs="Calibri"/>
                <w:b w:val="false"/>
                <w:bCs w:val="false"/>
              </w:rPr>
              <w:t xml:space="preserve">La Vida Lola </w:t>
            </w:r>
            <w:r>
              <w:rPr>
                <w:rFonts w:cs="Calibri"/>
              </w:rPr>
              <w:fldChar w:fldCharType="begin"/>
            </w:r>
            <w:r>
              <w:rPr>
                <w:rFonts w:cs="Calibri"/>
                <w:b w:val="false"/>
                <w:bCs w:val="false"/>
              </w:rPr>
              <w:instrText xml:space="preserve"> ADDIN ZOTERO_ITEM CSL_CITATION {"citationID":"Vf3oJ1na","properties":{"formattedCitation":"(Parker, 2018)","plainCitation":"(Parker, 2018)","noteIndex":0},"citationItems":[{"id":18019,"uris":["http://zotero.org/users/local/H5sehU5t/items/IGQIIXRP"],"itemData":{"id":18019,"type":"article-journal","container-title":"Oxford Review of Economic Policy","issue":"4","note":"publisher: Oxford University Press UK","page":"540–564","source":"Google Scholar","title":"Entrepreneurship and economic theory","volume":"34","author":[{"family":"Parker","given":"Simon C."}],"issued":{"date-parts":[["2018"]]}}}],"schema":"https://github.com/citation-style-language/schema/raw/master/csl-citation.json"} </w:instrText>
            </w:r>
            <w:r>
              <w:rPr>
                <w:rFonts w:cs="Calibri"/>
              </w:rPr>
              <w:fldChar w:fldCharType="separate"/>
            </w:r>
            <w:r>
              <w:rPr>
                <w:rFonts w:ascii="Calibri" w:cs="Calibri" w:hAnsi="Calibri"/>
                <w:b w:val="false"/>
              </w:rPr>
              <w:t>(Parker, 2018)</w:t>
            </w:r>
            <w:r>
              <w:rPr>
                <w:rFonts w:cs="Calibri"/>
              </w:rPr>
              <w:fldChar w:fldCharType="end"/>
            </w:r>
            <w:r>
              <w:rPr>
                <w:rFonts w:cs="Calibri"/>
                <w:b w:val="false"/>
                <w:bCs w:val="false"/>
              </w:rPr>
              <w:t>. "Proven</w:t>
            </w:r>
            <w:r>
              <w:rPr>
                <w:rFonts w:cs="Calibri"/>
                <w:b w:val="false"/>
                <w:bCs w:val="false"/>
              </w:rPr>
              <w:t xml:space="preserve"> to be an effective vehicle for fostering diverse entrepreneurship," the Off the Grid mobile food trends and insights study concluded. In the mobile food industry, women make up 31%, </w:t>
            </w:r>
            <w:r>
              <w:rPr>
                <w:rFonts w:cs="Calibri"/>
                <w:b w:val="false"/>
                <w:bCs w:val="false"/>
              </w:rPr>
              <w:t>foreign-born people 30%, and the LGBTQ community 8%. Similar to La Vida Lola, the operator often serves as the brand's most recognisable face.</w:t>
            </w:r>
          </w:p>
          <w:p>
            <w:pPr>
              <w:pStyle w:val="style0"/>
              <w:rPr>
                <w:rFonts w:ascii="Arial" w:cs="Arial" w:hAnsi="Arial"/>
                <w:b w:val="false"/>
                <w:bCs w:val="false"/>
              </w:rPr>
            </w:pPr>
          </w:p>
          <w:p>
            <w:pPr>
              <w:pStyle w:val="style0"/>
              <w:rPr>
                <w:rFonts w:ascii="Arial" w:cs="Arial" w:hAnsi="Arial"/>
                <w:bCs w:val="false"/>
                <w:i/>
              </w:rPr>
            </w:pPr>
            <w:r>
              <w:rPr>
                <w:rFonts w:ascii="Arial" w:cs="Arial" w:hAnsi="Arial"/>
                <w:bCs w:val="false"/>
                <w:i/>
              </w:rPr>
              <w:t>Bargaining Power of S</w:t>
            </w:r>
            <w:r>
              <w:rPr>
                <w:rFonts w:ascii="Arial" w:cs="Arial" w:hAnsi="Arial"/>
                <w:bCs w:val="false"/>
                <w:i/>
              </w:rPr>
              <w:t>uppliers</w:t>
            </w:r>
          </w:p>
          <w:p>
            <w:pPr>
              <w:pStyle w:val="style0"/>
              <w:rPr>
                <w:rFonts w:ascii="Arial" w:cs="Arial" w:hAnsi="Arial"/>
                <w:b w:val="false"/>
                <w:bCs w:val="false"/>
              </w:rPr>
            </w:pPr>
          </w:p>
          <w:p>
            <w:pPr>
              <w:pStyle w:val="style0"/>
              <w:jc w:val="both"/>
              <w:rPr>
                <w:rFonts w:cs="Calibri"/>
                <w:b w:val="false"/>
              </w:rPr>
            </w:pPr>
            <w:r>
              <w:rPr>
                <w:rFonts w:cs="Calibri"/>
                <w:b w:val="false"/>
              </w:rPr>
              <w:t xml:space="preserve">The nationwide trend of dining at food courts has reached Atlanta as well. On the one hand, community-run marketplaces where retailers and food vendors promote their wares alongside food trucks do not pose a major threat to the industry. They also provide hope for further expansion as businesses plan out customer relationships in the area. Atlanta has long been receptive to new flavours and cultures, even before the days of Buford Highway (or "BuHi"), and the city's large gastronomic corridor is a prime example. The Atlanta region is becoming more home to people of Hispanic and Latinx descent. By 2040, the number of Hispanic and Latino inhabitants in the Atlanta metropolitan area is expected to have increased by 150 percent. The median age of Latinos in metro Atlanta is </w:t>
            </w:r>
            <w:r>
              <w:rPr>
                <w:rFonts w:cs="Calibri"/>
                <w:b w:val="false"/>
              </w:rPr>
              <w:t>26</w:t>
            </w:r>
            <w:r>
              <w:rPr>
                <w:rFonts w:cs="Calibri"/>
                <w:b w:val="false"/>
              </w:rPr>
              <w:t xml:space="preserve"> </w:t>
            </w:r>
            <w:r>
              <w:rPr>
                <w:rFonts w:cs="Calibri"/>
              </w:rPr>
              <w:fldChar w:fldCharType="begin"/>
            </w:r>
            <w:r>
              <w:rPr>
                <w:rFonts w:cs="Calibri"/>
                <w:b w:val="false"/>
              </w:rPr>
              <w:instrText xml:space="preserve"> ADDIN ZOTERO_ITEM CSL_CITATION {"citationID":"KClxYq98","properties":{"formattedCitation":"(Davidsson, Delmar and Wiklund, 2017)","plainCitation":"(Davidsson, Delmar and Wiklund, 2017)","noteIndex":0},"citationItems":[{"id":18012,"uris":["http://zotero.org/users/local/H5sehU5t/items/WTW63HYX"],"itemData":{"id":18012,"type":"article-journal","container-title":"Strategic entrepreneurship: Creating a new mindset","note":"publisher: Wiley Online Library","page":"328–342","source":"Google Scholar","title":"Entrepreneurship as growth: growth as entrepreneurship","title-short":"Entrepreneurship as growth","author":[{"family":"Davidsson","given":"Per"},{"family":"Delmar","given":"Frederic"},{"family":"Wiklund","given":"Johan"}],"issued":{"date-parts":[["2017"]]}}}],"schema":"https://github.com/citation-style-language/schema/raw/master/csl-citation.json"} </w:instrText>
            </w:r>
            <w:r>
              <w:rPr>
                <w:rFonts w:cs="Calibri"/>
              </w:rPr>
              <w:fldChar w:fldCharType="separate"/>
            </w:r>
            <w:r>
              <w:rPr>
                <w:rFonts w:ascii="Calibri" w:cs="Calibri" w:hAnsi="Calibri"/>
                <w:b w:val="false"/>
              </w:rPr>
              <w:t>(Davidsson, Delmar and Wiklund, 2017)</w:t>
            </w:r>
            <w:r>
              <w:rPr>
                <w:rFonts w:cs="Calibri"/>
              </w:rPr>
              <w:fldChar w:fldCharType="end"/>
            </w:r>
            <w:r>
              <w:rPr>
                <w:rFonts w:cs="Calibri"/>
                <w:b w:val="false"/>
              </w:rPr>
              <w:t>.</w:t>
            </w:r>
          </w:p>
          <w:p>
            <w:pPr>
              <w:pStyle w:val="style0"/>
              <w:rPr>
                <w:rFonts w:ascii="Arial" w:cs="Arial" w:hAnsi="Arial"/>
                <w:b w:val="false"/>
                <w:bCs w:val="false"/>
              </w:rPr>
            </w:pPr>
          </w:p>
          <w:p>
            <w:pPr>
              <w:pStyle w:val="style0"/>
              <w:rPr>
                <w:rFonts w:ascii="Arial" w:cs="Arial" w:hAnsi="Arial"/>
              </w:rPr>
            </w:pPr>
          </w:p>
          <w:p>
            <w:pPr>
              <w:pStyle w:val="style0"/>
              <w:rPr>
                <w:rFonts w:ascii="Arial" w:cs="Arial" w:hAnsi="Arial"/>
                <w:b w:val="false"/>
                <w:bCs w:val="false"/>
              </w:rPr>
            </w:pPr>
            <w:r>
              <w:rPr>
                <w:rFonts w:ascii="Arial" w:cs="Arial" w:hAnsi="Arial"/>
              </w:rPr>
              <w:t>Competitive Rivalry</w:t>
            </w:r>
            <w:r>
              <w:rPr>
                <w:rFonts w:ascii="Arial" w:cs="Arial" w:hAnsi="Arial"/>
              </w:rPr>
              <w:t xml:space="preserve">: </w:t>
            </w:r>
            <w:r>
              <w:rPr>
                <w:rFonts w:ascii="Arial" w:cs="Arial" w:hAnsi="Arial"/>
                <w:b w:val="false"/>
                <w:bCs w:val="false"/>
              </w:rPr>
              <w:t xml:space="preserve">who are your main competitors and how can you differentiate yourself from </w:t>
            </w:r>
            <w:r>
              <w:rPr>
                <w:rFonts w:ascii="Arial" w:cs="Arial" w:hAnsi="Arial"/>
                <w:b w:val="false"/>
                <w:bCs w:val="false"/>
              </w:rPr>
              <w:t>them</w:t>
            </w:r>
            <w:r>
              <w:rPr>
                <w:rFonts w:ascii="Arial" w:cs="Arial" w:hAnsi="Arial"/>
                <w:b w:val="false"/>
                <w:bCs w:val="false"/>
              </w:rPr>
              <w:t xml:space="preserve">? </w:t>
            </w:r>
            <w:r>
              <w:rPr>
                <w:rFonts w:ascii="Arial" w:cs="Arial" w:hAnsi="Arial"/>
              </w:rPr>
              <w:t>VRIO analysis</w:t>
            </w:r>
            <w:r>
              <w:rPr>
                <w:rFonts w:ascii="Arial" w:cs="Arial" w:hAnsi="Arial"/>
                <w:b w:val="false"/>
                <w:bCs w:val="false"/>
              </w:rPr>
              <w:t xml:space="preserve"> is required here </w:t>
            </w:r>
          </w:p>
          <w:p>
            <w:pPr>
              <w:pStyle w:val="style0"/>
              <w:rPr>
                <w:rFonts w:ascii="Arial" w:cs="Arial" w:hAnsi="Arial"/>
                <w:b w:val="false"/>
                <w:bCs w:val="false"/>
              </w:rPr>
            </w:pPr>
          </w:p>
          <w:tbl>
            <w:tblPr>
              <w:tblStyle w:val="style154"/>
              <w:tblW w:w="0" w:type="auto"/>
              <w:tblLook w:val="04A0" w:firstRow="1" w:lastRow="0" w:firstColumn="1" w:lastColumn="0" w:noHBand="0" w:noVBand="1"/>
            </w:tblPr>
            <w:tblGrid>
              <w:gridCol w:w="2440"/>
              <w:gridCol w:w="11282"/>
            </w:tblGrid>
            <w:tr>
              <w:trPr/>
              <w:tc>
                <w:tcPr>
                  <w:tcW w:w="2440" w:type="dxa"/>
                  <w:tcBorders/>
                </w:tcPr>
                <w:p>
                  <w:pPr>
                    <w:pStyle w:val="style0"/>
                    <w:rPr>
                      <w:rFonts w:ascii="Arial" w:cs="Arial" w:hAnsi="Arial"/>
                      <w:b/>
                      <w:bCs/>
                    </w:rPr>
                  </w:pPr>
                  <w:r>
                    <w:rPr>
                      <w:rFonts w:ascii="Arial" w:cs="Arial" w:hAnsi="Arial"/>
                      <w:b/>
                      <w:bCs/>
                    </w:rPr>
                    <w:t>Name of competitor</w:t>
                  </w:r>
                </w:p>
              </w:tc>
              <w:tc>
                <w:tcPr>
                  <w:tcW w:w="11282" w:type="dxa"/>
                  <w:tcBorders/>
                </w:tcPr>
                <w:p>
                  <w:pPr>
                    <w:pStyle w:val="style0"/>
                    <w:rPr>
                      <w:rFonts w:ascii="Arial" w:cs="Arial" w:hAnsi="Arial"/>
                      <w:b/>
                      <w:bCs/>
                    </w:rPr>
                  </w:pPr>
                  <w:r>
                    <w:rPr>
                      <w:rFonts w:ascii="Arial" w:cs="Arial" w:hAnsi="Arial"/>
                      <w:b/>
                      <w:bCs/>
                    </w:rPr>
                    <w:t>Differentiation</w:t>
                  </w:r>
                </w:p>
              </w:tc>
            </w:tr>
            <w:tr>
              <w:tblPrEx/>
              <w:trPr/>
              <w:tc>
                <w:tcPr>
                  <w:tcW w:w="2440" w:type="dxa"/>
                  <w:tcBorders/>
                </w:tcPr>
                <w:p>
                  <w:pPr>
                    <w:pStyle w:val="style0"/>
                    <w:jc w:val="both"/>
                    <w:rPr>
                      <w:rFonts w:ascii="Arial" w:cs="Arial" w:hAnsi="Arial"/>
                      <w:b/>
                      <w:bCs/>
                    </w:rPr>
                  </w:pPr>
                  <w:r>
                    <w:t>Mac the Cheese</w:t>
                  </w:r>
                </w:p>
              </w:tc>
              <w:tc>
                <w:tcPr>
                  <w:tcW w:w="11282" w:type="dxa"/>
                  <w:tcBorders/>
                </w:tcPr>
                <w:p>
                  <w:pPr>
                    <w:pStyle w:val="style0"/>
                    <w:jc w:val="both"/>
                    <w:rPr/>
                  </w:pPr>
                  <w:r>
                    <w:t>High-end, Midtown, High, Soul/Mexican fusion</w:t>
                  </w:r>
                </w:p>
              </w:tc>
            </w:tr>
            <w:tr>
              <w:tblPrEx/>
              <w:trPr/>
              <w:tc>
                <w:tcPr>
                  <w:tcW w:w="2440" w:type="dxa"/>
                  <w:tcBorders/>
                </w:tcPr>
                <w:p>
                  <w:pPr>
                    <w:pStyle w:val="style0"/>
                    <w:jc w:val="both"/>
                    <w:rPr>
                      <w:rFonts w:ascii="Arial" w:cs="Arial" w:hAnsi="Arial"/>
                      <w:b/>
                      <w:bCs/>
                    </w:rPr>
                  </w:pPr>
                  <w:r>
                    <w:t>The Fry Guy</w:t>
                  </w:r>
                </w:p>
              </w:tc>
              <w:tc>
                <w:tcPr>
                  <w:tcW w:w="11282" w:type="dxa"/>
                  <w:tcBorders/>
                </w:tcPr>
                <w:p>
                  <w:pPr>
                    <w:pStyle w:val="style0"/>
                    <w:jc w:val="both"/>
                    <w:rPr>
                      <w:rFonts w:ascii="Arial" w:cs="Arial" w:hAnsi="Arial"/>
                      <w:b/>
                      <w:bCs/>
                    </w:rPr>
                  </w:pPr>
                  <w:r>
                    <w:t>$10-13, Rotates, Mid, American/ Comfort</w:t>
                  </w:r>
                </w:p>
              </w:tc>
            </w:tr>
            <w:tr>
              <w:tblPrEx/>
              <w:trPr/>
              <w:tc>
                <w:tcPr>
                  <w:tcW w:w="2440" w:type="dxa"/>
                  <w:tcBorders/>
                </w:tcPr>
                <w:p>
                  <w:pPr>
                    <w:pStyle w:val="style0"/>
                    <w:jc w:val="both"/>
                    <w:rPr>
                      <w:rFonts w:ascii="Arial" w:cs="Arial" w:hAnsi="Arial"/>
                      <w:b/>
                      <w:bCs/>
                    </w:rPr>
                  </w:pPr>
                  <w:r>
                    <w:t>The Fry Guy</w:t>
                  </w:r>
                </w:p>
              </w:tc>
              <w:tc>
                <w:tcPr>
                  <w:tcW w:w="11282" w:type="dxa"/>
                  <w:tcBorders/>
                </w:tcPr>
                <w:p>
                  <w:pPr>
                    <w:pStyle w:val="style0"/>
                    <w:jc w:val="both"/>
                    <w:rPr>
                      <w:rFonts w:ascii="Arial" w:cs="Arial" w:hAnsi="Arial"/>
                      <w:b/>
                      <w:bCs/>
                    </w:rPr>
                  </w:pPr>
                  <w:r>
                    <w:t>$13+, Buckhead, High, American</w:t>
                  </w:r>
                </w:p>
              </w:tc>
            </w:tr>
          </w:tbl>
          <w:p>
            <w:pPr>
              <w:pStyle w:val="style0"/>
              <w:rPr/>
            </w:pPr>
          </w:p>
        </w:tc>
      </w:tr>
    </w:tbl>
    <w:p>
      <w:pPr>
        <w:pStyle w:val="style0"/>
        <w:rPr/>
      </w:pPr>
    </w:p>
    <w:p>
      <w:pPr>
        <w:pStyle w:val="style0"/>
        <w:rPr/>
      </w:pPr>
    </w:p>
    <w:tbl>
      <w:tblPr>
        <w:tblStyle w:val="style4098"/>
        <w:tblW w:w="0" w:type="auto"/>
        <w:tblLook w:val="04A0" w:firstRow="1" w:lastRow="0" w:firstColumn="1" w:lastColumn="0" w:noHBand="0" w:noVBand="1"/>
      </w:tblPr>
      <w:tblGrid>
        <w:gridCol w:w="13948"/>
      </w:tblGrid>
      <w:tr>
        <w:trPr/>
        <w:tc>
          <w:tcPr>
            <w:tcW w:w="13948" w:type="dxa"/>
            <w:tcBorders/>
          </w:tcPr>
          <w:p>
            <w:pPr>
              <w:pStyle w:val="style0"/>
              <w:rPr>
                <w:rFonts w:ascii="Arial" w:cs="Arial" w:hAnsi="Arial"/>
                <w:b w:val="false"/>
                <w:bCs w:val="false"/>
              </w:rPr>
            </w:pPr>
            <w:r>
              <w:rPr>
                <w:rFonts w:ascii="Arial" w:cs="Arial" w:hAnsi="Arial"/>
              </w:rPr>
              <w:t xml:space="preserve">OPERATIONS AND MANAGEMENT TEAM </w:t>
            </w:r>
          </w:p>
          <w:p>
            <w:pPr>
              <w:pStyle w:val="style0"/>
              <w:rPr>
                <w:rFonts w:ascii="Arial" w:cs="Arial" w:hAnsi="Arial"/>
              </w:rPr>
            </w:pPr>
            <w:r>
              <w:rPr>
                <w:rFonts w:ascii="Arial" w:cs="Arial" w:hAnsi="Arial"/>
              </w:rPr>
              <w:t>OPERATIONS</w:t>
            </w:r>
          </w:p>
          <w:p>
            <w:pPr>
              <w:pStyle w:val="style0"/>
              <w:rPr>
                <w:rFonts w:ascii="Arial" w:cs="Arial" w:hAnsi="Arial"/>
                <w:bCs w:val="false"/>
                <w:i/>
              </w:rPr>
            </w:pPr>
            <w:r>
              <w:rPr>
                <w:rFonts w:ascii="Arial" w:cs="Arial" w:hAnsi="Arial"/>
                <w:bCs w:val="false"/>
                <w:i/>
              </w:rPr>
              <w:t>Key Management Personnel</w:t>
            </w:r>
          </w:p>
          <w:p>
            <w:pPr>
              <w:pStyle w:val="style0"/>
              <w:jc w:val="both"/>
              <w:rPr>
                <w:rFonts w:cs="Calibri"/>
                <w:b w:val="false"/>
              </w:rPr>
            </w:pPr>
            <w:r>
              <w:rPr>
                <w:rFonts w:cs="Calibri"/>
                <w:b w:val="false"/>
              </w:rPr>
              <w:t xml:space="preserve">Cameron Hamilton and Lola Gonzalez, both now successful executives, first met in college. </w:t>
            </w:r>
            <w:r>
              <w:rPr>
                <w:rFonts w:cs="Calibri"/>
                <w:b w:val="false"/>
              </w:rPr>
              <w:t>The management group is responsible for coordinating the company's efforts to acquire startup capital and finance. The most pertinent information about the employees' histories is given below. Over the course of her 15 years in the industry, Chef Lola Gonzalez has learned the ropes from the likes of James Beard Award–winning Chef Jose Andres. Cooking, coming up with menu ideas, and managing day-to-day operations at La Vida Lola are all part of her job description as "the persona" and company na</w:t>
            </w:r>
            <w:r>
              <w:rPr>
                <w:rFonts w:cs="Calibri"/>
                <w:b w:val="false"/>
              </w:rPr>
              <w:t xml:space="preserve">mesake </w:t>
            </w:r>
            <w:r>
              <w:rPr>
                <w:rFonts w:cs="Calibri"/>
              </w:rPr>
              <w:fldChar w:fldCharType="begin"/>
            </w:r>
            <w:r>
              <w:rPr>
                <w:rFonts w:cs="Calibri"/>
                <w:b w:val="false"/>
              </w:rPr>
              <w:instrText xml:space="preserve"> ADDIN ZOTERO_ITEM CSL_CITATION {"citationID":"bD0LRzSf","properties":{"formattedCitation":"(Olanrewaju {\\i{}et al.}, 2020)","plainCitation":"(Olanrewaju et al., 2020)","noteIndex":0},"citationItems":[{"id":18014,"uris":["http://zotero.org/users/local/H5sehU5t/items/GJPF4AY8"],"itemData":{"id":18014,"type":"article-journal","container-title":"International Journal of Information Management","note":"publisher: Elsevier","page":"90–110","source":"Google Scholar","title":"Social media and entrepreneurship research: A literature review","title-short":"Social media and entrepreneurship research","volume":"50","author":[{"family":"Olanrewaju","given":"Abdus-Samad Temitope"},{"family":"Hossain","given":"Mohammad Alamgir"},{"family":"Whiteside","given":"Naomi"},{"family":"Mercieca","given":"Paul"}],"issued":{"date-parts":[["2020"]]}}}],"schema":"https://github.com/citation-style-language/schema/raw/master/csl-citation.json"} </w:instrText>
            </w:r>
            <w:r>
              <w:rPr>
                <w:rFonts w:cs="Calibri"/>
              </w:rPr>
              <w:fldChar w:fldCharType="separate"/>
            </w:r>
            <w:r>
              <w:rPr>
                <w:rFonts w:ascii="Calibri" w:cs="Calibri" w:hAnsi="Calibri"/>
                <w:b w:val="false"/>
              </w:rPr>
              <w:t xml:space="preserve">(Olanrewaju </w:t>
            </w:r>
            <w:r>
              <w:rPr>
                <w:rFonts w:ascii="Calibri" w:cs="Calibri" w:hAnsi="Calibri"/>
                <w:b w:val="false"/>
                <w:i/>
                <w:iCs/>
              </w:rPr>
              <w:t>et al.</w:t>
            </w:r>
            <w:r>
              <w:rPr>
                <w:rFonts w:ascii="Calibri" w:cs="Calibri" w:hAnsi="Calibri"/>
                <w:b w:val="false"/>
              </w:rPr>
              <w:t>, 2020)</w:t>
            </w:r>
            <w:r>
              <w:rPr>
                <w:rFonts w:cs="Calibri"/>
              </w:rPr>
              <w:fldChar w:fldCharType="end"/>
            </w:r>
            <w:r>
              <w:rPr>
                <w:rFonts w:cs="Calibri"/>
                <w:b w:val="false"/>
              </w:rPr>
              <w:t>. Cameron</w:t>
            </w:r>
            <w:r>
              <w:rPr>
                <w:rFonts w:cs="Calibri"/>
                <w:b w:val="false"/>
              </w:rPr>
              <w:t xml:space="preserve"> Hamilton has worked as an accountant and financial </w:t>
            </w:r>
            <w:r>
              <w:rPr>
                <w:rFonts w:cs="Calibri"/>
                <w:b w:val="false"/>
              </w:rPr>
              <w:t xml:space="preserve">manager in the hotel business for over two decades. </w:t>
            </w:r>
            <w:r>
              <w:rPr>
                <w:rFonts w:cs="Calibri"/>
                <w:b w:val="false"/>
              </w:rPr>
              <w:t xml:space="preserve">He holds an MBA in addition to a bachelor's degree in hotel and tourist management. </w:t>
            </w:r>
            <w:r>
              <w:rPr>
                <w:rFonts w:cs="Calibri"/>
                <w:b w:val="false"/>
              </w:rPr>
              <w:t>A string of profitable hotels were established and managed by him. Contributions to the firm might be in the areas of accounting, finance, or even corporate operations</w:t>
            </w:r>
            <w:r>
              <w:rPr>
                <w:rFonts w:cs="Calibri"/>
                <w:b w:val="false"/>
              </w:rPr>
              <w:t xml:space="preserve"> </w:t>
            </w:r>
            <w:r>
              <w:rPr>
                <w:rFonts w:cs="Calibri"/>
              </w:rPr>
              <w:fldChar w:fldCharType="begin"/>
            </w:r>
            <w:r>
              <w:rPr>
                <w:rFonts w:cs="Calibri"/>
                <w:b w:val="false"/>
              </w:rPr>
              <w:instrText xml:space="preserve"> ADDIN ZOTERO_ITEM CSL_CITATION {"citationID":"zYQ2gOYb","properties":{"formattedCitation":"(Frederick, O\\uc0\\u8217{}Connor and Kuratko, 2018)","plainCitation":"(Frederick, O’Connor and Kuratko, 2018)","noteIndex":0},"citationItems":[{"id":18015,"uris":["http://zotero.org/users/local/H5sehU5t/items/BWLUA93Y"],"itemData":{"id":18015,"type":"book","publisher":"Cengage AU","source":"Google Scholar","title":"Entrepreneurship","author":[{"family":"Frederick","given":"Howard"},{"family":"O'Connor","given":"Allan"},{"family":"Kuratko","given":"Donald F."}],"issued":{"date-parts":[["2018"]]}}}],"schema":"https://github.com/citation-style-language/schema/raw/master/csl-citation.json"} </w:instrText>
            </w:r>
            <w:r>
              <w:rPr>
                <w:rFonts w:cs="Calibri"/>
              </w:rPr>
              <w:fldChar w:fldCharType="separate"/>
            </w:r>
            <w:r>
              <w:rPr>
                <w:rFonts w:ascii="Calibri" w:cs="Calibri" w:hAnsi="Calibri"/>
                <w:b w:val="false"/>
              </w:rPr>
              <w:t>(Frederick, O’Connor and Kuratko, 2018)</w:t>
            </w:r>
            <w:r>
              <w:rPr>
                <w:rFonts w:cs="Calibri"/>
              </w:rPr>
              <w:fldChar w:fldCharType="end"/>
            </w:r>
            <w:r>
              <w:rPr>
                <w:rFonts w:cs="Calibri"/>
                <w:b w:val="false"/>
              </w:rPr>
              <w:t>.</w:t>
            </w:r>
          </w:p>
          <w:p>
            <w:pPr>
              <w:pStyle w:val="style0"/>
              <w:rPr>
                <w:rFonts w:ascii="Arial" w:cs="Arial" w:hAnsi="Arial"/>
                <w:b w:val="false"/>
                <w:bCs w:val="false"/>
                <w:iCs/>
              </w:rPr>
            </w:pPr>
            <w:r>
              <w:rPr>
                <w:rFonts w:ascii="Arial" w:cs="Arial" w:hAnsi="Arial"/>
              </w:rPr>
              <w:t>How would you generate revenue for your business</w:t>
            </w:r>
            <w:r>
              <w:rPr>
                <w:rFonts w:ascii="Arial" w:cs="Arial" w:hAnsi="Arial"/>
              </w:rPr>
              <w:t xml:space="preserve"> </w:t>
            </w:r>
            <w:r>
              <w:rPr>
                <w:rFonts w:ascii="Arial" w:cs="Arial" w:hAnsi="Arial"/>
              </w:rPr>
              <w:t>(</w:t>
            </w:r>
            <w:r>
              <w:rPr>
                <w:rFonts w:ascii="Arial" w:cs="Arial" w:hAnsi="Arial"/>
                <w:b w:val="false"/>
              </w:rPr>
              <w:t>Upselling</w:t>
            </w:r>
            <w:r>
              <w:rPr>
                <w:rFonts w:ascii="Arial" w:cs="Arial" w:hAnsi="Arial"/>
                <w:b w:val="false"/>
                <w:bCs w:val="false"/>
              </w:rPr>
              <w:t>, Upgrading</w:t>
            </w:r>
            <w:r>
              <w:rPr>
                <w:rFonts w:ascii="Arial" w:cs="Arial" w:hAnsi="Arial"/>
                <w:b w:val="false"/>
                <w:bCs w:val="false"/>
              </w:rPr>
              <w:t xml:space="preserve">, </w:t>
            </w:r>
            <w:r>
              <w:rPr>
                <w:rFonts w:ascii="Arial" w:cs="Arial" w:hAnsi="Arial"/>
                <w:b w:val="false"/>
                <w:bCs w:val="false"/>
              </w:rPr>
              <w:t>and Economies</w:t>
            </w:r>
            <w:r>
              <w:rPr>
                <w:rFonts w:ascii="Arial" w:cs="Arial" w:hAnsi="Arial"/>
                <w:b w:val="false"/>
                <w:bCs w:val="false"/>
              </w:rPr>
              <w:t xml:space="preserve"> of Scale</w:t>
            </w:r>
            <w:r>
              <w:rPr>
                <w:rFonts w:ascii="Arial" w:cs="Arial" w:hAnsi="Arial"/>
              </w:rPr>
              <w:t xml:space="preserve">)? </w:t>
            </w:r>
            <w:r>
              <w:rPr>
                <w:rFonts w:ascii="Arial" w:cs="Arial" w:hAnsi="Arial"/>
              </w:rPr>
              <w:t>How would you prevent loss of revenue?</w:t>
            </w:r>
            <w:r>
              <w:rPr>
                <w:rFonts w:ascii="Arial" w:cs="Arial" w:hAnsi="Arial"/>
              </w:rPr>
              <w:t xml:space="preserve"> </w:t>
            </w:r>
          </w:p>
          <w:p>
            <w:pPr>
              <w:pStyle w:val="style0"/>
              <w:rPr>
                <w:rFonts w:ascii="Arial" w:cs="Arial" w:hAnsi="Arial"/>
                <w:bCs w:val="false"/>
                <w:i/>
              </w:rPr>
            </w:pPr>
            <w:r>
              <w:rPr>
                <w:rFonts w:ascii="Arial" w:cs="Arial" w:hAnsi="Arial"/>
                <w:bCs w:val="false"/>
                <w:i/>
              </w:rPr>
              <w:t>Advisory Broad</w:t>
            </w:r>
          </w:p>
          <w:p>
            <w:pPr>
              <w:pStyle w:val="style0"/>
              <w:jc w:val="both"/>
              <w:rPr>
                <w:rFonts w:ascii="Arial" w:cs="Arial" w:hAnsi="Arial"/>
                <w:bCs w:val="false"/>
                <w:i/>
              </w:rPr>
            </w:pPr>
            <w:r>
              <w:rPr>
                <w:rFonts w:cs="Calibri"/>
                <w:b w:val="false"/>
                <w:bCs w:val="false"/>
              </w:rPr>
              <w:t xml:space="preserve">For the first year, </w:t>
            </w:r>
            <w:r>
              <w:rPr>
                <w:rFonts w:cs="Calibri"/>
                <w:b w:val="false"/>
                <w:bCs w:val="false"/>
              </w:rPr>
              <w:t>The corporation has decided to forego forming an advisory board in order to keep costs down. Management will evaluate and deliberate on establishing an advisory council after the first year of operation.</w:t>
            </w:r>
          </w:p>
          <w:p>
            <w:pPr>
              <w:pStyle w:val="style0"/>
              <w:rPr>
                <w:rFonts w:ascii="Arial" w:cs="Arial" w:hAnsi="Arial"/>
              </w:rPr>
            </w:pPr>
          </w:p>
          <w:p>
            <w:pPr>
              <w:pStyle w:val="style0"/>
              <w:rPr>
                <w:rFonts w:ascii="Arial" w:cs="Arial" w:hAnsi="Arial"/>
                <w:b w:val="false"/>
                <w:bCs w:val="false"/>
              </w:rPr>
            </w:pPr>
            <w:r>
              <w:rPr>
                <w:rFonts w:ascii="Arial" w:cs="Arial" w:hAnsi="Arial"/>
              </w:rPr>
              <w:t>MANAGEMENT TEAM</w:t>
            </w:r>
          </w:p>
          <w:p>
            <w:pPr>
              <w:pStyle w:val="style0"/>
              <w:rPr>
                <w:rFonts w:ascii="Arial" w:cs="Arial" w:hAnsi="Arial"/>
                <w:b w:val="false"/>
                <w:bCs w:val="false"/>
              </w:rPr>
            </w:pPr>
          </w:p>
          <w:tbl>
            <w:tblPr>
              <w:tblStyle w:val="style154"/>
              <w:tblW w:w="0" w:type="auto"/>
              <w:tblLook w:val="04A0" w:firstRow="1" w:lastRow="0" w:firstColumn="1" w:lastColumn="0" w:noHBand="0" w:noVBand="1"/>
            </w:tblPr>
            <w:tblGrid>
              <w:gridCol w:w="4574"/>
              <w:gridCol w:w="4574"/>
              <w:gridCol w:w="4574"/>
            </w:tblGrid>
            <w:tr>
              <w:trPr/>
              <w:tc>
                <w:tcPr>
                  <w:tcW w:w="4574" w:type="dxa"/>
                  <w:tcBorders/>
                </w:tcPr>
                <w:p>
                  <w:pPr>
                    <w:pStyle w:val="style0"/>
                    <w:rPr>
                      <w:rFonts w:ascii="Arial" w:cs="Arial" w:hAnsi="Arial"/>
                      <w:b/>
                      <w:bCs/>
                    </w:rPr>
                  </w:pPr>
                  <w:r>
                    <w:rPr>
                      <w:rFonts w:ascii="Arial" w:cs="Arial" w:hAnsi="Arial"/>
                      <w:b/>
                      <w:bCs/>
                    </w:rPr>
                    <w:t xml:space="preserve">Name </w:t>
                  </w:r>
                </w:p>
              </w:tc>
              <w:tc>
                <w:tcPr>
                  <w:tcW w:w="4574" w:type="dxa"/>
                  <w:tcBorders/>
                </w:tcPr>
                <w:p>
                  <w:pPr>
                    <w:pStyle w:val="style0"/>
                    <w:rPr>
                      <w:rFonts w:ascii="Arial" w:cs="Arial" w:hAnsi="Arial"/>
                      <w:b/>
                      <w:bCs/>
                    </w:rPr>
                  </w:pPr>
                  <w:r>
                    <w:rPr>
                      <w:rFonts w:ascii="Arial" w:cs="Arial" w:hAnsi="Arial"/>
                      <w:b/>
                      <w:bCs/>
                    </w:rPr>
                    <w:t>Skills</w:t>
                  </w:r>
                </w:p>
              </w:tc>
              <w:tc>
                <w:tcPr>
                  <w:tcW w:w="4574" w:type="dxa"/>
                  <w:tcBorders/>
                </w:tcPr>
                <w:p>
                  <w:pPr>
                    <w:pStyle w:val="style0"/>
                    <w:rPr>
                      <w:rFonts w:ascii="Arial" w:cs="Arial" w:hAnsi="Arial"/>
                      <w:b/>
                      <w:bCs/>
                    </w:rPr>
                  </w:pPr>
                  <w:r>
                    <w:rPr>
                      <w:rFonts w:ascii="Arial" w:cs="Arial" w:hAnsi="Arial"/>
                      <w:b/>
                      <w:bCs/>
                    </w:rPr>
                    <w:t>What do they bring to the firm</w:t>
                  </w:r>
                </w:p>
              </w:tc>
            </w:tr>
            <w:tr>
              <w:tblPrEx/>
              <w:trPr/>
              <w:tc>
                <w:tcPr>
                  <w:tcW w:w="4574" w:type="dxa"/>
                  <w:tcBorders/>
                </w:tcPr>
                <w:p>
                  <w:pPr>
                    <w:pStyle w:val="style0"/>
                    <w:jc w:val="both"/>
                    <w:rPr>
                      <w:rFonts w:cs="Calibri"/>
                    </w:rPr>
                  </w:pPr>
                  <w:r>
                    <w:rPr>
                      <w:rFonts w:cs="Calibri"/>
                    </w:rPr>
                    <w:t>Stephen Ngo</w:t>
                  </w:r>
                </w:p>
              </w:tc>
              <w:tc>
                <w:tcPr>
                  <w:tcW w:w="4574" w:type="dxa"/>
                  <w:tcBorders/>
                </w:tcPr>
                <w:p>
                  <w:pPr>
                    <w:pStyle w:val="style0"/>
                    <w:jc w:val="both"/>
                    <w:rPr>
                      <w:rFonts w:cs="Calibri"/>
                    </w:rPr>
                  </w:pPr>
                  <w:r>
                    <w:rPr>
                      <w:rFonts w:cs="Calibri"/>
                    </w:rPr>
                    <w:t>Certified Professional Accountant (CPA)</w:t>
                  </w:r>
                </w:p>
              </w:tc>
              <w:tc>
                <w:tcPr>
                  <w:tcW w:w="4574" w:type="dxa"/>
                  <w:tcBorders/>
                </w:tcPr>
                <w:p>
                  <w:pPr>
                    <w:pStyle w:val="style0"/>
                    <w:jc w:val="both"/>
                    <w:rPr>
                      <w:rFonts w:cs="Calibri"/>
                    </w:rPr>
                  </w:pPr>
                  <w:r>
                    <w:rPr>
                      <w:rFonts w:cs="Calibri"/>
                    </w:rPr>
                    <w:t>Consulting services in the field of accounting are available.</w:t>
                  </w:r>
                </w:p>
              </w:tc>
            </w:tr>
            <w:tr>
              <w:tblPrEx/>
              <w:trPr/>
              <w:tc>
                <w:tcPr>
                  <w:tcW w:w="4574" w:type="dxa"/>
                  <w:tcBorders/>
                </w:tcPr>
                <w:p>
                  <w:pPr>
                    <w:pStyle w:val="style0"/>
                    <w:jc w:val="both"/>
                    <w:rPr>
                      <w:rFonts w:cs="Calibri"/>
                    </w:rPr>
                  </w:pPr>
                  <w:r>
                    <w:rPr>
                      <w:rFonts w:cs="Calibri"/>
                    </w:rPr>
                    <w:t>Joanna Johnson</w:t>
                  </w:r>
                </w:p>
              </w:tc>
              <w:tc>
                <w:tcPr>
                  <w:tcW w:w="4574" w:type="dxa"/>
                  <w:tcBorders/>
                </w:tcPr>
                <w:p>
                  <w:pPr>
                    <w:pStyle w:val="style0"/>
                    <w:jc w:val="both"/>
                    <w:rPr>
                      <w:rFonts w:cs="Calibri"/>
                    </w:rPr>
                  </w:pPr>
                  <w:r>
                    <w:rPr>
                      <w:rFonts w:cs="Calibri"/>
                    </w:rPr>
                    <w:t>An attorney and friend of chef González</w:t>
                  </w:r>
                </w:p>
              </w:tc>
              <w:tc>
                <w:tcPr>
                  <w:tcW w:w="4574" w:type="dxa"/>
                  <w:tcBorders/>
                </w:tcPr>
                <w:p>
                  <w:pPr>
                    <w:pStyle w:val="style0"/>
                    <w:jc w:val="both"/>
                    <w:rPr>
                      <w:rFonts w:cs="Calibri"/>
                    </w:rPr>
                  </w:pPr>
                  <w:r>
                    <w:rPr>
                      <w:rFonts w:cs="Calibri"/>
                    </w:rPr>
                    <w:t>Recommend legal counsel and company registration options.</w:t>
                  </w:r>
                </w:p>
              </w:tc>
            </w:tr>
          </w:tbl>
          <w:p>
            <w:pPr>
              <w:pStyle w:val="style0"/>
              <w:rPr>
                <w:rFonts w:ascii="Arial" w:cs="Arial" w:hAnsi="Arial"/>
                <w:i/>
                <w:iCs/>
                <w:sz w:val="20"/>
                <w:szCs w:val="20"/>
              </w:rPr>
            </w:pPr>
          </w:p>
        </w:tc>
      </w:tr>
    </w:tbl>
    <w:p>
      <w:pPr>
        <w:pStyle w:val="style0"/>
        <w:rPr/>
      </w:pPr>
    </w:p>
    <w:p>
      <w:pPr>
        <w:pStyle w:val="style0"/>
        <w:rPr/>
      </w:pPr>
    </w:p>
    <w:tbl>
      <w:tblPr>
        <w:tblStyle w:val="style4098"/>
        <w:tblW w:w="0" w:type="auto"/>
        <w:tblLook w:val="04A0" w:firstRow="1" w:lastRow="0" w:firstColumn="1" w:lastColumn="0" w:noHBand="0" w:noVBand="1"/>
      </w:tblPr>
      <w:tblGrid>
        <w:gridCol w:w="13948"/>
      </w:tblGrid>
      <w:tr>
        <w:trPr/>
        <w:tc>
          <w:tcPr>
            <w:tcW w:w="13948" w:type="dxa"/>
            <w:tcBorders/>
          </w:tcPr>
          <w:p>
            <w:pPr>
              <w:pStyle w:val="style0"/>
              <w:rPr>
                <w:rFonts w:ascii="Arial" w:cs="Arial" w:hAnsi="Arial"/>
              </w:rPr>
            </w:pPr>
            <w:r>
              <w:rPr>
                <w:rFonts w:ascii="Arial" w:cs="Arial" w:hAnsi="Arial"/>
              </w:rPr>
              <w:t>MARKETING</w:t>
            </w:r>
            <w:r>
              <w:rPr>
                <w:rFonts w:ascii="Arial" w:cs="Arial" w:hAnsi="Arial"/>
              </w:rPr>
              <w:t>: The Four P’s must be used to describe your marketing strategy</w:t>
            </w:r>
          </w:p>
          <w:p>
            <w:pPr>
              <w:pStyle w:val="style0"/>
              <w:jc w:val="both"/>
              <w:rPr>
                <w:rFonts w:cs="Calibri"/>
                <w:b w:val="false"/>
              </w:rPr>
            </w:pPr>
            <w:r>
              <w:rPr>
                <w:rFonts w:cs="Calibri"/>
                <w:b w:val="false"/>
              </w:rPr>
              <w:t>The company will utilise individualised marketing strategies to connect with its clientele. Marketing, sales promotion, public relations, sales promotion, and personal selling will all be part of the promotional mix.</w:t>
            </w:r>
            <w:r>
              <w:rPr>
                <w:rFonts w:cs="Calibri"/>
                <w:b w:val="false"/>
              </w:rPr>
              <w:t xml:space="preserve"> </w:t>
            </w:r>
            <w:r>
              <w:rPr>
                <w:rFonts w:cs="Calibri"/>
                <w:b w:val="false"/>
              </w:rPr>
              <w:t>Promoting to millennials means relying heavily on social media networks popular with foodies. We'll be making posts in both English and Spanish for use on social media. Two crowdfunding platforms will be used in the company's public relations and finance effort.</w:t>
            </w:r>
          </w:p>
          <w:p>
            <w:pPr>
              <w:pStyle w:val="style0"/>
              <w:jc w:val="both"/>
              <w:rPr>
                <w:rFonts w:cs="Calibri"/>
                <w:b w:val="false"/>
              </w:rPr>
            </w:pPr>
          </w:p>
          <w:p>
            <w:pPr>
              <w:pStyle w:val="style0"/>
              <w:jc w:val="both"/>
              <w:rPr/>
            </w:pPr>
            <w:r>
              <w:rPr>
                <w:bCs w:val="false"/>
                <w:i/>
              </w:rPr>
              <w:t>Product:</w:t>
            </w:r>
            <w:r>
              <w:rPr>
                <w:b w:val="false"/>
                <w:bCs w:val="false"/>
              </w:rPr>
              <w:t xml:space="preserve"> </w:t>
            </w:r>
            <w:r>
              <w:rPr>
                <w:b w:val="false"/>
              </w:rPr>
              <w:t>Authentic Latin food, as well as other delicious meals that pay respect to a variety of cultures, can be found at La Vida Lola. Tacos, empanadas, arepas, and more may all be found on the menu. To provide the finest possible flavour, the cuisine is prepared using fresh and high-quality ingredients.</w:t>
            </w:r>
          </w:p>
          <w:p>
            <w:pPr>
              <w:pStyle w:val="style0"/>
              <w:rPr>
                <w:b w:val="false"/>
                <w:bCs w:val="false"/>
              </w:rPr>
            </w:pPr>
          </w:p>
          <w:p>
            <w:pPr>
              <w:pStyle w:val="style0"/>
              <w:rPr>
                <w:b w:val="false"/>
                <w:bCs w:val="false"/>
              </w:rPr>
            </w:pPr>
            <w:r>
              <w:rPr>
                <w:bCs w:val="false"/>
                <w:i/>
              </w:rPr>
              <w:t>Price:</w:t>
            </w:r>
            <w:r>
              <w:rPr>
                <w:b w:val="false"/>
                <w:bCs w:val="false"/>
              </w:rPr>
              <w:t xml:space="preserve"> </w:t>
            </w:r>
            <w:r>
              <w:rPr>
                <w:b w:val="false"/>
                <w:bCs w:val="false"/>
              </w:rPr>
              <w:t>The mobile restaurant La Vida Lola serves the greater Atlanta area from a food truck. The food truck is a common sight at fairs, parks, workplaces, and breweries. The business has ambitions to install a food kiosk at a regional market and provide meal delivery on demand.</w:t>
            </w:r>
          </w:p>
          <w:p>
            <w:pPr>
              <w:pStyle w:val="style0"/>
              <w:rPr>
                <w:b w:val="false"/>
                <w:bCs w:val="false"/>
              </w:rPr>
            </w:pPr>
          </w:p>
          <w:p>
            <w:pPr>
              <w:pStyle w:val="style0"/>
              <w:rPr>
                <w:b w:val="false"/>
                <w:bCs w:val="false"/>
              </w:rPr>
            </w:pPr>
            <w:r>
              <w:rPr>
                <w:bCs w:val="false"/>
                <w:i/>
              </w:rPr>
              <w:t>Promotional Mix:</w:t>
            </w:r>
            <w:r>
              <w:rPr>
                <w:b w:val="false"/>
                <w:bCs w:val="false"/>
              </w:rPr>
              <w:t xml:space="preserve"> </w:t>
            </w:r>
            <w:r>
              <w:rPr>
                <w:b w:val="false"/>
                <w:bCs w:val="false"/>
              </w:rPr>
              <w:t>Social media marketing, event sponsorship, and word-of-mouth advertising are just a few of the promotional tactics used by La Vida Lola to reach its demographic. Facebook, Instagram, and Twitter are just a few of the many places where you may find the business's menu and location promotions. For even greater exposure, La Vida Lola also supports festivals and events. The firm also relies on word of mouth promotion, in which happy consumers tell their friends and family about their positive experience.</w:t>
            </w:r>
          </w:p>
          <w:p>
            <w:pPr>
              <w:pStyle w:val="style0"/>
              <w:rPr>
                <w:b w:val="false"/>
                <w:bCs w:val="false"/>
              </w:rPr>
            </w:pPr>
          </w:p>
          <w:p>
            <w:pPr>
              <w:pStyle w:val="style0"/>
              <w:rPr>
                <w:b w:val="false"/>
                <w:bCs w:val="false"/>
              </w:rPr>
            </w:pPr>
            <w:r>
              <w:rPr>
                <w:bCs w:val="false"/>
                <w:i/>
              </w:rPr>
              <w:t>Place (Distribution strateg</w:t>
            </w:r>
            <w:r>
              <w:rPr>
                <w:bCs w:val="false"/>
                <w:i/>
              </w:rPr>
              <w:t>y):</w:t>
            </w:r>
            <w:r>
              <w:rPr>
                <w:bCs w:val="false"/>
                <w:i/>
              </w:rPr>
              <w:t xml:space="preserve"> </w:t>
            </w:r>
            <w:r>
              <w:rPr>
                <w:b w:val="false"/>
                <w:bCs w:val="false"/>
              </w:rPr>
              <w:t>Since La Vida Lola is a restaurant, its distribution strategy would centre on brick-and-mortar establishments. The restaurant might either have one central location or several outposts in various geographic areas. Customers who would rather eat in the comfort of their own homes may be interested to learn that La Vida Lola is considering forming partnerships with delivery services like Grubhub and Uber Eats. The eatery could also provide catering for parties and business gatherings. In order to maintain high standards across all of their locations and delivery options, La Vida Lola may choose to establish a central kitchen from where all of their cuisine is made.</w:t>
            </w:r>
          </w:p>
          <w:p>
            <w:pPr>
              <w:pStyle w:val="style0"/>
              <w:rPr/>
            </w:pPr>
          </w:p>
        </w:tc>
      </w:tr>
    </w:tbl>
    <w:p>
      <w:pPr>
        <w:pStyle w:val="style0"/>
        <w:rPr/>
      </w:pPr>
    </w:p>
    <w:tbl>
      <w:tblPr>
        <w:tblStyle w:val="style4098"/>
        <w:tblW w:w="0" w:type="auto"/>
        <w:tblLook w:val="04A0" w:firstRow="1" w:lastRow="0" w:firstColumn="1" w:lastColumn="0" w:noHBand="0" w:noVBand="1"/>
      </w:tblPr>
      <w:tblGrid>
        <w:gridCol w:w="13948"/>
      </w:tblGrid>
      <w:tr>
        <w:trPr/>
        <w:tc>
          <w:tcPr>
            <w:tcW w:w="13948" w:type="dxa"/>
            <w:tcBorders/>
          </w:tcPr>
          <w:p>
            <w:pPr>
              <w:pStyle w:val="style0"/>
              <w:rPr>
                <w:b w:val="false"/>
                <w:bCs w:val="false"/>
              </w:rPr>
            </w:pPr>
            <w:r>
              <w:t xml:space="preserve">FINANCIALS </w:t>
            </w:r>
          </w:p>
          <w:p>
            <w:pPr>
              <w:pStyle w:val="style0"/>
              <w:rPr/>
            </w:pPr>
            <w:r>
              <w:rPr>
                <w:b w:val="false"/>
                <w:bCs w:val="false"/>
              </w:rPr>
              <w:t>Sources of funds: where would you be getting funds from?</w:t>
            </w:r>
            <w:r>
              <w:rPr>
                <w:b w:val="false"/>
                <w:bCs w:val="false"/>
              </w:rPr>
              <w:t xml:space="preserve"> </w:t>
            </w:r>
            <w:r>
              <w:t xml:space="preserve">For loans, please prepare a repayment plan </w:t>
            </w:r>
          </w:p>
          <w:p>
            <w:pPr>
              <w:pStyle w:val="style0"/>
              <w:rPr/>
            </w:pPr>
            <w:r>
              <w:t>Use of funds</w:t>
            </w:r>
          </w:p>
          <w:p>
            <w:pPr>
              <w:pStyle w:val="style0"/>
              <w:rPr>
                <w:b w:val="false"/>
                <w:bCs w:val="false"/>
              </w:rPr>
            </w:pPr>
          </w:p>
          <w:tbl>
            <w:tblPr>
              <w:tblStyle w:val="style154"/>
              <w:tblW w:w="0" w:type="auto"/>
              <w:tblLook w:val="04A0" w:firstRow="1" w:lastRow="0" w:firstColumn="1" w:lastColumn="0" w:noHBand="0" w:noVBand="1"/>
            </w:tblPr>
            <w:tblGrid>
              <w:gridCol w:w="1954"/>
              <w:gridCol w:w="1985"/>
              <w:gridCol w:w="1985"/>
              <w:gridCol w:w="1985"/>
              <w:gridCol w:w="1985"/>
              <w:gridCol w:w="1843"/>
              <w:gridCol w:w="1985"/>
            </w:tblGrid>
            <w:tr>
              <w:trPr/>
              <w:tc>
                <w:tcPr>
                  <w:tcW w:w="1954" w:type="dxa"/>
                  <w:tcBorders/>
                </w:tcPr>
                <w:p>
                  <w:pPr>
                    <w:pStyle w:val="style0"/>
                    <w:rPr/>
                  </w:pPr>
                </w:p>
              </w:tc>
              <w:tc>
                <w:tcPr>
                  <w:tcW w:w="1985" w:type="dxa"/>
                  <w:tcBorders/>
                </w:tcPr>
                <w:p>
                  <w:pPr>
                    <w:pStyle w:val="style0"/>
                    <w:rPr/>
                  </w:pPr>
                  <w:r>
                    <w:t>Month 1</w:t>
                  </w:r>
                </w:p>
              </w:tc>
              <w:tc>
                <w:tcPr>
                  <w:tcW w:w="1985" w:type="dxa"/>
                  <w:tcBorders/>
                </w:tcPr>
                <w:p>
                  <w:pPr>
                    <w:pStyle w:val="style0"/>
                    <w:rPr/>
                  </w:pPr>
                  <w:r>
                    <w:t>Month 2</w:t>
                  </w:r>
                </w:p>
              </w:tc>
              <w:tc>
                <w:tcPr>
                  <w:tcW w:w="1985" w:type="dxa"/>
                  <w:tcBorders/>
                </w:tcPr>
                <w:p>
                  <w:pPr>
                    <w:pStyle w:val="style0"/>
                    <w:rPr/>
                  </w:pPr>
                  <w:r>
                    <w:t>Month 3</w:t>
                  </w:r>
                </w:p>
              </w:tc>
              <w:tc>
                <w:tcPr>
                  <w:tcW w:w="1985" w:type="dxa"/>
                  <w:tcBorders/>
                </w:tcPr>
                <w:p>
                  <w:pPr>
                    <w:pStyle w:val="style0"/>
                    <w:rPr/>
                  </w:pPr>
                  <w:r>
                    <w:t>Month 4</w:t>
                  </w:r>
                </w:p>
              </w:tc>
              <w:tc>
                <w:tcPr>
                  <w:tcW w:w="1843" w:type="dxa"/>
                  <w:tcBorders/>
                </w:tcPr>
                <w:p>
                  <w:pPr>
                    <w:pStyle w:val="style0"/>
                    <w:rPr/>
                  </w:pPr>
                  <w:r>
                    <w:t>Month 5</w:t>
                  </w:r>
                </w:p>
              </w:tc>
              <w:tc>
                <w:tcPr>
                  <w:tcW w:w="1985" w:type="dxa"/>
                  <w:tcBorders/>
                </w:tcPr>
                <w:p>
                  <w:pPr>
                    <w:pStyle w:val="style0"/>
                    <w:rPr/>
                  </w:pPr>
                  <w:r>
                    <w:t>Month 6</w:t>
                  </w:r>
                </w:p>
              </w:tc>
            </w:tr>
            <w:tr>
              <w:tblPrEx/>
              <w:trPr/>
              <w:tc>
                <w:tcPr>
                  <w:tcW w:w="1954" w:type="dxa"/>
                  <w:tcBorders/>
                </w:tcPr>
                <w:p>
                  <w:pPr>
                    <w:pStyle w:val="style0"/>
                    <w:rPr>
                      <w:b/>
                      <w:bCs/>
                    </w:rPr>
                  </w:pPr>
                  <w:r>
                    <w:rPr>
                      <w:b/>
                      <w:bCs/>
                    </w:rPr>
                    <w:t>Revenue (from your operations and marketing section)</w:t>
                  </w:r>
                </w:p>
              </w:tc>
              <w:tc>
                <w:tcPr>
                  <w:tcW w:w="1985" w:type="dxa"/>
                  <w:tcBorders/>
                </w:tcPr>
                <w:p>
                  <w:pPr>
                    <w:pStyle w:val="style0"/>
                    <w:rPr/>
                  </w:pPr>
                  <w:r>
                    <w:t>7</w:t>
                  </w:r>
                  <w:r>
                    <w:t xml:space="preserve">00000 </w:t>
                  </w:r>
                </w:p>
              </w:tc>
              <w:tc>
                <w:tcPr>
                  <w:tcW w:w="1985" w:type="dxa"/>
                  <w:tcBorders/>
                </w:tcPr>
                <w:p>
                  <w:pPr>
                    <w:pStyle w:val="style0"/>
                    <w:rPr/>
                  </w:pPr>
                  <w:r>
                    <w:t>9</w:t>
                  </w:r>
                  <w:r>
                    <w:t xml:space="preserve">00000 </w:t>
                  </w:r>
                </w:p>
              </w:tc>
              <w:tc>
                <w:tcPr>
                  <w:tcW w:w="1985" w:type="dxa"/>
                  <w:tcBorders/>
                </w:tcPr>
                <w:p>
                  <w:pPr>
                    <w:pStyle w:val="style0"/>
                    <w:rPr/>
                  </w:pPr>
                  <w:r>
                    <w:t>11</w:t>
                  </w:r>
                  <w:r>
                    <w:t>00000</w:t>
                  </w:r>
                </w:p>
              </w:tc>
              <w:tc>
                <w:tcPr>
                  <w:tcW w:w="1985" w:type="dxa"/>
                  <w:tcBorders/>
                </w:tcPr>
                <w:p>
                  <w:pPr>
                    <w:pStyle w:val="style0"/>
                    <w:rPr/>
                  </w:pPr>
                  <w:r>
                    <w:t>16</w:t>
                  </w:r>
                  <w:r>
                    <w:t xml:space="preserve">00000 </w:t>
                  </w:r>
                </w:p>
              </w:tc>
              <w:tc>
                <w:tcPr>
                  <w:tcW w:w="1843" w:type="dxa"/>
                  <w:tcBorders/>
                </w:tcPr>
                <w:p>
                  <w:pPr>
                    <w:pStyle w:val="style0"/>
                    <w:rPr/>
                  </w:pPr>
                  <w:r>
                    <w:t>24</w:t>
                  </w:r>
                  <w:r>
                    <w:t xml:space="preserve">00000 </w:t>
                  </w:r>
                </w:p>
              </w:tc>
              <w:tc>
                <w:tcPr>
                  <w:tcW w:w="1985" w:type="dxa"/>
                  <w:tcBorders/>
                </w:tcPr>
                <w:p>
                  <w:pPr>
                    <w:pStyle w:val="style0"/>
                    <w:rPr/>
                  </w:pPr>
                  <w:r>
                    <w:t>29</w:t>
                  </w:r>
                  <w:r>
                    <w:t>00000</w:t>
                  </w:r>
                </w:p>
              </w:tc>
            </w:tr>
            <w:tr>
              <w:tblPrEx/>
              <w:trPr>
                <w:trHeight w:val="2042" w:hRule="atLeast"/>
              </w:trPr>
              <w:tc>
                <w:tcPr>
                  <w:tcW w:w="1954" w:type="dxa"/>
                  <w:tcBorders/>
                </w:tcPr>
                <w:p>
                  <w:pPr>
                    <w:pStyle w:val="style0"/>
                    <w:rPr>
                      <w:b/>
                      <w:bCs/>
                    </w:rPr>
                  </w:pPr>
                  <w:r>
                    <w:rPr>
                      <w:b/>
                      <w:bCs/>
                    </w:rPr>
                    <w:t>Fixed Costs</w:t>
                  </w:r>
                </w:p>
                <w:p>
                  <w:pPr>
                    <w:pStyle w:val="style0"/>
                    <w:rPr>
                      <w:b/>
                      <w:bCs/>
                    </w:rPr>
                  </w:pPr>
                  <w:r>
                    <w:rPr>
                      <w:b/>
                      <w:bCs/>
                    </w:rPr>
                    <w:t>(List out your fixed costs)</w:t>
                  </w:r>
                </w:p>
                <w:p>
                  <w:pPr>
                    <w:pStyle w:val="style0"/>
                    <w:rPr/>
                  </w:pPr>
                </w:p>
              </w:tc>
              <w:tc>
                <w:tcPr>
                  <w:tcW w:w="1985" w:type="dxa"/>
                  <w:tcBorders/>
                </w:tcPr>
                <w:p>
                  <w:pPr>
                    <w:pStyle w:val="style0"/>
                    <w:rPr/>
                  </w:pPr>
                  <w:r>
                    <w:t>24</w:t>
                  </w:r>
                  <w:r>
                    <w:t xml:space="preserve">0000  </w:t>
                  </w:r>
                </w:p>
              </w:tc>
              <w:tc>
                <w:tcPr>
                  <w:tcW w:w="1985" w:type="dxa"/>
                  <w:tcBorders/>
                </w:tcPr>
                <w:p>
                  <w:pPr>
                    <w:pStyle w:val="style0"/>
                    <w:rPr/>
                  </w:pPr>
                  <w:r>
                    <w:t>24</w:t>
                  </w:r>
                  <w:r>
                    <w:t xml:space="preserve">0000 </w:t>
                  </w:r>
                </w:p>
              </w:tc>
              <w:tc>
                <w:tcPr>
                  <w:tcW w:w="1985" w:type="dxa"/>
                  <w:tcBorders/>
                </w:tcPr>
                <w:p>
                  <w:pPr>
                    <w:pStyle w:val="style0"/>
                    <w:rPr/>
                  </w:pPr>
                  <w:r>
                    <w:t>29</w:t>
                  </w:r>
                  <w:r>
                    <w:t xml:space="preserve">0000 </w:t>
                  </w:r>
                </w:p>
              </w:tc>
              <w:tc>
                <w:tcPr>
                  <w:tcW w:w="1985" w:type="dxa"/>
                  <w:tcBorders/>
                </w:tcPr>
                <w:p>
                  <w:pPr>
                    <w:pStyle w:val="style0"/>
                    <w:rPr/>
                  </w:pPr>
                  <w:r>
                    <w:t>34</w:t>
                  </w:r>
                  <w:r>
                    <w:t xml:space="preserve">0000 </w:t>
                  </w:r>
                </w:p>
              </w:tc>
              <w:tc>
                <w:tcPr>
                  <w:tcW w:w="1843" w:type="dxa"/>
                  <w:tcBorders/>
                </w:tcPr>
                <w:p>
                  <w:pPr>
                    <w:pStyle w:val="style0"/>
                    <w:rPr/>
                  </w:pPr>
                  <w:r>
                    <w:t>35</w:t>
                  </w:r>
                  <w:r>
                    <w:t xml:space="preserve">0000 </w:t>
                  </w:r>
                </w:p>
              </w:tc>
              <w:tc>
                <w:tcPr>
                  <w:tcW w:w="1985" w:type="dxa"/>
                  <w:tcBorders/>
                </w:tcPr>
                <w:p>
                  <w:pPr>
                    <w:pStyle w:val="style0"/>
                    <w:rPr/>
                  </w:pPr>
                  <w:r>
                    <w:t>36</w:t>
                  </w:r>
                  <w:r>
                    <w:t xml:space="preserve">0000 </w:t>
                  </w:r>
                </w:p>
              </w:tc>
            </w:tr>
            <w:tr>
              <w:tblPrEx/>
              <w:trPr/>
              <w:tc>
                <w:tcPr>
                  <w:tcW w:w="1954" w:type="dxa"/>
                  <w:tcBorders/>
                </w:tcPr>
                <w:p>
                  <w:pPr>
                    <w:pStyle w:val="style0"/>
                    <w:rPr>
                      <w:b/>
                      <w:bCs/>
                    </w:rPr>
                  </w:pPr>
                  <w:r>
                    <w:rPr>
                      <w:b/>
                      <w:bCs/>
                    </w:rPr>
                    <w:t>Variable Costs</w:t>
                  </w:r>
                </w:p>
                <w:p>
                  <w:pPr>
                    <w:pStyle w:val="style0"/>
                    <w:rPr>
                      <w:b/>
                      <w:bCs/>
                    </w:rPr>
                  </w:pPr>
                  <w:r>
                    <w:rPr>
                      <w:b/>
                      <w:bCs/>
                    </w:rPr>
                    <w:t>(List out your variable costs)</w:t>
                  </w:r>
                </w:p>
              </w:tc>
              <w:tc>
                <w:tcPr>
                  <w:tcW w:w="1985" w:type="dxa"/>
                  <w:tcBorders/>
                </w:tcPr>
                <w:p>
                  <w:pPr>
                    <w:pStyle w:val="style0"/>
                    <w:rPr/>
                  </w:pPr>
                  <w:r>
                    <w:t>29</w:t>
                  </w:r>
                  <w:r>
                    <w:t xml:space="preserve">0000 </w:t>
                  </w:r>
                </w:p>
              </w:tc>
              <w:tc>
                <w:tcPr>
                  <w:tcW w:w="1985" w:type="dxa"/>
                  <w:tcBorders/>
                </w:tcPr>
                <w:p>
                  <w:pPr>
                    <w:pStyle w:val="style0"/>
                    <w:rPr/>
                  </w:pPr>
                  <w:r>
                    <w:t>29</w:t>
                  </w:r>
                  <w:r>
                    <w:t xml:space="preserve">0000 </w:t>
                  </w:r>
                </w:p>
              </w:tc>
              <w:tc>
                <w:tcPr>
                  <w:tcW w:w="1985" w:type="dxa"/>
                  <w:tcBorders/>
                </w:tcPr>
                <w:p>
                  <w:pPr>
                    <w:pStyle w:val="style0"/>
                    <w:rPr/>
                  </w:pPr>
                  <w:r>
                    <w:t>16</w:t>
                  </w:r>
                  <w:r>
                    <w:t xml:space="preserve">0000 </w:t>
                  </w:r>
                </w:p>
              </w:tc>
              <w:tc>
                <w:tcPr>
                  <w:tcW w:w="1985" w:type="dxa"/>
                  <w:tcBorders/>
                </w:tcPr>
                <w:p>
                  <w:pPr>
                    <w:pStyle w:val="style0"/>
                    <w:rPr/>
                  </w:pPr>
                  <w:r>
                    <w:t>16</w:t>
                  </w:r>
                  <w:r>
                    <w:t>0000</w:t>
                  </w:r>
                  <w:r>
                    <w:t xml:space="preserve"> </w:t>
                  </w:r>
                </w:p>
              </w:tc>
              <w:tc>
                <w:tcPr>
                  <w:tcW w:w="1843" w:type="dxa"/>
                  <w:tcBorders/>
                </w:tcPr>
                <w:p>
                  <w:pPr>
                    <w:pStyle w:val="style0"/>
                    <w:rPr/>
                  </w:pPr>
                  <w:r>
                    <w:t>19</w:t>
                  </w:r>
                  <w:r>
                    <w:t xml:space="preserve">0000 </w:t>
                  </w:r>
                </w:p>
              </w:tc>
              <w:tc>
                <w:tcPr>
                  <w:tcW w:w="1985" w:type="dxa"/>
                  <w:tcBorders/>
                </w:tcPr>
                <w:p>
                  <w:pPr>
                    <w:pStyle w:val="style0"/>
                    <w:rPr/>
                  </w:pPr>
                  <w:r>
                    <w:t>29</w:t>
                  </w:r>
                  <w:r>
                    <w:t xml:space="preserve">0000 </w:t>
                  </w:r>
                </w:p>
              </w:tc>
            </w:tr>
            <w:tr>
              <w:tblPrEx/>
              <w:trPr/>
              <w:tc>
                <w:tcPr>
                  <w:tcW w:w="1954" w:type="dxa"/>
                  <w:tcBorders/>
                </w:tcPr>
                <w:p>
                  <w:pPr>
                    <w:pStyle w:val="style0"/>
                    <w:rPr>
                      <w:b/>
                      <w:bCs/>
                    </w:rPr>
                  </w:pPr>
                  <w:r>
                    <w:rPr>
                      <w:b/>
                      <w:bCs/>
                    </w:rPr>
                    <w:t xml:space="preserve">Profit </w:t>
                  </w:r>
                </w:p>
              </w:tc>
              <w:tc>
                <w:tcPr>
                  <w:tcW w:w="1985" w:type="dxa"/>
                  <w:tcBorders/>
                </w:tcPr>
                <w:p>
                  <w:pPr>
                    <w:pStyle w:val="style0"/>
                    <w:rPr/>
                  </w:pPr>
                  <w:r>
                    <w:t>24</w:t>
                  </w:r>
                  <w:r>
                    <w:t xml:space="preserve">0000 </w:t>
                  </w:r>
                </w:p>
              </w:tc>
              <w:tc>
                <w:tcPr>
                  <w:tcW w:w="1985" w:type="dxa"/>
                  <w:tcBorders/>
                </w:tcPr>
                <w:p>
                  <w:pPr>
                    <w:pStyle w:val="style0"/>
                    <w:rPr/>
                  </w:pPr>
                  <w:r>
                    <w:t>44</w:t>
                  </w:r>
                  <w:r>
                    <w:t xml:space="preserve">0000 </w:t>
                  </w:r>
                </w:p>
              </w:tc>
              <w:tc>
                <w:tcPr>
                  <w:tcW w:w="1985" w:type="dxa"/>
                  <w:tcBorders/>
                </w:tcPr>
                <w:p>
                  <w:pPr>
                    <w:pStyle w:val="style0"/>
                    <w:rPr/>
                  </w:pPr>
                  <w:r>
                    <w:t>74</w:t>
                  </w:r>
                  <w:r>
                    <w:t xml:space="preserve">0000 </w:t>
                  </w:r>
                </w:p>
              </w:tc>
              <w:tc>
                <w:tcPr>
                  <w:tcW w:w="1985" w:type="dxa"/>
                  <w:tcBorders/>
                </w:tcPr>
                <w:p>
                  <w:pPr>
                    <w:pStyle w:val="style0"/>
                    <w:rPr/>
                  </w:pPr>
                  <w:r>
                    <w:t>129</w:t>
                  </w:r>
                  <w:r>
                    <w:t>0000</w:t>
                  </w:r>
                </w:p>
              </w:tc>
              <w:tc>
                <w:tcPr>
                  <w:tcW w:w="1843" w:type="dxa"/>
                  <w:tcBorders/>
                </w:tcPr>
                <w:p>
                  <w:pPr>
                    <w:pStyle w:val="style0"/>
                    <w:rPr/>
                  </w:pPr>
                  <w:r>
                    <w:t>205</w:t>
                  </w:r>
                  <w:r>
                    <w:t xml:space="preserve">0000 </w:t>
                  </w:r>
                </w:p>
              </w:tc>
              <w:tc>
                <w:tcPr>
                  <w:tcW w:w="1985" w:type="dxa"/>
                  <w:tcBorders/>
                </w:tcPr>
                <w:p>
                  <w:pPr>
                    <w:pStyle w:val="style0"/>
                    <w:rPr/>
                  </w:pPr>
                  <w:r>
                    <w:t>244</w:t>
                  </w:r>
                  <w:r>
                    <w:t>0000</w:t>
                  </w:r>
                </w:p>
              </w:tc>
            </w:tr>
          </w:tbl>
          <w:p>
            <w:pPr>
              <w:pStyle w:val="style0"/>
              <w:rPr/>
            </w:pPr>
          </w:p>
        </w:tc>
      </w:tr>
    </w:tbl>
    <w:p>
      <w:pPr>
        <w:pStyle w:val="style0"/>
        <w:rPr/>
      </w:pPr>
    </w:p>
    <w:p>
      <w:pPr>
        <w:pStyle w:val="style0"/>
        <w:jc w:val="both"/>
        <w:rPr>
          <w:b/>
          <w:bCs/>
        </w:rPr>
      </w:pPr>
    </w:p>
    <w:p>
      <w:pPr>
        <w:pStyle w:val="style0"/>
        <w:jc w:val="both"/>
        <w:rPr>
          <w:b/>
          <w:bCs/>
        </w:rPr>
      </w:pPr>
      <w:r>
        <w:rPr>
          <w:b/>
          <w:bCs/>
        </w:rPr>
        <w:t xml:space="preserve">MARKET RESEARCH </w:t>
      </w:r>
    </w:p>
    <w:p>
      <w:pPr>
        <w:pStyle w:val="style0"/>
        <w:jc w:val="both"/>
        <w:rPr>
          <w:bCs/>
        </w:rPr>
      </w:pPr>
      <w:r>
        <w:rPr>
          <w:bCs/>
        </w:rPr>
        <w:t>Over the last decade, the mobile kitchen business has exploded. IBISWorld predicts that by 2021, the food truck business in the United States would be worth $1.2 billion, up 3.8% annually from 2016 levels. From 2021 through 2026, this expansion is anticipated to continue, expanding at a compound annual rate of 3.6%. Demand for quick, cheap, and varied meals is rising, which is good news for the food truck business. People's shifting tastes and hectic schedules mean that more and more of them are choosing to eat at food trucks rather than cooking at home. The increased visibility and popularity of food trucks may also be attributed to their widespread use at festivals, concerts, and other gatherings.</w:t>
      </w:r>
    </w:p>
    <w:p>
      <w:pPr>
        <w:pStyle w:val="style0"/>
        <w:jc w:val="both"/>
        <w:rPr>
          <w:bCs/>
        </w:rPr>
      </w:pPr>
      <w:r>
        <w:rPr>
          <w:bCs/>
        </w:rPr>
        <w:t>The trend towards using more eco-friendly and regionally-sourced goods is also helping the food truck business expand. The environmental consciousness of many customers is reflected in the fact that many food trucks highlight the use of fresh, locally produced products in their recipes. Several elements of the broader economy may have an effect on the mobile kitchen business. One such aspect is the state of the economy, which might influence how much people are willing to spend on mobile eateries. The regulatory climate is also important since different cities and states have varied licencing and inspection procedures for food trucks</w:t>
      </w:r>
      <w:r>
        <w:rPr>
          <w:bCs/>
        </w:rPr>
        <w:t xml:space="preserve"> </w:t>
      </w:r>
      <w:r>
        <w:rPr>
          <w:bCs/>
        </w:rPr>
        <w:fldChar w:fldCharType="begin"/>
      </w:r>
      <w:r>
        <w:rPr>
          <w:bCs/>
        </w:rPr>
        <w:instrText xml:space="preserve"> ADDIN ZOTERO_ITEM CSL_CITATION {"citationID":"aEY590bq","properties":{"formattedCitation":"(Kuratko, 2016)","plainCitation":"(Kuratko, 2016)","noteIndex":0},"citationItems":[{"id":18018,"uris":["http://zotero.org/users/local/H5sehU5t/items/IX7VRI89"],"itemData":{"id":18018,"type":"book","publisher":"Cengage learning","source":"Google Scholar","title":"Entrepreneurship: Theory, process, and practice","title-short":"Entrepreneurship","author":[{"family":"Kuratko","given":"Donald F."}],"issued":{"date-parts":[["2016"]]}}}],"schema":"https://github.com/citation-style-language/schema/raw/master/csl-citation.json"} </w:instrText>
      </w:r>
      <w:r>
        <w:rPr>
          <w:bCs/>
        </w:rPr>
        <w:fldChar w:fldCharType="separate"/>
      </w:r>
      <w:r>
        <w:rPr>
          <w:rFonts w:ascii="Calibri" w:cs="Calibri" w:hAnsi="Calibri"/>
        </w:rPr>
        <w:t>(Kuratko, 2016)</w:t>
      </w:r>
      <w:r>
        <w:rPr>
          <w:bCs/>
        </w:rPr>
        <w:fldChar w:fldCharType="end"/>
      </w:r>
      <w:r>
        <w:rPr>
          <w:bCs/>
        </w:rPr>
        <w:t>.</w:t>
      </w:r>
    </w:p>
    <w:p>
      <w:pPr>
        <w:pStyle w:val="style0"/>
        <w:jc w:val="both"/>
        <w:rPr>
          <w:bCs/>
        </w:rPr>
      </w:pPr>
      <w:r>
        <w:rPr>
          <w:bCs/>
        </w:rPr>
        <w:t>As a whole, the food truck sector is ripe with potential for companies that can both provide consumers with novel and delicious fare and successfully negotiate the industry's complex regulatory and economic environment. Your company may better position itself for success in this expanding market by undertaking further market research and keeping abreast of industry developments.</w:t>
      </w:r>
    </w:p>
    <w:p>
      <w:pPr>
        <w:pStyle w:val="style0"/>
        <w:jc w:val="both"/>
        <w:rPr>
          <w:bCs/>
        </w:rPr>
      </w:pPr>
    </w:p>
    <w:p>
      <w:pPr>
        <w:pStyle w:val="style0"/>
        <w:jc w:val="both"/>
        <w:rPr>
          <w:bCs/>
        </w:rPr>
      </w:pPr>
    </w:p>
    <w:p>
      <w:pPr>
        <w:pStyle w:val="style0"/>
        <w:jc w:val="both"/>
        <w:rPr>
          <w:b/>
          <w:bCs/>
        </w:rPr>
      </w:pPr>
    </w:p>
    <w:p>
      <w:pPr>
        <w:pStyle w:val="style0"/>
        <w:jc w:val="both"/>
        <w:rPr>
          <w:b/>
          <w:bCs/>
        </w:rPr>
      </w:pPr>
    </w:p>
    <w:p>
      <w:pPr>
        <w:pStyle w:val="style0"/>
        <w:jc w:val="both"/>
        <w:rPr>
          <w:b/>
          <w:bCs/>
        </w:rPr>
      </w:pPr>
    </w:p>
    <w:p>
      <w:pPr>
        <w:pStyle w:val="style0"/>
        <w:jc w:val="both"/>
        <w:rPr>
          <w:b/>
          <w:bCs/>
        </w:rPr>
      </w:pPr>
    </w:p>
    <w:p>
      <w:pPr>
        <w:pStyle w:val="style0"/>
        <w:jc w:val="both"/>
        <w:rPr>
          <w:b/>
          <w:bCs/>
        </w:rPr>
      </w:pPr>
    </w:p>
    <w:p>
      <w:pPr>
        <w:pStyle w:val="style0"/>
        <w:jc w:val="both"/>
        <w:rPr>
          <w:b/>
          <w:bCs/>
        </w:rPr>
      </w:pPr>
    </w:p>
    <w:p>
      <w:pPr>
        <w:pStyle w:val="style0"/>
        <w:jc w:val="both"/>
        <w:rPr>
          <w:b/>
          <w:bCs/>
        </w:rPr>
      </w:pPr>
    </w:p>
    <w:bookmarkStart w:id="0" w:name="_GoBack"/>
    <w:bookmarkEnd w:id="0"/>
    <w:p>
      <w:pPr>
        <w:pStyle w:val="style0"/>
        <w:jc w:val="both"/>
        <w:rPr>
          <w:b/>
          <w:bCs/>
        </w:rPr>
      </w:pPr>
    </w:p>
    <w:p>
      <w:pPr>
        <w:pStyle w:val="style0"/>
        <w:spacing w:lineRule="auto" w:line="360"/>
        <w:jc w:val="both"/>
        <w:rPr>
          <w:b/>
          <w:bCs/>
        </w:rPr>
      </w:pPr>
      <w:r>
        <w:rPr>
          <w:b/>
          <w:bCs/>
        </w:rPr>
        <w:t xml:space="preserve">REFERENCES </w:t>
      </w:r>
    </w:p>
    <w:p>
      <w:pPr>
        <w:pStyle w:val="style265"/>
        <w:spacing w:lineRule="auto" w:line="360"/>
        <w:rPr>
          <w:rFonts w:ascii="Calibri" w:cs="Calibri" w:hAnsi="Calibri"/>
        </w:rPr>
      </w:pPr>
      <w:r>
        <w:rPr>
          <w:b/>
          <w:bCs/>
        </w:rPr>
        <w:fldChar w:fldCharType="begin"/>
      </w:r>
      <w:r>
        <w:rPr>
          <w:b/>
          <w:bCs/>
        </w:rPr>
        <w:instrText xml:space="preserve"> ADDIN ZOTERO_BIBL {"uncited":[],"omitted":[],"custom":[]} CSL_BIBLIOGRAPHY </w:instrText>
      </w:r>
      <w:r>
        <w:rPr>
          <w:b/>
          <w:bCs/>
        </w:rPr>
        <w:fldChar w:fldCharType="separate"/>
      </w:r>
      <w:r>
        <w:rPr>
          <w:rFonts w:ascii="Calibri" w:cs="Calibri" w:hAnsi="Calibri"/>
        </w:rPr>
        <w:t xml:space="preserve">Baker, T. and Welter, F. (2018) ‘Contextual entrepreneurship: An interdisciplinary perspective’, </w:t>
      </w:r>
      <w:r>
        <w:rPr>
          <w:rFonts w:ascii="Calibri" w:cs="Calibri" w:hAnsi="Calibri"/>
          <w:i/>
          <w:iCs/>
        </w:rPr>
        <w:t>Foundations and Trends® in Entrepreneurship</w:t>
      </w:r>
      <w:r>
        <w:rPr>
          <w:rFonts w:ascii="Calibri" w:cs="Calibri" w:hAnsi="Calibri"/>
        </w:rPr>
        <w:t>, 14(4), pp. 357–426.</w:t>
      </w:r>
    </w:p>
    <w:p>
      <w:pPr>
        <w:pStyle w:val="style265"/>
        <w:spacing w:lineRule="auto" w:line="360"/>
        <w:rPr>
          <w:rFonts w:ascii="Calibri" w:cs="Calibri" w:hAnsi="Calibri"/>
        </w:rPr>
      </w:pPr>
      <w:r>
        <w:rPr>
          <w:rFonts w:ascii="Calibri" w:cs="Calibri" w:hAnsi="Calibri"/>
        </w:rPr>
        <w:t xml:space="preserve">Bruijl, D. and Gerard, H.T. (2018) ‘The relevance of Porter’s five forces in today’s innovative and changing business environment’, </w:t>
      </w:r>
      <w:r>
        <w:rPr>
          <w:rFonts w:ascii="Calibri" w:cs="Calibri" w:hAnsi="Calibri"/>
          <w:i/>
          <w:iCs/>
        </w:rPr>
        <w:t>Available at SSRN 3192207</w:t>
      </w:r>
      <w:r>
        <w:rPr>
          <w:rFonts w:ascii="Calibri" w:cs="Calibri" w:hAnsi="Calibri"/>
        </w:rPr>
        <w:t xml:space="preserve"> [Preprint].</w:t>
      </w:r>
    </w:p>
    <w:p>
      <w:pPr>
        <w:pStyle w:val="style265"/>
        <w:spacing w:lineRule="auto" w:line="360"/>
        <w:rPr>
          <w:rFonts w:ascii="Calibri" w:cs="Calibri" w:hAnsi="Calibri"/>
        </w:rPr>
      </w:pPr>
      <w:r>
        <w:rPr>
          <w:rFonts w:ascii="Calibri" w:cs="Calibri" w:hAnsi="Calibri"/>
        </w:rPr>
        <w:t xml:space="preserve">Davidsson, P., Delmar, F. and Wiklund, J. (2017) ‘Entrepreneurship as growth: growth as entrepreneurship’, </w:t>
      </w:r>
      <w:r>
        <w:rPr>
          <w:rFonts w:ascii="Calibri" w:cs="Calibri" w:hAnsi="Calibri"/>
          <w:i/>
          <w:iCs/>
        </w:rPr>
        <w:t>Strategic entrepreneurship: Creating a new mindset</w:t>
      </w:r>
      <w:r>
        <w:rPr>
          <w:rFonts w:ascii="Calibri" w:cs="Calibri" w:hAnsi="Calibri"/>
        </w:rPr>
        <w:t>, pp. 328–342.</w:t>
      </w:r>
    </w:p>
    <w:p>
      <w:pPr>
        <w:pStyle w:val="style265"/>
        <w:spacing w:lineRule="auto" w:line="360"/>
        <w:rPr>
          <w:rFonts w:ascii="Calibri" w:cs="Calibri" w:hAnsi="Calibri"/>
        </w:rPr>
      </w:pPr>
      <w:r>
        <w:rPr>
          <w:rFonts w:ascii="Calibri" w:cs="Calibri" w:hAnsi="Calibri"/>
        </w:rPr>
        <w:t xml:space="preserve">Frederick, H., O’Connor, A. and Kuratko, D.F. (2018) </w:t>
      </w:r>
      <w:r>
        <w:rPr>
          <w:rFonts w:ascii="Calibri" w:cs="Calibri" w:hAnsi="Calibri"/>
          <w:i/>
          <w:iCs/>
        </w:rPr>
        <w:t>Entrepreneurship</w:t>
      </w:r>
      <w:r>
        <w:rPr>
          <w:rFonts w:ascii="Calibri" w:cs="Calibri" w:hAnsi="Calibri"/>
        </w:rPr>
        <w:t>. Cengage AU.</w:t>
      </w:r>
    </w:p>
    <w:p>
      <w:pPr>
        <w:pStyle w:val="style265"/>
        <w:spacing w:lineRule="auto" w:line="360"/>
        <w:rPr>
          <w:rFonts w:ascii="Calibri" w:cs="Calibri" w:hAnsi="Calibri"/>
        </w:rPr>
      </w:pPr>
      <w:r>
        <w:rPr>
          <w:rFonts w:ascii="Calibri" w:cs="Calibri" w:hAnsi="Calibri"/>
        </w:rPr>
        <w:t xml:space="preserve">Kamath, R. (2018) ‘Food traceability on blockchain: Walmart’s pork and mango pilots with IBM’, </w:t>
      </w:r>
      <w:r>
        <w:rPr>
          <w:rFonts w:ascii="Calibri" w:cs="Calibri" w:hAnsi="Calibri"/>
          <w:i/>
          <w:iCs/>
        </w:rPr>
        <w:t>The Journal of the British Blockchain Association</w:t>
      </w:r>
      <w:r>
        <w:rPr>
          <w:rFonts w:ascii="Calibri" w:cs="Calibri" w:hAnsi="Calibri"/>
        </w:rPr>
        <w:t>, 1(1).</w:t>
      </w:r>
    </w:p>
    <w:p>
      <w:pPr>
        <w:pStyle w:val="style265"/>
        <w:spacing w:lineRule="auto" w:line="360"/>
        <w:rPr>
          <w:rFonts w:ascii="Calibri" w:cs="Calibri" w:hAnsi="Calibri"/>
        </w:rPr>
      </w:pPr>
      <w:r>
        <w:rPr>
          <w:rFonts w:ascii="Calibri" w:cs="Calibri" w:hAnsi="Calibri"/>
        </w:rPr>
        <w:t xml:space="preserve">Kuratko, D.F. (2016) </w:t>
      </w:r>
      <w:r>
        <w:rPr>
          <w:rFonts w:ascii="Calibri" w:cs="Calibri" w:hAnsi="Calibri"/>
          <w:i/>
          <w:iCs/>
        </w:rPr>
        <w:t>Entrepreneurship: Theory, process, and practice</w:t>
      </w:r>
      <w:r>
        <w:rPr>
          <w:rFonts w:ascii="Calibri" w:cs="Calibri" w:hAnsi="Calibri"/>
        </w:rPr>
        <w:t>. Cengage learning.</w:t>
      </w:r>
    </w:p>
    <w:p>
      <w:pPr>
        <w:pStyle w:val="style265"/>
        <w:spacing w:lineRule="auto" w:line="360"/>
        <w:rPr>
          <w:rFonts w:ascii="Calibri" w:cs="Calibri" w:hAnsi="Calibri"/>
        </w:rPr>
      </w:pPr>
      <w:r>
        <w:rPr>
          <w:rFonts w:ascii="Calibri" w:cs="Calibri" w:hAnsi="Calibri"/>
        </w:rPr>
        <w:t xml:space="preserve">Moreno-Izquierdo, L., Ramón-Rodríguez, A.B. and Perles-Ribes, J.F. (2016) ‘Pricing strategies of the European low-cost carriers explained using Porter’s Five Forces Model’, </w:t>
      </w:r>
      <w:r>
        <w:rPr>
          <w:rFonts w:ascii="Calibri" w:cs="Calibri" w:hAnsi="Calibri"/>
          <w:i/>
          <w:iCs/>
        </w:rPr>
        <w:t>Tourism Economics</w:t>
      </w:r>
      <w:r>
        <w:rPr>
          <w:rFonts w:ascii="Calibri" w:cs="Calibri" w:hAnsi="Calibri"/>
        </w:rPr>
        <w:t>, 22(2), pp. 293–310.</w:t>
      </w:r>
    </w:p>
    <w:p>
      <w:pPr>
        <w:pStyle w:val="style265"/>
        <w:spacing w:lineRule="auto" w:line="360"/>
        <w:rPr>
          <w:rFonts w:ascii="Calibri" w:cs="Calibri" w:hAnsi="Calibri"/>
        </w:rPr>
      </w:pPr>
      <w:r>
        <w:rPr>
          <w:rFonts w:ascii="Calibri" w:cs="Calibri" w:hAnsi="Calibri"/>
        </w:rPr>
        <w:t xml:space="preserve">Olanrewaju, A.-S.T. </w:t>
      </w:r>
      <w:r>
        <w:rPr>
          <w:rFonts w:ascii="Calibri" w:cs="Calibri" w:hAnsi="Calibri"/>
          <w:i/>
          <w:iCs/>
        </w:rPr>
        <w:t>et al.</w:t>
      </w:r>
      <w:r>
        <w:rPr>
          <w:rFonts w:ascii="Calibri" w:cs="Calibri" w:hAnsi="Calibri"/>
        </w:rPr>
        <w:t xml:space="preserve"> (2020) ‘Social media and entrepreneurship research: A literature review’, </w:t>
      </w:r>
      <w:r>
        <w:rPr>
          <w:rFonts w:ascii="Calibri" w:cs="Calibri" w:hAnsi="Calibri"/>
          <w:i/>
          <w:iCs/>
        </w:rPr>
        <w:t>International Journal of Information Management</w:t>
      </w:r>
      <w:r>
        <w:rPr>
          <w:rFonts w:ascii="Calibri" w:cs="Calibri" w:hAnsi="Calibri"/>
        </w:rPr>
        <w:t>, 50, pp. 90–110.</w:t>
      </w:r>
    </w:p>
    <w:p>
      <w:pPr>
        <w:pStyle w:val="style265"/>
        <w:spacing w:lineRule="auto" w:line="360"/>
        <w:rPr>
          <w:rFonts w:ascii="Calibri" w:cs="Calibri" w:hAnsi="Calibri"/>
        </w:rPr>
      </w:pPr>
      <w:r>
        <w:rPr>
          <w:rFonts w:ascii="Calibri" w:cs="Calibri" w:hAnsi="Calibri"/>
        </w:rPr>
        <w:t xml:space="preserve">Parker, S.C. (2018) ‘Entrepreneurship and economic theory’, </w:t>
      </w:r>
      <w:r>
        <w:rPr>
          <w:rFonts w:ascii="Calibri" w:cs="Calibri" w:hAnsi="Calibri"/>
          <w:i/>
          <w:iCs/>
        </w:rPr>
        <w:t>Oxford Review of Economic Policy</w:t>
      </w:r>
      <w:r>
        <w:rPr>
          <w:rFonts w:ascii="Calibri" w:cs="Calibri" w:hAnsi="Calibri"/>
        </w:rPr>
        <w:t>, 34(4), pp. 540–564.</w:t>
      </w:r>
    </w:p>
    <w:p>
      <w:pPr>
        <w:pStyle w:val="style265"/>
        <w:spacing w:lineRule="auto" w:line="360"/>
        <w:rPr>
          <w:rFonts w:ascii="Calibri" w:cs="Calibri" w:hAnsi="Calibri"/>
        </w:rPr>
      </w:pPr>
      <w:r>
        <w:rPr>
          <w:rFonts w:ascii="Calibri" w:cs="Calibri" w:hAnsi="Calibri"/>
        </w:rPr>
        <w:t xml:space="preserve">Venkataraman, S. (2019) ‘The distinctive domain of entrepreneurship research’, in </w:t>
      </w:r>
      <w:r>
        <w:rPr>
          <w:rFonts w:ascii="Calibri" w:cs="Calibri" w:hAnsi="Calibri"/>
          <w:i/>
          <w:iCs/>
        </w:rPr>
        <w:t>Seminal ideas for the next twenty-five years of advances</w:t>
      </w:r>
      <w:r>
        <w:rPr>
          <w:rFonts w:ascii="Calibri" w:cs="Calibri" w:hAnsi="Calibri"/>
        </w:rPr>
        <w:t>. Emerald Publishing Limited, pp. 5–20.</w:t>
      </w:r>
    </w:p>
    <w:p>
      <w:pPr>
        <w:pStyle w:val="style0"/>
        <w:spacing w:lineRule="auto" w:line="360"/>
        <w:jc w:val="both"/>
        <w:rPr>
          <w:b/>
          <w:bCs/>
        </w:rPr>
      </w:pPr>
      <w:r>
        <w:rPr>
          <w:b/>
          <w:bCs/>
        </w:rPr>
        <w:fldChar w:fldCharType="end"/>
      </w:r>
    </w:p>
    <w:sectPr>
      <w:footerReference w:type="default" r:id="rI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7</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doNotDisplayPageBoundarie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4"/>
        <w:szCs w:val="24"/>
        <w:lang w:val="en-GB" w:bidi="ar-SA" w:eastAsia="en-US"/>
      </w:rPr>
    </w:rPrDefault>
    <w:pPrDefault>
      <w:pPr/>
    </w:pPrDefault>
  </w:docDefaults>
  <w:style w:type="paragraph" w:default="1" w:styleId="style0">
    <w:name w:val="Normal"/>
    <w:next w:val="style0"/>
    <w:qFormat/>
    <w:pPr/>
  </w:style>
  <w:style w:type="paragraph" w:styleId="style1">
    <w:name w:val="heading 1"/>
    <w:basedOn w:val="style0"/>
    <w:next w:val="style0"/>
    <w:link w:val="style4101"/>
    <w:qFormat/>
    <w:uiPriority w:val="9"/>
    <w:pPr>
      <w:keepNext/>
      <w:keepLines/>
      <w:spacing w:before="240"/>
      <w:outlineLvl w:val="0"/>
    </w:pPr>
    <w:rPr>
      <w:rFonts w:ascii="Calibri Light" w:cs="宋体" w:eastAsia="宋体" w:hAnsi="Calibri Light"/>
      <w:color w:val="2f5496"/>
      <w:sz w:val="32"/>
      <w:szCs w:val="3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097">
    <w:name w:val="Plain Table 1"/>
    <w:basedOn w:val="style105"/>
    <w:next w:val="style4097"/>
    <w:uiPriority w:val="41"/>
    <w:pP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table" w:customStyle="1" w:styleId="style4098">
    <w:name w:val="Grid Table 6 Colorful"/>
    <w:basedOn w:val="style105"/>
    <w:next w:val="style4098"/>
    <w:uiPriority w:val="51"/>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pPr/>
      <w:rPr>
        <w:b/>
        <w:bCs/>
      </w:rPr>
      <w:tblPr/>
      <w:tcPr>
        <w:tcBorders>
          <w:bottom w:val="single" w:sz="12" w:space="0" w:color="666666"/>
        </w:tcBorders>
      </w:tcPr>
    </w:tblStylePr>
    <w:tblStylePr w:type="lastRow">
      <w:pPr/>
      <w:rPr>
        <w:b/>
        <w:bCs/>
      </w:rPr>
      <w:tblPr/>
      <w:tcPr>
        <w:tcBorders>
          <w:top w:val="double" w:sz="4" w:space="0" w:color="666666"/>
        </w:tcBorders>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shd w:val="clear" w:color="auto" w:fill="cccccc"/>
      </w:tcPr>
    </w:tblStylePr>
    <w:tcPr>
      <w:tcBorders/>
    </w:tcPr>
  </w:style>
  <w:style w:type="paragraph" w:styleId="style31">
    <w:name w:val="header"/>
    <w:basedOn w:val="style0"/>
    <w:next w:val="style31"/>
    <w:link w:val="style4099"/>
    <w:uiPriority w:val="99"/>
    <w:pPr>
      <w:tabs>
        <w:tab w:val="center" w:leader="none" w:pos="4513"/>
        <w:tab w:val="right" w:leader="none" w:pos="9026"/>
      </w:tabs>
    </w:pPr>
    <w:rPr/>
  </w:style>
  <w:style w:type="character" w:customStyle="1" w:styleId="style4099">
    <w:name w:val="Header Char_3ed20139-ccdc-42ed-8720-85452f90e195"/>
    <w:basedOn w:val="style65"/>
    <w:next w:val="style4099"/>
    <w:link w:val="style31"/>
    <w:uiPriority w:val="99"/>
  </w:style>
  <w:style w:type="paragraph" w:styleId="style32">
    <w:name w:val="footer"/>
    <w:basedOn w:val="style0"/>
    <w:next w:val="style32"/>
    <w:link w:val="style4100"/>
    <w:uiPriority w:val="99"/>
    <w:pPr>
      <w:tabs>
        <w:tab w:val="center" w:leader="none" w:pos="4513"/>
        <w:tab w:val="right" w:leader="none" w:pos="9026"/>
      </w:tabs>
    </w:pPr>
    <w:rPr/>
  </w:style>
  <w:style w:type="character" w:customStyle="1" w:styleId="style4100">
    <w:name w:val="Footer Char_4478ada8-307b-421b-83a3-cafc120fa5bf"/>
    <w:basedOn w:val="style65"/>
    <w:next w:val="style4100"/>
    <w:link w:val="style32"/>
    <w:uiPriority w:val="99"/>
  </w:style>
  <w:style w:type="paragraph" w:styleId="style34">
    <w:name w:val="caption"/>
    <w:basedOn w:val="style0"/>
    <w:next w:val="style0"/>
    <w:qFormat/>
    <w:uiPriority w:val="35"/>
    <w:pPr>
      <w:spacing w:after="200"/>
    </w:pPr>
    <w:rPr>
      <w:i/>
      <w:iCs/>
      <w:color w:val="44546a"/>
      <w:sz w:val="18"/>
      <w:szCs w:val="18"/>
    </w:rPr>
  </w:style>
  <w:style w:type="character" w:customStyle="1" w:styleId="style4101">
    <w:name w:val="Heading 1 Char_870628c9-94e5-4421-a87f-215826540cbb"/>
    <w:basedOn w:val="style65"/>
    <w:next w:val="style4101"/>
    <w:link w:val="style1"/>
    <w:uiPriority w:val="9"/>
    <w:rPr>
      <w:rFonts w:ascii="Calibri Light" w:cs="宋体" w:eastAsia="宋体" w:hAnsi="Calibri Light"/>
      <w:color w:val="2f5496"/>
      <w:sz w:val="32"/>
      <w:szCs w:val="32"/>
    </w:rPr>
  </w:style>
  <w:style w:type="paragraph" w:styleId="style266">
    <w:name w:val="TOC Heading"/>
    <w:basedOn w:val="style1"/>
    <w:next w:val="style0"/>
    <w:qFormat/>
    <w:uiPriority w:val="39"/>
    <w:pPr>
      <w:spacing w:lineRule="auto" w:line="259"/>
      <w:outlineLvl w:val="9"/>
    </w:pPr>
    <w:rPr>
      <w:lang w:val="en-US"/>
    </w:rPr>
  </w:style>
  <w:style w:type="paragraph" w:styleId="style265">
    <w:name w:val="Bibliography"/>
    <w:basedOn w:val="style0"/>
    <w:next w:val="style0"/>
    <w:uiPriority w:val="37"/>
    <w:pPr>
      <w:spacing w:after="2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E459A9-D50A-4E10-8A70-61B1D007A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Words>2093</Words>
  <Pages>9</Pages>
  <Characters>11517</Characters>
  <Application>WPS Office</Application>
  <DocSecurity>0</DocSecurity>
  <Paragraphs>187</Paragraphs>
  <ScaleCrop>false</ScaleCrop>
  <LinksUpToDate>false</LinksUpToDate>
  <CharactersWithSpaces>13531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2023-04-27T14:53:00Z</dcterms:created>
  <dc:creator>Winifred Soribe</dc:creator>
  <lastModifiedBy>2201116TG</lastModifiedBy>
  <dcterms:modified xsi:type="dcterms:W3CDTF">2023-04-27T21:50:08Z</dcterms:modified>
  <revision>55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zotero-version="6.0.25"&gt;&lt;session id="KZA585iQ"/&gt;&lt;style id="http://www.zotero.org/styles/harvard-cite-them-right" hasBibliography="1" bibliographyStyleHasBeenSet="1"/&gt;&lt;prefs&gt;&lt;pref name="fieldType" value="Field"/&gt;&lt;/prefs&gt;&lt;/data&gt;</vt:lpwstr>
  </property>
  <property fmtid="{D5CDD505-2E9C-101B-9397-08002B2CF9AE}" pid="3" name="ICV">
    <vt:lpwstr>ea9f485da80e463d9186b1c4d3c93c9e</vt:lpwstr>
  </property>
</Properties>
</file>