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F71BD" w14:textId="249F5720" w:rsidR="00D15F3A" w:rsidRDefault="00D15F3A" w:rsidP="00D15F3A">
      <w:pPr>
        <w:rPr>
          <w:rFonts w:ascii="Baskerville" w:hAnsi="Baskerville"/>
          <w:u w:val="single"/>
        </w:rPr>
      </w:pPr>
      <w:r w:rsidRPr="00D15F3A">
        <w:rPr>
          <w:rFonts w:ascii="Baskerville" w:hAnsi="Baskerville"/>
          <w:u w:val="single"/>
        </w:rPr>
        <w:t xml:space="preserve">A written assignment critically evaluates how assessment for learning can be utilised in a series of learning opportunities to aid progression across chosen areas of learning and experience. </w:t>
      </w:r>
    </w:p>
    <w:p w14:paraId="0FDE3767" w14:textId="038D1D98" w:rsidR="00801EF5" w:rsidRPr="00D15F3A" w:rsidRDefault="00801EF5" w:rsidP="00D15F3A">
      <w:pPr>
        <w:rPr>
          <w:rFonts w:ascii="Baskerville" w:hAnsi="Baskerville"/>
          <w:u w:val="single"/>
        </w:rPr>
      </w:pPr>
      <w:r>
        <w:rPr>
          <w:rFonts w:ascii="Baskerville" w:hAnsi="Baskerville"/>
          <w:u w:val="single"/>
        </w:rPr>
        <w:t>Assessment – ECAD5008</w:t>
      </w:r>
    </w:p>
    <w:p w14:paraId="6F65B32D" w14:textId="77777777" w:rsidR="000B2EAF" w:rsidRPr="000B2EAF" w:rsidRDefault="000B2EAF" w:rsidP="000B2EAF">
      <w:pPr>
        <w:rPr>
          <w:rFonts w:ascii="Baskerville" w:hAnsi="Baskerville"/>
          <w:u w:val="single"/>
        </w:rPr>
      </w:pPr>
      <w:r w:rsidRPr="000B2EAF">
        <w:rPr>
          <w:rFonts w:ascii="Baskerville" w:hAnsi="Baskerville"/>
          <w:u w:val="single"/>
        </w:rPr>
        <w:t>Introduction</w:t>
      </w:r>
    </w:p>
    <w:p w14:paraId="2B97BE49"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purpose of this assignment is to critically evaluate how assessment for learning can be utilised in a series of learning opportunities to aid progression across chosen areas of learning and experience. Assessment for learning (AFL) is used in education to encourage pupils to progress in their learning. Throughout this assignment, I will examine Assessment for Learning to find the positive and negative outcomes of </w:t>
      </w:r>
      <w:proofErr w:type="spellStart"/>
      <w:r w:rsidRPr="00870153">
        <w:rPr>
          <w:rFonts w:ascii="Baskerville" w:hAnsi="Baskerville" w:cstheme="majorHAnsi"/>
        </w:rPr>
        <w:t>AfL</w:t>
      </w:r>
      <w:proofErr w:type="spellEnd"/>
      <w:r w:rsidRPr="00870153">
        <w:rPr>
          <w:rFonts w:ascii="Baskerville" w:hAnsi="Baskerville" w:cstheme="majorHAnsi"/>
        </w:rPr>
        <w:t xml:space="preserve">. There are two types of assessment which are formative and summative. In this assignment, I will be focusing on formative which includes questioning, feedback, peer assessment and self-assessment. </w:t>
      </w:r>
    </w:p>
    <w:p w14:paraId="776BB096"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Assessment for learning was created by British academics Paul Black and Dylan </w:t>
      </w:r>
      <w:proofErr w:type="spellStart"/>
      <w:r w:rsidRPr="00870153">
        <w:rPr>
          <w:rFonts w:ascii="Baskerville" w:hAnsi="Baskerville" w:cstheme="majorHAnsi"/>
        </w:rPr>
        <w:t>Wiliam</w:t>
      </w:r>
      <w:proofErr w:type="spellEnd"/>
      <w:r w:rsidRPr="00870153">
        <w:rPr>
          <w:rFonts w:ascii="Baskerville" w:hAnsi="Baskerville" w:cstheme="majorHAnsi"/>
        </w:rPr>
        <w:t xml:space="preserve"> to help teachers track students' progress across all subject areas and gauge their level of engagement with their learning. (Education, 2020) Progression in education aims to outline the learning route to develop pupils' knowledge and skills.  (</w:t>
      </w:r>
      <w:proofErr w:type="spellStart"/>
      <w:r w:rsidRPr="00870153">
        <w:rPr>
          <w:rFonts w:ascii="Baskerville" w:hAnsi="Baskerville" w:cstheme="majorHAnsi"/>
        </w:rPr>
        <w:t>teachmint@wp</w:t>
      </w:r>
      <w:proofErr w:type="spellEnd"/>
      <w:r w:rsidRPr="00870153">
        <w:rPr>
          <w:rFonts w:ascii="Baskerville" w:hAnsi="Baskerville" w:cstheme="majorHAnsi"/>
        </w:rPr>
        <w:t>, 2021)</w:t>
      </w:r>
    </w:p>
    <w:p w14:paraId="796261ED"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The learning descriptors and progression principles are used in the Welsh curriculum, which help to motivate pupils in their learning. (Welsh Government, 2020) Pupil progression should be based on a continuum of learning, rather than from one lesson, but each lesson should be reflected using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strategies to guide and support learners. </w:t>
      </w:r>
    </w:p>
    <w:p w14:paraId="4E53AF9E"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I will create three lesson plans using the </w:t>
      </w:r>
      <w:proofErr w:type="spellStart"/>
      <w:r w:rsidRPr="00870153">
        <w:rPr>
          <w:rFonts w:ascii="Baskerville" w:hAnsi="Baskerville" w:cstheme="majorHAnsi"/>
        </w:rPr>
        <w:t>Athrofa</w:t>
      </w:r>
      <w:proofErr w:type="spellEnd"/>
      <w:r w:rsidRPr="00870153">
        <w:rPr>
          <w:rFonts w:ascii="Baskerville" w:hAnsi="Baskerville" w:cstheme="majorHAnsi"/>
        </w:rPr>
        <w:t xml:space="preserve"> instructions, using three areas of learning and encouraging </w:t>
      </w:r>
      <w:proofErr w:type="spellStart"/>
      <w:r w:rsidRPr="00870153">
        <w:rPr>
          <w:rFonts w:ascii="Baskerville" w:hAnsi="Baskerville" w:cstheme="majorHAnsi"/>
        </w:rPr>
        <w:t>AfL</w:t>
      </w:r>
      <w:proofErr w:type="spellEnd"/>
      <w:r w:rsidRPr="00870153">
        <w:rPr>
          <w:rFonts w:ascii="Baskerville" w:hAnsi="Baskerville" w:cstheme="majorHAnsi"/>
        </w:rPr>
        <w:t xml:space="preserve">. The three chosen areas of learning I chose for a year 6 class are Languages, Literacy and Communication; Science and Technology; Mathematics and Numeracy. I choose these areas of learning as tasks can be differentiated for all pupils in the class. In the year 6 class, there are three abilities, Lower ability, middle ability and higher ability. </w:t>
      </w:r>
    </w:p>
    <w:p w14:paraId="7B85173D" w14:textId="509AB5BF" w:rsidR="000B2EAF" w:rsidRPr="00870153" w:rsidRDefault="000B2EAF" w:rsidP="000B2EAF">
      <w:pPr>
        <w:rPr>
          <w:rFonts w:ascii="Baskerville" w:hAnsi="Baskerville" w:cstheme="majorHAnsi"/>
        </w:rPr>
      </w:pPr>
      <w:r w:rsidRPr="00870153">
        <w:rPr>
          <w:rFonts w:ascii="Baskerville" w:hAnsi="Baskerville" w:cstheme="majorHAnsi"/>
        </w:rPr>
        <w:t xml:space="preserve">               I chose Languages, literacy and communication as an area of learning for the topic of space, as it directs learning throughout the whole curriculum. Language, literacy and communication encourage pupils to gain knowledge and skills in their literature. Another area of learning I used for the topic of space was science and technology. 'Ambitious, capable learners, ready to learn throughout their lives should engage with scientific and technological change.' The third area of learning I used for this topic was mathematics and numeracy. I chose this area of learning for pupils to become 'ethical informed citizens of Wales'. (Welsh Government 2020) </w:t>
      </w:r>
    </w:p>
    <w:p w14:paraId="3BD96D01"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Previous learning is essential in education to encourage pupils to develop their understanding, skills and ability, to progress in their learning. (Mrs </w:t>
      </w:r>
      <w:proofErr w:type="spellStart"/>
      <w:r w:rsidRPr="00870153">
        <w:rPr>
          <w:rFonts w:ascii="Baskerville" w:hAnsi="Baskerville" w:cstheme="majorHAnsi"/>
        </w:rPr>
        <w:t>Strickey</w:t>
      </w:r>
      <w:proofErr w:type="spellEnd"/>
      <w:r w:rsidRPr="00870153">
        <w:rPr>
          <w:rFonts w:ascii="Baskerville" w:hAnsi="Baskerville" w:cstheme="majorHAnsi"/>
        </w:rPr>
        <w:t xml:space="preserve"> 2021).  Prior knowledge is embedded into pupils’ education to deepen their understanding of the topic. (Tay, C. (n.d.). Prior knowledge is a pedagogical test that is essential for teachers to engage with previous learning before the presentation of new knowledge. Pupils may be engaging with their prior knowledge however it may be difficult for some pupils to make connections. For this reason, teachers need to look back on previous learning before learning new knowledge.  (Tay, n.d.)</w:t>
      </w:r>
    </w:p>
    <w:p w14:paraId="1F37A44B"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It is required that pupil progression is tracked regularly to ensure pupils learning is developing over time. Its main aim is to assess student progress, so teachers can use pupils' knowledge and understanding in teaching and learning. The curriculum for Wales assesses progression by progression code. The code regulates the progression steps that all pupils are </w:t>
      </w:r>
      <w:r w:rsidRPr="00870153">
        <w:rPr>
          <w:rFonts w:ascii="Baskerville" w:hAnsi="Baskerville" w:cstheme="majorHAnsi"/>
        </w:rPr>
        <w:lastRenderedPageBreak/>
        <w:t>anticipated to achieve by the ages of five, eight, eleven, fourteen and sixteen. (</w:t>
      </w:r>
      <w:proofErr w:type="spellStart"/>
      <w:proofErr w:type="gramStart"/>
      <w:r w:rsidRPr="00870153">
        <w:rPr>
          <w:rFonts w:ascii="Baskerville" w:hAnsi="Baskerville" w:cstheme="majorHAnsi"/>
        </w:rPr>
        <w:t>hwb.gov.wales</w:t>
      </w:r>
      <w:proofErr w:type="spellEnd"/>
      <w:proofErr w:type="gramEnd"/>
      <w:r w:rsidRPr="00870153">
        <w:rPr>
          <w:rFonts w:ascii="Baskerville" w:hAnsi="Baskerville" w:cstheme="majorHAnsi"/>
        </w:rPr>
        <w:t xml:space="preserve">. n.d.) The new curriculum designed progression steps to help each pupil progress in their learning at the ability they are at. Progression steps were created to help learners develop in the learning journey. Researchers agree that there is not a single 'immaculate progression'. All pupils develop their learning in ways to develop better understanding and knowledge. (Anon, n.d.) Assessment for learning is vital in education as it plays an important role in enabling each pupil to progress in their learning at their own pace. </w:t>
      </w:r>
    </w:p>
    <w:p w14:paraId="77187284" w14:textId="77777777" w:rsidR="000B2EAF" w:rsidRPr="00870153" w:rsidRDefault="000B2EAF" w:rsidP="000B2EAF">
      <w:pPr>
        <w:rPr>
          <w:rFonts w:ascii="Baskerville" w:hAnsi="Baskerville" w:cstheme="majorHAnsi"/>
        </w:rPr>
      </w:pPr>
    </w:p>
    <w:p w14:paraId="7FEE379F"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Literature Review. </w:t>
      </w:r>
    </w:p>
    <w:p w14:paraId="70D8D0C2"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evidence from The Welsh Curriculum (2022) shows the concepts of assessment for learning and its main aim of assessment approaches in Welsh Education. Assessment for learning is one of the Welsh pedagogical principles. (gov. wales, n.d.) In order to align with the language used in the Welsh curriculum from 1998 to 2008 and 2022, assessment for learning and progression was employed. (Supporting progression in language learning: assessment in the Curriculum for Wales, n.d.) </w:t>
      </w:r>
    </w:p>
    <w:p w14:paraId="48CDA860"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Assessment for learning is a phrase that is used to express an extensive variety of different practices used in the classroom. Paul Black and Dylan </w:t>
      </w:r>
      <w:proofErr w:type="spellStart"/>
      <w:r w:rsidRPr="00870153">
        <w:rPr>
          <w:rFonts w:ascii="Baskerville" w:hAnsi="Baskerville" w:cstheme="majorHAnsi"/>
        </w:rPr>
        <w:t>Wiliam</w:t>
      </w:r>
      <w:proofErr w:type="spellEnd"/>
      <w:r w:rsidRPr="00870153">
        <w:rPr>
          <w:rFonts w:ascii="Baskerville" w:hAnsi="Baskerville" w:cstheme="majorHAnsi"/>
        </w:rPr>
        <w:t xml:space="preserve"> were the first professors to establish "inside the black box." (</w:t>
      </w:r>
      <w:proofErr w:type="spellStart"/>
      <w:r w:rsidRPr="00870153">
        <w:rPr>
          <w:rFonts w:ascii="Baskerville" w:hAnsi="Baskerville" w:cstheme="majorHAnsi"/>
        </w:rPr>
        <w:t>TeachingEnglish</w:t>
      </w:r>
      <w:proofErr w:type="spellEnd"/>
      <w:r w:rsidRPr="00870153">
        <w:rPr>
          <w:rFonts w:ascii="Baskerville" w:hAnsi="Baskerville" w:cstheme="majorHAnsi"/>
        </w:rPr>
        <w:t xml:space="preserve">, n.d.). The black box was designed to raise better levels of achievement through classroom assessment. Black and </w:t>
      </w:r>
      <w:proofErr w:type="spellStart"/>
      <w:r w:rsidRPr="00870153">
        <w:rPr>
          <w:rFonts w:ascii="Baskerville" w:hAnsi="Baskerville" w:cstheme="majorHAnsi"/>
        </w:rPr>
        <w:t>Wiliam</w:t>
      </w:r>
      <w:proofErr w:type="spellEnd"/>
      <w:r w:rsidRPr="00870153">
        <w:rPr>
          <w:rFonts w:ascii="Baskerville" w:hAnsi="Baskerville" w:cstheme="majorHAnsi"/>
        </w:rPr>
        <w:t xml:space="preserve"> used the 'Black Box' to explain what happened in classrooms. Evidence showed that formative assessment and self-assessment had better academic achievement. (Black, P., and </w:t>
      </w:r>
      <w:proofErr w:type="spellStart"/>
      <w:r w:rsidRPr="00870153">
        <w:rPr>
          <w:rFonts w:ascii="Baskerville" w:hAnsi="Baskerville" w:cstheme="majorHAnsi"/>
        </w:rPr>
        <w:t>Wiliam</w:t>
      </w:r>
      <w:proofErr w:type="spellEnd"/>
      <w:r w:rsidRPr="00870153">
        <w:rPr>
          <w:rFonts w:ascii="Baskerville" w:hAnsi="Baskerville" w:cstheme="majorHAnsi"/>
        </w:rPr>
        <w:t>, D. 1998).</w:t>
      </w:r>
    </w:p>
    <w:p w14:paraId="14C13522" w14:textId="30ADC992" w:rsidR="000B2EAF" w:rsidRPr="00870153" w:rsidRDefault="000B2EAF" w:rsidP="000B2EAF">
      <w:pPr>
        <w:rPr>
          <w:rFonts w:ascii="Baskerville" w:hAnsi="Baskerville" w:cstheme="majorHAnsi"/>
        </w:rPr>
      </w:pPr>
      <w:r w:rsidRPr="00870153">
        <w:rPr>
          <w:rFonts w:ascii="Baskerville" w:hAnsi="Baskerville" w:cstheme="majorHAnsi"/>
        </w:rPr>
        <w:t xml:space="preserve">                 The literature suggests that assessment for learning has had an important role for pupils to fulfil their potential. Black and </w:t>
      </w:r>
      <w:proofErr w:type="spellStart"/>
      <w:r w:rsidRPr="00870153">
        <w:rPr>
          <w:rFonts w:ascii="Baskerville" w:hAnsi="Baskerville" w:cstheme="majorHAnsi"/>
        </w:rPr>
        <w:t>Wiliam</w:t>
      </w:r>
      <w:proofErr w:type="spellEnd"/>
      <w:r w:rsidRPr="00870153">
        <w:rPr>
          <w:rFonts w:ascii="Baskerville" w:hAnsi="Baskerville" w:cstheme="majorHAnsi"/>
        </w:rPr>
        <w:t xml:space="preserve"> decided that "formative assessment does improve learning". (Black and </w:t>
      </w:r>
      <w:proofErr w:type="spellStart"/>
      <w:r w:rsidRPr="00870153">
        <w:rPr>
          <w:rFonts w:ascii="Baskerville" w:hAnsi="Baskerville" w:cstheme="majorHAnsi"/>
        </w:rPr>
        <w:t>Wiliam</w:t>
      </w:r>
      <w:proofErr w:type="spellEnd"/>
      <w:r w:rsidRPr="00870153">
        <w:rPr>
          <w:rFonts w:ascii="Baskerville" w:hAnsi="Baskerville" w:cstheme="majorHAnsi"/>
        </w:rPr>
        <w:t xml:space="preserve"> 1998, p.61).   David </w:t>
      </w:r>
      <w:proofErr w:type="spellStart"/>
      <w:r w:rsidRPr="00870153">
        <w:rPr>
          <w:rFonts w:ascii="Baskerville" w:hAnsi="Baskerville" w:cstheme="majorHAnsi"/>
        </w:rPr>
        <w:t>Didau</w:t>
      </w:r>
      <w:proofErr w:type="spellEnd"/>
      <w:r w:rsidRPr="00870153">
        <w:rPr>
          <w:rFonts w:ascii="Baskerville" w:hAnsi="Baskerville" w:cstheme="majorHAnsi"/>
        </w:rPr>
        <w:t xml:space="preserve">, who is a former English teacher, wrote a blog on "Why </w:t>
      </w:r>
      <w:proofErr w:type="spellStart"/>
      <w:r w:rsidRPr="00870153">
        <w:rPr>
          <w:rFonts w:ascii="Baskerville" w:hAnsi="Baskerville" w:cstheme="majorHAnsi"/>
        </w:rPr>
        <w:t>AfL</w:t>
      </w:r>
      <w:proofErr w:type="spellEnd"/>
      <w:r w:rsidRPr="00870153">
        <w:rPr>
          <w:rFonts w:ascii="Baskerville" w:hAnsi="Baskerville" w:cstheme="majorHAnsi"/>
        </w:rPr>
        <w:t xml:space="preserve"> might be wrong, and what to do about it."  In the blog, he argues that formative assessment is "fundamentally, and fatally, flawed." </w:t>
      </w:r>
      <w:r w:rsidR="00B94D89">
        <w:rPr>
          <w:rFonts w:ascii="Baskerville" w:hAnsi="Baskerville" w:cstheme="majorHAnsi"/>
        </w:rPr>
        <w:t>(</w:t>
      </w:r>
      <w:proofErr w:type="spellStart"/>
      <w:r w:rsidR="00B94D89" w:rsidRPr="00AC1121">
        <w:rPr>
          <w:rFonts w:ascii="Baskerville" w:hAnsi="Baskerville" w:cs="Calibri"/>
          <w:color w:val="000000"/>
        </w:rPr>
        <w:t>Didau</w:t>
      </w:r>
      <w:proofErr w:type="spellEnd"/>
      <w:r w:rsidR="00B94D89" w:rsidRPr="00AC1121">
        <w:rPr>
          <w:rFonts w:ascii="Baskerville" w:hAnsi="Baskerville" w:cs="Calibri"/>
          <w:color w:val="000000"/>
        </w:rPr>
        <w:t>, D. (2014).</w:t>
      </w:r>
      <w:r w:rsidR="00B94D89" w:rsidRPr="00AC1121">
        <w:rPr>
          <w:rStyle w:val="apple-converted-space"/>
          <w:rFonts w:ascii="Baskerville" w:hAnsi="Baskerville" w:cs="Calibri"/>
          <w:color w:val="000000"/>
        </w:rPr>
        <w:t> </w:t>
      </w:r>
      <w:r w:rsidRPr="00870153">
        <w:rPr>
          <w:rFonts w:ascii="Baskerville" w:hAnsi="Baskerville" w:cstheme="majorHAnsi"/>
        </w:rPr>
        <w:t xml:space="preserve">In </w:t>
      </w:r>
      <w:proofErr w:type="spellStart"/>
      <w:r w:rsidRPr="00870153">
        <w:rPr>
          <w:rFonts w:ascii="Baskerville" w:hAnsi="Baskerville" w:cstheme="majorHAnsi"/>
        </w:rPr>
        <w:t>Didau</w:t>
      </w:r>
      <w:proofErr w:type="spellEnd"/>
      <w:r w:rsidRPr="00870153">
        <w:rPr>
          <w:rFonts w:ascii="Baskerville" w:hAnsi="Baskerville" w:cstheme="majorHAnsi"/>
        </w:rPr>
        <w:t xml:space="preserve"> and Rose's report, </w:t>
      </w:r>
      <w:r w:rsidR="00300CF7">
        <w:rPr>
          <w:rFonts w:ascii="Baskerville" w:hAnsi="Baskerville" w:cstheme="majorHAnsi"/>
        </w:rPr>
        <w:t xml:space="preserve">they contended that in order to advance </w:t>
      </w:r>
      <w:proofErr w:type="spellStart"/>
      <w:r w:rsidR="00300CF7">
        <w:rPr>
          <w:rFonts w:ascii="Baskerville" w:hAnsi="Baskerville" w:cstheme="majorHAnsi"/>
        </w:rPr>
        <w:t>studnets</w:t>
      </w:r>
      <w:proofErr w:type="spellEnd"/>
      <w:r w:rsidR="00300CF7">
        <w:rPr>
          <w:rFonts w:ascii="Baskerville" w:hAnsi="Baskerville" w:cstheme="majorHAnsi"/>
        </w:rPr>
        <w:t xml:space="preserve">, pedagogical resources should be employed rather than testing students during the learning process. </w:t>
      </w:r>
      <w:r w:rsidRPr="00870153">
        <w:rPr>
          <w:rFonts w:ascii="Baskerville" w:hAnsi="Baskerville" w:cstheme="majorHAnsi"/>
        </w:rPr>
        <w:t>(</w:t>
      </w:r>
      <w:proofErr w:type="spellStart"/>
      <w:r w:rsidRPr="00870153">
        <w:rPr>
          <w:rFonts w:ascii="Baskerville" w:hAnsi="Baskerville" w:cstheme="majorHAnsi"/>
        </w:rPr>
        <w:t>Didau</w:t>
      </w:r>
      <w:proofErr w:type="spellEnd"/>
      <w:r w:rsidRPr="00870153">
        <w:rPr>
          <w:rFonts w:ascii="Baskerville" w:hAnsi="Baskerville" w:cstheme="majorHAnsi"/>
        </w:rPr>
        <w:t xml:space="preserve"> and Rose,</w:t>
      </w:r>
      <w:r w:rsidR="00B94D89">
        <w:rPr>
          <w:rFonts w:ascii="Baskerville" w:hAnsi="Baskerville" w:cstheme="majorHAnsi"/>
        </w:rPr>
        <w:t>)</w:t>
      </w:r>
      <w:r w:rsidRPr="00870153">
        <w:rPr>
          <w:rFonts w:ascii="Baskerville" w:hAnsi="Baskerville" w:cstheme="majorHAnsi"/>
        </w:rPr>
        <w:t xml:space="preserve"> </w:t>
      </w:r>
    </w:p>
    <w:p w14:paraId="53200D0D"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The importance of students' learning is significantly impacted by assessment for learning. It is essential for pupils to learn to make sure they have good knowledge to understand the task and to show good engagement, this will lead to progression and pupils will be more active in their learning. (</w:t>
      </w:r>
      <w:proofErr w:type="spellStart"/>
      <w:r w:rsidRPr="00870153">
        <w:rPr>
          <w:rFonts w:ascii="Baskerville" w:hAnsi="Baskerville" w:cstheme="majorHAnsi"/>
        </w:rPr>
        <w:t>Boud</w:t>
      </w:r>
      <w:proofErr w:type="spellEnd"/>
      <w:r w:rsidRPr="00870153">
        <w:rPr>
          <w:rFonts w:ascii="Baskerville" w:hAnsi="Baskerville" w:cstheme="majorHAnsi"/>
        </w:rPr>
        <w:t xml:space="preserve"> &amp; </w:t>
      </w:r>
      <w:proofErr w:type="spellStart"/>
      <w:r w:rsidRPr="00870153">
        <w:rPr>
          <w:rFonts w:ascii="Baskerville" w:hAnsi="Baskerville" w:cstheme="majorHAnsi"/>
        </w:rPr>
        <w:t>Falchikov</w:t>
      </w:r>
      <w:proofErr w:type="spellEnd"/>
      <w:r w:rsidRPr="00870153">
        <w:rPr>
          <w:rFonts w:ascii="Baskerville" w:hAnsi="Baskerville" w:cstheme="majorHAnsi"/>
        </w:rPr>
        <w:t>, 2006)</w:t>
      </w:r>
    </w:p>
    <w:p w14:paraId="0FA1924E"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The significant role of pupil progression is for teachers to monitor and track the progress of pupils learning and development over some time. (Learning Ladders Education, 2020). According to Popham formative assessment is a process, not a test. (Popham 2008,6). However, others argue formative assessment is used to </w:t>
      </w:r>
      <w:proofErr w:type="gramStart"/>
      <w:r w:rsidRPr="00870153">
        <w:rPr>
          <w:rFonts w:ascii="Baskerville" w:hAnsi="Baskerville" w:cstheme="majorHAnsi"/>
        </w:rPr>
        <w:t>make adjustments to</w:t>
      </w:r>
      <w:proofErr w:type="gramEnd"/>
      <w:r w:rsidRPr="00870153">
        <w:rPr>
          <w:rFonts w:ascii="Baskerville" w:hAnsi="Baskerville" w:cstheme="majorHAnsi"/>
        </w:rPr>
        <w:t xml:space="preserve"> teaching and learning to meet pupils' needs. (Black and </w:t>
      </w:r>
      <w:proofErr w:type="spellStart"/>
      <w:r w:rsidRPr="00870153">
        <w:rPr>
          <w:rFonts w:ascii="Baskerville" w:hAnsi="Baskerville" w:cstheme="majorHAnsi"/>
        </w:rPr>
        <w:t>Wiliam</w:t>
      </w:r>
      <w:proofErr w:type="spellEnd"/>
      <w:r w:rsidRPr="00870153">
        <w:rPr>
          <w:rFonts w:ascii="Baskerville" w:hAnsi="Baskerville" w:cstheme="majorHAnsi"/>
        </w:rPr>
        <w:t xml:space="preserve"> 1998a). Hattie and </w:t>
      </w:r>
      <w:proofErr w:type="spellStart"/>
      <w:r w:rsidRPr="00870153">
        <w:rPr>
          <w:rFonts w:ascii="Baskerville" w:hAnsi="Baskerville" w:cstheme="majorHAnsi"/>
        </w:rPr>
        <w:t>Temperly</w:t>
      </w:r>
      <w:proofErr w:type="spellEnd"/>
      <w:r w:rsidRPr="00870153">
        <w:rPr>
          <w:rFonts w:ascii="Baskerville" w:hAnsi="Baskerville" w:cstheme="majorHAnsi"/>
        </w:rPr>
        <w:t xml:space="preserve"> state that "formative assessment with appropriate feedback is the most powerful moderator in the enhancement of achievement." (Hattie &amp; </w:t>
      </w:r>
      <w:proofErr w:type="spellStart"/>
      <w:r w:rsidRPr="00870153">
        <w:rPr>
          <w:rFonts w:ascii="Baskerville" w:hAnsi="Baskerville" w:cstheme="majorHAnsi"/>
        </w:rPr>
        <w:t>Temperly</w:t>
      </w:r>
      <w:proofErr w:type="spellEnd"/>
      <w:r w:rsidRPr="00870153">
        <w:rPr>
          <w:rFonts w:ascii="Baskerville" w:hAnsi="Baskerville" w:cstheme="majorHAnsi"/>
        </w:rPr>
        <w:t>, 2007). John Hattie's evidence shows that Assessment in learning has the biggest outcome on low-achieving students, as results showed that students had a positive effect on their learning with a result size of 0.79. (Cambridge Assessment International Education, 2011)</w:t>
      </w:r>
    </w:p>
    <w:p w14:paraId="44766100" w14:textId="77777777" w:rsidR="000B2EAF" w:rsidRPr="00870153" w:rsidRDefault="000B2EAF" w:rsidP="000B2EAF">
      <w:pPr>
        <w:rPr>
          <w:rFonts w:ascii="Baskerville" w:hAnsi="Baskerville" w:cstheme="majorHAnsi"/>
        </w:rPr>
      </w:pPr>
    </w:p>
    <w:p w14:paraId="0C740C5A"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w:t>
      </w:r>
    </w:p>
    <w:p w14:paraId="5B0A99E2" w14:textId="77777777" w:rsidR="000B2EAF" w:rsidRPr="00870153" w:rsidRDefault="000B2EAF" w:rsidP="000B2EAF">
      <w:pPr>
        <w:rPr>
          <w:rFonts w:ascii="Baskerville" w:hAnsi="Baskerville" w:cstheme="majorHAnsi"/>
        </w:rPr>
      </w:pPr>
      <w:r w:rsidRPr="00870153">
        <w:rPr>
          <w:rFonts w:ascii="Baskerville" w:hAnsi="Baskerville" w:cstheme="majorHAnsi"/>
        </w:rPr>
        <w:lastRenderedPageBreak/>
        <w:t xml:space="preserve">Assessment for learning allows teachers to differentiate a wide range of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strategies, it aids in lesson preparation. Teachers can assess pupils’ performance and identify areas of performance. (Cambridge-community.org.uk, n.d.)</w:t>
      </w:r>
    </w:p>
    <w:p w14:paraId="40BE4DFD" w14:textId="00A964FE" w:rsidR="000B2EAF" w:rsidRPr="00870153" w:rsidRDefault="000B2EAF" w:rsidP="000B2EAF">
      <w:pPr>
        <w:rPr>
          <w:rFonts w:ascii="Baskerville" w:hAnsi="Baskerville" w:cstheme="majorHAnsi"/>
        </w:rPr>
      </w:pPr>
      <w:r w:rsidRPr="00870153">
        <w:rPr>
          <w:rFonts w:ascii="Baskerville" w:hAnsi="Baskerville" w:cstheme="majorHAnsi"/>
        </w:rPr>
        <w:t xml:space="preserve">                         To consolidate </w:t>
      </w:r>
      <w:proofErr w:type="spellStart"/>
      <w:r w:rsidRPr="00870153">
        <w:rPr>
          <w:rFonts w:ascii="Baskerville" w:hAnsi="Baskerville" w:cstheme="majorHAnsi"/>
        </w:rPr>
        <w:t>AfL</w:t>
      </w:r>
      <w:proofErr w:type="spellEnd"/>
      <w:r w:rsidRPr="00870153">
        <w:rPr>
          <w:rFonts w:ascii="Baskerville" w:hAnsi="Baskerville" w:cstheme="majorHAnsi"/>
        </w:rPr>
        <w:t xml:space="preserve"> into learning some elements need to be started at an earlier stage which include learning intention and success criteria. This stage is when pupils </w:t>
      </w:r>
      <w:proofErr w:type="gramStart"/>
      <w:r w:rsidRPr="00870153">
        <w:rPr>
          <w:rFonts w:ascii="Baskerville" w:hAnsi="Baskerville" w:cstheme="majorHAnsi"/>
        </w:rPr>
        <w:t>have an understanding of</w:t>
      </w:r>
      <w:proofErr w:type="gramEnd"/>
      <w:r w:rsidRPr="00870153">
        <w:rPr>
          <w:rFonts w:ascii="Baskerville" w:hAnsi="Baskerville" w:cstheme="majorHAnsi"/>
        </w:rPr>
        <w:t xml:space="preserve"> what they are going to do in the lesson. Teachers share the learning intention at the beginning of the lesson to help pupils focus. It gives pupils more of a responsibility for their learning. As stated by research success criteria are used in education to help increase the learning intention for pupils to meet their target. (John Hattie learning intentions and success criteria). John Hattie </w:t>
      </w:r>
      <w:r w:rsidR="00F0620F">
        <w:rPr>
          <w:rFonts w:ascii="Baskerville" w:hAnsi="Baskerville" w:cstheme="majorHAnsi"/>
        </w:rPr>
        <w:t xml:space="preserve">highlights the significance of communicating the learning objectives and success criteria to students, given their varying learning stages. </w:t>
      </w:r>
      <w:r w:rsidRPr="00870153">
        <w:rPr>
          <w:rFonts w:ascii="Baskerville" w:hAnsi="Baskerville" w:cstheme="majorHAnsi"/>
        </w:rPr>
        <w:t>Research showed that if teachers shared the learning intention at the beginning of the lesson pupils had a clear understanding of what needed to be completed in the session. (</w:t>
      </w:r>
      <w:proofErr w:type="spellStart"/>
      <w:r w:rsidRPr="00870153">
        <w:rPr>
          <w:rFonts w:ascii="Baskerville" w:hAnsi="Baskerville" w:cstheme="majorHAnsi"/>
        </w:rPr>
        <w:t>Gulikers</w:t>
      </w:r>
      <w:proofErr w:type="spellEnd"/>
      <w:r w:rsidRPr="00870153">
        <w:rPr>
          <w:rFonts w:ascii="Baskerville" w:hAnsi="Baskerville" w:cstheme="majorHAnsi"/>
        </w:rPr>
        <w:t xml:space="preserve"> &amp; </w:t>
      </w:r>
      <w:proofErr w:type="spellStart"/>
      <w:r w:rsidRPr="00870153">
        <w:rPr>
          <w:rFonts w:ascii="Baskerville" w:hAnsi="Baskerville" w:cstheme="majorHAnsi"/>
        </w:rPr>
        <w:t>Baaertman</w:t>
      </w:r>
      <w:proofErr w:type="spellEnd"/>
      <w:r w:rsidRPr="00870153">
        <w:rPr>
          <w:rFonts w:ascii="Baskerville" w:hAnsi="Baskerville" w:cstheme="majorHAnsi"/>
        </w:rPr>
        <w:t xml:space="preserve"> 2017)</w:t>
      </w:r>
    </w:p>
    <w:p w14:paraId="5FC2C969"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Another element of </w:t>
      </w:r>
      <w:proofErr w:type="spellStart"/>
      <w:r w:rsidRPr="00870153">
        <w:rPr>
          <w:rFonts w:ascii="Baskerville" w:hAnsi="Baskerville" w:cstheme="majorHAnsi"/>
        </w:rPr>
        <w:t>AfL</w:t>
      </w:r>
      <w:proofErr w:type="spellEnd"/>
      <w:r w:rsidRPr="00870153">
        <w:rPr>
          <w:rFonts w:ascii="Baskerville" w:hAnsi="Baskerville" w:cstheme="majorHAnsi"/>
        </w:rPr>
        <w:t xml:space="preserve"> is formative feedback this is when pupil knows about the quality of their work, so they have a clear understanding of what they need to improve on in the next session. Feedback is given to pupils in a formative way to make teaching and learning effective. D. Royce Sadler was the first professor to introduce "formative assessment." (D Royce Sadler – Google Scholar). Formative assessment is used in education on how to make judgements on pupils learning. The literature states that formative feedback is a main element in </w:t>
      </w:r>
      <w:proofErr w:type="spellStart"/>
      <w:r w:rsidRPr="00870153">
        <w:rPr>
          <w:rFonts w:ascii="Baskerville" w:hAnsi="Baskerville" w:cstheme="majorHAnsi"/>
        </w:rPr>
        <w:t>AfL</w:t>
      </w:r>
      <w:proofErr w:type="spellEnd"/>
      <w:r w:rsidRPr="00870153">
        <w:rPr>
          <w:rFonts w:ascii="Baskerville" w:hAnsi="Baskerville" w:cstheme="majorHAnsi"/>
        </w:rPr>
        <w:t xml:space="preserve"> as it has a successful outcome. </w:t>
      </w:r>
      <w:proofErr w:type="spellStart"/>
      <w:r w:rsidRPr="00870153">
        <w:rPr>
          <w:rFonts w:ascii="Baskerville" w:hAnsi="Baskerville" w:cstheme="majorHAnsi"/>
        </w:rPr>
        <w:t>Ramaprased</w:t>
      </w:r>
      <w:proofErr w:type="spellEnd"/>
      <w:r w:rsidRPr="00870153">
        <w:rPr>
          <w:rFonts w:ascii="Baskerville" w:hAnsi="Baskerville" w:cstheme="majorHAnsi"/>
        </w:rPr>
        <w:t xml:space="preserve"> expresses that "feedback is information about the gap between the actual level and the reference level of a system parameter which is used to alter the gap in some way." (</w:t>
      </w:r>
      <w:proofErr w:type="spellStart"/>
      <w:r w:rsidRPr="00870153">
        <w:rPr>
          <w:rFonts w:ascii="Baskerville" w:hAnsi="Baskerville" w:cstheme="majorHAnsi"/>
        </w:rPr>
        <w:t>Ramaprasad</w:t>
      </w:r>
      <w:proofErr w:type="spellEnd"/>
      <w:r w:rsidRPr="00870153">
        <w:rPr>
          <w:rFonts w:ascii="Baskerville" w:hAnsi="Baskerville" w:cstheme="majorHAnsi"/>
        </w:rPr>
        <w:t xml:space="preserve">, 1983, p.4) Feedback has an impact on the teacher and the learners. Teachers are assessing and making decisions about where the student is. Students use feedback to observe the strengths and weaknesses of their learning. Ball (2010) argues with other educationalists that there is a small percentage of "what works best" in pupil feedback. (Ball 2010) Others disagree as they argue that feedback can be considered as good as it always varies. Walser agreed that there was more support when feedback is varied as it supports all individuals in their learning. </w:t>
      </w:r>
    </w:p>
    <w:p w14:paraId="4EB5AD91" w14:textId="050A93EA" w:rsidR="000B2EAF" w:rsidRPr="00870153" w:rsidRDefault="000B2EAF" w:rsidP="000B2EAF">
      <w:pPr>
        <w:rPr>
          <w:rFonts w:ascii="Baskerville" w:hAnsi="Baskerville" w:cstheme="majorHAnsi"/>
        </w:rPr>
      </w:pPr>
      <w:r w:rsidRPr="00870153">
        <w:rPr>
          <w:rFonts w:ascii="Baskerville" w:hAnsi="Baskerville" w:cstheme="majorHAnsi"/>
        </w:rPr>
        <w:t xml:space="preserve">                                 Another element is peer and self-assessment enables pupils to recognise what other pupils are doing in the class and to see what is outstanding and what they might be able to improve on. (CCEA, 2007) </w:t>
      </w:r>
      <w:r w:rsidR="00300CF7">
        <w:rPr>
          <w:rFonts w:ascii="Baskerville" w:hAnsi="Baskerville" w:cstheme="majorHAnsi"/>
        </w:rPr>
        <w:t xml:space="preserve">students who critically reflect on their learning are said to be engaging with self-assessment. </w:t>
      </w:r>
      <w:proofErr w:type="gramStart"/>
      <w:r w:rsidRPr="00870153">
        <w:rPr>
          <w:rFonts w:ascii="Baskerville" w:hAnsi="Baskerville" w:cstheme="majorHAnsi"/>
        </w:rPr>
        <w:t>(</w:t>
      </w:r>
      <w:proofErr w:type="gramEnd"/>
      <w:r w:rsidRPr="00870153">
        <w:rPr>
          <w:rFonts w:ascii="Baskerville" w:hAnsi="Baskerville" w:cstheme="majorHAnsi"/>
        </w:rPr>
        <w:t xml:space="preserve">Roberts, 2006). Self-assessment is a major component of cognitive and constructivist theories of learning. Self-assessment is used in education to adapt students' links to improve their confidence and motivation in their learning. (Mc Millan, J.H and Hearn J 2008). </w:t>
      </w:r>
      <w:r w:rsidR="00F0620F">
        <w:rPr>
          <w:rFonts w:ascii="Baskerville" w:hAnsi="Baskerville" w:cstheme="majorHAnsi"/>
        </w:rPr>
        <w:t xml:space="preserve">There is proof that student achievement is shown to be enhanced by self-assessment. </w:t>
      </w:r>
      <w:proofErr w:type="gramStart"/>
      <w:r w:rsidRPr="00870153">
        <w:rPr>
          <w:rFonts w:ascii="Baskerville" w:hAnsi="Baskerville" w:cstheme="majorHAnsi"/>
        </w:rPr>
        <w:t>(</w:t>
      </w:r>
      <w:proofErr w:type="gramEnd"/>
      <w:r w:rsidRPr="00870153">
        <w:rPr>
          <w:rFonts w:ascii="Baskerville" w:hAnsi="Baskerville" w:cstheme="majorHAnsi"/>
        </w:rPr>
        <w:t xml:space="preserve">Hughes et al., 1985; Schunk, 1996; Sparks 1991) and improves student behaviour. (Henry, 1994; Nelson et al, 1995; J. Ross, 1995) Literature shows that students had a better understanding of when using self-assessment in their learning. Pupils stated that it was fairer for self-assessment as it encouraged pupils to develop their learning further. (J. Ross et al., 1998) Archer has claimed </w:t>
      </w:r>
      <w:r w:rsidR="00B94D89">
        <w:rPr>
          <w:rFonts w:ascii="Baskerville" w:hAnsi="Baskerville" w:cstheme="majorHAnsi"/>
        </w:rPr>
        <w:t>the usefulness of self-assessment is not supported by any data</w:t>
      </w:r>
      <w:r w:rsidRPr="00870153">
        <w:rPr>
          <w:rFonts w:ascii="Baskerville" w:hAnsi="Baskerville" w:cstheme="majorHAnsi"/>
        </w:rPr>
        <w:t xml:space="preserve">. He suggests that self-assessment needs to be moved from individualised internalised self-assessment to self-directed assessment, with the support of external feedback. (Archer, 2010) However, I had to be cautious when using this AFL element as the literature has stated that there are issues with using success criteria in education. Royce Sadler implies that if pupils are given a large, amount of information it is harder for pupils to process. (Sadler, D. R. 1983) </w:t>
      </w:r>
      <w:proofErr w:type="spellStart"/>
      <w:r w:rsidRPr="00870153">
        <w:rPr>
          <w:rFonts w:ascii="Baskerville" w:hAnsi="Baskerville" w:cstheme="majorHAnsi"/>
        </w:rPr>
        <w:t>Wiliam</w:t>
      </w:r>
      <w:proofErr w:type="spellEnd"/>
      <w:r w:rsidRPr="00870153">
        <w:rPr>
          <w:rFonts w:ascii="Baskerville" w:hAnsi="Baskerville" w:cstheme="majorHAnsi"/>
        </w:rPr>
        <w:t xml:space="preserve"> implies that success criteria should be shared with </w:t>
      </w:r>
      <w:proofErr w:type="gramStart"/>
      <w:r w:rsidRPr="00870153">
        <w:rPr>
          <w:rFonts w:ascii="Baskerville" w:hAnsi="Baskerville" w:cstheme="majorHAnsi"/>
        </w:rPr>
        <w:t>pupils</w:t>
      </w:r>
      <w:proofErr w:type="gramEnd"/>
      <w:r w:rsidRPr="00870153">
        <w:rPr>
          <w:rFonts w:ascii="Baskerville" w:hAnsi="Baskerville" w:cstheme="majorHAnsi"/>
        </w:rPr>
        <w:t xml:space="preserve"> so they have a goal to achieve. However, David </w:t>
      </w:r>
      <w:proofErr w:type="spellStart"/>
      <w:r w:rsidRPr="00870153">
        <w:rPr>
          <w:rFonts w:ascii="Baskerville" w:hAnsi="Baskerville" w:cstheme="majorHAnsi"/>
        </w:rPr>
        <w:t>Didau</w:t>
      </w:r>
      <w:proofErr w:type="spellEnd"/>
      <w:r w:rsidRPr="00870153">
        <w:rPr>
          <w:rFonts w:ascii="Baskerville" w:hAnsi="Baskerville" w:cstheme="majorHAnsi"/>
        </w:rPr>
        <w:t xml:space="preserve"> argues that sharing the success criteria is unnecessary as there are better suggestions and models to complete a task.  (</w:t>
      </w:r>
      <w:proofErr w:type="spellStart"/>
      <w:r w:rsidRPr="00870153">
        <w:rPr>
          <w:rFonts w:ascii="Baskerville" w:hAnsi="Baskerville" w:cstheme="majorHAnsi"/>
        </w:rPr>
        <w:t>Didau</w:t>
      </w:r>
      <w:proofErr w:type="spellEnd"/>
      <w:r w:rsidRPr="00870153">
        <w:rPr>
          <w:rFonts w:ascii="Baskerville" w:hAnsi="Baskerville" w:cstheme="majorHAnsi"/>
        </w:rPr>
        <w:t>, 2014)</w:t>
      </w:r>
    </w:p>
    <w:p w14:paraId="2AD06726" w14:textId="77777777" w:rsidR="000B2EAF" w:rsidRPr="00870153" w:rsidRDefault="000B2EAF" w:rsidP="000B2EAF">
      <w:pPr>
        <w:rPr>
          <w:rFonts w:ascii="Baskerville" w:hAnsi="Baskerville" w:cstheme="majorHAnsi"/>
        </w:rPr>
      </w:pPr>
    </w:p>
    <w:p w14:paraId="1811DD9F" w14:textId="77777777" w:rsidR="000B2EAF" w:rsidRPr="00870153" w:rsidRDefault="000B2EAF" w:rsidP="000B2EAF">
      <w:pPr>
        <w:rPr>
          <w:rFonts w:ascii="Baskerville" w:hAnsi="Baskerville" w:cstheme="majorHAnsi"/>
        </w:rPr>
      </w:pPr>
    </w:p>
    <w:p w14:paraId="006FD4D0" w14:textId="6CB7FDC4" w:rsidR="000B2EAF" w:rsidRPr="00870153" w:rsidRDefault="000B2EAF" w:rsidP="000B2EAF">
      <w:pPr>
        <w:rPr>
          <w:rFonts w:ascii="Baskerville" w:hAnsi="Baskerville" w:cstheme="majorHAnsi"/>
        </w:rPr>
      </w:pPr>
      <w:r w:rsidRPr="00870153">
        <w:rPr>
          <w:rFonts w:ascii="Baskerville" w:hAnsi="Baskerville" w:cstheme="majorHAnsi"/>
        </w:rPr>
        <w:t xml:space="preserve">The most frequently utilized form of teacher talk in classroom interactions is questioning. (Farrell &amp; Mom, 2015). Effective questioning strategies that involve type choice help students widen their knowledge and evolve their thinking skills. Research has explained that effective questioning in learning helps pupils consolidate, deepen and extend their learning. Effective questioning assists teachers in assessing students' learning and to ensure they have an understanding across all subjects. (cambridge-community.org.uk, n.d.) To develop critical thinking and independence students must ask themselves questions. </w:t>
      </w:r>
      <w:r w:rsidR="00796D4E">
        <w:rPr>
          <w:rFonts w:ascii="Baskerville" w:hAnsi="Baskerville" w:cstheme="majorHAnsi"/>
        </w:rPr>
        <w:t xml:space="preserve">The National Reading Panel reviewed 200 plus papers on reading comprehension in education and found the most scientifically sound evidence was asking students to ask questions. </w:t>
      </w:r>
      <w:proofErr w:type="gramStart"/>
      <w:r w:rsidRPr="00870153">
        <w:rPr>
          <w:rFonts w:ascii="Baskerville" w:hAnsi="Baskerville" w:cstheme="majorHAnsi"/>
        </w:rPr>
        <w:t>(</w:t>
      </w:r>
      <w:proofErr w:type="gramEnd"/>
      <w:r w:rsidRPr="00870153">
        <w:rPr>
          <w:rFonts w:ascii="Baskerville" w:hAnsi="Baskerville" w:cstheme="majorHAnsi"/>
        </w:rPr>
        <w:t xml:space="preserve">2000).  </w:t>
      </w:r>
    </w:p>
    <w:p w14:paraId="5D43DDF1" w14:textId="77777777" w:rsidR="000B2EAF" w:rsidRPr="00870153" w:rsidRDefault="000B2EAF" w:rsidP="000B2EAF">
      <w:pPr>
        <w:rPr>
          <w:rFonts w:ascii="Baskerville" w:hAnsi="Baskerville" w:cstheme="majorHAnsi"/>
        </w:rPr>
      </w:pPr>
    </w:p>
    <w:p w14:paraId="0FA6511A" w14:textId="77777777" w:rsidR="000B2EAF" w:rsidRPr="00870153" w:rsidRDefault="000B2EAF" w:rsidP="000B2EAF">
      <w:pPr>
        <w:rPr>
          <w:rFonts w:ascii="Baskerville" w:hAnsi="Baskerville" w:cstheme="majorHAnsi"/>
        </w:rPr>
      </w:pPr>
    </w:p>
    <w:p w14:paraId="7A821C9F" w14:textId="77777777" w:rsidR="000B2EAF" w:rsidRPr="00870153" w:rsidRDefault="000B2EAF" w:rsidP="000B2EAF">
      <w:pPr>
        <w:rPr>
          <w:rFonts w:ascii="Baskerville" w:hAnsi="Baskerville" w:cstheme="majorHAnsi"/>
        </w:rPr>
      </w:pPr>
    </w:p>
    <w:p w14:paraId="6C90F938" w14:textId="77777777" w:rsidR="000B2EAF" w:rsidRPr="00870153" w:rsidRDefault="000B2EAF" w:rsidP="000B2EAF">
      <w:pPr>
        <w:rPr>
          <w:rFonts w:ascii="Baskerville" w:hAnsi="Baskerville" w:cstheme="majorHAnsi"/>
        </w:rPr>
      </w:pPr>
    </w:p>
    <w:p w14:paraId="10B5C41F" w14:textId="77777777" w:rsidR="000B2EAF" w:rsidRPr="00870153" w:rsidRDefault="000B2EAF" w:rsidP="000B2EAF">
      <w:pPr>
        <w:rPr>
          <w:rFonts w:ascii="Baskerville" w:hAnsi="Baskerville" w:cstheme="majorHAnsi"/>
        </w:rPr>
      </w:pPr>
    </w:p>
    <w:p w14:paraId="28318698"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Discussion. </w:t>
      </w:r>
    </w:p>
    <w:p w14:paraId="0F054AF1" w14:textId="77777777" w:rsidR="000B2EAF" w:rsidRPr="00870153" w:rsidRDefault="000B2EAF" w:rsidP="000B2EAF">
      <w:pPr>
        <w:rPr>
          <w:rFonts w:ascii="Baskerville" w:hAnsi="Baskerville" w:cstheme="majorHAnsi"/>
        </w:rPr>
      </w:pPr>
    </w:p>
    <w:p w14:paraId="5918AB3C"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focus of my lessons is on space, the areas of learning I have used are Languages, Literacy and Communication; Science and technology; Mathematics and numeracy. </w:t>
      </w:r>
    </w:p>
    <w:p w14:paraId="226DF2AB" w14:textId="77777777" w:rsidR="000B2EAF" w:rsidRPr="00870153" w:rsidRDefault="000B2EAF" w:rsidP="000B2EAF">
      <w:pPr>
        <w:rPr>
          <w:rFonts w:ascii="Baskerville" w:hAnsi="Baskerville" w:cstheme="majorHAnsi"/>
        </w:rPr>
      </w:pPr>
    </w:p>
    <w:p w14:paraId="6F0343BD" w14:textId="77777777" w:rsidR="000B2EAF" w:rsidRPr="00870153" w:rsidRDefault="000B2EAF" w:rsidP="000B2EAF">
      <w:pPr>
        <w:rPr>
          <w:rFonts w:ascii="Baskerville" w:hAnsi="Baskerville" w:cstheme="majorHAnsi"/>
        </w:rPr>
      </w:pPr>
      <w:r w:rsidRPr="00870153">
        <w:rPr>
          <w:rFonts w:ascii="Baskerville" w:hAnsi="Baskerville" w:cstheme="majorHAnsi"/>
        </w:rPr>
        <w:t>The areas of learning I chose for pupils to create a leaflet on instructions were languages, literacy and communication. I decided on this area of learning as it is an important part of a child's growth. It encourages pupils to have a good understanding and to develop effective communication. (</w:t>
      </w:r>
      <w:proofErr w:type="spellStart"/>
      <w:proofErr w:type="gramStart"/>
      <w:r w:rsidRPr="00870153">
        <w:rPr>
          <w:rFonts w:ascii="Baskerville" w:hAnsi="Baskerville" w:cstheme="majorHAnsi"/>
        </w:rPr>
        <w:t>hwb.gov.wales</w:t>
      </w:r>
      <w:proofErr w:type="spellEnd"/>
      <w:proofErr w:type="gramEnd"/>
      <w:r w:rsidRPr="00870153">
        <w:rPr>
          <w:rFonts w:ascii="Baskerville" w:hAnsi="Baskerville" w:cstheme="majorHAnsi"/>
        </w:rPr>
        <w:t>, n.d.)</w:t>
      </w:r>
    </w:p>
    <w:p w14:paraId="6B4A9DA6"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This area of learning supports pupil progress throughout the curriculum and encourages students to expand their knowledge in Welsh, English and literature. </w:t>
      </w:r>
    </w:p>
    <w:p w14:paraId="288ECA0A"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This area of learning worked the best for this lesson as the learning intention was for pupils to create a leaflet of instructions to train an astronaut to go into space. The curriculum skill for this is "I can plan and write for different purposes and audiences." (Welsh Government, 2019). </w:t>
      </w:r>
    </w:p>
    <w:p w14:paraId="08E9A84B"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I decided on this lesson as designing a leaflet of instructions encourages pupils to develop new skills. The lesson has the potential to aid pupils in enhancing their writing, research and design skills. Pupils were asked to write a leaflet and organise the information they found clearly and concisely. (How to create a leaflet, n.d.) </w:t>
      </w:r>
    </w:p>
    <w:p w14:paraId="06EA03BD" w14:textId="2AA5BACB" w:rsidR="000B2EAF" w:rsidRPr="00870153" w:rsidRDefault="000B2EAF" w:rsidP="000B2EAF">
      <w:pPr>
        <w:rPr>
          <w:rFonts w:ascii="Baskerville" w:hAnsi="Baskerville" w:cstheme="majorHAnsi"/>
        </w:rPr>
      </w:pPr>
      <w:r w:rsidRPr="00870153">
        <w:rPr>
          <w:rFonts w:ascii="Baskerville" w:hAnsi="Baskerville" w:cstheme="majorHAnsi"/>
        </w:rPr>
        <w:t xml:space="preserve">              The progress of the pupil's learning was broken down into 5-minute sessions so pupils could engage with their prior knowledge. I did a five-minute starter which included an activity on key features using whiteboards in pairs. I then engaged with their prior knowledge to see what they already knew about key features and to make sure they had a clear understanding of what they needed to add to their writing. For the main activity to were asked to complete the leaflet using their research and prior knowledge of key features to write a set of instructions on how to train an astronaut. The task was set to their ability lower ability, middle ability and higher ability as shown in lesson plan A. </w:t>
      </w:r>
    </w:p>
    <w:p w14:paraId="5A9E2FDE" w14:textId="77777777" w:rsidR="000B2EAF" w:rsidRPr="00870153" w:rsidRDefault="000B2EAF" w:rsidP="000B2EAF">
      <w:pPr>
        <w:rPr>
          <w:rFonts w:ascii="Baskerville" w:hAnsi="Baskerville" w:cstheme="majorHAnsi"/>
        </w:rPr>
      </w:pPr>
      <w:r w:rsidRPr="00870153">
        <w:rPr>
          <w:rFonts w:ascii="Baskerville" w:hAnsi="Baskerville" w:cstheme="majorHAnsi"/>
        </w:rPr>
        <w:lastRenderedPageBreak/>
        <w:t xml:space="preserve">                 In all my lessons I demonstrated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strategies to engage with pupils' prior knowledge. I used </w:t>
      </w:r>
      <w:proofErr w:type="spellStart"/>
      <w:r w:rsidRPr="00870153">
        <w:rPr>
          <w:rFonts w:ascii="Baskerville" w:hAnsi="Baskerville" w:cstheme="majorHAnsi"/>
        </w:rPr>
        <w:t>AfL</w:t>
      </w:r>
      <w:proofErr w:type="spellEnd"/>
      <w:r w:rsidRPr="00870153">
        <w:rPr>
          <w:rFonts w:ascii="Baskerville" w:hAnsi="Baskerville" w:cstheme="majorHAnsi"/>
        </w:rPr>
        <w:t xml:space="preserve"> at the beginning of each session to see how much pupils had understood from previous lessons. </w:t>
      </w:r>
    </w:p>
    <w:p w14:paraId="019F390F" w14:textId="4494723D" w:rsidR="000B2EAF" w:rsidRPr="00870153" w:rsidRDefault="000B2EAF" w:rsidP="000B2EAF">
      <w:pPr>
        <w:rPr>
          <w:rFonts w:ascii="Baskerville" w:hAnsi="Baskerville" w:cstheme="majorHAnsi"/>
        </w:rPr>
      </w:pPr>
      <w:r w:rsidRPr="00870153">
        <w:rPr>
          <w:rFonts w:ascii="Baskerville" w:hAnsi="Baskerville" w:cstheme="majorHAnsi"/>
        </w:rPr>
        <w:t>The AFL</w:t>
      </w:r>
      <w:r w:rsidR="004D7E93">
        <w:rPr>
          <w:rFonts w:ascii="Baskerville" w:hAnsi="Baskerville" w:cstheme="majorHAnsi"/>
        </w:rPr>
        <w:t xml:space="preserve"> </w:t>
      </w:r>
      <w:r w:rsidR="00E03AC1" w:rsidRPr="004625D4">
        <w:rPr>
          <w:rFonts w:ascii="Baskerville" w:hAnsi="Baskerville" w:cstheme="majorHAnsi"/>
          <w:color w:val="000000" w:themeColor="text1"/>
        </w:rPr>
        <w:t>element I used to test this</w:t>
      </w:r>
      <w:r w:rsidRPr="004625D4">
        <w:rPr>
          <w:rFonts w:ascii="Baskerville" w:hAnsi="Baskerville" w:cstheme="majorHAnsi"/>
          <w:color w:val="000000" w:themeColor="text1"/>
        </w:rPr>
        <w:t xml:space="preserve"> </w:t>
      </w:r>
      <w:r w:rsidRPr="00870153">
        <w:rPr>
          <w:rFonts w:ascii="Baskerville" w:hAnsi="Baskerville" w:cstheme="majorHAnsi"/>
        </w:rPr>
        <w:t>strategy</w:t>
      </w:r>
      <w:r w:rsidR="00E03AC1">
        <w:rPr>
          <w:rFonts w:ascii="Baskerville" w:hAnsi="Baskerville" w:cstheme="majorHAnsi"/>
        </w:rPr>
        <w:t xml:space="preserve"> was quality </w:t>
      </w:r>
      <w:r w:rsidR="00E554D8">
        <w:rPr>
          <w:rFonts w:ascii="Baskerville" w:hAnsi="Baskerville" w:cstheme="majorHAnsi"/>
        </w:rPr>
        <w:t xml:space="preserve">of talk. </w:t>
      </w:r>
      <w:r w:rsidR="0033005D">
        <w:rPr>
          <w:rFonts w:ascii="Baskerville" w:hAnsi="Baskerville" w:cstheme="majorHAnsi"/>
        </w:rPr>
        <w:t>The strategy that was used was</w:t>
      </w:r>
      <w:r w:rsidRPr="00870153">
        <w:rPr>
          <w:rFonts w:ascii="Baskerville" w:hAnsi="Baskerville" w:cstheme="majorHAnsi"/>
        </w:rPr>
        <w:t xml:space="preserve"> mini whiteboards. I chose to test this AFL strategy as Vygotsky (1896-1934) argues that when pupils are given independent tasks, they don’t perform as well when working with peers. Black and </w:t>
      </w:r>
      <w:proofErr w:type="spellStart"/>
      <w:r w:rsidRPr="00870153">
        <w:rPr>
          <w:rFonts w:ascii="Baskerville" w:hAnsi="Baskerville" w:cstheme="majorHAnsi"/>
        </w:rPr>
        <w:t>Wiliam</w:t>
      </w:r>
      <w:proofErr w:type="spellEnd"/>
      <w:r w:rsidRPr="00870153">
        <w:rPr>
          <w:rFonts w:ascii="Baskerville" w:hAnsi="Baskerville" w:cstheme="majorHAnsi"/>
        </w:rPr>
        <w:t xml:space="preserve"> state that "if teachers use formative assessments as part of their teaching, students can learn at approximately double the rate." Evidence shows that using formative assessment encourages real-world differences in their achievements. </w:t>
      </w:r>
    </w:p>
    <w:p w14:paraId="545CAD05"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I chose to do this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Strategy at the beginning of a literacy lesson. The lesson I did was on key features. I chose one person in the class to explain what they wrote. I chose other pupils in the class to explain the meaning of the key features to expand their knowledge and help them in their writing.</w:t>
      </w:r>
    </w:p>
    <w:p w14:paraId="026677FB"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This lesson was successful as pupils were able to engage with their prior knowledge and increase their confidence.  However, I will spend more time on whiteboards before starting the task so pupils can have more of an understanding of the topic. </w:t>
      </w:r>
    </w:p>
    <w:p w14:paraId="30158AFC"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advantages of mini whiteboards are that pupils enjoy using mini whiteboards as their answers aren't permanent. Mini whiteboards can also be done with think pair share. </w:t>
      </w:r>
    </w:p>
    <w:p w14:paraId="4581C53C"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disadvantage of using mini whiteboards is that some pupils do not join in as they hide behind others or copy others in the class. </w:t>
      </w:r>
    </w:p>
    <w:p w14:paraId="1E78578E"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In a video, Dylan </w:t>
      </w:r>
      <w:proofErr w:type="spellStart"/>
      <w:r w:rsidRPr="00870153">
        <w:rPr>
          <w:rFonts w:ascii="Baskerville" w:hAnsi="Baskerville" w:cstheme="majorHAnsi"/>
        </w:rPr>
        <w:t>Wiliam</w:t>
      </w:r>
      <w:proofErr w:type="spellEnd"/>
      <w:r w:rsidRPr="00870153">
        <w:rPr>
          <w:rFonts w:ascii="Baskerville" w:hAnsi="Baskerville" w:cstheme="majorHAnsi"/>
        </w:rPr>
        <w:t xml:space="preserve"> stated that mini whiteboards get students engaged with their learning as their answers are not permanent and teachers can observe to see if they have understood the lesson. (Education, 2020.)  However, David </w:t>
      </w:r>
      <w:proofErr w:type="spellStart"/>
      <w:r w:rsidRPr="00870153">
        <w:rPr>
          <w:rFonts w:ascii="Baskerville" w:hAnsi="Baskerville" w:cstheme="majorHAnsi"/>
        </w:rPr>
        <w:t>Didau</w:t>
      </w:r>
      <w:proofErr w:type="spellEnd"/>
      <w:r w:rsidRPr="00870153">
        <w:rPr>
          <w:rFonts w:ascii="Baskerville" w:hAnsi="Baskerville" w:cstheme="majorHAnsi"/>
        </w:rPr>
        <w:t xml:space="preserve"> argues that whiteboards are not effective as he observed a poor result in behaviour as he stated pupils were having a chat which leads to children being off task and getting the answer wrong.  In his research, he suggested that if pupils need to write they can make it permanent. (</w:t>
      </w:r>
      <w:proofErr w:type="spellStart"/>
      <w:r w:rsidRPr="00870153">
        <w:rPr>
          <w:rFonts w:ascii="Baskerville" w:hAnsi="Baskerville" w:cstheme="majorHAnsi"/>
        </w:rPr>
        <w:t>Didau</w:t>
      </w:r>
      <w:proofErr w:type="spellEnd"/>
      <w:r w:rsidRPr="00870153">
        <w:rPr>
          <w:rFonts w:ascii="Baskerville" w:hAnsi="Baskerville" w:cstheme="majorHAnsi"/>
        </w:rPr>
        <w:t xml:space="preserve">, 2022) I feel that using mini whiteboards was successful in this lesson as pupils were able to work together in pairs to share what they already knew. </w:t>
      </w:r>
    </w:p>
    <w:p w14:paraId="09C3A460" w14:textId="77777777" w:rsidR="000B2EAF" w:rsidRPr="00870153" w:rsidRDefault="000B2EAF" w:rsidP="000B2EAF">
      <w:pPr>
        <w:rPr>
          <w:rFonts w:ascii="Baskerville" w:hAnsi="Baskerville" w:cstheme="majorHAnsi"/>
        </w:rPr>
      </w:pPr>
    </w:p>
    <w:p w14:paraId="0662F151" w14:textId="77777777" w:rsidR="000B2EAF" w:rsidRPr="00870153" w:rsidRDefault="000B2EAF" w:rsidP="000B2EAF">
      <w:pPr>
        <w:rPr>
          <w:rFonts w:ascii="Baskerville" w:hAnsi="Baskerville" w:cstheme="majorHAnsi"/>
        </w:rPr>
      </w:pPr>
    </w:p>
    <w:p w14:paraId="1CD06CD2" w14:textId="77777777" w:rsidR="000B2EAF" w:rsidRPr="00870153" w:rsidRDefault="000B2EAF" w:rsidP="000B2EAF">
      <w:pPr>
        <w:rPr>
          <w:rFonts w:ascii="Baskerville" w:hAnsi="Baskerville" w:cstheme="majorHAnsi"/>
        </w:rPr>
      </w:pPr>
      <w:r w:rsidRPr="00870153">
        <w:rPr>
          <w:rFonts w:ascii="Baskerville" w:hAnsi="Baskerville" w:cstheme="majorHAnsi"/>
        </w:rPr>
        <w:t>Science and Technology was my preferred area of learning for this lesson, as pupils were to experiment with how we have night and day. I used this area of learning as science and technology play an important role in everyone's day-to-day life. In the Welsh curriculum, it states, "Ambitious capable learners, ready to learn throughout their lives should engage with scientific and technological change." Pupils are encouraged to experiment with science and technology to expand their understanding and learn how to embrace challenges. The learning intention is for pupils to understand why we have day and night. The curriculum link to this is "I can engage with scientific and technological evidence to inform my own opinions." (</w:t>
      </w:r>
      <w:proofErr w:type="spellStart"/>
      <w:proofErr w:type="gramStart"/>
      <w:r w:rsidRPr="00870153">
        <w:rPr>
          <w:rFonts w:ascii="Baskerville" w:hAnsi="Baskerville" w:cstheme="majorHAnsi"/>
        </w:rPr>
        <w:t>hwb.gov.wales</w:t>
      </w:r>
      <w:proofErr w:type="spellEnd"/>
      <w:proofErr w:type="gramEnd"/>
      <w:r w:rsidRPr="00870153">
        <w:rPr>
          <w:rFonts w:ascii="Baskerville" w:hAnsi="Baskerville" w:cstheme="majorHAnsi"/>
        </w:rPr>
        <w:t>, n.d.)</w:t>
      </w:r>
    </w:p>
    <w:p w14:paraId="6829EF3E" w14:textId="47389F9C" w:rsidR="000B2EAF" w:rsidRPr="00870153" w:rsidRDefault="000B2EAF" w:rsidP="000B2EAF">
      <w:pPr>
        <w:rPr>
          <w:rFonts w:ascii="Baskerville" w:hAnsi="Baskerville" w:cstheme="majorHAnsi"/>
        </w:rPr>
      </w:pPr>
      <w:r w:rsidRPr="00870153">
        <w:rPr>
          <w:rFonts w:ascii="Baskerville" w:hAnsi="Baskerville" w:cstheme="majorHAnsi"/>
        </w:rPr>
        <w:t>The ability to learn about the day and night can aid in the development of skills in children. By doing this lesson children enhanced their critical thinking, scientific reasoning and observation skills. (www.teachingexpertise.com, 2022)</w:t>
      </w:r>
    </w:p>
    <w:p w14:paraId="2BCC0334" w14:textId="3993E6A6" w:rsidR="000B2EAF" w:rsidRPr="00870153" w:rsidRDefault="003D1D4E" w:rsidP="000B2EAF">
      <w:pPr>
        <w:rPr>
          <w:rFonts w:ascii="Baskerville" w:hAnsi="Baskerville" w:cstheme="majorHAnsi"/>
        </w:rPr>
      </w:pPr>
      <w:r>
        <w:rPr>
          <w:rFonts w:ascii="Baskerville" w:hAnsi="Baskerville" w:cstheme="majorHAnsi"/>
        </w:rPr>
        <w:t>T</w:t>
      </w:r>
      <w:r w:rsidR="000B2EAF" w:rsidRPr="00870153">
        <w:rPr>
          <w:rFonts w:ascii="Baskerville" w:hAnsi="Baskerville" w:cstheme="majorHAnsi"/>
        </w:rPr>
        <w:t xml:space="preserve">he progress of learning was broken down into four activities. The first activity was to demonstrate the experiment. Pupils then activated with their prior knowledge of what they already know on night and day. They did this by using KWL grids. The main activity consisted of differentiation worksheets on the rotation of the earth. In the session, I did a mini </w:t>
      </w:r>
      <w:r w:rsidR="000B2EAF" w:rsidRPr="00870153">
        <w:rPr>
          <w:rFonts w:ascii="Baskerville" w:hAnsi="Baskerville" w:cstheme="majorHAnsi"/>
        </w:rPr>
        <w:lastRenderedPageBreak/>
        <w:t xml:space="preserve">plenary to see what other pupils had found using the chrome books. This encouraged other pupils to ask questions on what they didn't already know. </w:t>
      </w:r>
      <w:r>
        <w:rPr>
          <w:rFonts w:ascii="Baskerville" w:hAnsi="Baskerville" w:cstheme="majorHAnsi"/>
        </w:rPr>
        <w:t xml:space="preserve">(See appendices 2). </w:t>
      </w:r>
    </w:p>
    <w:p w14:paraId="4CA3A806"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In the Cambridge assessment report Mary James stated that "Students need to learn for themselves how they move up to the next level." (James, 1998) For this </w:t>
      </w:r>
      <w:proofErr w:type="spellStart"/>
      <w:r w:rsidRPr="00870153">
        <w:rPr>
          <w:rFonts w:ascii="Baskerville" w:hAnsi="Baskerville" w:cstheme="majorHAnsi"/>
        </w:rPr>
        <w:t>AfL</w:t>
      </w:r>
      <w:proofErr w:type="spellEnd"/>
      <w:r w:rsidRPr="00870153">
        <w:rPr>
          <w:rFonts w:ascii="Baskerville" w:hAnsi="Baskerville" w:cstheme="majorHAnsi"/>
        </w:rPr>
        <w:t xml:space="preserve"> element, the strategy I focused on was peer and self-assessment. </w:t>
      </w:r>
    </w:p>
    <w:p w14:paraId="3D71C89E"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I used KWL grids </w:t>
      </w:r>
      <w:proofErr w:type="gramStart"/>
      <w:r w:rsidRPr="00870153">
        <w:rPr>
          <w:rFonts w:ascii="Baskerville" w:hAnsi="Baskerville" w:cstheme="majorHAnsi"/>
        </w:rPr>
        <w:t>( K</w:t>
      </w:r>
      <w:proofErr w:type="gramEnd"/>
      <w:r w:rsidRPr="00870153">
        <w:rPr>
          <w:rFonts w:ascii="Baskerville" w:hAnsi="Baskerville" w:cstheme="majorHAnsi"/>
        </w:rPr>
        <w:t xml:space="preserve"> – What they know about the topic. W – What they want to know. L – What they have learnt. The purpose of using the KWL grid in this session was for pupils to engage with their prior knowledge and encourage critical thinking. It is a learning log so that it can be done at the beginning of the session for example: What do I already know? What do I want to know? How am I going to find out? Then at the end of the session, pupils can say what they have learnt. This encourages learners to think about their learning. It enables children to set their own goals in their learning so that they can achieve them.  I used this strategy in my science lesson for pupils to engage with their prior knowledge on what they already knew about space. </w:t>
      </w:r>
    </w:p>
    <w:p w14:paraId="512A3874"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I found this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strategy challenging as pupils who had no prior knowledge found it difficult to fill in the first box as they didn't know much about the subject. However, I found that it can help pupils with their progress and keep on track with their learning. </w:t>
      </w:r>
    </w:p>
    <w:p w14:paraId="5BC498EC"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The advantage of using the KWL grids is that it engages with their prior knowledge. The teacher can observe to see what they already know. It encourages pupils to progress and monitor their learning. The disadvantages of this strategy are that students who didn't have any prior knowledge found it difficult to engage and some pupils found it hard to understand. </w:t>
      </w:r>
    </w:p>
    <w:p w14:paraId="202B8D52" w14:textId="77777777" w:rsidR="000B2EAF" w:rsidRPr="00870153" w:rsidRDefault="000B2EAF" w:rsidP="000B2EAF">
      <w:pPr>
        <w:rPr>
          <w:rFonts w:ascii="Baskerville" w:hAnsi="Baskerville" w:cstheme="majorHAnsi"/>
        </w:rPr>
      </w:pPr>
      <w:r w:rsidRPr="00870153">
        <w:rPr>
          <w:rFonts w:ascii="Baskerville" w:hAnsi="Baskerville" w:cstheme="majorHAnsi"/>
        </w:rPr>
        <w:t>Wray and Lewis (1997 and 1999) stated that the strategy was effective in learning as it motivates pupils to do their research and encourages pupils to read. (Wray, D. and Lewis, M. 1999). However, Murdoch argued that pupils may not have any prior knowledge which may lead to pupils feeling uncomfortable in the classroom when the classroom has a positive atmosphere. (Murdoch, R. 2014)</w:t>
      </w:r>
    </w:p>
    <w:p w14:paraId="41D958BB" w14:textId="77777777" w:rsidR="000B2EAF" w:rsidRPr="00870153" w:rsidRDefault="000B2EAF" w:rsidP="000B2EAF">
      <w:pPr>
        <w:rPr>
          <w:rFonts w:ascii="Baskerville" w:hAnsi="Baskerville" w:cstheme="majorHAnsi"/>
        </w:rPr>
      </w:pPr>
    </w:p>
    <w:p w14:paraId="4A2DE4E3" w14:textId="77777777" w:rsidR="000B2EAF" w:rsidRPr="00870153" w:rsidRDefault="000B2EAF" w:rsidP="000B2EAF">
      <w:pPr>
        <w:rPr>
          <w:rFonts w:ascii="Baskerville" w:hAnsi="Baskerville" w:cstheme="majorHAnsi"/>
        </w:rPr>
      </w:pPr>
    </w:p>
    <w:p w14:paraId="5DB2A1F8" w14:textId="77777777" w:rsidR="000B2EAF" w:rsidRPr="00870153" w:rsidRDefault="000B2EAF" w:rsidP="000B2EAF">
      <w:pPr>
        <w:rPr>
          <w:rFonts w:ascii="Baskerville" w:hAnsi="Baskerville" w:cstheme="majorHAnsi"/>
        </w:rPr>
      </w:pPr>
    </w:p>
    <w:p w14:paraId="28FC8834" w14:textId="77777777" w:rsidR="000B2EAF" w:rsidRPr="00870153" w:rsidRDefault="000B2EAF" w:rsidP="000B2EAF">
      <w:pPr>
        <w:rPr>
          <w:rFonts w:ascii="Baskerville" w:hAnsi="Baskerville" w:cstheme="majorHAnsi"/>
        </w:rPr>
      </w:pPr>
    </w:p>
    <w:p w14:paraId="7B01F5F3" w14:textId="77777777" w:rsidR="000B2EAF" w:rsidRPr="00870153" w:rsidRDefault="000B2EAF" w:rsidP="000B2EAF">
      <w:pPr>
        <w:rPr>
          <w:rFonts w:ascii="Baskerville" w:hAnsi="Baskerville" w:cstheme="majorHAnsi"/>
        </w:rPr>
      </w:pPr>
    </w:p>
    <w:p w14:paraId="15455AEC" w14:textId="77777777" w:rsidR="000B2EAF" w:rsidRPr="00870153" w:rsidRDefault="000B2EAF" w:rsidP="000B2EAF">
      <w:pPr>
        <w:rPr>
          <w:rFonts w:ascii="Baskerville" w:hAnsi="Baskerville" w:cstheme="majorHAnsi"/>
        </w:rPr>
      </w:pPr>
    </w:p>
    <w:p w14:paraId="20BDDC17" w14:textId="77777777" w:rsidR="000B2EAF" w:rsidRPr="00870153" w:rsidRDefault="000B2EAF" w:rsidP="000B2EAF">
      <w:pPr>
        <w:rPr>
          <w:rFonts w:ascii="Baskerville" w:hAnsi="Baskerville" w:cstheme="majorHAnsi"/>
        </w:rPr>
      </w:pPr>
    </w:p>
    <w:p w14:paraId="2EB1155B" w14:textId="418BA0A9" w:rsidR="000B2EAF" w:rsidRPr="00870153" w:rsidRDefault="000B2EAF" w:rsidP="000B2EAF">
      <w:pPr>
        <w:rPr>
          <w:rFonts w:ascii="Baskerville" w:hAnsi="Baskerville" w:cstheme="majorHAnsi"/>
        </w:rPr>
      </w:pPr>
      <w:r w:rsidRPr="00870153">
        <w:rPr>
          <w:rFonts w:ascii="Baskerville" w:hAnsi="Baskerville" w:cstheme="majorHAnsi"/>
        </w:rPr>
        <w:t xml:space="preserve">Mathematics and Numeracy was my third lesson for this topic. The progress of maths has consistently been closely linked to the development of civilisation. By teaching maths and numeracy in schools' pupils will become ethically informed citizens of Wales. To </w:t>
      </w:r>
      <w:r w:rsidR="00801EF5">
        <w:rPr>
          <w:rFonts w:ascii="Baskerville" w:hAnsi="Baskerville" w:cstheme="majorHAnsi"/>
        </w:rPr>
        <w:t xml:space="preserve">expand </w:t>
      </w:r>
      <w:r w:rsidRPr="00870153">
        <w:rPr>
          <w:rFonts w:ascii="Baskerville" w:hAnsi="Baskerville" w:cstheme="majorHAnsi"/>
        </w:rPr>
        <w:t>on foundations established in the early years, learners must be given the chance to work both independently and collaboratively. (</w:t>
      </w:r>
      <w:proofErr w:type="spellStart"/>
      <w:proofErr w:type="gramStart"/>
      <w:r w:rsidRPr="00870153">
        <w:rPr>
          <w:rFonts w:ascii="Baskerville" w:hAnsi="Baskerville" w:cstheme="majorHAnsi"/>
        </w:rPr>
        <w:t>hwb.gov.wales</w:t>
      </w:r>
      <w:proofErr w:type="spellEnd"/>
      <w:proofErr w:type="gramEnd"/>
      <w:r w:rsidRPr="00870153">
        <w:rPr>
          <w:rFonts w:ascii="Baskerville" w:hAnsi="Baskerville" w:cstheme="majorHAnsi"/>
        </w:rPr>
        <w:t>, 2020)</w:t>
      </w:r>
    </w:p>
    <w:p w14:paraId="5A8D03F9" w14:textId="51AD41BF" w:rsidR="000B2EAF" w:rsidRPr="00870153" w:rsidRDefault="000B2EAF" w:rsidP="000B2EAF">
      <w:pPr>
        <w:rPr>
          <w:rFonts w:ascii="Baskerville" w:hAnsi="Baskerville" w:cstheme="majorHAnsi"/>
        </w:rPr>
      </w:pPr>
      <w:r w:rsidRPr="00870153">
        <w:rPr>
          <w:rFonts w:ascii="Baskerville" w:hAnsi="Baskerville" w:cstheme="majorHAnsi"/>
        </w:rPr>
        <w:t xml:space="preserve">           To assess pupils’ prior knowledge, I got pupils to explain the diameter, radius and circumference. To encourage collaboration, I did an example question on the board for pupils to work out with their partners. I encouraged collaboration as the social forms of constructivism imply that pupils engage with their teachers and peers daily. (Welsh Assembly Government (2010)</w:t>
      </w:r>
      <w:r w:rsidR="00361E11">
        <w:rPr>
          <w:rFonts w:ascii="Baskerville" w:hAnsi="Baskerville" w:cstheme="majorHAnsi"/>
        </w:rPr>
        <w:t xml:space="preserve"> (See appendices 3 for lesson plan)</w:t>
      </w:r>
    </w:p>
    <w:p w14:paraId="6EDE3EF9" w14:textId="77777777" w:rsidR="000B2EAF" w:rsidRPr="00870153" w:rsidRDefault="000B2EAF" w:rsidP="000B2EAF">
      <w:pPr>
        <w:rPr>
          <w:rFonts w:ascii="Baskerville" w:hAnsi="Baskerville" w:cstheme="majorHAnsi"/>
        </w:rPr>
      </w:pPr>
      <w:r w:rsidRPr="00870153">
        <w:rPr>
          <w:rFonts w:ascii="Baskerville" w:hAnsi="Baskerville" w:cstheme="majorHAnsi"/>
        </w:rPr>
        <w:lastRenderedPageBreak/>
        <w:t xml:space="preserve">                 Questioning can provide teachers with information about the current knowledge of where their pupils are at by questioning. (Black &amp; </w:t>
      </w:r>
      <w:proofErr w:type="spellStart"/>
      <w:r w:rsidRPr="00870153">
        <w:rPr>
          <w:rFonts w:ascii="Baskerville" w:hAnsi="Baskerville" w:cstheme="majorHAnsi"/>
        </w:rPr>
        <w:t>Wiliam</w:t>
      </w:r>
      <w:proofErr w:type="spellEnd"/>
      <w:r w:rsidRPr="00870153">
        <w:rPr>
          <w:rFonts w:ascii="Baskerville" w:hAnsi="Baskerville" w:cstheme="majorHAnsi"/>
        </w:rPr>
        <w:t xml:space="preserve">, 2009). (Earl, 2013) argued that to provide diagnostic information teachers should use questioning in a way that is appropriate so that students can progress. I conducted an open–ended question exercise with all the class to engage with their prior knowledge. The strategy pose-pause-pounce-bounce (PPPB) assists pupils in using talk and group discussions while assisting them in moving away from simple answers. (Gardiner, J.B., 2019). A strategy I used for questioning was pose, pause, bounce and pounce as it encourages differentiation throughout the classroom. The technique for this strategy includes pose, I ask the class an open-ended question. Pause I gave the class five seconds to think about the answers. Pounce I selected a student in the class to answer the question. Bounce I then answered another student to expand on the answer. Bruner has argued that pupils do their best when they are faced with real-life challenges. (Woolfolk, Hughes &amp; </w:t>
      </w:r>
      <w:proofErr w:type="spellStart"/>
      <w:r w:rsidRPr="00870153">
        <w:rPr>
          <w:rFonts w:ascii="Baskerville" w:hAnsi="Baskerville" w:cstheme="majorHAnsi"/>
        </w:rPr>
        <w:t>Walkup</w:t>
      </w:r>
      <w:proofErr w:type="spellEnd"/>
      <w:r w:rsidRPr="00870153">
        <w:rPr>
          <w:rFonts w:ascii="Baskerville" w:hAnsi="Baskerville" w:cstheme="majorHAnsi"/>
        </w:rPr>
        <w:t>, 2013)</w:t>
      </w:r>
    </w:p>
    <w:p w14:paraId="5F22B64A"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Yang (2022) implies that using a strategy like PPPB requires less preparation. The efficacy of instructional strategies centred around active learning has been demonstrated by numerous studies. (Askia et. Al., 2016; Khan et. Al, 2017; Yang, 2022). According to a study, students' speaking abilities improved when they used the PPPB </w:t>
      </w:r>
      <w:proofErr w:type="spellStart"/>
      <w:r w:rsidRPr="00870153">
        <w:rPr>
          <w:rFonts w:ascii="Baskerville" w:hAnsi="Baskerville" w:cstheme="majorHAnsi"/>
        </w:rPr>
        <w:t>AfL</w:t>
      </w:r>
      <w:proofErr w:type="spellEnd"/>
      <w:r w:rsidRPr="00870153">
        <w:rPr>
          <w:rFonts w:ascii="Baskerville" w:hAnsi="Baskerville" w:cstheme="majorHAnsi"/>
        </w:rPr>
        <w:t xml:space="preserve"> strategy. They had very weak speaking abilities prior to employing this learning technique. (Moi, K.S.,).</w:t>
      </w:r>
    </w:p>
    <w:p w14:paraId="51B81B02" w14:textId="77777777" w:rsidR="000B2EAF" w:rsidRPr="00870153" w:rsidRDefault="000B2EAF" w:rsidP="000B2EAF">
      <w:pPr>
        <w:rPr>
          <w:rFonts w:ascii="Baskerville" w:hAnsi="Baskerville" w:cstheme="majorHAnsi"/>
        </w:rPr>
      </w:pPr>
      <w:r w:rsidRPr="00870153">
        <w:rPr>
          <w:rFonts w:ascii="Baskerville" w:hAnsi="Baskerville" w:cstheme="majorHAnsi"/>
        </w:rPr>
        <w:t xml:space="preserve">               The disadvantage of this strategy is that children may be hesitant to answer because of their anxiety about getting the answer wrong. Another disadvantage to open-ended questions is that it takes a lot of time to respond to the question. However, the advantage, of an open-ended question is that pupils have a range of answers, and they can expand on their responses.</w:t>
      </w:r>
    </w:p>
    <w:p w14:paraId="1EF10BAC" w14:textId="77777777" w:rsidR="000B2EAF" w:rsidRPr="00F47CC6" w:rsidRDefault="000B2EAF" w:rsidP="000B2EAF">
      <w:pPr>
        <w:rPr>
          <w:rFonts w:ascii="Baskerville" w:hAnsi="Baskerville" w:cstheme="majorHAnsi"/>
        </w:rPr>
      </w:pPr>
    </w:p>
    <w:p w14:paraId="59A9BD35" w14:textId="77777777" w:rsidR="00F47CC6" w:rsidRPr="00F47CC6" w:rsidRDefault="00F47CC6" w:rsidP="00F47CC6">
      <w:pPr>
        <w:rPr>
          <w:rFonts w:ascii="Baskerville" w:hAnsi="Baskerville"/>
        </w:rPr>
      </w:pPr>
      <w:r w:rsidRPr="00F47CC6">
        <w:rPr>
          <w:rFonts w:ascii="Baskerville" w:hAnsi="Baskerville"/>
        </w:rPr>
        <w:t xml:space="preserve">To conclude, Assessment for Learning is used in education to aid pupil progression. </w:t>
      </w:r>
      <w:proofErr w:type="spellStart"/>
      <w:r w:rsidRPr="00F47CC6">
        <w:rPr>
          <w:rFonts w:ascii="Baskerville" w:hAnsi="Baskerville"/>
        </w:rPr>
        <w:t>AfL</w:t>
      </w:r>
      <w:proofErr w:type="spellEnd"/>
      <w:r w:rsidRPr="00F47CC6">
        <w:rPr>
          <w:rFonts w:ascii="Baskerville" w:hAnsi="Baskerville"/>
        </w:rPr>
        <w:t xml:space="preserve"> has been employed by the curriculum to ensure that it meets pupils' needs and teachers can observe where pupils are at. </w:t>
      </w:r>
    </w:p>
    <w:p w14:paraId="5FCC8BEB" w14:textId="77777777" w:rsidR="00F47CC6" w:rsidRPr="00F47CC6" w:rsidRDefault="00F47CC6" w:rsidP="00F47CC6">
      <w:pPr>
        <w:rPr>
          <w:rFonts w:ascii="Baskerville" w:hAnsi="Baskerville"/>
        </w:rPr>
      </w:pPr>
      <w:r w:rsidRPr="00F47CC6">
        <w:rPr>
          <w:rFonts w:ascii="Baskerville" w:hAnsi="Baskerville"/>
        </w:rPr>
        <w:t xml:space="preserve">AFL aims to identify areas of improvement and to inform and enhance classroom practices and policies. AFL in the classroom should have a well-defined learning goal. To utilize a range of assessment techniques and provide feedback.   </w:t>
      </w:r>
    </w:p>
    <w:p w14:paraId="4520A544" w14:textId="77777777" w:rsidR="00F47CC6" w:rsidRPr="00F47CC6" w:rsidRDefault="00F47CC6" w:rsidP="00F47CC6">
      <w:pPr>
        <w:rPr>
          <w:rFonts w:ascii="Baskerville" w:hAnsi="Baskerville"/>
        </w:rPr>
      </w:pPr>
      <w:r w:rsidRPr="00F47CC6">
        <w:rPr>
          <w:rFonts w:ascii="Baskerville" w:hAnsi="Baskerville"/>
        </w:rPr>
        <w:t xml:space="preserve">I discovered that using AFL improved my lessons because it allowed me to see the student's current stage. Using AFL strategies, I was able to assess prior knowledge at the start and the end of the lesson. I was able to evaluate the student’s level of engagement with the lesson and determine whether they understood it well enough to move forward in their learning. In my opinion, I think AFL is successful in learning as pupils make progress and gain a deeper understanding. </w:t>
      </w:r>
    </w:p>
    <w:p w14:paraId="1070F4F4" w14:textId="77777777" w:rsidR="00F47CC6" w:rsidRPr="00F47CC6" w:rsidRDefault="00F47CC6" w:rsidP="00F47CC6">
      <w:pPr>
        <w:rPr>
          <w:rFonts w:ascii="Baskerville" w:hAnsi="Baskerville"/>
        </w:rPr>
      </w:pPr>
      <w:r w:rsidRPr="00F47CC6">
        <w:rPr>
          <w:rFonts w:ascii="Baskerville" w:hAnsi="Baskerville"/>
        </w:rPr>
        <w:t xml:space="preserve">The AFL strategy that worked best for me and the class was the Pause, Pounce, Bounce and Pounce questioning. As this strategy was able to be differentiated other pupils were able to expand on answers. I was able to assess pupils’ knowledge and understanding and to see what needed working on in the next lesson. Teachers can facilitate more effective learning and increase pupils’ ability to apply more advanced problem-solving skills by helping them make connections between their prior knowledge and the new information they are learning. </w:t>
      </w:r>
    </w:p>
    <w:p w14:paraId="33FA488F" w14:textId="5871E08C" w:rsidR="007438D0" w:rsidRPr="00F47CC6" w:rsidRDefault="00F47CC6" w:rsidP="00F47CC6">
      <w:pPr>
        <w:rPr>
          <w:rFonts w:ascii="Baskerville" w:hAnsi="Baskerville"/>
        </w:rPr>
      </w:pPr>
      <w:r w:rsidRPr="00F47CC6">
        <w:rPr>
          <w:rFonts w:ascii="Baskerville" w:hAnsi="Baskerville"/>
        </w:rPr>
        <w:t>I am going to incorporate more peer assessments into my lesson plans because it is a helpful AFL strategy that allows students to review and comment on each other’s work. Which will motivate them to refine their abilities. Exit tickets are a form of assessment given at the end of a lesson to gauge the student's level of understanding. This is another AFL strategy that I will cover in a future session.</w:t>
      </w:r>
    </w:p>
    <w:p w14:paraId="5DA410C4" w14:textId="4419FE67" w:rsidR="007438D0" w:rsidRDefault="007438D0" w:rsidP="00D15F3A">
      <w:pPr>
        <w:rPr>
          <w:rFonts w:ascii="Baskerville" w:hAnsi="Baskerville"/>
          <w:u w:val="single"/>
        </w:rPr>
      </w:pPr>
    </w:p>
    <w:p w14:paraId="5586E521" w14:textId="77777777" w:rsidR="007438D0" w:rsidRDefault="007438D0" w:rsidP="00D15F3A">
      <w:pPr>
        <w:rPr>
          <w:rFonts w:ascii="Baskerville" w:hAnsi="Baskerville"/>
          <w:u w:val="single"/>
        </w:rPr>
      </w:pPr>
    </w:p>
    <w:p w14:paraId="304405B8" w14:textId="77777777" w:rsidR="007438D0" w:rsidRDefault="007438D0" w:rsidP="00D15F3A">
      <w:pPr>
        <w:rPr>
          <w:rFonts w:ascii="Baskerville" w:hAnsi="Baskerville"/>
          <w:u w:val="single"/>
        </w:rPr>
      </w:pPr>
    </w:p>
    <w:p w14:paraId="5089F929" w14:textId="77777777" w:rsidR="007438D0" w:rsidRDefault="007438D0" w:rsidP="00D15F3A">
      <w:pPr>
        <w:rPr>
          <w:rFonts w:ascii="Baskerville" w:hAnsi="Baskerville"/>
          <w:u w:val="single"/>
        </w:rPr>
      </w:pPr>
    </w:p>
    <w:p w14:paraId="23544051" w14:textId="77777777" w:rsidR="007438D0" w:rsidRDefault="007438D0" w:rsidP="00D15F3A">
      <w:pPr>
        <w:rPr>
          <w:rFonts w:ascii="Baskerville" w:hAnsi="Baskerville"/>
          <w:u w:val="single"/>
        </w:rPr>
      </w:pPr>
    </w:p>
    <w:p w14:paraId="5411A592" w14:textId="77777777" w:rsidR="007438D0" w:rsidRDefault="007438D0" w:rsidP="00D15F3A">
      <w:pPr>
        <w:rPr>
          <w:rFonts w:ascii="Baskerville" w:hAnsi="Baskerville"/>
          <w:u w:val="single"/>
        </w:rPr>
      </w:pPr>
    </w:p>
    <w:p w14:paraId="43F692AF" w14:textId="77777777" w:rsidR="007438D0" w:rsidRDefault="007438D0" w:rsidP="00D15F3A">
      <w:pPr>
        <w:rPr>
          <w:rFonts w:ascii="Baskerville" w:hAnsi="Baskerville"/>
          <w:u w:val="single"/>
        </w:rPr>
      </w:pPr>
    </w:p>
    <w:p w14:paraId="604459D3" w14:textId="4409B877" w:rsidR="00984A46" w:rsidRPr="00BD23C3" w:rsidRDefault="00984A46" w:rsidP="00D15F3A">
      <w:pPr>
        <w:rPr>
          <w:rFonts w:ascii="Baskerville" w:hAnsi="Baskerville"/>
        </w:rPr>
      </w:pPr>
      <w:r w:rsidRPr="00786C42">
        <w:rPr>
          <w:rFonts w:ascii="Baskerville" w:hAnsi="Baskerville"/>
          <w:u w:val="single"/>
        </w:rPr>
        <w:t xml:space="preserve">References </w:t>
      </w:r>
    </w:p>
    <w:p w14:paraId="70D3BE45" w14:textId="77777777" w:rsidR="00786C42" w:rsidRDefault="00786C42" w:rsidP="00D15F3A">
      <w:pPr>
        <w:rPr>
          <w:rFonts w:ascii="Baskerville" w:hAnsi="Baskerville"/>
          <w:u w:val="single"/>
        </w:rPr>
      </w:pPr>
    </w:p>
    <w:p w14:paraId="153E4F06" w14:textId="4A63C7FD" w:rsidR="00786C42" w:rsidRDefault="005F2165" w:rsidP="005F2165">
      <w:pPr>
        <w:pStyle w:val="ListParagraph"/>
        <w:numPr>
          <w:ilvl w:val="0"/>
          <w:numId w:val="1"/>
        </w:numPr>
        <w:rPr>
          <w:rFonts w:ascii="Baskerville" w:hAnsi="Baskerville"/>
        </w:rPr>
      </w:pPr>
      <w:r>
        <w:rPr>
          <w:rFonts w:ascii="Baskerville" w:hAnsi="Baskerville"/>
        </w:rPr>
        <w:t xml:space="preserve">Anon, (n.d.). </w:t>
      </w:r>
      <w:r w:rsidR="008A27B1">
        <w:rPr>
          <w:rFonts w:ascii="Baskerville" w:hAnsi="Baskerville"/>
        </w:rPr>
        <w:t xml:space="preserve">Curriculum – </w:t>
      </w:r>
      <w:proofErr w:type="spellStart"/>
      <w:r w:rsidR="008A27B1">
        <w:rPr>
          <w:rFonts w:ascii="Baskerville" w:hAnsi="Baskerville"/>
        </w:rPr>
        <w:t>Cyfartha</w:t>
      </w:r>
      <w:proofErr w:type="spellEnd"/>
      <w:r w:rsidR="008A27B1">
        <w:rPr>
          <w:rFonts w:ascii="Baskerville" w:hAnsi="Baskerville"/>
        </w:rPr>
        <w:t xml:space="preserve"> High School Website. (Online)</w:t>
      </w:r>
      <w:r w:rsidR="00017A01">
        <w:rPr>
          <w:rFonts w:ascii="Baskerville" w:hAnsi="Baskerville"/>
        </w:rPr>
        <w:t xml:space="preserve">. Available </w:t>
      </w:r>
      <w:r w:rsidR="001F2C23">
        <w:rPr>
          <w:rFonts w:ascii="Baskerville" w:hAnsi="Baskerville"/>
        </w:rPr>
        <w:t>at:</w:t>
      </w:r>
      <w:r w:rsidR="001F2C23" w:rsidRPr="001F2C23">
        <w:t xml:space="preserve"> </w:t>
      </w:r>
      <w:hyperlink r:id="rId8" w:history="1">
        <w:r w:rsidR="00CA7B96" w:rsidRPr="006526F7">
          <w:rPr>
            <w:rStyle w:val="Hyperlink"/>
            <w:rFonts w:ascii="Baskerville" w:hAnsi="Baskerville"/>
          </w:rPr>
          <w:t>https://cyfarthfahigh.merthyr.sch.uk/curriculum/</w:t>
        </w:r>
      </w:hyperlink>
      <w:r w:rsidR="00CA7B96">
        <w:rPr>
          <w:rFonts w:ascii="Baskerville" w:hAnsi="Baskerville"/>
        </w:rPr>
        <w:t xml:space="preserve"> </w:t>
      </w:r>
      <w:r w:rsidR="00A75614">
        <w:rPr>
          <w:rFonts w:ascii="Baskerville" w:hAnsi="Baskerville"/>
        </w:rPr>
        <w:t>(Accessed 23</w:t>
      </w:r>
      <w:r w:rsidR="00A75614" w:rsidRPr="00A75614">
        <w:rPr>
          <w:rFonts w:ascii="Baskerville" w:hAnsi="Baskerville"/>
          <w:vertAlign w:val="superscript"/>
        </w:rPr>
        <w:t>rd</w:t>
      </w:r>
      <w:r w:rsidR="00A75614">
        <w:rPr>
          <w:rFonts w:ascii="Baskerville" w:hAnsi="Baskerville"/>
        </w:rPr>
        <w:t xml:space="preserve"> December 2023). </w:t>
      </w:r>
    </w:p>
    <w:p w14:paraId="1291F91F" w14:textId="6E6C412C" w:rsidR="00A75614" w:rsidRDefault="00F5420D" w:rsidP="005F2165">
      <w:pPr>
        <w:pStyle w:val="ListParagraph"/>
        <w:numPr>
          <w:ilvl w:val="0"/>
          <w:numId w:val="1"/>
        </w:numPr>
        <w:rPr>
          <w:rFonts w:ascii="Baskerville" w:hAnsi="Baskerville"/>
        </w:rPr>
      </w:pPr>
      <w:r>
        <w:rPr>
          <w:rFonts w:ascii="Baskerville" w:hAnsi="Baskerville"/>
        </w:rPr>
        <w:t>Archer J.C</w:t>
      </w:r>
      <w:r w:rsidR="009D70E2">
        <w:rPr>
          <w:rFonts w:ascii="Baskerville" w:hAnsi="Baskerville"/>
        </w:rPr>
        <w:t xml:space="preserve">. (2010). State of Science in Health Professional Education. Effective feedback. Medical education, 44, 101-108. </w:t>
      </w:r>
    </w:p>
    <w:p w14:paraId="6F9D15A7" w14:textId="1BB86636" w:rsidR="00AC4901" w:rsidRPr="00794E0F" w:rsidRDefault="00EF4348" w:rsidP="00794E0F">
      <w:pPr>
        <w:pStyle w:val="ListParagraph"/>
        <w:numPr>
          <w:ilvl w:val="0"/>
          <w:numId w:val="1"/>
        </w:numPr>
        <w:rPr>
          <w:rFonts w:ascii="Baskerville" w:hAnsi="Baskerville"/>
        </w:rPr>
      </w:pPr>
      <w:r>
        <w:rPr>
          <w:rFonts w:ascii="Baskerville" w:hAnsi="Baskerville"/>
        </w:rPr>
        <w:t>Ball E.C (2010)</w:t>
      </w:r>
      <w:r w:rsidR="00B85E2F">
        <w:rPr>
          <w:rFonts w:ascii="Baskerville" w:hAnsi="Baskerville"/>
        </w:rPr>
        <w:t xml:space="preserve">. Annotation an effective device for student feedback: A critical review of the literature Nurse Education in practice, 10, 138-143. </w:t>
      </w:r>
    </w:p>
    <w:p w14:paraId="637547F1" w14:textId="636512C6" w:rsidR="003A5EDC" w:rsidRDefault="003A5EDC" w:rsidP="005F2165">
      <w:pPr>
        <w:pStyle w:val="ListParagraph"/>
        <w:numPr>
          <w:ilvl w:val="0"/>
          <w:numId w:val="1"/>
        </w:numPr>
        <w:rPr>
          <w:rFonts w:ascii="Baskerville" w:hAnsi="Baskerville"/>
        </w:rPr>
      </w:pPr>
      <w:r>
        <w:rPr>
          <w:rFonts w:ascii="Baskerville" w:hAnsi="Baskerville"/>
        </w:rPr>
        <w:t xml:space="preserve">Black, P. and D </w:t>
      </w:r>
      <w:proofErr w:type="spellStart"/>
      <w:r>
        <w:rPr>
          <w:rFonts w:ascii="Baskerville" w:hAnsi="Baskerville"/>
        </w:rPr>
        <w:t>Wiliam</w:t>
      </w:r>
      <w:proofErr w:type="spellEnd"/>
      <w:r>
        <w:rPr>
          <w:rFonts w:ascii="Baskerville" w:hAnsi="Baskerville"/>
        </w:rPr>
        <w:t xml:space="preserve"> </w:t>
      </w:r>
      <w:r w:rsidR="009C3DB1">
        <w:rPr>
          <w:rFonts w:ascii="Baskerville" w:hAnsi="Baskerville"/>
        </w:rPr>
        <w:t>(1998a), “Assessment and classroom learning” Assessment in education: principles policy and practice, vol. 5, No. 1, pp</w:t>
      </w:r>
      <w:r w:rsidR="00221407">
        <w:rPr>
          <w:rFonts w:ascii="Baskerville" w:hAnsi="Baskerville"/>
        </w:rPr>
        <w:t>. 7-73</w:t>
      </w:r>
      <w:r w:rsidR="00617BBA">
        <w:rPr>
          <w:rFonts w:ascii="Baskerville" w:hAnsi="Baskerville"/>
        </w:rPr>
        <w:t>.</w:t>
      </w:r>
    </w:p>
    <w:p w14:paraId="630DA70F" w14:textId="33FD2CB8" w:rsidR="00617BBA" w:rsidRDefault="00794E0F" w:rsidP="005F2165">
      <w:pPr>
        <w:pStyle w:val="ListParagraph"/>
        <w:numPr>
          <w:ilvl w:val="0"/>
          <w:numId w:val="1"/>
        </w:numPr>
        <w:rPr>
          <w:rFonts w:ascii="Baskerville" w:hAnsi="Baskerville"/>
        </w:rPr>
      </w:pPr>
      <w:r>
        <w:rPr>
          <w:rFonts w:ascii="Baskerville" w:hAnsi="Baskerville"/>
        </w:rPr>
        <w:t xml:space="preserve">Black, P. and </w:t>
      </w:r>
      <w:proofErr w:type="spellStart"/>
      <w:r>
        <w:rPr>
          <w:rFonts w:ascii="Baskerville" w:hAnsi="Baskerville"/>
        </w:rPr>
        <w:t>Wiliam</w:t>
      </w:r>
      <w:proofErr w:type="spellEnd"/>
      <w:r>
        <w:rPr>
          <w:rFonts w:ascii="Baskerville" w:hAnsi="Baskerville"/>
        </w:rPr>
        <w:t>, D., 1998</w:t>
      </w:r>
      <w:r w:rsidR="003A0068">
        <w:rPr>
          <w:rFonts w:ascii="Baskerville" w:hAnsi="Baskerville"/>
        </w:rPr>
        <w:t xml:space="preserve">. Assessment and Classroom learning. “Assessment in Education: principles, policy &amp;practice 5, no.1 (1998:7-74). </w:t>
      </w:r>
    </w:p>
    <w:p w14:paraId="064A6876" w14:textId="048AF351" w:rsidR="003A0068" w:rsidRDefault="00164181" w:rsidP="005F2165">
      <w:pPr>
        <w:pStyle w:val="ListParagraph"/>
        <w:numPr>
          <w:ilvl w:val="0"/>
          <w:numId w:val="1"/>
        </w:numPr>
        <w:rPr>
          <w:rFonts w:ascii="Baskerville" w:hAnsi="Baskerville"/>
        </w:rPr>
      </w:pPr>
      <w:r>
        <w:rPr>
          <w:rFonts w:ascii="Baskerville" w:hAnsi="Baskerville"/>
        </w:rPr>
        <w:t xml:space="preserve">Black, P.J., </w:t>
      </w:r>
      <w:r w:rsidR="00B47E30">
        <w:rPr>
          <w:rFonts w:ascii="Baskerville" w:hAnsi="Baskerville"/>
        </w:rPr>
        <w:t xml:space="preserve">&amp; </w:t>
      </w:r>
      <w:proofErr w:type="spellStart"/>
      <w:r w:rsidR="00B47E30">
        <w:rPr>
          <w:rFonts w:ascii="Baskerville" w:hAnsi="Baskerville"/>
        </w:rPr>
        <w:t>Wiliam</w:t>
      </w:r>
      <w:proofErr w:type="spellEnd"/>
      <w:r w:rsidR="00B47E30">
        <w:rPr>
          <w:rFonts w:ascii="Baskerville" w:hAnsi="Baskerville"/>
        </w:rPr>
        <w:t xml:space="preserve">, D. (2009) Developing the theory of formative assessment. </w:t>
      </w:r>
      <w:proofErr w:type="spellStart"/>
      <w:r w:rsidR="00B47E30">
        <w:rPr>
          <w:rFonts w:ascii="Baskerville" w:hAnsi="Baskerville"/>
        </w:rPr>
        <w:t>Educ</w:t>
      </w:r>
      <w:proofErr w:type="spellEnd"/>
      <w:r w:rsidR="00B47E30">
        <w:rPr>
          <w:rFonts w:ascii="Baskerville" w:hAnsi="Baskerville"/>
        </w:rPr>
        <w:t xml:space="preserve"> Asse Eval </w:t>
      </w:r>
      <w:proofErr w:type="spellStart"/>
      <w:r w:rsidR="00B47E30">
        <w:rPr>
          <w:rFonts w:ascii="Baskerville" w:hAnsi="Baskerville"/>
        </w:rPr>
        <w:t>Acc</w:t>
      </w:r>
      <w:proofErr w:type="spellEnd"/>
      <w:r w:rsidR="00B47E30">
        <w:rPr>
          <w:rFonts w:ascii="Baskerville" w:hAnsi="Baskerville"/>
        </w:rPr>
        <w:t xml:space="preserve">, 21 (5), 5-29. </w:t>
      </w:r>
    </w:p>
    <w:p w14:paraId="5B607697" w14:textId="58077E00" w:rsidR="006C7354" w:rsidRDefault="006C7354" w:rsidP="005F2165">
      <w:pPr>
        <w:pStyle w:val="ListParagraph"/>
        <w:numPr>
          <w:ilvl w:val="0"/>
          <w:numId w:val="1"/>
        </w:numPr>
        <w:rPr>
          <w:rFonts w:ascii="Baskerville" w:hAnsi="Baskerville"/>
        </w:rPr>
      </w:pPr>
      <w:proofErr w:type="spellStart"/>
      <w:r>
        <w:rPr>
          <w:rFonts w:ascii="Baskerville" w:hAnsi="Baskerville"/>
        </w:rPr>
        <w:t>Boud</w:t>
      </w:r>
      <w:proofErr w:type="spellEnd"/>
      <w:r>
        <w:rPr>
          <w:rFonts w:ascii="Baskerville" w:hAnsi="Baskerville"/>
        </w:rPr>
        <w:t xml:space="preserve">, D., &amp; </w:t>
      </w:r>
      <w:proofErr w:type="spellStart"/>
      <w:r>
        <w:rPr>
          <w:rFonts w:ascii="Baskerville" w:hAnsi="Baskerville"/>
        </w:rPr>
        <w:t>Falchikov</w:t>
      </w:r>
      <w:proofErr w:type="spellEnd"/>
      <w:r>
        <w:rPr>
          <w:rFonts w:ascii="Baskerville" w:hAnsi="Baskerville"/>
        </w:rPr>
        <w:t>, N</w:t>
      </w:r>
      <w:r w:rsidR="00B161AB">
        <w:rPr>
          <w:rFonts w:ascii="Baskerville" w:hAnsi="Baskerville"/>
        </w:rPr>
        <w:t xml:space="preserve">. (2006). Aligning assessment with long-term learning. </w:t>
      </w:r>
      <w:proofErr w:type="spellStart"/>
      <w:r w:rsidR="00B161AB">
        <w:rPr>
          <w:rFonts w:ascii="Baskerville" w:hAnsi="Baskerville"/>
        </w:rPr>
        <w:t>Assessement</w:t>
      </w:r>
      <w:proofErr w:type="spellEnd"/>
      <w:r w:rsidR="00B161AB">
        <w:rPr>
          <w:rFonts w:ascii="Baskerville" w:hAnsi="Baskerville"/>
        </w:rPr>
        <w:t xml:space="preserve"> and Evaluation in Higher </w:t>
      </w:r>
      <w:r w:rsidR="00BD6598">
        <w:rPr>
          <w:rFonts w:ascii="Baskerville" w:hAnsi="Baskerville"/>
        </w:rPr>
        <w:t xml:space="preserve">education, 31 (4), 399-413. </w:t>
      </w:r>
    </w:p>
    <w:p w14:paraId="2033F8C9" w14:textId="3ABEEF90" w:rsidR="006A3F70" w:rsidRPr="008A68E0" w:rsidRDefault="006A3F70" w:rsidP="008A68E0">
      <w:pPr>
        <w:pStyle w:val="NormalWeb"/>
        <w:numPr>
          <w:ilvl w:val="0"/>
          <w:numId w:val="1"/>
        </w:numPr>
        <w:shd w:val="clear" w:color="auto" w:fill="FFFFFF"/>
        <w:spacing w:before="0" w:beforeAutospacing="0" w:after="0" w:afterAutospacing="0" w:line="360" w:lineRule="atLeast"/>
        <w:rPr>
          <w:rFonts w:ascii="Baskerville" w:hAnsi="Baskerville" w:cs="Calibri"/>
          <w:color w:val="000000"/>
        </w:rPr>
      </w:pPr>
      <w:r w:rsidRPr="008A68E0">
        <w:rPr>
          <w:rFonts w:ascii="Baskerville" w:hAnsi="Baskerville" w:cs="Calibri"/>
          <w:color w:val="000000"/>
        </w:rPr>
        <w:t>Cambridge Assessment International Education (2011).</w:t>
      </w:r>
      <w:r w:rsidRPr="008A68E0">
        <w:rPr>
          <w:rStyle w:val="apple-converted-space"/>
          <w:rFonts w:ascii="Baskerville" w:hAnsi="Baskerville" w:cs="Calibri"/>
          <w:color w:val="000000"/>
        </w:rPr>
        <w:t> </w:t>
      </w:r>
      <w:r w:rsidRPr="008A68E0">
        <w:rPr>
          <w:rFonts w:ascii="Baskerville" w:hAnsi="Baskerville" w:cs="Calibri"/>
          <w:i/>
          <w:iCs/>
          <w:color w:val="000000"/>
        </w:rPr>
        <w:t>Getting Started with Assessment for Learning</w:t>
      </w:r>
      <w:r w:rsidRPr="008A68E0">
        <w:rPr>
          <w:rFonts w:ascii="Baskerville" w:hAnsi="Baskerville" w:cs="Calibri"/>
          <w:color w:val="000000"/>
        </w:rPr>
        <w:t xml:space="preserve">. [online] Cambridge-community.org.uk. </w:t>
      </w:r>
      <w:r w:rsidRPr="008A68E0">
        <w:rPr>
          <w:rFonts w:ascii="Baskerville" w:hAnsi="Baskerville" w:cs="Calibri"/>
          <w:color w:val="000000"/>
        </w:rPr>
        <w:t xml:space="preserve">Available at: </w:t>
      </w:r>
      <w:hyperlink r:id="rId9" w:history="1">
        <w:r w:rsidR="008A68E0" w:rsidRPr="006526F7">
          <w:rPr>
            <w:rStyle w:val="Hyperlink"/>
            <w:rFonts w:ascii="Baskerville" w:hAnsi="Baskerville" w:cs="Calibri"/>
          </w:rPr>
          <w:t>https://cambridge-community.org.uk/professional-development/gswafl/index.html</w:t>
        </w:r>
      </w:hyperlink>
      <w:r w:rsidRPr="008A68E0">
        <w:rPr>
          <w:rFonts w:ascii="Baskerville" w:hAnsi="Baskerville" w:cs="Calibri"/>
          <w:color w:val="000000"/>
        </w:rPr>
        <w:t>.</w:t>
      </w:r>
      <w:r w:rsidR="008A68E0">
        <w:rPr>
          <w:rFonts w:ascii="Baskerville" w:hAnsi="Baskerville" w:cs="Calibri"/>
          <w:color w:val="000000"/>
        </w:rPr>
        <w:t xml:space="preserve"> </w:t>
      </w:r>
    </w:p>
    <w:p w14:paraId="605F1247" w14:textId="16AC3476" w:rsidR="00191992" w:rsidRDefault="00191992" w:rsidP="005F2165">
      <w:pPr>
        <w:pStyle w:val="ListParagraph"/>
        <w:numPr>
          <w:ilvl w:val="0"/>
          <w:numId w:val="1"/>
        </w:numPr>
        <w:rPr>
          <w:rFonts w:ascii="Baskerville" w:hAnsi="Baskerville"/>
        </w:rPr>
      </w:pPr>
      <w:r>
        <w:rPr>
          <w:rFonts w:ascii="Baskerville" w:hAnsi="Baskerville"/>
        </w:rPr>
        <w:t>Cambridge – Community.org.uk.</w:t>
      </w:r>
      <w:r w:rsidR="001A2433">
        <w:rPr>
          <w:rFonts w:ascii="Baskerville" w:hAnsi="Baskerville"/>
        </w:rPr>
        <w:t xml:space="preserve"> (n.d.). Getting started with </w:t>
      </w:r>
      <w:r w:rsidR="003D499B">
        <w:rPr>
          <w:rFonts w:ascii="Baskerville" w:hAnsi="Baskerville"/>
        </w:rPr>
        <w:t>Effective</w:t>
      </w:r>
      <w:r w:rsidR="001A2433">
        <w:rPr>
          <w:rFonts w:ascii="Baskerville" w:hAnsi="Baskerville"/>
        </w:rPr>
        <w:t xml:space="preserve"> questioning (online)</w:t>
      </w:r>
      <w:r w:rsidR="003D499B">
        <w:rPr>
          <w:rFonts w:ascii="Baskerville" w:hAnsi="Baskerville"/>
        </w:rPr>
        <w:t xml:space="preserve">. Available at: </w:t>
      </w:r>
      <w:hyperlink r:id="rId10" w:history="1">
        <w:r w:rsidR="003D499B" w:rsidRPr="006526F7">
          <w:rPr>
            <w:rStyle w:val="Hyperlink"/>
            <w:rFonts w:ascii="Baskerville" w:hAnsi="Baskerville"/>
          </w:rPr>
          <w:t>https://cambridge-community.org.uk/professional-development/gsweq/index.html</w:t>
        </w:r>
      </w:hyperlink>
      <w:r w:rsidR="003D499B">
        <w:rPr>
          <w:rFonts w:ascii="Baskerville" w:hAnsi="Baskerville"/>
        </w:rPr>
        <w:t xml:space="preserve"> (Accessed 1st January 2024) </w:t>
      </w:r>
    </w:p>
    <w:p w14:paraId="77768C6A" w14:textId="576D68DD" w:rsidR="00B47E30" w:rsidRDefault="0009252E" w:rsidP="005F2165">
      <w:pPr>
        <w:pStyle w:val="ListParagraph"/>
        <w:numPr>
          <w:ilvl w:val="0"/>
          <w:numId w:val="1"/>
        </w:numPr>
        <w:rPr>
          <w:rFonts w:ascii="Baskerville" w:hAnsi="Baskerville"/>
        </w:rPr>
      </w:pPr>
      <w:r>
        <w:rPr>
          <w:rFonts w:ascii="Baskerville" w:hAnsi="Baskerville"/>
        </w:rPr>
        <w:t xml:space="preserve">CCEA (2007). The </w:t>
      </w:r>
      <w:proofErr w:type="spellStart"/>
      <w:r>
        <w:rPr>
          <w:rFonts w:ascii="Baskerville" w:hAnsi="Baskerville"/>
        </w:rPr>
        <w:t>Northen</w:t>
      </w:r>
      <w:proofErr w:type="spellEnd"/>
      <w:r>
        <w:rPr>
          <w:rFonts w:ascii="Baskerville" w:hAnsi="Baskerville"/>
        </w:rPr>
        <w:t xml:space="preserve"> Ireland Curriculum Primary (Online)</w:t>
      </w:r>
      <w:r w:rsidR="00831E93">
        <w:rPr>
          <w:rFonts w:ascii="Baskerville" w:hAnsi="Baskerville"/>
        </w:rPr>
        <w:t xml:space="preserve"> Belfast: CCEA. Available at: </w:t>
      </w:r>
      <w:hyperlink r:id="rId11" w:history="1">
        <w:r w:rsidR="00CB6555" w:rsidRPr="006526F7">
          <w:rPr>
            <w:rStyle w:val="Hyperlink"/>
            <w:rFonts w:ascii="Baskerville" w:hAnsi="Baskerville"/>
          </w:rPr>
          <w:t>https://ccea.org.uk/downloads/docs/ccea-asset/Curriculum/The%20Northern%20Ireland%20Curriculum%20-%20Primary.pdf</w:t>
        </w:r>
      </w:hyperlink>
      <w:r w:rsidR="00CB6555">
        <w:rPr>
          <w:rFonts w:ascii="Baskerville" w:hAnsi="Baskerville"/>
        </w:rPr>
        <w:t xml:space="preserve"> </w:t>
      </w:r>
      <w:proofErr w:type="gramStart"/>
      <w:r w:rsidR="00CB6555">
        <w:rPr>
          <w:rFonts w:ascii="Baskerville" w:hAnsi="Baskerville"/>
        </w:rPr>
        <w:t>( Accessed</w:t>
      </w:r>
      <w:proofErr w:type="gramEnd"/>
      <w:r w:rsidR="00CB6555">
        <w:rPr>
          <w:rFonts w:ascii="Baskerville" w:hAnsi="Baskerville"/>
        </w:rPr>
        <w:t xml:space="preserve"> 17</w:t>
      </w:r>
      <w:r w:rsidR="00CB6555" w:rsidRPr="00CB6555">
        <w:rPr>
          <w:rFonts w:ascii="Baskerville" w:hAnsi="Baskerville"/>
          <w:vertAlign w:val="superscript"/>
        </w:rPr>
        <w:t>th</w:t>
      </w:r>
      <w:r w:rsidR="00CB6555">
        <w:rPr>
          <w:rFonts w:ascii="Baskerville" w:hAnsi="Baskerville"/>
        </w:rPr>
        <w:t xml:space="preserve"> December 2023). </w:t>
      </w:r>
    </w:p>
    <w:p w14:paraId="53B8B577" w14:textId="4457956C" w:rsidR="00CB6555" w:rsidRDefault="001A5D8B" w:rsidP="005F2165">
      <w:pPr>
        <w:pStyle w:val="ListParagraph"/>
        <w:numPr>
          <w:ilvl w:val="0"/>
          <w:numId w:val="1"/>
        </w:numPr>
        <w:rPr>
          <w:rFonts w:ascii="Baskerville" w:hAnsi="Baskerville"/>
        </w:rPr>
      </w:pPr>
      <w:r>
        <w:rPr>
          <w:rFonts w:ascii="Baskerville" w:hAnsi="Baskerville"/>
        </w:rPr>
        <w:t>Dewey, J. (1903). Democracy in education. The E</w:t>
      </w:r>
      <w:r w:rsidR="001F29AF">
        <w:rPr>
          <w:rFonts w:ascii="Baskerville" w:hAnsi="Baskerville"/>
        </w:rPr>
        <w:t xml:space="preserve">lementary school teacher, 4(4), 193-204. </w:t>
      </w:r>
    </w:p>
    <w:p w14:paraId="7AE5E0CE" w14:textId="30C70D3F" w:rsidR="00AC2AD6" w:rsidRPr="00AC1121" w:rsidRDefault="00AC2AD6" w:rsidP="00AC2AD6">
      <w:pPr>
        <w:pStyle w:val="NormalWeb"/>
        <w:numPr>
          <w:ilvl w:val="0"/>
          <w:numId w:val="1"/>
        </w:numPr>
        <w:shd w:val="clear" w:color="auto" w:fill="FFFFFF"/>
        <w:spacing w:before="0" w:beforeAutospacing="0" w:after="0" w:afterAutospacing="0" w:line="360" w:lineRule="atLeast"/>
        <w:rPr>
          <w:rFonts w:ascii="Baskerville" w:hAnsi="Baskerville" w:cs="Calibri"/>
          <w:color w:val="000000"/>
        </w:rPr>
      </w:pPr>
      <w:proofErr w:type="spellStart"/>
      <w:r w:rsidRPr="00AC1121">
        <w:rPr>
          <w:rFonts w:ascii="Baskerville" w:hAnsi="Baskerville" w:cs="Calibri"/>
          <w:color w:val="000000"/>
        </w:rPr>
        <w:t>Didau</w:t>
      </w:r>
      <w:proofErr w:type="spellEnd"/>
      <w:r w:rsidRPr="00AC1121">
        <w:rPr>
          <w:rFonts w:ascii="Baskerville" w:hAnsi="Baskerville" w:cs="Calibri"/>
          <w:color w:val="000000"/>
        </w:rPr>
        <w:t>, D. (2014).</w:t>
      </w:r>
      <w:r w:rsidRPr="00AC1121">
        <w:rPr>
          <w:rStyle w:val="apple-converted-space"/>
          <w:rFonts w:ascii="Baskerville" w:hAnsi="Baskerville" w:cs="Calibri"/>
          <w:color w:val="000000"/>
        </w:rPr>
        <w:t> </w:t>
      </w:r>
      <w:r w:rsidRPr="00AC1121">
        <w:rPr>
          <w:rFonts w:ascii="Baskerville" w:hAnsi="Baskerville" w:cs="Calibri"/>
          <w:i/>
          <w:iCs/>
          <w:color w:val="000000"/>
        </w:rPr>
        <w:t xml:space="preserve">Why </w:t>
      </w:r>
      <w:proofErr w:type="spellStart"/>
      <w:r w:rsidRPr="00AC1121">
        <w:rPr>
          <w:rFonts w:ascii="Baskerville" w:hAnsi="Baskerville" w:cs="Calibri"/>
          <w:i/>
          <w:iCs/>
          <w:color w:val="000000"/>
        </w:rPr>
        <w:t>AfL</w:t>
      </w:r>
      <w:proofErr w:type="spellEnd"/>
      <w:r w:rsidRPr="00AC1121">
        <w:rPr>
          <w:rFonts w:ascii="Baskerville" w:hAnsi="Baskerville" w:cs="Calibri"/>
          <w:i/>
          <w:iCs/>
          <w:color w:val="000000"/>
        </w:rPr>
        <w:t xml:space="preserve"> might be wrong, and what to do about it</w:t>
      </w:r>
      <w:r w:rsidRPr="00AC1121">
        <w:rPr>
          <w:rFonts w:ascii="Baskerville" w:hAnsi="Baskerville" w:cs="Calibri"/>
          <w:color w:val="000000"/>
        </w:rPr>
        <w:t xml:space="preserve">. [online] David </w:t>
      </w:r>
      <w:proofErr w:type="spellStart"/>
      <w:r w:rsidRPr="00AC1121">
        <w:rPr>
          <w:rFonts w:ascii="Baskerville" w:hAnsi="Baskerville" w:cs="Calibri"/>
          <w:color w:val="000000"/>
        </w:rPr>
        <w:t>Didau</w:t>
      </w:r>
      <w:proofErr w:type="spellEnd"/>
      <w:r w:rsidRPr="00AC1121">
        <w:rPr>
          <w:rFonts w:ascii="Baskerville" w:hAnsi="Baskerville" w:cs="Calibri"/>
          <w:color w:val="000000"/>
        </w:rPr>
        <w:t>. Available at: https://learningspy.co.uk/myths/afl-might-wrong/.</w:t>
      </w:r>
    </w:p>
    <w:p w14:paraId="41830364" w14:textId="0B7A36BC" w:rsidR="001F29AF" w:rsidRDefault="00F21E17" w:rsidP="005F2165">
      <w:pPr>
        <w:pStyle w:val="ListParagraph"/>
        <w:numPr>
          <w:ilvl w:val="0"/>
          <w:numId w:val="1"/>
        </w:numPr>
        <w:rPr>
          <w:rFonts w:ascii="Baskerville" w:hAnsi="Baskerville"/>
        </w:rPr>
      </w:pPr>
      <w:proofErr w:type="spellStart"/>
      <w:r>
        <w:rPr>
          <w:rFonts w:ascii="Baskerville" w:hAnsi="Baskerville"/>
        </w:rPr>
        <w:t>Didau</w:t>
      </w:r>
      <w:proofErr w:type="spellEnd"/>
      <w:r w:rsidR="00884F8B">
        <w:rPr>
          <w:rFonts w:ascii="Baskerville" w:hAnsi="Baskerville"/>
        </w:rPr>
        <w:t>, D., Rose, N. (2016) What every teacher needs to know about… psychology</w:t>
      </w:r>
      <w:r w:rsidR="009B0B47">
        <w:rPr>
          <w:rFonts w:ascii="Baskerville" w:hAnsi="Baskerville"/>
        </w:rPr>
        <w:t xml:space="preserve">. Woodbridge: John Catt. </w:t>
      </w:r>
    </w:p>
    <w:p w14:paraId="4D1F5E80" w14:textId="45248433" w:rsidR="00E148E5" w:rsidRDefault="00E148E5" w:rsidP="005F2165">
      <w:pPr>
        <w:pStyle w:val="ListParagraph"/>
        <w:numPr>
          <w:ilvl w:val="0"/>
          <w:numId w:val="1"/>
        </w:numPr>
        <w:rPr>
          <w:rFonts w:ascii="Baskerville" w:hAnsi="Baskerville"/>
        </w:rPr>
      </w:pPr>
      <w:proofErr w:type="spellStart"/>
      <w:r>
        <w:rPr>
          <w:rFonts w:ascii="Baskerville" w:hAnsi="Baskerville"/>
        </w:rPr>
        <w:t>Didau</w:t>
      </w:r>
      <w:proofErr w:type="spellEnd"/>
      <w:r>
        <w:rPr>
          <w:rFonts w:ascii="Baskerville" w:hAnsi="Baskerville"/>
        </w:rPr>
        <w:t>, D. (2022). Using mini whiteboards in English</w:t>
      </w:r>
      <w:r w:rsidR="0050095A">
        <w:rPr>
          <w:rFonts w:ascii="Baskerville" w:hAnsi="Baskerville"/>
        </w:rPr>
        <w:t xml:space="preserve">. (online). Available at: </w:t>
      </w:r>
      <w:hyperlink r:id="rId12" w:history="1">
        <w:r w:rsidR="00E945F0" w:rsidRPr="006526F7">
          <w:rPr>
            <w:rStyle w:val="Hyperlink"/>
            <w:rFonts w:ascii="Baskerville" w:hAnsi="Baskerville"/>
          </w:rPr>
          <w:t>https://learningspy.co.uk/english-gcse/using-mini-whiteboards-in-english/</w:t>
        </w:r>
      </w:hyperlink>
      <w:r w:rsidR="00E945F0">
        <w:rPr>
          <w:rFonts w:ascii="Baskerville" w:hAnsi="Baskerville"/>
        </w:rPr>
        <w:t xml:space="preserve"> (Accessed 1 January 2024) </w:t>
      </w:r>
    </w:p>
    <w:p w14:paraId="44E870D4" w14:textId="4E667E4A" w:rsidR="00EC04A9" w:rsidRDefault="00EC04A9" w:rsidP="005F2165">
      <w:pPr>
        <w:pStyle w:val="ListParagraph"/>
        <w:numPr>
          <w:ilvl w:val="0"/>
          <w:numId w:val="1"/>
        </w:numPr>
        <w:rPr>
          <w:rFonts w:ascii="Baskerville" w:hAnsi="Baskerville"/>
        </w:rPr>
      </w:pPr>
      <w:r>
        <w:rPr>
          <w:rFonts w:ascii="Baskerville" w:hAnsi="Baskerville"/>
        </w:rPr>
        <w:lastRenderedPageBreak/>
        <w:t xml:space="preserve">Dobson, S.R. and </w:t>
      </w:r>
      <w:proofErr w:type="spellStart"/>
      <w:r>
        <w:rPr>
          <w:rFonts w:ascii="Baskerville" w:hAnsi="Baskerville"/>
        </w:rPr>
        <w:t>Fudiyartan</w:t>
      </w:r>
      <w:r w:rsidR="00B4340D">
        <w:rPr>
          <w:rFonts w:ascii="Baskerville" w:hAnsi="Baskerville"/>
        </w:rPr>
        <w:t>to</w:t>
      </w:r>
      <w:proofErr w:type="spellEnd"/>
      <w:r w:rsidR="00B4340D">
        <w:rPr>
          <w:rFonts w:ascii="Baskerville" w:hAnsi="Baskerville"/>
        </w:rPr>
        <w:t>, F.A., 2023 challenging the culture of Formative Assessment</w:t>
      </w:r>
      <w:r w:rsidR="00B14E37">
        <w:rPr>
          <w:rFonts w:ascii="Baskerville" w:hAnsi="Baskerville"/>
        </w:rPr>
        <w:t xml:space="preserve">. A critical Appreciation of the work of Royce Sadler. “In Transforming Assessment in </w:t>
      </w:r>
      <w:r w:rsidR="003C44D0">
        <w:rPr>
          <w:rFonts w:ascii="Baskerville" w:hAnsi="Baskerville"/>
        </w:rPr>
        <w:t>education,</w:t>
      </w:r>
      <w:r w:rsidR="00B14E37">
        <w:rPr>
          <w:rFonts w:ascii="Baskerville" w:hAnsi="Baskerville"/>
        </w:rPr>
        <w:t xml:space="preserve"> the hidden world of language games</w:t>
      </w:r>
      <w:r w:rsidR="003C44D0">
        <w:rPr>
          <w:rFonts w:ascii="Baskerville" w:hAnsi="Baskerville"/>
        </w:rPr>
        <w:t xml:space="preserve">” (PP. 143-163) Cham: Springer International Publishing. </w:t>
      </w:r>
    </w:p>
    <w:p w14:paraId="581DA002" w14:textId="22AD5C2C" w:rsidR="00574F11" w:rsidRDefault="00574F11" w:rsidP="005F2165">
      <w:pPr>
        <w:pStyle w:val="ListParagraph"/>
        <w:numPr>
          <w:ilvl w:val="0"/>
          <w:numId w:val="1"/>
        </w:numPr>
        <w:rPr>
          <w:rFonts w:ascii="Baskerville" w:hAnsi="Baskerville"/>
        </w:rPr>
      </w:pPr>
      <w:r>
        <w:rPr>
          <w:rFonts w:ascii="Baskerville" w:hAnsi="Baskerville"/>
        </w:rPr>
        <w:t>D. Royce Sadler was the first professor to introduce “formative assessment” (D Royce Sadler – Google Scholar)</w:t>
      </w:r>
    </w:p>
    <w:p w14:paraId="47B854E6" w14:textId="650F0953" w:rsidR="00E17DC6" w:rsidRDefault="00E17DC6" w:rsidP="005F2165">
      <w:pPr>
        <w:pStyle w:val="ListParagraph"/>
        <w:numPr>
          <w:ilvl w:val="0"/>
          <w:numId w:val="1"/>
        </w:numPr>
        <w:rPr>
          <w:rFonts w:ascii="Baskerville" w:hAnsi="Baskerville"/>
        </w:rPr>
      </w:pPr>
      <w:r>
        <w:rPr>
          <w:rFonts w:ascii="Baskerville" w:hAnsi="Baskerville"/>
        </w:rPr>
        <w:t xml:space="preserve">Earl, L. (2013). Assessment as learning: </w:t>
      </w:r>
      <w:r w:rsidR="00992D9D">
        <w:rPr>
          <w:rFonts w:ascii="Baskerville" w:hAnsi="Baskerville"/>
        </w:rPr>
        <w:t>using classroom Assessments to maximise student learning (2</w:t>
      </w:r>
      <w:r w:rsidR="00992D9D" w:rsidRPr="00992D9D">
        <w:rPr>
          <w:rFonts w:ascii="Baskerville" w:hAnsi="Baskerville"/>
          <w:vertAlign w:val="superscript"/>
        </w:rPr>
        <w:t>nd</w:t>
      </w:r>
      <w:r w:rsidR="00992D9D">
        <w:rPr>
          <w:rFonts w:ascii="Baskerville" w:hAnsi="Baskerville"/>
        </w:rPr>
        <w:t xml:space="preserve"> ed</w:t>
      </w:r>
      <w:r w:rsidR="00B27420">
        <w:rPr>
          <w:rFonts w:ascii="Baskerville" w:hAnsi="Baskerville"/>
        </w:rPr>
        <w:t xml:space="preserve">.) </w:t>
      </w:r>
      <w:proofErr w:type="spellStart"/>
      <w:proofErr w:type="gramStart"/>
      <w:r w:rsidR="00B27420">
        <w:rPr>
          <w:rFonts w:ascii="Baskerville" w:hAnsi="Baskerville"/>
        </w:rPr>
        <w:t>Thousands</w:t>
      </w:r>
      <w:proofErr w:type="spellEnd"/>
      <w:proofErr w:type="gramEnd"/>
      <w:r w:rsidR="00B27420">
        <w:rPr>
          <w:rFonts w:ascii="Baskerville" w:hAnsi="Baskerville"/>
        </w:rPr>
        <w:t xml:space="preserve"> Oaks, C.A: Corwin Press. </w:t>
      </w:r>
    </w:p>
    <w:p w14:paraId="61713BEE" w14:textId="25D72467" w:rsidR="00EE70CC" w:rsidRDefault="00EE70CC" w:rsidP="005F2165">
      <w:pPr>
        <w:pStyle w:val="ListParagraph"/>
        <w:numPr>
          <w:ilvl w:val="0"/>
          <w:numId w:val="1"/>
        </w:numPr>
        <w:rPr>
          <w:rFonts w:ascii="Baskerville" w:hAnsi="Baskerville"/>
        </w:rPr>
      </w:pPr>
      <w:r>
        <w:rPr>
          <w:rFonts w:ascii="Baskerville" w:hAnsi="Baskerville"/>
        </w:rPr>
        <w:t>Education, P</w:t>
      </w:r>
      <w:r w:rsidR="00B1388C">
        <w:rPr>
          <w:rFonts w:ascii="Baskerville" w:hAnsi="Baskerville"/>
        </w:rPr>
        <w:t xml:space="preserve">.D.W-T.T.M.I.L. for I. (2020). Professor Dylan </w:t>
      </w:r>
      <w:proofErr w:type="spellStart"/>
      <w:r w:rsidR="00B1388C">
        <w:rPr>
          <w:rFonts w:ascii="Baskerville" w:hAnsi="Baskerville"/>
        </w:rPr>
        <w:t>Wiliam</w:t>
      </w:r>
      <w:proofErr w:type="spellEnd"/>
      <w:r w:rsidR="00B1388C">
        <w:rPr>
          <w:rFonts w:ascii="Baskerville" w:hAnsi="Baskerville"/>
        </w:rPr>
        <w:t xml:space="preserve"> – The most important levers for improving Education. (Online) Teacher Training </w:t>
      </w:r>
      <w:r w:rsidR="006B308A">
        <w:rPr>
          <w:rFonts w:ascii="Baskerville" w:hAnsi="Baskerville"/>
        </w:rPr>
        <w:t xml:space="preserve">UK. Available at: </w:t>
      </w:r>
      <w:hyperlink r:id="rId13" w:anchor=":~:text=When%20we%20go%20through%20the,in%20terms%20of%20classroom%20pedagogy" w:history="1">
        <w:r w:rsidR="00515D20" w:rsidRPr="006526F7">
          <w:rPr>
            <w:rStyle w:val="Hyperlink"/>
            <w:rFonts w:ascii="Baskerville" w:hAnsi="Baskerville"/>
          </w:rPr>
          <w:t>https://www.teachertraininguk.com/post/dylan-wiliam-the-two-most-important-levers-for-improving-education#:~:text=When%20we%20go%20through%20the,in%20terms%20of%20classroom%20pedagogy</w:t>
        </w:r>
      </w:hyperlink>
      <w:r w:rsidR="00CD5CCC" w:rsidRPr="00CD5CCC">
        <w:rPr>
          <w:rFonts w:ascii="Baskerville" w:hAnsi="Baskerville"/>
        </w:rPr>
        <w:t>.”</w:t>
      </w:r>
      <w:r w:rsidR="00515D20">
        <w:rPr>
          <w:rFonts w:ascii="Baskerville" w:hAnsi="Baskerville"/>
        </w:rPr>
        <w:t xml:space="preserve"> (Accessed 28</w:t>
      </w:r>
      <w:r w:rsidR="00515D20">
        <w:rPr>
          <w:rFonts w:ascii="Baskerville" w:hAnsi="Baskerville"/>
          <w:vertAlign w:val="superscript"/>
        </w:rPr>
        <w:t>th</w:t>
      </w:r>
      <w:r w:rsidR="00515D20">
        <w:rPr>
          <w:rFonts w:ascii="Baskerville" w:hAnsi="Baskerville"/>
        </w:rPr>
        <w:t xml:space="preserve"> December 2023). </w:t>
      </w:r>
    </w:p>
    <w:p w14:paraId="2C3C421D" w14:textId="2D28D000" w:rsidR="002D5F02" w:rsidRDefault="00BC1BEA" w:rsidP="005F2165">
      <w:pPr>
        <w:pStyle w:val="ListParagraph"/>
        <w:numPr>
          <w:ilvl w:val="0"/>
          <w:numId w:val="1"/>
        </w:numPr>
        <w:rPr>
          <w:rFonts w:ascii="Baskerville" w:hAnsi="Baskerville"/>
        </w:rPr>
      </w:pPr>
      <w:r>
        <w:rPr>
          <w:rFonts w:ascii="Baskerville" w:hAnsi="Baskerville"/>
        </w:rPr>
        <w:t>Farrell, T.S.C., &amp; Mom, N</w:t>
      </w:r>
      <w:r w:rsidR="00F56680">
        <w:rPr>
          <w:rFonts w:ascii="Baskerville" w:hAnsi="Baskerville"/>
        </w:rPr>
        <w:t>. (2015). Exploring Teacher Questions through reflective practice</w:t>
      </w:r>
      <w:r w:rsidR="00E5538B">
        <w:rPr>
          <w:rFonts w:ascii="Baskerville" w:hAnsi="Baskerville"/>
        </w:rPr>
        <w:t xml:space="preserve">. Reflective practice. Reflective practice International and </w:t>
      </w:r>
      <w:proofErr w:type="spellStart"/>
      <w:r w:rsidR="00E5538B">
        <w:rPr>
          <w:rFonts w:ascii="Baskerville" w:hAnsi="Baskerville"/>
        </w:rPr>
        <w:t>Multidisplinary</w:t>
      </w:r>
      <w:proofErr w:type="spellEnd"/>
      <w:r w:rsidR="00E5538B">
        <w:rPr>
          <w:rFonts w:ascii="Baskerville" w:hAnsi="Baskerville"/>
        </w:rPr>
        <w:t xml:space="preserve"> perspectives, 16 (6), 849-865. </w:t>
      </w:r>
    </w:p>
    <w:p w14:paraId="60999F99" w14:textId="11F5496E" w:rsidR="005C03BF" w:rsidRPr="00E00361" w:rsidRDefault="005C03BF" w:rsidP="005C03BF">
      <w:pPr>
        <w:pStyle w:val="ListParagraph"/>
        <w:numPr>
          <w:ilvl w:val="0"/>
          <w:numId w:val="1"/>
        </w:numPr>
        <w:spacing w:after="0"/>
        <w:rPr>
          <w:rFonts w:ascii="Baskerville" w:eastAsia="Times New Roman" w:hAnsi="Baskerville" w:cs="Times New Roman"/>
          <w:sz w:val="36"/>
          <w:szCs w:val="36"/>
          <w:lang w:eastAsia="en-GB"/>
        </w:rPr>
      </w:pPr>
      <w:r w:rsidRPr="00E00361">
        <w:rPr>
          <w:rFonts w:ascii="Baskerville" w:eastAsia="Times New Roman" w:hAnsi="Baskerville" w:cs="Arial"/>
          <w:color w:val="222222"/>
          <w:shd w:val="clear" w:color="auto" w:fill="FFFFFF"/>
          <w:lang w:eastAsia="en-GB"/>
        </w:rPr>
        <w:t xml:space="preserve">Gardiner, J.B., 2019. Assessment for Learning in the Primary Classroom: A Report Based on ‘Episodes of </w:t>
      </w:r>
      <w:proofErr w:type="spellStart"/>
      <w:r w:rsidRPr="00E00361">
        <w:rPr>
          <w:rFonts w:ascii="Baskerville" w:eastAsia="Times New Roman" w:hAnsi="Baskerville" w:cs="Arial"/>
          <w:color w:val="222222"/>
          <w:shd w:val="clear" w:color="auto" w:fill="FFFFFF"/>
          <w:lang w:eastAsia="en-GB"/>
        </w:rPr>
        <w:t>Interaction’Focussing</w:t>
      </w:r>
      <w:proofErr w:type="spellEnd"/>
      <w:r w:rsidRPr="00E00361">
        <w:rPr>
          <w:rFonts w:ascii="Baskerville" w:eastAsia="Times New Roman" w:hAnsi="Baskerville" w:cs="Arial"/>
          <w:color w:val="222222"/>
          <w:shd w:val="clear" w:color="auto" w:fill="FFFFFF"/>
          <w:lang w:eastAsia="en-GB"/>
        </w:rPr>
        <w:t xml:space="preserve"> on Formative Assessment and Effective Pedagogy in Primary Science.</w:t>
      </w:r>
    </w:p>
    <w:p w14:paraId="1E7214D8" w14:textId="49C3968D" w:rsidR="00E00361" w:rsidRPr="00603534" w:rsidRDefault="00E00361" w:rsidP="00603534">
      <w:pPr>
        <w:pStyle w:val="NormalWeb"/>
        <w:numPr>
          <w:ilvl w:val="0"/>
          <w:numId w:val="1"/>
        </w:numPr>
        <w:shd w:val="clear" w:color="auto" w:fill="FFFFFF"/>
        <w:spacing w:before="0" w:beforeAutospacing="0" w:after="0" w:afterAutospacing="0" w:line="360" w:lineRule="atLeast"/>
        <w:rPr>
          <w:rFonts w:ascii="Baskerville" w:hAnsi="Baskerville" w:cs="Calibri"/>
          <w:color w:val="000000"/>
        </w:rPr>
      </w:pPr>
      <w:r w:rsidRPr="00603534">
        <w:rPr>
          <w:rFonts w:ascii="Baskerville" w:hAnsi="Baskerville" w:cs="Calibri"/>
          <w:color w:val="000000"/>
        </w:rPr>
        <w:t>GOV.WALES. (n.d.).</w:t>
      </w:r>
      <w:r w:rsidRPr="00603534">
        <w:rPr>
          <w:rStyle w:val="apple-converted-space"/>
          <w:rFonts w:ascii="Baskerville" w:hAnsi="Baskerville" w:cs="Calibri"/>
          <w:color w:val="000000"/>
        </w:rPr>
        <w:t> </w:t>
      </w:r>
      <w:r w:rsidRPr="00603534">
        <w:rPr>
          <w:rFonts w:ascii="Baskerville" w:hAnsi="Baskerville" w:cs="Calibri"/>
          <w:i/>
          <w:iCs/>
          <w:color w:val="000000"/>
        </w:rPr>
        <w:t>Supporting progression in language learning: assessment in the Curriculum for Wales (summary)</w:t>
      </w:r>
      <w:r w:rsidRPr="00603534">
        <w:rPr>
          <w:rFonts w:ascii="Baskerville" w:hAnsi="Baskerville" w:cs="Calibri"/>
          <w:color w:val="000000"/>
        </w:rPr>
        <w:t>. [online] Available at: https://www.gov.wales/supporting-progression-language-learning-assessment-curriculum-wales-summary-html.</w:t>
      </w:r>
    </w:p>
    <w:p w14:paraId="12A06200" w14:textId="4490EDAE" w:rsidR="00515D20" w:rsidRDefault="005D0DD2" w:rsidP="005F2165">
      <w:pPr>
        <w:pStyle w:val="ListParagraph"/>
        <w:numPr>
          <w:ilvl w:val="0"/>
          <w:numId w:val="1"/>
        </w:numPr>
        <w:rPr>
          <w:rFonts w:ascii="Baskerville" w:hAnsi="Baskerville"/>
        </w:rPr>
      </w:pPr>
      <w:proofErr w:type="spellStart"/>
      <w:r>
        <w:rPr>
          <w:rFonts w:ascii="Baskerville" w:hAnsi="Baskerville"/>
        </w:rPr>
        <w:t>Gu</w:t>
      </w:r>
      <w:r w:rsidR="0097698A">
        <w:rPr>
          <w:rFonts w:ascii="Baskerville" w:hAnsi="Baskerville"/>
        </w:rPr>
        <w:t>likers</w:t>
      </w:r>
      <w:proofErr w:type="spellEnd"/>
      <w:r w:rsidR="0097698A">
        <w:rPr>
          <w:rFonts w:ascii="Baskerville" w:hAnsi="Baskerville"/>
        </w:rPr>
        <w:t xml:space="preserve">, J.T.M&amp;L. </w:t>
      </w:r>
      <w:proofErr w:type="spellStart"/>
      <w:r w:rsidR="0097698A">
        <w:rPr>
          <w:rFonts w:ascii="Baskerville" w:hAnsi="Baskerville"/>
        </w:rPr>
        <w:t>Baartman</w:t>
      </w:r>
      <w:proofErr w:type="spellEnd"/>
      <w:r w:rsidR="0097698A">
        <w:rPr>
          <w:rFonts w:ascii="Baskerville" w:hAnsi="Baskerville"/>
        </w:rPr>
        <w:t xml:space="preserve"> (2017). Overview study in </w:t>
      </w:r>
      <w:proofErr w:type="spellStart"/>
      <w:r w:rsidR="0097698A">
        <w:rPr>
          <w:rFonts w:ascii="Baskerville" w:hAnsi="Baskerville"/>
        </w:rPr>
        <w:t>dutch</w:t>
      </w:r>
      <w:proofErr w:type="spellEnd"/>
      <w:r w:rsidR="0097698A">
        <w:rPr>
          <w:rFonts w:ascii="Baskerville" w:hAnsi="Baskerville"/>
        </w:rPr>
        <w:t xml:space="preserve">, purposeful professionalization. </w:t>
      </w:r>
      <w:r w:rsidR="00A04577">
        <w:rPr>
          <w:rFonts w:ascii="Baskerville" w:hAnsi="Baskerville"/>
        </w:rPr>
        <w:t xml:space="preserve">Formative assessment with effect! What does the teacher do in the classroom? </w:t>
      </w:r>
    </w:p>
    <w:p w14:paraId="6837E5FA" w14:textId="2C699993" w:rsidR="00A04577" w:rsidRDefault="00233C60" w:rsidP="005F2165">
      <w:pPr>
        <w:pStyle w:val="ListParagraph"/>
        <w:numPr>
          <w:ilvl w:val="0"/>
          <w:numId w:val="1"/>
        </w:numPr>
        <w:rPr>
          <w:rFonts w:ascii="Baskerville" w:hAnsi="Baskerville"/>
        </w:rPr>
      </w:pPr>
      <w:r>
        <w:rPr>
          <w:rFonts w:ascii="Baskerville" w:hAnsi="Baskerville"/>
        </w:rPr>
        <w:t xml:space="preserve">Hattie, J. and Timperley, H., 2007. The power of feedback. Review of educational research, 77 (1) pp,81-112. </w:t>
      </w:r>
    </w:p>
    <w:p w14:paraId="1D17BBF4" w14:textId="62F342EF" w:rsidR="00233C60" w:rsidRDefault="00503F91" w:rsidP="005F2165">
      <w:pPr>
        <w:pStyle w:val="ListParagraph"/>
        <w:numPr>
          <w:ilvl w:val="0"/>
          <w:numId w:val="1"/>
        </w:numPr>
        <w:rPr>
          <w:rFonts w:ascii="Baskerville" w:hAnsi="Baskerville"/>
        </w:rPr>
      </w:pPr>
      <w:r>
        <w:rPr>
          <w:rFonts w:ascii="Baskerville" w:hAnsi="Baskerville"/>
        </w:rPr>
        <w:t xml:space="preserve">Henry, D. (1994). Whole Language students with low self – direction: </w:t>
      </w:r>
      <w:r w:rsidR="00F669A5">
        <w:rPr>
          <w:rFonts w:ascii="Baskerville" w:hAnsi="Baskerville"/>
        </w:rPr>
        <w:t xml:space="preserve">A self-assessment tool. Charlotte Ville: University of Virginia. </w:t>
      </w:r>
    </w:p>
    <w:p w14:paraId="2844C61E" w14:textId="01421CA9" w:rsidR="00E2491B" w:rsidRDefault="00E2491B" w:rsidP="005F2165">
      <w:pPr>
        <w:pStyle w:val="ListParagraph"/>
        <w:numPr>
          <w:ilvl w:val="0"/>
          <w:numId w:val="1"/>
        </w:numPr>
        <w:rPr>
          <w:rFonts w:ascii="Baskerville" w:hAnsi="Baskerville"/>
        </w:rPr>
      </w:pPr>
      <w:r>
        <w:rPr>
          <w:rFonts w:ascii="Baskerville" w:hAnsi="Baskerville"/>
        </w:rPr>
        <w:t xml:space="preserve">Hughes, B., </w:t>
      </w:r>
      <w:proofErr w:type="spellStart"/>
      <w:r w:rsidR="00D36999">
        <w:rPr>
          <w:rFonts w:ascii="Baskerville" w:hAnsi="Baskerville"/>
        </w:rPr>
        <w:t>Sullivian</w:t>
      </w:r>
      <w:proofErr w:type="spellEnd"/>
      <w:r w:rsidR="00D36999">
        <w:rPr>
          <w:rFonts w:ascii="Baskerville" w:hAnsi="Baskerville"/>
        </w:rPr>
        <w:t>, H., &amp; Mosley, M. (1985)</w:t>
      </w:r>
      <w:r w:rsidR="00177BA9">
        <w:rPr>
          <w:rFonts w:ascii="Baskerville" w:hAnsi="Baskerville"/>
        </w:rPr>
        <w:t>. External evaluation, task difficulty, and continuing motivation. Journal of Educational Research, 78(4)</w:t>
      </w:r>
      <w:r w:rsidR="00090453">
        <w:rPr>
          <w:rFonts w:ascii="Baskerville" w:hAnsi="Baskerville"/>
        </w:rPr>
        <w:t xml:space="preserve">, (210-215). </w:t>
      </w:r>
    </w:p>
    <w:p w14:paraId="73D24317" w14:textId="7E92DB3E" w:rsidR="00B1145D" w:rsidRDefault="00B1145D" w:rsidP="005F2165">
      <w:pPr>
        <w:pStyle w:val="ListParagraph"/>
        <w:numPr>
          <w:ilvl w:val="0"/>
          <w:numId w:val="1"/>
        </w:numPr>
        <w:rPr>
          <w:rFonts w:ascii="Baskerville" w:hAnsi="Baskerville"/>
        </w:rPr>
      </w:pPr>
      <w:proofErr w:type="spellStart"/>
      <w:r>
        <w:rPr>
          <w:rFonts w:ascii="Baskerville" w:hAnsi="Baskerville"/>
        </w:rPr>
        <w:t>Hwb.gov</w:t>
      </w:r>
      <w:r w:rsidR="00CC36F7">
        <w:rPr>
          <w:rFonts w:ascii="Baskerville" w:hAnsi="Baskerville"/>
        </w:rPr>
        <w:t>.wales</w:t>
      </w:r>
      <w:proofErr w:type="spellEnd"/>
      <w:r w:rsidR="00CC36F7">
        <w:rPr>
          <w:rFonts w:ascii="Baskerville" w:hAnsi="Baskerville"/>
        </w:rPr>
        <w:t>. (</w:t>
      </w:r>
      <w:r w:rsidR="001D094D">
        <w:rPr>
          <w:rFonts w:ascii="Baskerville" w:hAnsi="Baskerville"/>
        </w:rPr>
        <w:t xml:space="preserve">n.d.). Assessment </w:t>
      </w:r>
      <w:r w:rsidR="00730A31">
        <w:rPr>
          <w:rFonts w:ascii="Baskerville" w:hAnsi="Baskerville"/>
        </w:rPr>
        <w:t>arrangements</w:t>
      </w:r>
      <w:r w:rsidR="001D094D">
        <w:rPr>
          <w:rFonts w:ascii="Baskerville" w:hAnsi="Baskerville"/>
        </w:rPr>
        <w:t xml:space="preserve"> – Hwb. </w:t>
      </w:r>
      <w:r w:rsidR="00730A31">
        <w:rPr>
          <w:rFonts w:ascii="Baskerville" w:hAnsi="Baskerville"/>
        </w:rPr>
        <w:t>(Online). Available at:</w:t>
      </w:r>
      <w:r w:rsidR="00431AB9" w:rsidRPr="00431AB9">
        <w:t xml:space="preserve"> </w:t>
      </w:r>
      <w:hyperlink r:id="rId14" w:history="1">
        <w:r w:rsidR="005772B6" w:rsidRPr="006526F7">
          <w:rPr>
            <w:rStyle w:val="Hyperlink"/>
            <w:rFonts w:ascii="Baskerville" w:hAnsi="Baskerville"/>
          </w:rPr>
          <w:t>https://hwb.gov.wales/curriculum-for-wales/assessment-arrangements</w:t>
        </w:r>
      </w:hyperlink>
      <w:r w:rsidR="005772B6">
        <w:rPr>
          <w:rFonts w:ascii="Baskerville" w:hAnsi="Baskerville"/>
        </w:rPr>
        <w:t xml:space="preserve"> (Accessed 23rd December).  </w:t>
      </w:r>
      <w:r w:rsidR="00730A31">
        <w:rPr>
          <w:rFonts w:ascii="Baskerville" w:hAnsi="Baskerville"/>
        </w:rPr>
        <w:t xml:space="preserve"> </w:t>
      </w:r>
    </w:p>
    <w:p w14:paraId="715FF484" w14:textId="3BAB9E61" w:rsidR="00EB1094" w:rsidRDefault="00D741B0" w:rsidP="005F2165">
      <w:pPr>
        <w:pStyle w:val="ListParagraph"/>
        <w:numPr>
          <w:ilvl w:val="0"/>
          <w:numId w:val="1"/>
        </w:numPr>
        <w:rPr>
          <w:rFonts w:ascii="Baskerville" w:hAnsi="Baskerville"/>
        </w:rPr>
      </w:pPr>
      <w:r>
        <w:rPr>
          <w:rFonts w:ascii="Baskerville" w:hAnsi="Baskerville"/>
        </w:rPr>
        <w:t>How to create a leaflet</w:t>
      </w:r>
      <w:r w:rsidR="00480D3D">
        <w:rPr>
          <w:rFonts w:ascii="Baskerville" w:hAnsi="Baskerville"/>
        </w:rPr>
        <w:t>. (</w:t>
      </w:r>
      <w:r w:rsidR="00570EA5">
        <w:rPr>
          <w:rFonts w:ascii="Baskerville" w:hAnsi="Baskerville"/>
        </w:rPr>
        <w:t xml:space="preserve">n.d.). BBC Bitesize. (Online) Available at: </w:t>
      </w:r>
      <w:hyperlink r:id="rId15" w:history="1">
        <w:r w:rsidR="000F6457" w:rsidRPr="006526F7">
          <w:rPr>
            <w:rStyle w:val="Hyperlink"/>
            <w:rFonts w:ascii="Baskerville" w:hAnsi="Baskerville"/>
          </w:rPr>
          <w:t>https://www.bbc.co.uk/bitesize/articles/zrjqpg8</w:t>
        </w:r>
      </w:hyperlink>
      <w:r w:rsidR="000F6457">
        <w:rPr>
          <w:rFonts w:ascii="Baskerville" w:hAnsi="Baskerville"/>
        </w:rPr>
        <w:t xml:space="preserve"> (Accessed </w:t>
      </w:r>
      <w:r w:rsidR="002B478A">
        <w:rPr>
          <w:rFonts w:ascii="Baskerville" w:hAnsi="Baskerville"/>
        </w:rPr>
        <w:t xml:space="preserve">3rd January). </w:t>
      </w:r>
    </w:p>
    <w:p w14:paraId="6990A9FB" w14:textId="1995CB35" w:rsidR="0006546B" w:rsidRDefault="00891160" w:rsidP="005F2165">
      <w:pPr>
        <w:pStyle w:val="ListParagraph"/>
        <w:numPr>
          <w:ilvl w:val="0"/>
          <w:numId w:val="1"/>
        </w:numPr>
        <w:rPr>
          <w:rFonts w:ascii="Baskerville" w:hAnsi="Baskerville"/>
        </w:rPr>
      </w:pPr>
      <w:proofErr w:type="spellStart"/>
      <w:r>
        <w:rPr>
          <w:rFonts w:ascii="Baskerville" w:hAnsi="Baskerville"/>
        </w:rPr>
        <w:t>Hwb.gov.wales</w:t>
      </w:r>
      <w:proofErr w:type="spellEnd"/>
      <w:r>
        <w:rPr>
          <w:rFonts w:ascii="Baskerville" w:hAnsi="Baskerville"/>
        </w:rPr>
        <w:t>. (n.d.). Descriptors of learning</w:t>
      </w:r>
      <w:r w:rsidR="00CC42E9">
        <w:rPr>
          <w:rFonts w:ascii="Baskerville" w:hAnsi="Baskerville"/>
        </w:rPr>
        <w:t xml:space="preserve"> – Hwb. (Online). Available at: </w:t>
      </w:r>
      <w:hyperlink r:id="rId16" w:history="1">
        <w:r w:rsidR="00CC42E9" w:rsidRPr="006526F7">
          <w:rPr>
            <w:rStyle w:val="Hyperlink"/>
            <w:rFonts w:ascii="Baskerville" w:hAnsi="Baskerville"/>
          </w:rPr>
          <w:t>https://hwb.gov.wales/curriculum-for-wales/languages-literacy-and-communication/descriptions-of-learning/</w:t>
        </w:r>
      </w:hyperlink>
      <w:r w:rsidR="00CC42E9">
        <w:rPr>
          <w:rFonts w:ascii="Baskerville" w:hAnsi="Baskerville"/>
        </w:rPr>
        <w:t xml:space="preserve"> (Accessed 29</w:t>
      </w:r>
      <w:r w:rsidR="00CC42E9" w:rsidRPr="00CC42E9">
        <w:rPr>
          <w:rFonts w:ascii="Baskerville" w:hAnsi="Baskerville"/>
          <w:vertAlign w:val="superscript"/>
        </w:rPr>
        <w:t>th</w:t>
      </w:r>
      <w:r w:rsidR="00CC42E9">
        <w:rPr>
          <w:rFonts w:ascii="Baskerville" w:hAnsi="Baskerville"/>
        </w:rPr>
        <w:t xml:space="preserve"> December). </w:t>
      </w:r>
    </w:p>
    <w:p w14:paraId="04DFD388" w14:textId="31509E9A" w:rsidR="00DB7ECB" w:rsidRDefault="00501AC2" w:rsidP="00DB7ECB">
      <w:pPr>
        <w:pStyle w:val="ListParagraph"/>
        <w:numPr>
          <w:ilvl w:val="0"/>
          <w:numId w:val="1"/>
        </w:numPr>
        <w:rPr>
          <w:rFonts w:ascii="Baskerville" w:hAnsi="Baskerville"/>
        </w:rPr>
      </w:pPr>
      <w:proofErr w:type="spellStart"/>
      <w:r>
        <w:rPr>
          <w:rFonts w:ascii="Baskerville" w:hAnsi="Baskerville"/>
        </w:rPr>
        <w:t>Hwb.gov.</w:t>
      </w:r>
      <w:r w:rsidR="00891160">
        <w:rPr>
          <w:rFonts w:ascii="Baskerville" w:hAnsi="Baskerville"/>
        </w:rPr>
        <w:t>w</w:t>
      </w:r>
      <w:r>
        <w:rPr>
          <w:rFonts w:ascii="Baskerville" w:hAnsi="Baskerville"/>
        </w:rPr>
        <w:t>ales</w:t>
      </w:r>
      <w:proofErr w:type="spellEnd"/>
      <w:r>
        <w:rPr>
          <w:rFonts w:ascii="Baskerville" w:hAnsi="Baskerville"/>
        </w:rPr>
        <w:t xml:space="preserve">. (n.d.). </w:t>
      </w:r>
      <w:r w:rsidR="00A72300">
        <w:rPr>
          <w:rFonts w:ascii="Baskerville" w:hAnsi="Baskerville"/>
        </w:rPr>
        <w:t>Languages, Literacy</w:t>
      </w:r>
      <w:r w:rsidR="00872693">
        <w:rPr>
          <w:rFonts w:ascii="Baskerville" w:hAnsi="Baskerville"/>
        </w:rPr>
        <w:t xml:space="preserve"> and comm</w:t>
      </w:r>
      <w:r w:rsidR="00C90B59">
        <w:rPr>
          <w:rFonts w:ascii="Baskerville" w:hAnsi="Baskerville"/>
        </w:rPr>
        <w:t>unic</w:t>
      </w:r>
      <w:r w:rsidR="00DB7ECB">
        <w:rPr>
          <w:rFonts w:ascii="Baskerville" w:hAnsi="Baskerville"/>
        </w:rPr>
        <w:t>ation</w:t>
      </w:r>
      <w:r w:rsidR="00AE778F">
        <w:rPr>
          <w:rFonts w:ascii="Baskerville" w:hAnsi="Baskerville"/>
        </w:rPr>
        <w:t xml:space="preserve">: Introduction – Hwb (Online) Available at: </w:t>
      </w:r>
      <w:hyperlink r:id="rId17" w:history="1">
        <w:r w:rsidR="00B82BD8" w:rsidRPr="006526F7">
          <w:rPr>
            <w:rStyle w:val="Hyperlink"/>
            <w:rFonts w:ascii="Baskerville" w:hAnsi="Baskerville"/>
          </w:rPr>
          <w:t>https://hwb.gov.wales/curriculum-for-wales/languages-literacy-and-communication/</w:t>
        </w:r>
      </w:hyperlink>
      <w:r w:rsidR="00B82BD8">
        <w:rPr>
          <w:rFonts w:ascii="Baskerville" w:hAnsi="Baskerville"/>
        </w:rPr>
        <w:t xml:space="preserve"> (Accessed </w:t>
      </w:r>
      <w:r w:rsidR="005C7365">
        <w:rPr>
          <w:rFonts w:ascii="Baskerville" w:hAnsi="Baskerville"/>
        </w:rPr>
        <w:t>29</w:t>
      </w:r>
      <w:r w:rsidR="005C7365" w:rsidRPr="005C7365">
        <w:rPr>
          <w:rFonts w:ascii="Baskerville" w:hAnsi="Baskerville"/>
          <w:vertAlign w:val="superscript"/>
        </w:rPr>
        <w:t>th</w:t>
      </w:r>
      <w:r w:rsidR="005C7365">
        <w:rPr>
          <w:rFonts w:ascii="Baskerville" w:hAnsi="Baskerville"/>
        </w:rPr>
        <w:t xml:space="preserve"> December 2023). </w:t>
      </w:r>
    </w:p>
    <w:p w14:paraId="40C1E57C" w14:textId="73F981BA" w:rsidR="005C7365" w:rsidRDefault="000A440C" w:rsidP="00DB7ECB">
      <w:pPr>
        <w:pStyle w:val="ListParagraph"/>
        <w:numPr>
          <w:ilvl w:val="0"/>
          <w:numId w:val="1"/>
        </w:numPr>
        <w:rPr>
          <w:rFonts w:ascii="Baskerville" w:hAnsi="Baskerville"/>
        </w:rPr>
      </w:pPr>
      <w:proofErr w:type="spellStart"/>
      <w:proofErr w:type="gramStart"/>
      <w:r>
        <w:rPr>
          <w:rFonts w:ascii="Baskerville" w:hAnsi="Baskerville"/>
        </w:rPr>
        <w:t>Hwb.gov.wales</w:t>
      </w:r>
      <w:proofErr w:type="spellEnd"/>
      <w:r w:rsidR="00584DE2">
        <w:rPr>
          <w:rFonts w:ascii="Baskerville" w:hAnsi="Baskerville"/>
        </w:rPr>
        <w:t>.(</w:t>
      </w:r>
      <w:proofErr w:type="gramEnd"/>
      <w:r w:rsidR="00584DE2">
        <w:rPr>
          <w:rFonts w:ascii="Baskerville" w:hAnsi="Baskerville"/>
        </w:rPr>
        <w:t>2020). Mathematics and Numeracy Introduction – Hwb. (Online)</w:t>
      </w:r>
      <w:r w:rsidR="002D62D1">
        <w:rPr>
          <w:rFonts w:ascii="Baskerville" w:hAnsi="Baskerville"/>
        </w:rPr>
        <w:t xml:space="preserve">. Available at: </w:t>
      </w:r>
      <w:hyperlink r:id="rId18" w:history="1">
        <w:r w:rsidR="002D62D1" w:rsidRPr="006526F7">
          <w:rPr>
            <w:rStyle w:val="Hyperlink"/>
            <w:rFonts w:ascii="Baskerville" w:hAnsi="Baskerville"/>
          </w:rPr>
          <w:t>https://hwb.gov.wales/curriculum-for-wales/mathematics-and-numeracy/</w:t>
        </w:r>
      </w:hyperlink>
      <w:r w:rsidR="002D62D1">
        <w:rPr>
          <w:rFonts w:ascii="Baskerville" w:hAnsi="Baskerville"/>
        </w:rPr>
        <w:t xml:space="preserve"> (Accessed 29</w:t>
      </w:r>
      <w:r w:rsidR="002D62D1" w:rsidRPr="002D62D1">
        <w:rPr>
          <w:rFonts w:ascii="Baskerville" w:hAnsi="Baskerville"/>
          <w:vertAlign w:val="superscript"/>
        </w:rPr>
        <w:t>th</w:t>
      </w:r>
      <w:r w:rsidR="002D62D1">
        <w:rPr>
          <w:rFonts w:ascii="Baskerville" w:hAnsi="Baskerville"/>
        </w:rPr>
        <w:t xml:space="preserve"> December). </w:t>
      </w:r>
    </w:p>
    <w:p w14:paraId="751C8A4C" w14:textId="338B3148" w:rsidR="002B478A" w:rsidRDefault="00843A6D" w:rsidP="00DB7ECB">
      <w:pPr>
        <w:pStyle w:val="ListParagraph"/>
        <w:numPr>
          <w:ilvl w:val="0"/>
          <w:numId w:val="1"/>
        </w:numPr>
        <w:rPr>
          <w:rFonts w:ascii="Baskerville" w:hAnsi="Baskerville"/>
        </w:rPr>
      </w:pPr>
      <w:r>
        <w:rPr>
          <w:rFonts w:ascii="Baskerville" w:hAnsi="Baskerville"/>
        </w:rPr>
        <w:lastRenderedPageBreak/>
        <w:t xml:space="preserve">James, M. (1998). Using </w:t>
      </w:r>
      <w:r w:rsidR="000866BE">
        <w:rPr>
          <w:rFonts w:ascii="Baskerville" w:hAnsi="Baskerville"/>
        </w:rPr>
        <w:t>A</w:t>
      </w:r>
      <w:r>
        <w:rPr>
          <w:rFonts w:ascii="Baskerville" w:hAnsi="Baskerville"/>
        </w:rPr>
        <w:t xml:space="preserve">ssessment </w:t>
      </w:r>
      <w:r w:rsidR="000866BE">
        <w:rPr>
          <w:rFonts w:ascii="Baskerville" w:hAnsi="Baskerville"/>
        </w:rPr>
        <w:t xml:space="preserve">for School Improvement Oxford Heinemann Educational. </w:t>
      </w:r>
    </w:p>
    <w:p w14:paraId="62163F61" w14:textId="62C4A3AF" w:rsidR="003E108A" w:rsidRDefault="003E108A" w:rsidP="00DB7ECB">
      <w:pPr>
        <w:pStyle w:val="ListParagraph"/>
        <w:numPr>
          <w:ilvl w:val="0"/>
          <w:numId w:val="1"/>
        </w:numPr>
        <w:rPr>
          <w:rFonts w:ascii="Baskerville" w:hAnsi="Baskerville"/>
        </w:rPr>
      </w:pPr>
      <w:r>
        <w:rPr>
          <w:rFonts w:ascii="Baskerville" w:hAnsi="Baskerville"/>
        </w:rPr>
        <w:t xml:space="preserve">Learning Ladders Education. (2020) Monitor Pupil Progress in the classroom – Pupil Progress </w:t>
      </w:r>
      <w:r w:rsidR="00F8078A">
        <w:rPr>
          <w:rFonts w:ascii="Baskerville" w:hAnsi="Baskerville"/>
        </w:rPr>
        <w:t xml:space="preserve">Tracking. (Online). Available at: </w:t>
      </w:r>
      <w:hyperlink r:id="rId19" w:history="1">
        <w:r w:rsidR="003E5C1E" w:rsidRPr="006526F7">
          <w:rPr>
            <w:rStyle w:val="Hyperlink"/>
            <w:rFonts w:ascii="Baskerville" w:hAnsi="Baskerville"/>
          </w:rPr>
          <w:t>https://www.learningladders.info</w:t>
        </w:r>
      </w:hyperlink>
      <w:r w:rsidR="003E5C1E">
        <w:rPr>
          <w:rFonts w:ascii="Baskerville" w:hAnsi="Baskerville"/>
        </w:rPr>
        <w:t xml:space="preserve"> (Accessed 1</w:t>
      </w:r>
      <w:r w:rsidR="003E5C1E" w:rsidRPr="003E5C1E">
        <w:rPr>
          <w:rFonts w:ascii="Baskerville" w:hAnsi="Baskerville"/>
          <w:vertAlign w:val="superscript"/>
        </w:rPr>
        <w:t>st</w:t>
      </w:r>
      <w:r w:rsidR="003E5C1E">
        <w:rPr>
          <w:rFonts w:ascii="Baskerville" w:hAnsi="Baskerville"/>
        </w:rPr>
        <w:t xml:space="preserve"> January). </w:t>
      </w:r>
    </w:p>
    <w:p w14:paraId="1EB2A9F4" w14:textId="1A8050BF" w:rsidR="00EE05CD" w:rsidRDefault="00EE05CD" w:rsidP="00DB7ECB">
      <w:pPr>
        <w:pStyle w:val="ListParagraph"/>
        <w:numPr>
          <w:ilvl w:val="0"/>
          <w:numId w:val="1"/>
        </w:numPr>
        <w:rPr>
          <w:rFonts w:ascii="Baskerville" w:hAnsi="Baskerville"/>
        </w:rPr>
      </w:pPr>
      <w:r>
        <w:rPr>
          <w:rFonts w:ascii="Baskerville" w:hAnsi="Baskerville"/>
        </w:rPr>
        <w:t>Mc Millan, J.H. and Hearn, J., 2008</w:t>
      </w:r>
      <w:r w:rsidR="007E0716">
        <w:rPr>
          <w:rFonts w:ascii="Baskerville" w:hAnsi="Baskerville"/>
        </w:rPr>
        <w:t xml:space="preserve">. Student </w:t>
      </w:r>
      <w:proofErr w:type="spellStart"/>
      <w:r w:rsidR="007E0716">
        <w:rPr>
          <w:rFonts w:ascii="Baskerville" w:hAnsi="Baskerville"/>
        </w:rPr>
        <w:t>self assessment</w:t>
      </w:r>
      <w:proofErr w:type="spellEnd"/>
      <w:r w:rsidR="007E0716">
        <w:rPr>
          <w:rFonts w:ascii="Baskerville" w:hAnsi="Baskerville"/>
        </w:rPr>
        <w:t xml:space="preserve">. The key to stronger student motivation and Higher achievement. </w:t>
      </w:r>
      <w:r w:rsidR="00E63972">
        <w:rPr>
          <w:rFonts w:ascii="Baskerville" w:hAnsi="Baskerville"/>
        </w:rPr>
        <w:t>Education</w:t>
      </w:r>
      <w:r w:rsidR="007E0716">
        <w:rPr>
          <w:rFonts w:ascii="Baskerville" w:hAnsi="Baskerville"/>
        </w:rPr>
        <w:t xml:space="preserve"> horizons, 87(1), pp</w:t>
      </w:r>
      <w:r w:rsidR="00E63972">
        <w:rPr>
          <w:rFonts w:ascii="Baskerville" w:hAnsi="Baskerville"/>
        </w:rPr>
        <w:t xml:space="preserve">-40-49. </w:t>
      </w:r>
    </w:p>
    <w:p w14:paraId="18038E79" w14:textId="3BFF98E1" w:rsidR="005C03BF" w:rsidRPr="00EE36EF" w:rsidRDefault="00EE36EF" w:rsidP="005C03BF">
      <w:pPr>
        <w:pStyle w:val="ListParagraph"/>
        <w:numPr>
          <w:ilvl w:val="0"/>
          <w:numId w:val="1"/>
        </w:numPr>
        <w:spacing w:after="0"/>
        <w:rPr>
          <w:rFonts w:ascii="Baskerville" w:eastAsia="Times New Roman" w:hAnsi="Baskerville" w:cs="Times New Roman"/>
          <w:sz w:val="36"/>
          <w:szCs w:val="36"/>
          <w:lang w:eastAsia="en-GB"/>
        </w:rPr>
      </w:pPr>
      <w:proofErr w:type="spellStart"/>
      <w:r w:rsidRPr="00EE36EF">
        <w:rPr>
          <w:rFonts w:ascii="Baskerville" w:eastAsia="Times New Roman" w:hAnsi="Baskerville" w:cs="Arial"/>
          <w:color w:val="222222"/>
          <w:shd w:val="clear" w:color="auto" w:fill="FFFFFF"/>
          <w:lang w:eastAsia="en-GB"/>
        </w:rPr>
        <w:t>moi</w:t>
      </w:r>
      <w:proofErr w:type="spellEnd"/>
      <w:r w:rsidRPr="00EE36EF">
        <w:rPr>
          <w:rFonts w:ascii="Baskerville" w:eastAsia="Times New Roman" w:hAnsi="Baskerville" w:cs="Arial"/>
          <w:color w:val="222222"/>
          <w:shd w:val="clear" w:color="auto" w:fill="FFFFFF"/>
          <w:lang w:eastAsia="en-GB"/>
        </w:rPr>
        <w:t xml:space="preserve">, </w:t>
      </w:r>
      <w:proofErr w:type="spellStart"/>
      <w:r w:rsidRPr="00EE36EF">
        <w:rPr>
          <w:rFonts w:ascii="Baskerville" w:eastAsia="Times New Roman" w:hAnsi="Baskerville" w:cs="Arial"/>
          <w:color w:val="222222"/>
          <w:shd w:val="clear" w:color="auto" w:fill="FFFFFF"/>
          <w:lang w:eastAsia="en-GB"/>
        </w:rPr>
        <w:t>k.s.</w:t>
      </w:r>
      <w:proofErr w:type="spellEnd"/>
      <w:r w:rsidRPr="00EE36EF">
        <w:rPr>
          <w:rFonts w:ascii="Baskerville" w:eastAsia="Times New Roman" w:hAnsi="Baskerville" w:cs="Arial"/>
          <w:color w:val="222222"/>
          <w:shd w:val="clear" w:color="auto" w:fill="FFFFFF"/>
          <w:lang w:eastAsia="en-GB"/>
        </w:rPr>
        <w:t>, active learning instructional strategy: pose-pause-pounce-bounce-present (</w:t>
      </w:r>
      <w:proofErr w:type="spellStart"/>
      <w:r w:rsidRPr="00EE36EF">
        <w:rPr>
          <w:rFonts w:ascii="Baskerville" w:eastAsia="Times New Roman" w:hAnsi="Baskerville" w:cs="Arial"/>
          <w:color w:val="222222"/>
          <w:shd w:val="clear" w:color="auto" w:fill="FFFFFF"/>
          <w:lang w:eastAsia="en-GB"/>
        </w:rPr>
        <w:t>pppbp</w:t>
      </w:r>
      <w:proofErr w:type="spellEnd"/>
      <w:r w:rsidRPr="00EE36EF">
        <w:rPr>
          <w:rFonts w:ascii="Baskerville" w:eastAsia="Times New Roman" w:hAnsi="Baskerville" w:cs="Arial"/>
          <w:color w:val="222222"/>
          <w:shd w:val="clear" w:color="auto" w:fill="FFFFFF"/>
          <w:lang w:eastAsia="en-GB"/>
        </w:rPr>
        <w:t xml:space="preserve">) strategy in enhancing </w:t>
      </w:r>
      <w:proofErr w:type="spellStart"/>
      <w:r w:rsidRPr="00EE36EF">
        <w:rPr>
          <w:rFonts w:ascii="Baskerville" w:eastAsia="Times New Roman" w:hAnsi="Baskerville" w:cs="Arial"/>
          <w:color w:val="222222"/>
          <w:shd w:val="clear" w:color="auto" w:fill="FFFFFF"/>
          <w:lang w:eastAsia="en-GB"/>
        </w:rPr>
        <w:t>esl</w:t>
      </w:r>
      <w:proofErr w:type="spellEnd"/>
      <w:r w:rsidRPr="00EE36EF">
        <w:rPr>
          <w:rFonts w:ascii="Baskerville" w:eastAsia="Times New Roman" w:hAnsi="Baskerville" w:cs="Arial"/>
          <w:color w:val="222222"/>
          <w:shd w:val="clear" w:color="auto" w:fill="FFFFFF"/>
          <w:lang w:eastAsia="en-GB"/>
        </w:rPr>
        <w:t xml:space="preserve"> </w:t>
      </w:r>
      <w:proofErr w:type="spellStart"/>
      <w:r w:rsidRPr="00EE36EF">
        <w:rPr>
          <w:rFonts w:ascii="Baskerville" w:eastAsia="Times New Roman" w:hAnsi="Baskerville" w:cs="Arial"/>
          <w:color w:val="222222"/>
          <w:shd w:val="clear" w:color="auto" w:fill="FFFFFF"/>
          <w:lang w:eastAsia="en-GB"/>
        </w:rPr>
        <w:t>students’speaking</w:t>
      </w:r>
      <w:proofErr w:type="spellEnd"/>
      <w:r w:rsidRPr="00EE36EF">
        <w:rPr>
          <w:rFonts w:ascii="Baskerville" w:eastAsia="Times New Roman" w:hAnsi="Baskerville" w:cs="Arial"/>
          <w:color w:val="222222"/>
          <w:shd w:val="clear" w:color="auto" w:fill="FFFFFF"/>
          <w:lang w:eastAsia="en-GB"/>
        </w:rPr>
        <w:t xml:space="preserve"> performance. </w:t>
      </w:r>
      <w:r w:rsidRPr="00EE36EF">
        <w:rPr>
          <w:rFonts w:ascii="Baskerville" w:eastAsia="Times New Roman" w:hAnsi="Baskerville" w:cs="Arial"/>
          <w:i/>
          <w:iCs/>
          <w:color w:val="222222"/>
          <w:lang w:eastAsia="en-GB"/>
        </w:rPr>
        <w:t xml:space="preserve">problems and solutions in the </w:t>
      </w:r>
      <w:proofErr w:type="spellStart"/>
      <w:r w:rsidRPr="00EE36EF">
        <w:rPr>
          <w:rFonts w:ascii="Baskerville" w:eastAsia="Times New Roman" w:hAnsi="Baskerville" w:cs="Arial"/>
          <w:i/>
          <w:iCs/>
          <w:color w:val="222222"/>
          <w:lang w:eastAsia="en-GB"/>
        </w:rPr>
        <w:t>english</w:t>
      </w:r>
      <w:proofErr w:type="spellEnd"/>
      <w:r w:rsidRPr="00EE36EF">
        <w:rPr>
          <w:rFonts w:ascii="Baskerville" w:eastAsia="Times New Roman" w:hAnsi="Baskerville" w:cs="Arial"/>
          <w:i/>
          <w:iCs/>
          <w:color w:val="222222"/>
          <w:lang w:eastAsia="en-GB"/>
        </w:rPr>
        <w:t xml:space="preserve"> to </w:t>
      </w:r>
      <w:proofErr w:type="spellStart"/>
      <w:r w:rsidRPr="00EE36EF">
        <w:rPr>
          <w:rFonts w:ascii="Baskerville" w:eastAsia="Times New Roman" w:hAnsi="Baskerville" w:cs="Arial"/>
          <w:i/>
          <w:iCs/>
          <w:color w:val="222222"/>
          <w:lang w:eastAsia="en-GB"/>
        </w:rPr>
        <w:t>chinese</w:t>
      </w:r>
      <w:proofErr w:type="spellEnd"/>
      <w:r w:rsidRPr="00EE36EF">
        <w:rPr>
          <w:rFonts w:ascii="Baskerville" w:eastAsia="Times New Roman" w:hAnsi="Baskerville" w:cs="Arial"/>
          <w:i/>
          <w:iCs/>
          <w:color w:val="222222"/>
          <w:lang w:eastAsia="en-GB"/>
        </w:rPr>
        <w:t xml:space="preserve"> translation of proper names in </w:t>
      </w:r>
      <w:proofErr w:type="spellStart"/>
      <w:r w:rsidRPr="00EE36EF">
        <w:rPr>
          <w:rFonts w:ascii="Baskerville" w:eastAsia="Times New Roman" w:hAnsi="Baskerville" w:cs="Arial"/>
          <w:i/>
          <w:iCs/>
          <w:color w:val="222222"/>
          <w:lang w:eastAsia="en-GB"/>
        </w:rPr>
        <w:t>jk</w:t>
      </w:r>
      <w:proofErr w:type="spellEnd"/>
      <w:r w:rsidRPr="00EE36EF">
        <w:rPr>
          <w:rFonts w:ascii="Baskerville" w:eastAsia="Times New Roman" w:hAnsi="Baskerville" w:cs="Arial"/>
          <w:i/>
          <w:iCs/>
          <w:color w:val="222222"/>
          <w:lang w:eastAsia="en-GB"/>
        </w:rPr>
        <w:t xml:space="preserve"> </w:t>
      </w:r>
      <w:proofErr w:type="spellStart"/>
      <w:r w:rsidRPr="00EE36EF">
        <w:rPr>
          <w:rFonts w:ascii="Baskerville" w:eastAsia="Times New Roman" w:hAnsi="Baskerville" w:cs="Arial"/>
          <w:i/>
          <w:iCs/>
          <w:color w:val="222222"/>
          <w:lang w:eastAsia="en-GB"/>
        </w:rPr>
        <w:t>rowling’s</w:t>
      </w:r>
      <w:proofErr w:type="spellEnd"/>
      <w:r w:rsidRPr="00EE36EF">
        <w:rPr>
          <w:rFonts w:ascii="Baskerville" w:eastAsia="Times New Roman" w:hAnsi="Baskerville" w:cs="Arial"/>
          <w:i/>
          <w:iCs/>
          <w:color w:val="222222"/>
          <w:lang w:eastAsia="en-GB"/>
        </w:rPr>
        <w:t xml:space="preserve"> harry potter</w:t>
      </w:r>
      <w:r w:rsidRPr="00EE36EF">
        <w:rPr>
          <w:rFonts w:ascii="Baskerville" w:eastAsia="Times New Roman" w:hAnsi="Baskerville" w:cs="Arial"/>
          <w:color w:val="222222"/>
          <w:shd w:val="clear" w:color="auto" w:fill="FFFFFF"/>
          <w:lang w:eastAsia="en-GB"/>
        </w:rPr>
        <w:t>.</w:t>
      </w:r>
    </w:p>
    <w:p w14:paraId="739D20C9" w14:textId="1B5DA1C2" w:rsidR="00702017" w:rsidRDefault="00702017" w:rsidP="00DB7ECB">
      <w:pPr>
        <w:pStyle w:val="ListParagraph"/>
        <w:numPr>
          <w:ilvl w:val="0"/>
          <w:numId w:val="1"/>
        </w:numPr>
        <w:rPr>
          <w:rFonts w:ascii="Baskerville" w:hAnsi="Baskerville"/>
        </w:rPr>
      </w:pPr>
      <w:r>
        <w:rPr>
          <w:rFonts w:ascii="Baskerville" w:hAnsi="Baskerville"/>
        </w:rPr>
        <w:t xml:space="preserve">Mrs </w:t>
      </w:r>
      <w:proofErr w:type="spellStart"/>
      <w:r w:rsidR="00791B1C">
        <w:rPr>
          <w:rFonts w:ascii="Baskerville" w:hAnsi="Baskerville"/>
        </w:rPr>
        <w:t>S</w:t>
      </w:r>
      <w:r>
        <w:rPr>
          <w:rFonts w:ascii="Baskerville" w:hAnsi="Baskerville"/>
        </w:rPr>
        <w:t>trickey</w:t>
      </w:r>
      <w:proofErr w:type="spellEnd"/>
      <w:r>
        <w:rPr>
          <w:rFonts w:ascii="Baskerville" w:hAnsi="Baskerville"/>
        </w:rPr>
        <w:t xml:space="preserve"> (2021). The importance of prior knowledge</w:t>
      </w:r>
      <w:r w:rsidR="00F614B3">
        <w:rPr>
          <w:rFonts w:ascii="Baskerville" w:hAnsi="Baskerville"/>
        </w:rPr>
        <w:t xml:space="preserve">. (Online) Teach with Mrs T. Available at: </w:t>
      </w:r>
      <w:hyperlink r:id="rId20" w:history="1">
        <w:r w:rsidR="00243BFD" w:rsidRPr="006526F7">
          <w:rPr>
            <w:rStyle w:val="Hyperlink"/>
            <w:rFonts w:ascii="Baskerville" w:hAnsi="Baskerville"/>
          </w:rPr>
          <w:t>https://www.teachwithmrst.com/post/the-importance-of-prior-knowledge</w:t>
        </w:r>
      </w:hyperlink>
      <w:r w:rsidR="00243BFD">
        <w:rPr>
          <w:rFonts w:ascii="Baskerville" w:hAnsi="Baskerville"/>
        </w:rPr>
        <w:t xml:space="preserve"> </w:t>
      </w:r>
      <w:r w:rsidR="00262814">
        <w:rPr>
          <w:rFonts w:ascii="Baskerville" w:hAnsi="Baskerville"/>
        </w:rPr>
        <w:t xml:space="preserve">(Accessed </w:t>
      </w:r>
      <w:r w:rsidR="00366F62">
        <w:rPr>
          <w:rFonts w:ascii="Baskerville" w:hAnsi="Baskerville"/>
        </w:rPr>
        <w:t>18</w:t>
      </w:r>
      <w:r w:rsidR="00366F62" w:rsidRPr="00366F62">
        <w:rPr>
          <w:rFonts w:ascii="Baskerville" w:hAnsi="Baskerville"/>
          <w:vertAlign w:val="superscript"/>
        </w:rPr>
        <w:t>th</w:t>
      </w:r>
      <w:r w:rsidR="00366F62">
        <w:rPr>
          <w:rFonts w:ascii="Baskerville" w:hAnsi="Baskerville"/>
        </w:rPr>
        <w:t xml:space="preserve"> December). </w:t>
      </w:r>
    </w:p>
    <w:p w14:paraId="6B433ED2" w14:textId="4489CCF9" w:rsidR="003E5C1E" w:rsidRDefault="003D1FE6" w:rsidP="00DB7ECB">
      <w:pPr>
        <w:pStyle w:val="ListParagraph"/>
        <w:numPr>
          <w:ilvl w:val="0"/>
          <w:numId w:val="1"/>
        </w:numPr>
        <w:rPr>
          <w:rFonts w:ascii="Baskerville" w:hAnsi="Baskerville"/>
        </w:rPr>
      </w:pPr>
      <w:r>
        <w:rPr>
          <w:rFonts w:ascii="Baskerville" w:hAnsi="Baskerville"/>
        </w:rPr>
        <w:t>Murdoch, R. (2014)</w:t>
      </w:r>
      <w:r w:rsidR="001A563F">
        <w:rPr>
          <w:rFonts w:ascii="Baskerville" w:hAnsi="Baskerville"/>
        </w:rPr>
        <w:t xml:space="preserve"> The urge to enquire: curiosity in the classroom. Primary </w:t>
      </w:r>
      <w:r w:rsidR="00570E4C">
        <w:rPr>
          <w:rFonts w:ascii="Baskerville" w:hAnsi="Baskerville"/>
        </w:rPr>
        <w:t>Geography</w:t>
      </w:r>
      <w:r w:rsidR="001A563F">
        <w:rPr>
          <w:rFonts w:ascii="Baskerville" w:hAnsi="Baskerville"/>
        </w:rPr>
        <w:t xml:space="preserve"> 85 </w:t>
      </w:r>
      <w:r w:rsidR="00570E4C">
        <w:rPr>
          <w:rFonts w:ascii="Baskerville" w:hAnsi="Baskerville"/>
        </w:rPr>
        <w:t xml:space="preserve">10-11. </w:t>
      </w:r>
    </w:p>
    <w:p w14:paraId="2FA963F8" w14:textId="01781B18" w:rsidR="00B5197E" w:rsidRDefault="00B5197E" w:rsidP="00DB7ECB">
      <w:pPr>
        <w:pStyle w:val="ListParagraph"/>
        <w:numPr>
          <w:ilvl w:val="0"/>
          <w:numId w:val="1"/>
        </w:numPr>
        <w:rPr>
          <w:rFonts w:ascii="Baskerville" w:hAnsi="Baskerville"/>
        </w:rPr>
      </w:pPr>
      <w:r>
        <w:rPr>
          <w:rFonts w:ascii="Baskerville" w:hAnsi="Baskerville"/>
        </w:rPr>
        <w:t>National Reading</w:t>
      </w:r>
      <w:r w:rsidR="00BE18A5">
        <w:rPr>
          <w:rFonts w:ascii="Baskerville" w:hAnsi="Baskerville"/>
        </w:rPr>
        <w:t xml:space="preserve"> </w:t>
      </w:r>
      <w:proofErr w:type="spellStart"/>
      <w:r w:rsidR="00BE18A5">
        <w:rPr>
          <w:rFonts w:ascii="Baskerville" w:hAnsi="Baskerville"/>
        </w:rPr>
        <w:t>pdnel</w:t>
      </w:r>
      <w:proofErr w:type="spellEnd"/>
      <w:r w:rsidR="00BE18A5">
        <w:rPr>
          <w:rFonts w:ascii="Baskerville" w:hAnsi="Baskerville"/>
        </w:rPr>
        <w:t xml:space="preserve">. (2000) Teaching children to read: An evidence-based assessment of the scientific </w:t>
      </w:r>
      <w:r w:rsidR="003A56C4">
        <w:rPr>
          <w:rFonts w:ascii="Baskerville" w:hAnsi="Baskerville"/>
        </w:rPr>
        <w:t xml:space="preserve">research literature on reading and its implications for reading instruction Washington, DC: National </w:t>
      </w:r>
      <w:r w:rsidR="00D7517E">
        <w:rPr>
          <w:rFonts w:ascii="Baskerville" w:hAnsi="Baskerville"/>
        </w:rPr>
        <w:t>Institute</w:t>
      </w:r>
      <w:r w:rsidR="003A56C4">
        <w:rPr>
          <w:rFonts w:ascii="Baskerville" w:hAnsi="Baskerville"/>
        </w:rPr>
        <w:t xml:space="preserve"> of child health and human development. </w:t>
      </w:r>
    </w:p>
    <w:p w14:paraId="2F66C272" w14:textId="2022E444" w:rsidR="004431D1" w:rsidRDefault="004431D1" w:rsidP="00DB7ECB">
      <w:pPr>
        <w:pStyle w:val="ListParagraph"/>
        <w:numPr>
          <w:ilvl w:val="0"/>
          <w:numId w:val="1"/>
        </w:numPr>
        <w:rPr>
          <w:rFonts w:ascii="Baskerville" w:hAnsi="Baskerville"/>
        </w:rPr>
      </w:pPr>
      <w:r>
        <w:rPr>
          <w:rFonts w:ascii="Baskerville" w:hAnsi="Baskerville"/>
        </w:rPr>
        <w:t xml:space="preserve">Popham, W.J. 2008. Transformative </w:t>
      </w:r>
      <w:r w:rsidR="003F6F2B">
        <w:rPr>
          <w:rFonts w:ascii="Baskerville" w:hAnsi="Baskerville"/>
        </w:rPr>
        <w:t>assessment.</w:t>
      </w:r>
      <w:r>
        <w:rPr>
          <w:rFonts w:ascii="Baskerville" w:hAnsi="Baskerville"/>
        </w:rPr>
        <w:t xml:space="preserve"> Alexandria, </w:t>
      </w:r>
      <w:proofErr w:type="gramStart"/>
      <w:r>
        <w:rPr>
          <w:rFonts w:ascii="Baskerville" w:hAnsi="Baskerville"/>
        </w:rPr>
        <w:t>NA:ASCD</w:t>
      </w:r>
      <w:proofErr w:type="gramEnd"/>
      <w:r w:rsidR="003F6F2B">
        <w:rPr>
          <w:rFonts w:ascii="Baskerville" w:hAnsi="Baskerville"/>
        </w:rPr>
        <w:t>.</w:t>
      </w:r>
    </w:p>
    <w:p w14:paraId="293BD4F4" w14:textId="33E1A7DA" w:rsidR="00DD543D" w:rsidRDefault="00DD543D" w:rsidP="00DB7ECB">
      <w:pPr>
        <w:pStyle w:val="ListParagraph"/>
        <w:numPr>
          <w:ilvl w:val="0"/>
          <w:numId w:val="1"/>
        </w:numPr>
        <w:rPr>
          <w:rFonts w:ascii="Baskerville" w:hAnsi="Baskerville"/>
        </w:rPr>
      </w:pPr>
      <w:proofErr w:type="spellStart"/>
      <w:r>
        <w:rPr>
          <w:rFonts w:ascii="Baskerville" w:hAnsi="Baskerville"/>
        </w:rPr>
        <w:t>Ramaprasad</w:t>
      </w:r>
      <w:proofErr w:type="spellEnd"/>
      <w:r>
        <w:rPr>
          <w:rFonts w:ascii="Baskerville" w:hAnsi="Baskerville"/>
        </w:rPr>
        <w:t>, A</w:t>
      </w:r>
      <w:r w:rsidR="00451CC4">
        <w:rPr>
          <w:rFonts w:ascii="Baskerville" w:hAnsi="Baskerville"/>
        </w:rPr>
        <w:t xml:space="preserve">. (1983) on the definition of feedback, Behavioural science, 28, 4-13. </w:t>
      </w:r>
    </w:p>
    <w:p w14:paraId="49D45E96" w14:textId="102B3AE1" w:rsidR="00270F55" w:rsidRDefault="00270F55" w:rsidP="00DB7ECB">
      <w:pPr>
        <w:pStyle w:val="ListParagraph"/>
        <w:numPr>
          <w:ilvl w:val="0"/>
          <w:numId w:val="1"/>
        </w:numPr>
        <w:rPr>
          <w:rFonts w:ascii="Baskerville" w:hAnsi="Baskerville"/>
        </w:rPr>
      </w:pPr>
      <w:r>
        <w:rPr>
          <w:rFonts w:ascii="Baskerville" w:hAnsi="Baskerville"/>
        </w:rPr>
        <w:t>Roberts, T. self, peer and group assessment in e-learning, information science, 2006</w:t>
      </w:r>
      <w:r w:rsidR="008760B3">
        <w:rPr>
          <w:rFonts w:ascii="Baskerville" w:hAnsi="Baskerville"/>
        </w:rPr>
        <w:t xml:space="preserve">. </w:t>
      </w:r>
    </w:p>
    <w:p w14:paraId="34128AA2" w14:textId="76F575BC" w:rsidR="00E86E44" w:rsidRDefault="00E86E44" w:rsidP="00DB7ECB">
      <w:pPr>
        <w:pStyle w:val="ListParagraph"/>
        <w:numPr>
          <w:ilvl w:val="0"/>
          <w:numId w:val="1"/>
        </w:numPr>
        <w:rPr>
          <w:rFonts w:ascii="Baskerville" w:hAnsi="Baskerville"/>
        </w:rPr>
      </w:pPr>
      <w:r>
        <w:rPr>
          <w:rFonts w:ascii="Baskerville" w:hAnsi="Baskerville"/>
        </w:rPr>
        <w:t xml:space="preserve">Ross, J.A., </w:t>
      </w:r>
      <w:proofErr w:type="spellStart"/>
      <w:r>
        <w:rPr>
          <w:rFonts w:ascii="Baskerville" w:hAnsi="Baskerville"/>
        </w:rPr>
        <w:t>Rolneiser</w:t>
      </w:r>
      <w:proofErr w:type="spellEnd"/>
      <w:r>
        <w:rPr>
          <w:rFonts w:ascii="Baskerville" w:hAnsi="Baskerville"/>
        </w:rPr>
        <w:t xml:space="preserve">, C., &amp; </w:t>
      </w:r>
      <w:proofErr w:type="spellStart"/>
      <w:r>
        <w:rPr>
          <w:rFonts w:ascii="Baskerville" w:hAnsi="Baskerville"/>
        </w:rPr>
        <w:t>Hogaboam</w:t>
      </w:r>
      <w:proofErr w:type="spellEnd"/>
      <w:r w:rsidR="0040364B">
        <w:rPr>
          <w:rFonts w:ascii="Baskerville" w:hAnsi="Baskerville"/>
        </w:rPr>
        <w:t xml:space="preserve">- Gray, A. (1998). Skills training versus action research in service impact on </w:t>
      </w:r>
      <w:proofErr w:type="gramStart"/>
      <w:r w:rsidR="0040364B">
        <w:rPr>
          <w:rFonts w:ascii="Baskerville" w:hAnsi="Baskerville"/>
        </w:rPr>
        <w:t>students</w:t>
      </w:r>
      <w:proofErr w:type="gramEnd"/>
      <w:r w:rsidR="0040364B">
        <w:rPr>
          <w:rFonts w:ascii="Baskerville" w:hAnsi="Baskerville"/>
        </w:rPr>
        <w:t xml:space="preserve"> attitudes to self-evaluation. Teaching and teacher Education, 14 (</w:t>
      </w:r>
      <w:r w:rsidR="00ED060A">
        <w:rPr>
          <w:rFonts w:ascii="Baskerville" w:hAnsi="Baskerville"/>
        </w:rPr>
        <w:t xml:space="preserve">5), 463-477. </w:t>
      </w:r>
    </w:p>
    <w:p w14:paraId="7BD41A8E" w14:textId="5195B31D" w:rsidR="00ED060A" w:rsidRDefault="00CE7199" w:rsidP="00DB7ECB">
      <w:pPr>
        <w:pStyle w:val="ListParagraph"/>
        <w:numPr>
          <w:ilvl w:val="0"/>
          <w:numId w:val="1"/>
        </w:numPr>
        <w:rPr>
          <w:rFonts w:ascii="Baskerville" w:hAnsi="Baskerville"/>
        </w:rPr>
      </w:pPr>
      <w:r>
        <w:rPr>
          <w:rFonts w:ascii="Baskerville" w:hAnsi="Baskerville"/>
        </w:rPr>
        <w:t xml:space="preserve">Sadler, D.R. (1983). Evaluation and the improvement </w:t>
      </w:r>
      <w:r w:rsidR="002638CC">
        <w:rPr>
          <w:rFonts w:ascii="Baskerville" w:hAnsi="Baskerville"/>
        </w:rPr>
        <w:t xml:space="preserve">of academic learning. The Journal of Higher Education, 54(1), 60-79. </w:t>
      </w:r>
    </w:p>
    <w:p w14:paraId="30927ED3" w14:textId="33610AE2" w:rsidR="00AA5FF1" w:rsidRPr="00AA5FF1" w:rsidRDefault="00AA5FF1" w:rsidP="00AA5FF1">
      <w:pPr>
        <w:pStyle w:val="NormalWeb"/>
        <w:numPr>
          <w:ilvl w:val="0"/>
          <w:numId w:val="1"/>
        </w:numPr>
        <w:shd w:val="clear" w:color="auto" w:fill="FFFFFF"/>
        <w:spacing w:before="0" w:beforeAutospacing="0" w:after="0" w:afterAutospacing="0" w:line="360" w:lineRule="atLeast"/>
        <w:rPr>
          <w:rFonts w:ascii="Baskerville" w:hAnsi="Baskerville" w:cs="Calibri"/>
          <w:color w:val="000000"/>
        </w:rPr>
      </w:pPr>
      <w:r w:rsidRPr="00AA5FF1">
        <w:rPr>
          <w:rFonts w:ascii="Baskerville" w:hAnsi="Baskerville" w:cs="Calibri"/>
          <w:color w:val="000000"/>
        </w:rPr>
        <w:t>Supporting progression in language learning: assessment in the Curriculum for Wales. (n.d.). Available at: https://www.gov.wales/sites/default/files/statistics-and-research/2022-05/supporting-progression-in-language-learning-assessment-in-the-curriculum-for-wales_0.pdf.</w:t>
      </w:r>
    </w:p>
    <w:p w14:paraId="4EECD99B" w14:textId="5DB6E322" w:rsidR="00C12D99" w:rsidRDefault="00C12D99" w:rsidP="00DB7ECB">
      <w:pPr>
        <w:pStyle w:val="ListParagraph"/>
        <w:numPr>
          <w:ilvl w:val="0"/>
          <w:numId w:val="1"/>
        </w:numPr>
        <w:rPr>
          <w:rFonts w:ascii="Baskerville" w:hAnsi="Baskerville"/>
        </w:rPr>
      </w:pPr>
      <w:r>
        <w:rPr>
          <w:rFonts w:ascii="Baskerville" w:hAnsi="Baskerville"/>
        </w:rPr>
        <w:t xml:space="preserve">Tay, C. (n.d.). A good start: The pedagogical </w:t>
      </w:r>
      <w:r w:rsidR="001A66EE">
        <w:rPr>
          <w:rFonts w:ascii="Baskerville" w:hAnsi="Baskerville"/>
        </w:rPr>
        <w:t>challenge</w:t>
      </w:r>
      <w:r>
        <w:rPr>
          <w:rFonts w:ascii="Baskerville" w:hAnsi="Baskerville"/>
        </w:rPr>
        <w:t xml:space="preserve"> of engaging </w:t>
      </w:r>
      <w:r w:rsidR="001A66EE">
        <w:rPr>
          <w:rFonts w:ascii="Baskerville" w:hAnsi="Baskerville"/>
        </w:rPr>
        <w:t xml:space="preserve">prior knowledge </w:t>
      </w:r>
      <w:r w:rsidR="00EC79F8">
        <w:rPr>
          <w:rFonts w:ascii="Baskerville" w:hAnsi="Baskerville"/>
        </w:rPr>
        <w:t>for all pupils. (Online). My college. Available at:</w:t>
      </w:r>
      <w:r w:rsidR="00823BE9" w:rsidRPr="00823BE9">
        <w:t xml:space="preserve"> </w:t>
      </w:r>
      <w:hyperlink r:id="rId21" w:history="1">
        <w:r w:rsidR="00823BE9" w:rsidRPr="006526F7">
          <w:rPr>
            <w:rStyle w:val="Hyperlink"/>
            <w:rFonts w:ascii="Baskerville" w:hAnsi="Baskerville"/>
          </w:rPr>
          <w:t>https://my.chartered.college/impact_article/a-good-start-the-pedagogical-challenge-of-engaging-prior-knowledge-for-all-pupils/</w:t>
        </w:r>
      </w:hyperlink>
      <w:r w:rsidR="00823BE9">
        <w:rPr>
          <w:rFonts w:ascii="Baskerville" w:hAnsi="Baskerville"/>
        </w:rPr>
        <w:t xml:space="preserve"> (Accessed 3</w:t>
      </w:r>
      <w:r w:rsidR="00823BE9" w:rsidRPr="00823BE9">
        <w:rPr>
          <w:rFonts w:ascii="Baskerville" w:hAnsi="Baskerville"/>
          <w:vertAlign w:val="superscript"/>
        </w:rPr>
        <w:t>rd</w:t>
      </w:r>
      <w:r w:rsidR="00823BE9">
        <w:rPr>
          <w:rFonts w:ascii="Baskerville" w:hAnsi="Baskerville"/>
        </w:rPr>
        <w:t xml:space="preserve"> January). </w:t>
      </w:r>
    </w:p>
    <w:p w14:paraId="126C4633" w14:textId="724E67E0" w:rsidR="006F4F5D" w:rsidRDefault="006F4F5D" w:rsidP="00DB7ECB">
      <w:pPr>
        <w:pStyle w:val="ListParagraph"/>
        <w:numPr>
          <w:ilvl w:val="0"/>
          <w:numId w:val="1"/>
        </w:numPr>
        <w:rPr>
          <w:rFonts w:ascii="Baskerville" w:hAnsi="Baskerville"/>
        </w:rPr>
      </w:pPr>
      <w:proofErr w:type="spellStart"/>
      <w:r>
        <w:rPr>
          <w:rFonts w:ascii="Baskerville" w:hAnsi="Baskerville"/>
        </w:rPr>
        <w:t>teachmint@wp</w:t>
      </w:r>
      <w:proofErr w:type="spellEnd"/>
      <w:r>
        <w:rPr>
          <w:rFonts w:ascii="Baskerville" w:hAnsi="Baskerville"/>
        </w:rPr>
        <w:t xml:space="preserve"> (2021). Learning progression meaning and definition. (Online) </w:t>
      </w:r>
      <w:proofErr w:type="spellStart"/>
      <w:r>
        <w:rPr>
          <w:rFonts w:ascii="Baskerville" w:hAnsi="Baskerville"/>
        </w:rPr>
        <w:t>Teachmint</w:t>
      </w:r>
      <w:proofErr w:type="spellEnd"/>
      <w:r>
        <w:rPr>
          <w:rFonts w:ascii="Baskerville" w:hAnsi="Baskerville"/>
        </w:rPr>
        <w:t xml:space="preserve">. </w:t>
      </w:r>
      <w:r w:rsidR="00830E63">
        <w:rPr>
          <w:rFonts w:ascii="Baskerville" w:hAnsi="Baskerville"/>
        </w:rPr>
        <w:t xml:space="preserve">Available at: </w:t>
      </w:r>
      <w:hyperlink r:id="rId22" w:history="1">
        <w:r w:rsidR="00E710B2" w:rsidRPr="006526F7">
          <w:rPr>
            <w:rStyle w:val="Hyperlink"/>
            <w:rFonts w:ascii="Baskerville" w:hAnsi="Baskerville"/>
          </w:rPr>
          <w:t>https://www.teachmint.com/glossary/l/learning-progression/</w:t>
        </w:r>
      </w:hyperlink>
      <w:r w:rsidR="00E710B2">
        <w:rPr>
          <w:rFonts w:ascii="Baskerville" w:hAnsi="Baskerville"/>
        </w:rPr>
        <w:t xml:space="preserve"> (Accessed 1</w:t>
      </w:r>
      <w:r w:rsidR="00E710B2" w:rsidRPr="00E710B2">
        <w:rPr>
          <w:rFonts w:ascii="Baskerville" w:hAnsi="Baskerville"/>
          <w:vertAlign w:val="superscript"/>
        </w:rPr>
        <w:t>st</w:t>
      </w:r>
      <w:r w:rsidR="00E710B2">
        <w:rPr>
          <w:rFonts w:ascii="Baskerville" w:hAnsi="Baskerville"/>
        </w:rPr>
        <w:t xml:space="preserve"> January</w:t>
      </w:r>
      <w:r w:rsidR="00B72F5B">
        <w:rPr>
          <w:rFonts w:ascii="Baskerville" w:hAnsi="Baskerville"/>
        </w:rPr>
        <w:t xml:space="preserve"> 2024</w:t>
      </w:r>
      <w:r w:rsidR="00E710B2">
        <w:rPr>
          <w:rFonts w:ascii="Baskerville" w:hAnsi="Baskerville"/>
        </w:rPr>
        <w:t>).</w:t>
      </w:r>
    </w:p>
    <w:p w14:paraId="3EA856F8" w14:textId="3EE338F4" w:rsidR="007E6DF3" w:rsidRDefault="00E87507" w:rsidP="007E6DF3">
      <w:pPr>
        <w:pStyle w:val="ListParagraph"/>
        <w:numPr>
          <w:ilvl w:val="0"/>
          <w:numId w:val="1"/>
        </w:numPr>
        <w:rPr>
          <w:rFonts w:ascii="Baskerville" w:hAnsi="Baskerville"/>
        </w:rPr>
      </w:pPr>
      <w:proofErr w:type="spellStart"/>
      <w:r>
        <w:rPr>
          <w:rFonts w:ascii="Baskerville" w:hAnsi="Baskerville"/>
        </w:rPr>
        <w:t>TeachingEnglis</w:t>
      </w:r>
      <w:r w:rsidR="001B4330">
        <w:rPr>
          <w:rFonts w:ascii="Baskerville" w:hAnsi="Baskerville"/>
        </w:rPr>
        <w:t>h</w:t>
      </w:r>
      <w:proofErr w:type="spellEnd"/>
      <w:r w:rsidR="001B4330">
        <w:rPr>
          <w:rFonts w:ascii="Baskerville" w:hAnsi="Baskerville"/>
        </w:rPr>
        <w:t xml:space="preserve">. (n.d.). Assessment for Learning. (Online) Available at: </w:t>
      </w:r>
      <w:hyperlink r:id="rId23" w:history="1">
        <w:r w:rsidR="00583442" w:rsidRPr="006526F7">
          <w:rPr>
            <w:rStyle w:val="Hyperlink"/>
            <w:rFonts w:ascii="Baskerville" w:hAnsi="Baskerville"/>
          </w:rPr>
          <w:t>https://www.teachingenglish.org.uk/professional-development/teachers/assessing-learning/articless/assessment-learning</w:t>
        </w:r>
      </w:hyperlink>
      <w:r w:rsidR="00583442">
        <w:rPr>
          <w:rFonts w:ascii="Baskerville" w:hAnsi="Baskerville"/>
        </w:rPr>
        <w:t xml:space="preserve"> </w:t>
      </w:r>
    </w:p>
    <w:p w14:paraId="060AAA6A" w14:textId="77777777" w:rsidR="007E6DF3" w:rsidRPr="00453458" w:rsidRDefault="007E6DF3" w:rsidP="007E6DF3">
      <w:pPr>
        <w:pStyle w:val="ListParagraph"/>
        <w:numPr>
          <w:ilvl w:val="0"/>
          <w:numId w:val="1"/>
        </w:numPr>
        <w:shd w:val="clear" w:color="auto" w:fill="FFFFFF"/>
        <w:textAlignment w:val="baseline"/>
        <w:outlineLvl w:val="0"/>
        <w:rPr>
          <w:rFonts w:ascii="Baskerville" w:hAnsi="Baskerville" w:cs="Calibri"/>
          <w:bCs/>
          <w:color w:val="1F1F1F"/>
          <w:spacing w:val="-10"/>
          <w:kern w:val="36"/>
          <w:lang w:eastAsia="en-GB"/>
        </w:rPr>
      </w:pPr>
      <w:r w:rsidRPr="00453458">
        <w:rPr>
          <w:rFonts w:ascii="Baskerville" w:hAnsi="Baskerville" w:cs="Calibri"/>
          <w:bCs/>
          <w:color w:val="1F1F1F"/>
          <w:spacing w:val="-10"/>
          <w:kern w:val="36"/>
          <w:lang w:eastAsia="en-GB"/>
        </w:rPr>
        <w:t>Welsh Assembly Government (2010) How to develop thinking and assessment for learning in the classroom. Cardiff: Welsh Assembly Government</w:t>
      </w:r>
    </w:p>
    <w:p w14:paraId="2823BE3F" w14:textId="23F3C02F" w:rsidR="007E6DF3" w:rsidRPr="00453458" w:rsidRDefault="007E6DF3" w:rsidP="00453458">
      <w:pPr>
        <w:pStyle w:val="ListParagraph"/>
        <w:shd w:val="clear" w:color="auto" w:fill="FFFFFF"/>
        <w:textAlignment w:val="baseline"/>
        <w:outlineLvl w:val="0"/>
        <w:rPr>
          <w:rFonts w:ascii="Baskerville" w:hAnsi="Baskerville" w:cs="Calibri"/>
          <w:bCs/>
          <w:color w:val="1F1F1F"/>
          <w:spacing w:val="-10"/>
          <w:kern w:val="36"/>
          <w:lang w:eastAsia="en-GB"/>
        </w:rPr>
      </w:pPr>
      <w:r w:rsidRPr="00453458">
        <w:rPr>
          <w:rFonts w:ascii="Baskerville" w:hAnsi="Baskerville" w:cs="Calibri"/>
          <w:bCs/>
          <w:color w:val="1F1F1F"/>
          <w:spacing w:val="-10"/>
          <w:kern w:val="36"/>
          <w:lang w:eastAsia="en-GB"/>
        </w:rPr>
        <w:t>Available from:</w:t>
      </w:r>
      <w:r w:rsidR="00453458" w:rsidRPr="00453458">
        <w:rPr>
          <w:rFonts w:ascii="Baskerville" w:hAnsi="Baskerville" w:cs="Calibri"/>
          <w:bCs/>
          <w:color w:val="1F1F1F"/>
          <w:spacing w:val="-10"/>
          <w:kern w:val="36"/>
          <w:lang w:eastAsia="en-GB"/>
        </w:rPr>
        <w:t xml:space="preserve"> </w:t>
      </w:r>
      <w:hyperlink r:id="rId24" w:history="1">
        <w:r w:rsidRPr="00453458">
          <w:rPr>
            <w:rStyle w:val="Hyperlink"/>
            <w:rFonts w:ascii="Baskerville" w:hAnsi="Baskerville" w:cs="Calibri"/>
          </w:rPr>
          <w:t>https://hwb.gov.wales/api/storage/663d00fd-9c3b-4003-9a1f-0012bad39fad/how-to-develop-thinking-and-assessment-for-learning-in-the-classroom.pdf</w:t>
        </w:r>
      </w:hyperlink>
    </w:p>
    <w:p w14:paraId="38EA0D3D" w14:textId="77777777" w:rsidR="007E6DF3" w:rsidRPr="007E6DF3" w:rsidRDefault="007E6DF3" w:rsidP="007E6DF3">
      <w:pPr>
        <w:pStyle w:val="ListParagraph"/>
        <w:rPr>
          <w:rFonts w:ascii="Baskerville" w:hAnsi="Baskerville"/>
        </w:rPr>
      </w:pPr>
    </w:p>
    <w:p w14:paraId="7561D0FC" w14:textId="5ED46F72" w:rsidR="00E710B2" w:rsidRDefault="00DA3D27" w:rsidP="00DB7ECB">
      <w:pPr>
        <w:pStyle w:val="ListParagraph"/>
        <w:numPr>
          <w:ilvl w:val="0"/>
          <w:numId w:val="1"/>
        </w:numPr>
        <w:rPr>
          <w:rFonts w:ascii="Baskerville" w:hAnsi="Baskerville"/>
        </w:rPr>
      </w:pPr>
      <w:r>
        <w:rPr>
          <w:rFonts w:ascii="Baskerville" w:hAnsi="Baskerville"/>
        </w:rPr>
        <w:lastRenderedPageBreak/>
        <w:t xml:space="preserve">Welsh Government (2019). Descriptors of learning – Hwb. (Online) </w:t>
      </w:r>
      <w:proofErr w:type="spellStart"/>
      <w:proofErr w:type="gramStart"/>
      <w:r>
        <w:rPr>
          <w:rFonts w:ascii="Baskerville" w:hAnsi="Baskerville"/>
        </w:rPr>
        <w:t>hwb.gov.wales</w:t>
      </w:r>
      <w:proofErr w:type="spellEnd"/>
      <w:proofErr w:type="gramEnd"/>
      <w:r w:rsidR="00D45E40">
        <w:rPr>
          <w:rFonts w:ascii="Baskerville" w:hAnsi="Baskerville"/>
        </w:rPr>
        <w:t xml:space="preserve">. Available at </w:t>
      </w:r>
      <w:hyperlink r:id="rId25" w:history="1">
        <w:r w:rsidR="00D45E40" w:rsidRPr="006526F7">
          <w:rPr>
            <w:rStyle w:val="Hyperlink"/>
            <w:rFonts w:ascii="Baskerville" w:hAnsi="Baskerville"/>
          </w:rPr>
          <w:t>https://hwb.gov.wales/curriculum-for-wales/languages-literacy-and-communication/descriptions-of-learning/</w:t>
        </w:r>
      </w:hyperlink>
      <w:r w:rsidR="00D45E40">
        <w:rPr>
          <w:rFonts w:ascii="Baskerville" w:hAnsi="Baskerville"/>
        </w:rPr>
        <w:t xml:space="preserve"> (A</w:t>
      </w:r>
      <w:r w:rsidR="00B72F5B">
        <w:rPr>
          <w:rFonts w:ascii="Baskerville" w:hAnsi="Baskerville"/>
        </w:rPr>
        <w:t>ccessed 28</w:t>
      </w:r>
      <w:r w:rsidR="00B72F5B" w:rsidRPr="00B72F5B">
        <w:rPr>
          <w:rFonts w:ascii="Baskerville" w:hAnsi="Baskerville"/>
          <w:vertAlign w:val="superscript"/>
        </w:rPr>
        <w:t>th</w:t>
      </w:r>
      <w:r w:rsidR="00B72F5B">
        <w:rPr>
          <w:rFonts w:ascii="Baskerville" w:hAnsi="Baskerville"/>
        </w:rPr>
        <w:t xml:space="preserve"> December 2023.)</w:t>
      </w:r>
    </w:p>
    <w:p w14:paraId="13CA4241" w14:textId="1FF7D37A" w:rsidR="00C02D00" w:rsidRDefault="00287758" w:rsidP="00DB7ECB">
      <w:pPr>
        <w:pStyle w:val="ListParagraph"/>
        <w:numPr>
          <w:ilvl w:val="0"/>
          <w:numId w:val="1"/>
        </w:numPr>
        <w:rPr>
          <w:rFonts w:ascii="Baskerville" w:hAnsi="Baskerville"/>
        </w:rPr>
      </w:pPr>
      <w:r>
        <w:rPr>
          <w:rFonts w:ascii="Baskerville" w:hAnsi="Baskerville"/>
        </w:rPr>
        <w:t xml:space="preserve">Welsh </w:t>
      </w:r>
      <w:proofErr w:type="spellStart"/>
      <w:r>
        <w:rPr>
          <w:rFonts w:ascii="Baskerville" w:hAnsi="Baskerville"/>
        </w:rPr>
        <w:t>Governemnt</w:t>
      </w:r>
      <w:proofErr w:type="spellEnd"/>
      <w:r>
        <w:rPr>
          <w:rFonts w:ascii="Baskerville" w:hAnsi="Baskerville"/>
        </w:rPr>
        <w:t xml:space="preserve"> (2020). Introduction – Hwb. (Online) </w:t>
      </w:r>
      <w:proofErr w:type="spellStart"/>
      <w:proofErr w:type="gramStart"/>
      <w:r>
        <w:rPr>
          <w:rFonts w:ascii="Baskerville" w:hAnsi="Baskerville"/>
        </w:rPr>
        <w:t>hwb.gov.wales</w:t>
      </w:r>
      <w:proofErr w:type="spellEnd"/>
      <w:proofErr w:type="gramEnd"/>
      <w:r>
        <w:rPr>
          <w:rFonts w:ascii="Baskerville" w:hAnsi="Baskerville"/>
        </w:rPr>
        <w:t xml:space="preserve"> Available at:</w:t>
      </w:r>
      <w:r w:rsidR="00DE7595">
        <w:rPr>
          <w:rFonts w:ascii="Baskerville" w:hAnsi="Baskerville"/>
        </w:rPr>
        <w:t xml:space="preserve"> </w:t>
      </w:r>
      <w:hyperlink r:id="rId26" w:history="1">
        <w:r w:rsidR="00DE7595" w:rsidRPr="006526F7">
          <w:rPr>
            <w:rStyle w:val="Hyperlink"/>
            <w:rFonts w:ascii="Baskerville" w:hAnsi="Baskerville"/>
          </w:rPr>
          <w:t>https://hwb.gov.wales/curriculum-for-wales/introduction</w:t>
        </w:r>
      </w:hyperlink>
      <w:r w:rsidR="00DE7595">
        <w:rPr>
          <w:rFonts w:ascii="Baskerville" w:hAnsi="Baskerville"/>
        </w:rPr>
        <w:t xml:space="preserve"> </w:t>
      </w:r>
    </w:p>
    <w:p w14:paraId="17302331" w14:textId="77777777" w:rsidR="005F6E06" w:rsidRPr="005F6E06" w:rsidRDefault="005F6E06" w:rsidP="005F6E06">
      <w:pPr>
        <w:pStyle w:val="NormalWeb"/>
        <w:numPr>
          <w:ilvl w:val="0"/>
          <w:numId w:val="1"/>
        </w:numPr>
        <w:rPr>
          <w:rFonts w:ascii="Baskerville" w:hAnsi="Baskerville"/>
          <w:sz w:val="36"/>
          <w:szCs w:val="36"/>
        </w:rPr>
      </w:pPr>
      <w:r w:rsidRPr="005F6E06">
        <w:rPr>
          <w:rFonts w:ascii="Baskerville" w:hAnsi="Baskerville"/>
        </w:rPr>
        <w:t xml:space="preserve">Woolfolk, A., Hughes, M., </w:t>
      </w:r>
      <w:proofErr w:type="spellStart"/>
      <w:r w:rsidRPr="005F6E06">
        <w:rPr>
          <w:rFonts w:ascii="Baskerville" w:hAnsi="Baskerville"/>
        </w:rPr>
        <w:t>Walkup</w:t>
      </w:r>
      <w:proofErr w:type="spellEnd"/>
      <w:r w:rsidRPr="005F6E06">
        <w:rPr>
          <w:rFonts w:ascii="Baskerville" w:hAnsi="Baskerville"/>
        </w:rPr>
        <w:t xml:space="preserve">, V., 2013. Psychology in Education. Harlow: Pearson Education Limited. </w:t>
      </w:r>
    </w:p>
    <w:p w14:paraId="00BF0884" w14:textId="77777777" w:rsidR="005F6E06" w:rsidRDefault="005F6E06" w:rsidP="00DB7ECB">
      <w:pPr>
        <w:pStyle w:val="ListParagraph"/>
        <w:numPr>
          <w:ilvl w:val="0"/>
          <w:numId w:val="1"/>
        </w:numPr>
        <w:rPr>
          <w:rFonts w:ascii="Baskerville" w:hAnsi="Baskerville"/>
        </w:rPr>
      </w:pPr>
    </w:p>
    <w:p w14:paraId="33FFA0EE" w14:textId="67449873" w:rsidR="002A5CEE" w:rsidRDefault="002A5CEE" w:rsidP="00DB7ECB">
      <w:pPr>
        <w:pStyle w:val="ListParagraph"/>
        <w:numPr>
          <w:ilvl w:val="0"/>
          <w:numId w:val="1"/>
        </w:numPr>
        <w:rPr>
          <w:rFonts w:ascii="Baskerville" w:hAnsi="Baskerville"/>
        </w:rPr>
      </w:pPr>
      <w:r>
        <w:rPr>
          <w:rFonts w:ascii="Baskerville" w:hAnsi="Baskerville"/>
        </w:rPr>
        <w:t xml:space="preserve">Wray, D. and Lewis, M. (1997). Extending </w:t>
      </w:r>
      <w:r w:rsidR="008E525C">
        <w:rPr>
          <w:rFonts w:ascii="Baskerville" w:hAnsi="Baskerville"/>
        </w:rPr>
        <w:t xml:space="preserve">Literacy. London Routledge Falmer. </w:t>
      </w:r>
    </w:p>
    <w:p w14:paraId="12E95706" w14:textId="29B94702" w:rsidR="008E525C" w:rsidRDefault="008E525C" w:rsidP="00DB7ECB">
      <w:pPr>
        <w:pStyle w:val="ListParagraph"/>
        <w:numPr>
          <w:ilvl w:val="0"/>
          <w:numId w:val="1"/>
        </w:numPr>
        <w:rPr>
          <w:rFonts w:ascii="Baskerville" w:hAnsi="Baskerville"/>
        </w:rPr>
      </w:pPr>
      <w:r>
        <w:rPr>
          <w:rFonts w:ascii="Baskerville" w:hAnsi="Baskerville"/>
        </w:rPr>
        <w:t>Wray, D. and Lewis, M</w:t>
      </w:r>
      <w:r w:rsidR="00842159">
        <w:rPr>
          <w:rFonts w:ascii="Baskerville" w:hAnsi="Baskerville"/>
        </w:rPr>
        <w:t xml:space="preserve">. (1999). From learning to teaching towards a model of teaching literacy. ERIC. </w:t>
      </w:r>
    </w:p>
    <w:p w14:paraId="2E08C6F0" w14:textId="6C0CA729" w:rsidR="00C02D00" w:rsidRDefault="001F231B" w:rsidP="00DB7ECB">
      <w:pPr>
        <w:pStyle w:val="ListParagraph"/>
        <w:numPr>
          <w:ilvl w:val="0"/>
          <w:numId w:val="1"/>
        </w:numPr>
        <w:rPr>
          <w:rFonts w:ascii="Baskerville" w:hAnsi="Baskerville"/>
        </w:rPr>
      </w:pPr>
      <w:hyperlink r:id="rId27" w:history="1">
        <w:r w:rsidR="00DE7595" w:rsidRPr="006526F7">
          <w:rPr>
            <w:rStyle w:val="Hyperlink"/>
            <w:rFonts w:ascii="Baskerville" w:hAnsi="Baskerville"/>
          </w:rPr>
          <w:t>www.teachingexpertise.com.(2022)</w:t>
        </w:r>
      </w:hyperlink>
      <w:r w:rsidR="00DE7595">
        <w:rPr>
          <w:rFonts w:ascii="Baskerville" w:hAnsi="Baskerville"/>
        </w:rPr>
        <w:t>. 30 activities to explore day and night with pre-schoolers – teaching expertise (online). Available at:</w:t>
      </w:r>
      <w:r w:rsidR="00C47A73" w:rsidRPr="00C47A73">
        <w:t xml:space="preserve"> </w:t>
      </w:r>
      <w:hyperlink r:id="rId28" w:history="1">
        <w:r w:rsidR="00C47A73" w:rsidRPr="006526F7">
          <w:rPr>
            <w:rStyle w:val="Hyperlink"/>
            <w:rFonts w:ascii="Baskerville" w:hAnsi="Baskerville"/>
          </w:rPr>
          <w:t>https://www.teachingexpertise.com/classroom-ideas/day-night-light-themed-learning-activities/</w:t>
        </w:r>
      </w:hyperlink>
      <w:r w:rsidR="00C47A73">
        <w:rPr>
          <w:rFonts w:ascii="Baskerville" w:hAnsi="Baskerville"/>
        </w:rPr>
        <w:t xml:space="preserve"> (Accessed 1</w:t>
      </w:r>
      <w:r w:rsidR="00C47A73" w:rsidRPr="00C47A73">
        <w:rPr>
          <w:rFonts w:ascii="Baskerville" w:hAnsi="Baskerville"/>
          <w:vertAlign w:val="superscript"/>
        </w:rPr>
        <w:t>st</w:t>
      </w:r>
      <w:r w:rsidR="00C47A73">
        <w:rPr>
          <w:rFonts w:ascii="Baskerville" w:hAnsi="Baskerville"/>
        </w:rPr>
        <w:t xml:space="preserve"> January 2023). </w:t>
      </w:r>
    </w:p>
    <w:p w14:paraId="6E358761" w14:textId="77777777" w:rsidR="00AD2DEC" w:rsidRDefault="00AD2DEC" w:rsidP="00251A5F">
      <w:pPr>
        <w:rPr>
          <w:rFonts w:ascii="Baskerville" w:hAnsi="Baskerville"/>
          <w:u w:val="single"/>
        </w:rPr>
      </w:pPr>
    </w:p>
    <w:p w14:paraId="4CD96AD2" w14:textId="77777777" w:rsidR="00AD2DEC" w:rsidRDefault="00AD2DEC" w:rsidP="00251A5F">
      <w:pPr>
        <w:rPr>
          <w:rFonts w:ascii="Baskerville" w:hAnsi="Baskerville"/>
          <w:u w:val="single"/>
        </w:rPr>
      </w:pPr>
    </w:p>
    <w:p w14:paraId="7CE0B815" w14:textId="77777777" w:rsidR="00AD2DEC" w:rsidRDefault="00AD2DEC" w:rsidP="00251A5F">
      <w:pPr>
        <w:rPr>
          <w:rFonts w:ascii="Baskerville" w:hAnsi="Baskerville"/>
          <w:u w:val="single"/>
        </w:rPr>
      </w:pPr>
    </w:p>
    <w:p w14:paraId="0FB15EA5" w14:textId="77777777" w:rsidR="00AD2DEC" w:rsidRDefault="00AD2DEC" w:rsidP="00251A5F">
      <w:pPr>
        <w:rPr>
          <w:rFonts w:ascii="Baskerville" w:hAnsi="Baskerville"/>
          <w:u w:val="single"/>
        </w:rPr>
      </w:pPr>
    </w:p>
    <w:p w14:paraId="704F3637" w14:textId="77777777" w:rsidR="00AD2DEC" w:rsidRDefault="00AD2DEC" w:rsidP="00251A5F">
      <w:pPr>
        <w:rPr>
          <w:rFonts w:ascii="Baskerville" w:hAnsi="Baskerville"/>
          <w:u w:val="single"/>
        </w:rPr>
      </w:pPr>
    </w:p>
    <w:p w14:paraId="0C11A89F" w14:textId="77777777" w:rsidR="00AD2DEC" w:rsidRDefault="00AD2DEC" w:rsidP="00251A5F">
      <w:pPr>
        <w:rPr>
          <w:rFonts w:ascii="Baskerville" w:hAnsi="Baskerville"/>
          <w:u w:val="single"/>
        </w:rPr>
      </w:pPr>
    </w:p>
    <w:p w14:paraId="3D9A90B9" w14:textId="77777777" w:rsidR="00AD2DEC" w:rsidRDefault="00AD2DEC" w:rsidP="00251A5F">
      <w:pPr>
        <w:rPr>
          <w:rFonts w:ascii="Baskerville" w:hAnsi="Baskerville"/>
          <w:u w:val="single"/>
        </w:rPr>
      </w:pPr>
    </w:p>
    <w:p w14:paraId="66A5936C" w14:textId="77777777" w:rsidR="00AD2DEC" w:rsidRDefault="00AD2DEC" w:rsidP="00251A5F">
      <w:pPr>
        <w:rPr>
          <w:rFonts w:ascii="Baskerville" w:hAnsi="Baskerville"/>
          <w:u w:val="single"/>
        </w:rPr>
      </w:pPr>
    </w:p>
    <w:p w14:paraId="47D24B0E" w14:textId="77777777" w:rsidR="00AD2DEC" w:rsidRDefault="00AD2DEC" w:rsidP="00251A5F">
      <w:pPr>
        <w:rPr>
          <w:rFonts w:ascii="Baskerville" w:hAnsi="Baskerville"/>
          <w:u w:val="single"/>
        </w:rPr>
      </w:pPr>
    </w:p>
    <w:p w14:paraId="429B9C0B" w14:textId="77777777" w:rsidR="00AD2DEC" w:rsidRDefault="00AD2DEC" w:rsidP="00251A5F">
      <w:pPr>
        <w:rPr>
          <w:rFonts w:ascii="Baskerville" w:hAnsi="Baskerville"/>
          <w:u w:val="single"/>
        </w:rPr>
      </w:pPr>
    </w:p>
    <w:p w14:paraId="2AF4A7C6" w14:textId="77777777" w:rsidR="00AD2DEC" w:rsidRDefault="00AD2DEC" w:rsidP="00251A5F">
      <w:pPr>
        <w:rPr>
          <w:rFonts w:ascii="Baskerville" w:hAnsi="Baskerville"/>
          <w:u w:val="single"/>
        </w:rPr>
      </w:pPr>
    </w:p>
    <w:p w14:paraId="3AEDD08D" w14:textId="77777777" w:rsidR="00AD2DEC" w:rsidRDefault="00AD2DEC" w:rsidP="00251A5F">
      <w:pPr>
        <w:rPr>
          <w:rFonts w:ascii="Baskerville" w:hAnsi="Baskerville"/>
          <w:u w:val="single"/>
        </w:rPr>
      </w:pPr>
    </w:p>
    <w:p w14:paraId="075988DA" w14:textId="77777777" w:rsidR="00AD2DEC" w:rsidRDefault="00AD2DEC" w:rsidP="00251A5F">
      <w:pPr>
        <w:rPr>
          <w:rFonts w:ascii="Baskerville" w:hAnsi="Baskerville"/>
          <w:u w:val="single"/>
        </w:rPr>
      </w:pPr>
    </w:p>
    <w:p w14:paraId="0EADF620" w14:textId="77777777" w:rsidR="00AD2DEC" w:rsidRDefault="00AD2DEC" w:rsidP="00251A5F">
      <w:pPr>
        <w:rPr>
          <w:rFonts w:ascii="Baskerville" w:hAnsi="Baskerville"/>
          <w:u w:val="single"/>
        </w:rPr>
      </w:pPr>
    </w:p>
    <w:p w14:paraId="0691561B" w14:textId="77777777" w:rsidR="00AD2DEC" w:rsidRDefault="00AD2DEC" w:rsidP="00251A5F">
      <w:pPr>
        <w:rPr>
          <w:rFonts w:ascii="Baskerville" w:hAnsi="Baskerville"/>
          <w:u w:val="single"/>
        </w:rPr>
      </w:pPr>
    </w:p>
    <w:p w14:paraId="0C919AA4" w14:textId="77777777" w:rsidR="00AD2DEC" w:rsidRDefault="00AD2DEC" w:rsidP="00251A5F">
      <w:pPr>
        <w:rPr>
          <w:rFonts w:ascii="Baskerville" w:hAnsi="Baskerville"/>
          <w:u w:val="single"/>
        </w:rPr>
      </w:pPr>
    </w:p>
    <w:p w14:paraId="44864FFB" w14:textId="77777777" w:rsidR="00AD2DEC" w:rsidRDefault="00AD2DEC" w:rsidP="00251A5F">
      <w:pPr>
        <w:rPr>
          <w:rFonts w:ascii="Baskerville" w:hAnsi="Baskerville"/>
          <w:u w:val="single"/>
        </w:rPr>
      </w:pPr>
    </w:p>
    <w:p w14:paraId="6027819C" w14:textId="77777777" w:rsidR="00AD2DEC" w:rsidRDefault="00AD2DEC" w:rsidP="00251A5F">
      <w:pPr>
        <w:rPr>
          <w:rFonts w:ascii="Baskerville" w:hAnsi="Baskerville"/>
          <w:u w:val="single"/>
        </w:rPr>
      </w:pPr>
    </w:p>
    <w:p w14:paraId="42AAB14B" w14:textId="77777777" w:rsidR="00AD2DEC" w:rsidRDefault="00AD2DEC" w:rsidP="00251A5F">
      <w:pPr>
        <w:rPr>
          <w:rFonts w:ascii="Baskerville" w:hAnsi="Baskerville"/>
          <w:u w:val="single"/>
        </w:rPr>
      </w:pPr>
    </w:p>
    <w:p w14:paraId="717F3693" w14:textId="77777777" w:rsidR="00AD2DEC" w:rsidRDefault="00AD2DEC" w:rsidP="00251A5F">
      <w:pPr>
        <w:rPr>
          <w:rFonts w:ascii="Baskerville" w:hAnsi="Baskerville"/>
          <w:u w:val="single"/>
        </w:rPr>
      </w:pPr>
    </w:p>
    <w:p w14:paraId="7C0E7865" w14:textId="77777777" w:rsidR="00AD2DEC" w:rsidRDefault="00AD2DEC" w:rsidP="00251A5F">
      <w:pPr>
        <w:rPr>
          <w:rFonts w:ascii="Baskerville" w:hAnsi="Baskerville"/>
          <w:u w:val="single"/>
        </w:rPr>
      </w:pPr>
    </w:p>
    <w:p w14:paraId="412540F8" w14:textId="77777777" w:rsidR="00AD2DEC" w:rsidRDefault="00AD2DEC" w:rsidP="00251A5F">
      <w:pPr>
        <w:rPr>
          <w:rFonts w:ascii="Baskerville" w:hAnsi="Baskerville"/>
          <w:u w:val="single"/>
        </w:rPr>
      </w:pPr>
    </w:p>
    <w:p w14:paraId="1602946E" w14:textId="522DC682" w:rsidR="00251A5F" w:rsidRPr="00C92052" w:rsidRDefault="00251A5F" w:rsidP="00251A5F">
      <w:pPr>
        <w:rPr>
          <w:rFonts w:ascii="Baskerville" w:hAnsi="Baskerville"/>
          <w:u w:val="single"/>
        </w:rPr>
      </w:pPr>
      <w:r w:rsidRPr="00C92052">
        <w:rPr>
          <w:rFonts w:ascii="Baskerville" w:hAnsi="Baskerville"/>
          <w:u w:val="single"/>
        </w:rPr>
        <w:t xml:space="preserve">Appendix </w:t>
      </w:r>
      <w:r w:rsidR="006D0035">
        <w:rPr>
          <w:rFonts w:ascii="Baskerville" w:hAnsi="Baskerville"/>
          <w:u w:val="single"/>
        </w:rPr>
        <w:t>1</w:t>
      </w:r>
    </w:p>
    <w:p w14:paraId="5E781280" w14:textId="77777777" w:rsidR="00EB0AB5" w:rsidRDefault="00EB0AB5" w:rsidP="00251A5F">
      <w:pPr>
        <w:rPr>
          <w:rFonts w:ascii="Baskerville" w:hAnsi="Baskerville"/>
        </w:rPr>
      </w:pPr>
    </w:p>
    <w:p w14:paraId="7A653845" w14:textId="77777777" w:rsidR="00EB0AB5" w:rsidRDefault="00EB0AB5" w:rsidP="00251A5F">
      <w:pPr>
        <w:rPr>
          <w:rFonts w:ascii="Baskerville" w:hAnsi="Baskerville"/>
        </w:rPr>
      </w:pPr>
    </w:p>
    <w:p w14:paraId="030815F1" w14:textId="39AA8145" w:rsidR="00EB0AB5" w:rsidRDefault="00AD2DEC" w:rsidP="00251A5F">
      <w:pPr>
        <w:rPr>
          <w:rFonts w:ascii="Baskerville" w:hAnsi="Baskerville"/>
        </w:rPr>
      </w:pPr>
      <w:r>
        <w:rPr>
          <w:rFonts w:ascii="Baskerville" w:hAnsi="Baskerville"/>
          <w:noProof/>
        </w:rPr>
        <w:drawing>
          <wp:anchor distT="0" distB="0" distL="114300" distR="114300" simplePos="0" relativeHeight="251658240" behindDoc="0" locked="0" layoutInCell="1" allowOverlap="1" wp14:anchorId="1EE4FB60" wp14:editId="6D4F3A5C">
            <wp:simplePos x="0" y="0"/>
            <wp:positionH relativeFrom="column">
              <wp:posOffset>295421</wp:posOffset>
            </wp:positionH>
            <wp:positionV relativeFrom="paragraph">
              <wp:posOffset>378021</wp:posOffset>
            </wp:positionV>
            <wp:extent cx="4953000" cy="74803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9">
                      <a:extLst>
                        <a:ext uri="{28A0092B-C50C-407E-A947-70E740481C1C}">
                          <a14:useLocalDpi xmlns:a14="http://schemas.microsoft.com/office/drawing/2010/main" val="0"/>
                        </a:ext>
                      </a:extLst>
                    </a:blip>
                    <a:stretch>
                      <a:fillRect/>
                    </a:stretch>
                  </pic:blipFill>
                  <pic:spPr>
                    <a:xfrm>
                      <a:off x="0" y="0"/>
                      <a:ext cx="4953000" cy="7480300"/>
                    </a:xfrm>
                    <a:prstGeom prst="rect">
                      <a:avLst/>
                    </a:prstGeom>
                  </pic:spPr>
                </pic:pic>
              </a:graphicData>
            </a:graphic>
          </wp:anchor>
        </w:drawing>
      </w:r>
    </w:p>
    <w:p w14:paraId="32F57EDE" w14:textId="77777777" w:rsidR="00A86C42" w:rsidRDefault="00A86C42" w:rsidP="00251A5F">
      <w:pPr>
        <w:rPr>
          <w:rFonts w:ascii="Baskerville" w:hAnsi="Baskerville"/>
        </w:rPr>
      </w:pPr>
    </w:p>
    <w:p w14:paraId="141AB81B" w14:textId="77777777" w:rsidR="00A86C42" w:rsidRDefault="00A86C42" w:rsidP="00251A5F">
      <w:pPr>
        <w:rPr>
          <w:rFonts w:ascii="Baskerville" w:hAnsi="Baskerville"/>
        </w:rPr>
      </w:pPr>
    </w:p>
    <w:p w14:paraId="37FA95F3" w14:textId="77777777" w:rsidR="00A86C42" w:rsidRDefault="00A86C42" w:rsidP="00251A5F">
      <w:pPr>
        <w:rPr>
          <w:rFonts w:ascii="Baskerville" w:hAnsi="Baskerville"/>
        </w:rPr>
      </w:pPr>
    </w:p>
    <w:p w14:paraId="6AA6C361" w14:textId="77777777" w:rsidR="00A86C42" w:rsidRDefault="00A86C42" w:rsidP="00251A5F">
      <w:pPr>
        <w:rPr>
          <w:rFonts w:ascii="Baskerville" w:hAnsi="Baskerville"/>
        </w:rPr>
      </w:pPr>
    </w:p>
    <w:p w14:paraId="2D694CFF" w14:textId="77777777" w:rsidR="0098277A" w:rsidRDefault="0098277A" w:rsidP="00251A5F">
      <w:pPr>
        <w:rPr>
          <w:rFonts w:ascii="Baskerville" w:hAnsi="Baskerville"/>
        </w:rPr>
      </w:pPr>
    </w:p>
    <w:p w14:paraId="256DC8B1" w14:textId="77777777" w:rsidR="0098277A" w:rsidRDefault="0098277A" w:rsidP="00251A5F">
      <w:pPr>
        <w:rPr>
          <w:rFonts w:ascii="Baskerville" w:hAnsi="Baskerville"/>
        </w:rPr>
      </w:pPr>
    </w:p>
    <w:p w14:paraId="734A1A7F" w14:textId="77777777" w:rsidR="0098277A" w:rsidRDefault="0098277A" w:rsidP="00251A5F">
      <w:pPr>
        <w:rPr>
          <w:rFonts w:ascii="Baskerville" w:hAnsi="Baskerville"/>
        </w:rPr>
      </w:pPr>
    </w:p>
    <w:p w14:paraId="5519C6B3" w14:textId="77777777" w:rsidR="0098277A" w:rsidRDefault="0098277A" w:rsidP="00251A5F">
      <w:pPr>
        <w:rPr>
          <w:rFonts w:ascii="Baskerville" w:hAnsi="Baskerville"/>
        </w:rPr>
      </w:pPr>
    </w:p>
    <w:p w14:paraId="25C70540" w14:textId="77777777" w:rsidR="0098277A" w:rsidRDefault="0098277A" w:rsidP="00251A5F">
      <w:pPr>
        <w:rPr>
          <w:rFonts w:ascii="Baskerville" w:hAnsi="Baskerville"/>
        </w:rPr>
      </w:pPr>
    </w:p>
    <w:p w14:paraId="1995422B" w14:textId="77777777" w:rsidR="0098277A" w:rsidRDefault="0098277A" w:rsidP="00251A5F">
      <w:pPr>
        <w:rPr>
          <w:rFonts w:ascii="Baskerville" w:hAnsi="Baskerville"/>
        </w:rPr>
      </w:pPr>
    </w:p>
    <w:p w14:paraId="5ADFF0F4" w14:textId="77777777" w:rsidR="0098277A" w:rsidRDefault="0098277A" w:rsidP="00251A5F">
      <w:pPr>
        <w:rPr>
          <w:rFonts w:ascii="Baskerville" w:hAnsi="Baskerville"/>
        </w:rPr>
      </w:pPr>
    </w:p>
    <w:p w14:paraId="125BD522" w14:textId="77777777" w:rsidR="0098277A" w:rsidRDefault="0098277A" w:rsidP="00251A5F">
      <w:pPr>
        <w:rPr>
          <w:rFonts w:ascii="Baskerville" w:hAnsi="Baskerville"/>
        </w:rPr>
      </w:pPr>
    </w:p>
    <w:p w14:paraId="347725D4" w14:textId="77777777" w:rsidR="0098277A" w:rsidRDefault="0098277A" w:rsidP="00251A5F">
      <w:pPr>
        <w:rPr>
          <w:rFonts w:ascii="Baskerville" w:hAnsi="Baskerville"/>
        </w:rPr>
      </w:pPr>
    </w:p>
    <w:p w14:paraId="5C0D5DBB" w14:textId="4BAB6363" w:rsidR="0098277A" w:rsidRDefault="002E27DE" w:rsidP="00251A5F">
      <w:pPr>
        <w:rPr>
          <w:rFonts w:ascii="Baskerville" w:hAnsi="Baskerville"/>
        </w:rPr>
      </w:pPr>
      <w:r w:rsidRPr="0098277A">
        <w:rPr>
          <w:rFonts w:ascii="Baskerville" w:hAnsi="Baskerville"/>
          <w:noProof/>
          <w:u w:val="single"/>
        </w:rPr>
        <w:drawing>
          <wp:anchor distT="0" distB="0" distL="114300" distR="114300" simplePos="0" relativeHeight="251658241" behindDoc="0" locked="0" layoutInCell="1" allowOverlap="1" wp14:anchorId="4CB79F0B" wp14:editId="2178D879">
            <wp:simplePos x="0" y="0"/>
            <wp:positionH relativeFrom="column">
              <wp:posOffset>235390</wp:posOffset>
            </wp:positionH>
            <wp:positionV relativeFrom="paragraph">
              <wp:posOffset>2218809</wp:posOffset>
            </wp:positionV>
            <wp:extent cx="4953000" cy="3378200"/>
            <wp:effectExtent l="0" t="0" r="635"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0">
                      <a:extLst>
                        <a:ext uri="{28A0092B-C50C-407E-A947-70E740481C1C}">
                          <a14:useLocalDpi xmlns:a14="http://schemas.microsoft.com/office/drawing/2010/main" val="0"/>
                        </a:ext>
                      </a:extLst>
                    </a:blip>
                    <a:stretch>
                      <a:fillRect/>
                    </a:stretch>
                  </pic:blipFill>
                  <pic:spPr>
                    <a:xfrm>
                      <a:off x="0" y="0"/>
                      <a:ext cx="4953000" cy="3378200"/>
                    </a:xfrm>
                    <a:prstGeom prst="rect">
                      <a:avLst/>
                    </a:prstGeom>
                  </pic:spPr>
                </pic:pic>
              </a:graphicData>
            </a:graphic>
            <wp14:sizeRelH relativeFrom="margin">
              <wp14:pctWidth>0</wp14:pctWidth>
            </wp14:sizeRelH>
            <wp14:sizeRelV relativeFrom="margin">
              <wp14:pctHeight>0</wp14:pctHeight>
            </wp14:sizeRelV>
          </wp:anchor>
        </w:drawing>
      </w:r>
    </w:p>
    <w:p w14:paraId="2B10949C" w14:textId="0E962917" w:rsidR="006D0035" w:rsidRDefault="002E27DE" w:rsidP="00251A5F">
      <w:pPr>
        <w:rPr>
          <w:rFonts w:ascii="Baskerville" w:hAnsi="Baskerville"/>
          <w:u w:val="single"/>
        </w:rPr>
      </w:pPr>
      <w:r w:rsidRPr="0098277A">
        <w:rPr>
          <w:rFonts w:ascii="Baskerville" w:hAnsi="Baskerville"/>
          <w:noProof/>
          <w:u w:val="single"/>
        </w:rPr>
        <w:lastRenderedPageBreak/>
        <w:drawing>
          <wp:anchor distT="0" distB="0" distL="114300" distR="114300" simplePos="0" relativeHeight="251658243" behindDoc="0" locked="0" layoutInCell="1" allowOverlap="1" wp14:anchorId="12FD72D6" wp14:editId="31B30B0F">
            <wp:simplePos x="0" y="0"/>
            <wp:positionH relativeFrom="column">
              <wp:posOffset>184785</wp:posOffset>
            </wp:positionH>
            <wp:positionV relativeFrom="paragraph">
              <wp:posOffset>352</wp:posOffset>
            </wp:positionV>
            <wp:extent cx="4953000" cy="60071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1">
                      <a:extLst>
                        <a:ext uri="{28A0092B-C50C-407E-A947-70E740481C1C}">
                          <a14:useLocalDpi xmlns:a14="http://schemas.microsoft.com/office/drawing/2010/main" val="0"/>
                        </a:ext>
                      </a:extLst>
                    </a:blip>
                    <a:stretch>
                      <a:fillRect/>
                    </a:stretch>
                  </pic:blipFill>
                  <pic:spPr>
                    <a:xfrm>
                      <a:off x="0" y="0"/>
                      <a:ext cx="4953000" cy="6007100"/>
                    </a:xfrm>
                    <a:prstGeom prst="rect">
                      <a:avLst/>
                    </a:prstGeom>
                  </pic:spPr>
                </pic:pic>
              </a:graphicData>
            </a:graphic>
          </wp:anchor>
        </w:drawing>
      </w:r>
    </w:p>
    <w:p w14:paraId="3FB9715E" w14:textId="77777777" w:rsidR="002E27DE" w:rsidRPr="002E27DE" w:rsidRDefault="002E27DE" w:rsidP="002E27DE">
      <w:pPr>
        <w:rPr>
          <w:rFonts w:ascii="Baskerville" w:hAnsi="Baskerville"/>
        </w:rPr>
      </w:pPr>
    </w:p>
    <w:p w14:paraId="31CA3B1D" w14:textId="77777777" w:rsidR="002E27DE" w:rsidRPr="002E27DE" w:rsidRDefault="002E27DE" w:rsidP="002E27DE">
      <w:pPr>
        <w:rPr>
          <w:rFonts w:ascii="Baskerville" w:hAnsi="Baskerville"/>
        </w:rPr>
      </w:pPr>
    </w:p>
    <w:p w14:paraId="639185EC" w14:textId="77777777" w:rsidR="002E27DE" w:rsidRPr="002E27DE" w:rsidRDefault="002E27DE" w:rsidP="002E27DE">
      <w:pPr>
        <w:rPr>
          <w:rFonts w:ascii="Baskerville" w:hAnsi="Baskerville"/>
        </w:rPr>
      </w:pPr>
    </w:p>
    <w:p w14:paraId="7E1A805A" w14:textId="77777777" w:rsidR="002E27DE" w:rsidRPr="002E27DE" w:rsidRDefault="002E27DE" w:rsidP="002E27DE">
      <w:pPr>
        <w:rPr>
          <w:rFonts w:ascii="Baskerville" w:hAnsi="Baskerville"/>
        </w:rPr>
      </w:pPr>
    </w:p>
    <w:p w14:paraId="746E01EB" w14:textId="77777777" w:rsidR="002E27DE" w:rsidRPr="002E27DE" w:rsidRDefault="002E27DE" w:rsidP="002E27DE">
      <w:pPr>
        <w:rPr>
          <w:rFonts w:ascii="Baskerville" w:hAnsi="Baskerville"/>
        </w:rPr>
      </w:pPr>
    </w:p>
    <w:p w14:paraId="4CCB5D1C" w14:textId="52EFF70E" w:rsidR="002E27DE" w:rsidRPr="00A5342C" w:rsidRDefault="00A5342C" w:rsidP="002E27DE">
      <w:pPr>
        <w:rPr>
          <w:rFonts w:ascii="Baskerville" w:hAnsi="Baskerville"/>
          <w:u w:val="single"/>
        </w:rPr>
      </w:pPr>
      <w:r w:rsidRPr="00A5342C">
        <w:rPr>
          <w:rFonts w:ascii="Baskerville" w:hAnsi="Baskerville"/>
          <w:u w:val="single"/>
        </w:rPr>
        <w:t xml:space="preserve">Appendix 2 </w:t>
      </w:r>
    </w:p>
    <w:p w14:paraId="50E0778F" w14:textId="44BFFB19" w:rsidR="0098277A" w:rsidRDefault="00A768FB" w:rsidP="00251A5F">
      <w:pPr>
        <w:rPr>
          <w:rFonts w:ascii="Baskerville" w:hAnsi="Baskerville"/>
        </w:rPr>
      </w:pPr>
      <w:r>
        <w:rPr>
          <w:rFonts w:ascii="Baskerville" w:hAnsi="Baskerville"/>
          <w:noProof/>
        </w:rPr>
        <w:lastRenderedPageBreak/>
        <w:drawing>
          <wp:anchor distT="0" distB="0" distL="114300" distR="114300" simplePos="0" relativeHeight="251658244" behindDoc="0" locked="0" layoutInCell="1" allowOverlap="1" wp14:anchorId="1D9446ED" wp14:editId="2CCC2DEE">
            <wp:simplePos x="0" y="0"/>
            <wp:positionH relativeFrom="column">
              <wp:posOffset>-416560</wp:posOffset>
            </wp:positionH>
            <wp:positionV relativeFrom="paragraph">
              <wp:posOffset>144856</wp:posOffset>
            </wp:positionV>
            <wp:extent cx="6603365" cy="8042910"/>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2">
                      <a:extLst>
                        <a:ext uri="{28A0092B-C50C-407E-A947-70E740481C1C}">
                          <a14:useLocalDpi xmlns:a14="http://schemas.microsoft.com/office/drawing/2010/main" val="0"/>
                        </a:ext>
                      </a:extLst>
                    </a:blip>
                    <a:stretch>
                      <a:fillRect/>
                    </a:stretch>
                  </pic:blipFill>
                  <pic:spPr>
                    <a:xfrm>
                      <a:off x="0" y="0"/>
                      <a:ext cx="6603365" cy="8042910"/>
                    </a:xfrm>
                    <a:prstGeom prst="rect">
                      <a:avLst/>
                    </a:prstGeom>
                  </pic:spPr>
                </pic:pic>
              </a:graphicData>
            </a:graphic>
            <wp14:sizeRelH relativeFrom="margin">
              <wp14:pctWidth>0</wp14:pctWidth>
            </wp14:sizeRelH>
            <wp14:sizeRelV relativeFrom="margin">
              <wp14:pctHeight>0</wp14:pctHeight>
            </wp14:sizeRelV>
          </wp:anchor>
        </w:drawing>
      </w:r>
    </w:p>
    <w:p w14:paraId="072B0870" w14:textId="40958FF2" w:rsidR="006D0035" w:rsidRDefault="006D0035" w:rsidP="00251A5F">
      <w:pPr>
        <w:rPr>
          <w:rFonts w:ascii="Baskerville" w:hAnsi="Baskerville"/>
        </w:rPr>
      </w:pPr>
    </w:p>
    <w:p w14:paraId="7CC2EB3C" w14:textId="7863AE73" w:rsidR="00A2646D" w:rsidRDefault="00A2646D" w:rsidP="00251A5F">
      <w:pPr>
        <w:rPr>
          <w:rFonts w:ascii="Baskerville" w:hAnsi="Baskerville"/>
        </w:rPr>
      </w:pPr>
    </w:p>
    <w:p w14:paraId="65EEAA44" w14:textId="412E8657" w:rsidR="00A2646D" w:rsidRPr="00A5342C" w:rsidRDefault="00A768FB" w:rsidP="00251A5F">
      <w:pPr>
        <w:rPr>
          <w:rFonts w:ascii="Baskerville" w:hAnsi="Baskerville"/>
          <w:u w:val="single"/>
        </w:rPr>
      </w:pPr>
      <w:r w:rsidRPr="00A5342C">
        <w:rPr>
          <w:rFonts w:ascii="Baskerville" w:hAnsi="Baskerville"/>
          <w:noProof/>
          <w:u w:val="single"/>
        </w:rPr>
        <w:lastRenderedPageBreak/>
        <w:drawing>
          <wp:anchor distT="0" distB="0" distL="114300" distR="114300" simplePos="0" relativeHeight="251658242" behindDoc="0" locked="0" layoutInCell="1" allowOverlap="1" wp14:anchorId="5AEED5F2" wp14:editId="3BE53832">
            <wp:simplePos x="0" y="0"/>
            <wp:positionH relativeFrom="column">
              <wp:posOffset>-615950</wp:posOffset>
            </wp:positionH>
            <wp:positionV relativeFrom="paragraph">
              <wp:posOffset>144780</wp:posOffset>
            </wp:positionV>
            <wp:extent cx="6446520" cy="8710930"/>
            <wp:effectExtent l="0" t="0" r="5080" b="127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3">
                      <a:extLst>
                        <a:ext uri="{28A0092B-C50C-407E-A947-70E740481C1C}">
                          <a14:useLocalDpi xmlns:a14="http://schemas.microsoft.com/office/drawing/2010/main" val="0"/>
                        </a:ext>
                      </a:extLst>
                    </a:blip>
                    <a:stretch>
                      <a:fillRect/>
                    </a:stretch>
                  </pic:blipFill>
                  <pic:spPr>
                    <a:xfrm>
                      <a:off x="0" y="0"/>
                      <a:ext cx="6446520" cy="8710930"/>
                    </a:xfrm>
                    <a:prstGeom prst="rect">
                      <a:avLst/>
                    </a:prstGeom>
                  </pic:spPr>
                </pic:pic>
              </a:graphicData>
            </a:graphic>
            <wp14:sizeRelH relativeFrom="margin">
              <wp14:pctWidth>0</wp14:pctWidth>
            </wp14:sizeRelH>
            <wp14:sizeRelV relativeFrom="margin">
              <wp14:pctHeight>0</wp14:pctHeight>
            </wp14:sizeRelV>
          </wp:anchor>
        </w:drawing>
      </w:r>
      <w:r w:rsidR="00A5342C" w:rsidRPr="00A5342C">
        <w:rPr>
          <w:rFonts w:ascii="Baskerville" w:hAnsi="Baskerville"/>
          <w:u w:val="single"/>
        </w:rPr>
        <w:t>Appendix 3</w:t>
      </w:r>
    </w:p>
    <w:p w14:paraId="703ADE28" w14:textId="1E0194F6" w:rsidR="00A2646D" w:rsidRDefault="00A5342C" w:rsidP="00251A5F">
      <w:pPr>
        <w:rPr>
          <w:rFonts w:ascii="Baskerville" w:hAnsi="Baskerville"/>
          <w:u w:val="single"/>
        </w:rPr>
      </w:pPr>
      <w:r>
        <w:rPr>
          <w:rFonts w:ascii="Baskerville" w:hAnsi="Baskerville"/>
          <w:noProof/>
        </w:rPr>
        <w:lastRenderedPageBreak/>
        <w:drawing>
          <wp:anchor distT="0" distB="0" distL="114300" distR="114300" simplePos="0" relativeHeight="251658246" behindDoc="0" locked="0" layoutInCell="1" allowOverlap="1" wp14:anchorId="34D5340C" wp14:editId="341919E0">
            <wp:simplePos x="0" y="0"/>
            <wp:positionH relativeFrom="column">
              <wp:posOffset>-605375</wp:posOffset>
            </wp:positionH>
            <wp:positionV relativeFrom="paragraph">
              <wp:posOffset>99588</wp:posOffset>
            </wp:positionV>
            <wp:extent cx="7250952" cy="7586804"/>
            <wp:effectExtent l="0" t="0" r="127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4">
                      <a:extLst>
                        <a:ext uri="{28A0092B-C50C-407E-A947-70E740481C1C}">
                          <a14:useLocalDpi xmlns:a14="http://schemas.microsoft.com/office/drawing/2010/main" val="0"/>
                        </a:ext>
                      </a:extLst>
                    </a:blip>
                    <a:stretch>
                      <a:fillRect/>
                    </a:stretch>
                  </pic:blipFill>
                  <pic:spPr>
                    <a:xfrm>
                      <a:off x="0" y="0"/>
                      <a:ext cx="7250952" cy="7586804"/>
                    </a:xfrm>
                    <a:prstGeom prst="rect">
                      <a:avLst/>
                    </a:prstGeom>
                  </pic:spPr>
                </pic:pic>
              </a:graphicData>
            </a:graphic>
            <wp14:sizeRelH relativeFrom="margin">
              <wp14:pctWidth>0</wp14:pctWidth>
            </wp14:sizeRelH>
            <wp14:sizeRelV relativeFrom="margin">
              <wp14:pctHeight>0</wp14:pctHeight>
            </wp14:sizeRelV>
          </wp:anchor>
        </w:drawing>
      </w:r>
    </w:p>
    <w:p w14:paraId="57377B7D" w14:textId="7CA34100" w:rsidR="00A768FB" w:rsidRPr="00A768FB" w:rsidRDefault="00A768FB" w:rsidP="00251A5F">
      <w:pPr>
        <w:rPr>
          <w:rFonts w:ascii="Baskerville" w:hAnsi="Baskerville"/>
          <w:u w:val="single"/>
        </w:rPr>
      </w:pPr>
    </w:p>
    <w:p w14:paraId="4A24C746" w14:textId="2DF8D521" w:rsidR="00A768FB" w:rsidRDefault="00A768FB" w:rsidP="00251A5F">
      <w:pPr>
        <w:rPr>
          <w:rFonts w:ascii="Baskerville" w:hAnsi="Baskerville"/>
        </w:rPr>
      </w:pPr>
    </w:p>
    <w:p w14:paraId="76EA8899" w14:textId="31281171" w:rsidR="00A2646D" w:rsidRDefault="00A2646D" w:rsidP="00251A5F">
      <w:pPr>
        <w:rPr>
          <w:rFonts w:ascii="Baskerville" w:hAnsi="Baskerville"/>
        </w:rPr>
      </w:pPr>
    </w:p>
    <w:p w14:paraId="47B97FCA" w14:textId="267AF712" w:rsidR="00A2646D" w:rsidRDefault="00A5342C" w:rsidP="00251A5F">
      <w:pPr>
        <w:rPr>
          <w:rFonts w:ascii="Baskerville" w:hAnsi="Baskerville"/>
        </w:rPr>
      </w:pPr>
      <w:r>
        <w:rPr>
          <w:rFonts w:ascii="Baskerville" w:hAnsi="Baskerville"/>
          <w:noProof/>
        </w:rPr>
        <w:lastRenderedPageBreak/>
        <w:drawing>
          <wp:anchor distT="0" distB="0" distL="114300" distR="114300" simplePos="0" relativeHeight="251658245" behindDoc="0" locked="0" layoutInCell="1" allowOverlap="1" wp14:anchorId="46E3C92F" wp14:editId="2FCEBAB7">
            <wp:simplePos x="0" y="0"/>
            <wp:positionH relativeFrom="column">
              <wp:posOffset>0</wp:posOffset>
            </wp:positionH>
            <wp:positionV relativeFrom="paragraph">
              <wp:posOffset>259080</wp:posOffset>
            </wp:positionV>
            <wp:extent cx="4953000" cy="57404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5">
                      <a:extLst>
                        <a:ext uri="{28A0092B-C50C-407E-A947-70E740481C1C}">
                          <a14:useLocalDpi xmlns:a14="http://schemas.microsoft.com/office/drawing/2010/main" val="0"/>
                        </a:ext>
                      </a:extLst>
                    </a:blip>
                    <a:stretch>
                      <a:fillRect/>
                    </a:stretch>
                  </pic:blipFill>
                  <pic:spPr>
                    <a:xfrm>
                      <a:off x="0" y="0"/>
                      <a:ext cx="4953000" cy="5740400"/>
                    </a:xfrm>
                    <a:prstGeom prst="rect">
                      <a:avLst/>
                    </a:prstGeom>
                  </pic:spPr>
                </pic:pic>
              </a:graphicData>
            </a:graphic>
            <wp14:sizeRelH relativeFrom="margin">
              <wp14:pctWidth>0</wp14:pctWidth>
            </wp14:sizeRelH>
            <wp14:sizeRelV relativeFrom="margin">
              <wp14:pctHeight>0</wp14:pctHeight>
            </wp14:sizeRelV>
          </wp:anchor>
        </w:drawing>
      </w:r>
    </w:p>
    <w:p w14:paraId="6303CA6C" w14:textId="2ABE7004" w:rsidR="00A2646D" w:rsidRDefault="00A2646D" w:rsidP="00251A5F">
      <w:pPr>
        <w:rPr>
          <w:rFonts w:ascii="Baskerville" w:hAnsi="Baskerville"/>
        </w:rPr>
      </w:pPr>
    </w:p>
    <w:p w14:paraId="07B97F4A" w14:textId="318EF536" w:rsidR="00A2646D" w:rsidRDefault="00A2646D" w:rsidP="00251A5F">
      <w:pPr>
        <w:rPr>
          <w:rFonts w:ascii="Baskerville" w:hAnsi="Baskerville"/>
        </w:rPr>
      </w:pPr>
    </w:p>
    <w:p w14:paraId="3E569D47" w14:textId="5FF3719E" w:rsidR="00A2646D" w:rsidRDefault="00A2646D" w:rsidP="00251A5F">
      <w:pPr>
        <w:rPr>
          <w:rFonts w:ascii="Baskerville" w:hAnsi="Baskerville"/>
        </w:rPr>
      </w:pPr>
    </w:p>
    <w:p w14:paraId="73F25FDE" w14:textId="443CD7A7" w:rsidR="00A2646D" w:rsidRDefault="00A2646D" w:rsidP="00251A5F">
      <w:pPr>
        <w:rPr>
          <w:rFonts w:ascii="Baskerville" w:hAnsi="Baskerville"/>
        </w:rPr>
      </w:pPr>
    </w:p>
    <w:p w14:paraId="33C30519" w14:textId="67769905" w:rsidR="00A2646D" w:rsidRDefault="00A2646D" w:rsidP="00251A5F">
      <w:pPr>
        <w:rPr>
          <w:rFonts w:ascii="Baskerville" w:hAnsi="Baskerville"/>
        </w:rPr>
      </w:pPr>
    </w:p>
    <w:p w14:paraId="3F7AC136" w14:textId="6FED54C4" w:rsidR="00A2646D" w:rsidRDefault="00A2646D" w:rsidP="00251A5F">
      <w:pPr>
        <w:rPr>
          <w:rFonts w:ascii="Baskerville" w:hAnsi="Baskerville"/>
        </w:rPr>
      </w:pPr>
    </w:p>
    <w:p w14:paraId="0233A924" w14:textId="0B422285" w:rsidR="0098277A" w:rsidRPr="00A86C42" w:rsidRDefault="0098277A" w:rsidP="00251A5F">
      <w:pPr>
        <w:rPr>
          <w:rFonts w:ascii="Baskerville" w:hAnsi="Baskerville"/>
        </w:rPr>
      </w:pPr>
    </w:p>
    <w:sectPr w:rsidR="0098277A" w:rsidRPr="00A86C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248862" w14:textId="77777777" w:rsidR="0098277A" w:rsidRDefault="0098277A" w:rsidP="0098277A">
      <w:pPr>
        <w:spacing w:after="0"/>
      </w:pPr>
      <w:r>
        <w:separator/>
      </w:r>
    </w:p>
  </w:endnote>
  <w:endnote w:type="continuationSeparator" w:id="0">
    <w:p w14:paraId="1BF2C912" w14:textId="77777777" w:rsidR="0098277A" w:rsidRDefault="0098277A" w:rsidP="0098277A">
      <w:pPr>
        <w:spacing w:after="0"/>
      </w:pPr>
      <w:r>
        <w:continuationSeparator/>
      </w:r>
    </w:p>
  </w:endnote>
  <w:endnote w:type="continuationNotice" w:id="1">
    <w:p w14:paraId="6080821B" w14:textId="77777777" w:rsidR="00E56B91" w:rsidRDefault="00E56B91">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C2CE6" w14:textId="77777777" w:rsidR="0098277A" w:rsidRDefault="0098277A" w:rsidP="0098277A">
      <w:pPr>
        <w:spacing w:after="0"/>
      </w:pPr>
      <w:r>
        <w:separator/>
      </w:r>
    </w:p>
  </w:footnote>
  <w:footnote w:type="continuationSeparator" w:id="0">
    <w:p w14:paraId="6418580A" w14:textId="77777777" w:rsidR="0098277A" w:rsidRDefault="0098277A" w:rsidP="0098277A">
      <w:pPr>
        <w:spacing w:after="0"/>
      </w:pPr>
      <w:r>
        <w:continuationSeparator/>
      </w:r>
    </w:p>
  </w:footnote>
  <w:footnote w:type="continuationNotice" w:id="1">
    <w:p w14:paraId="4B2443A9" w14:textId="77777777" w:rsidR="00E56B91" w:rsidRDefault="00E56B91">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0E01BA"/>
    <w:multiLevelType w:val="hybridMultilevel"/>
    <w:tmpl w:val="B1EC5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F3A"/>
    <w:rsid w:val="00015A3F"/>
    <w:rsid w:val="00017A01"/>
    <w:rsid w:val="0002171A"/>
    <w:rsid w:val="00025D1A"/>
    <w:rsid w:val="00034F38"/>
    <w:rsid w:val="000359B6"/>
    <w:rsid w:val="00040D5D"/>
    <w:rsid w:val="00046CE3"/>
    <w:rsid w:val="000527E3"/>
    <w:rsid w:val="00055B34"/>
    <w:rsid w:val="0006182C"/>
    <w:rsid w:val="0006546B"/>
    <w:rsid w:val="000752A5"/>
    <w:rsid w:val="000866BE"/>
    <w:rsid w:val="00090453"/>
    <w:rsid w:val="0009252E"/>
    <w:rsid w:val="00094D02"/>
    <w:rsid w:val="000A440C"/>
    <w:rsid w:val="000B2EAF"/>
    <w:rsid w:val="000C26D9"/>
    <w:rsid w:val="000C53CF"/>
    <w:rsid w:val="000D0F76"/>
    <w:rsid w:val="000D0FCB"/>
    <w:rsid w:val="000D2FC2"/>
    <w:rsid w:val="000D7A20"/>
    <w:rsid w:val="000D7BCB"/>
    <w:rsid w:val="000E3A63"/>
    <w:rsid w:val="000F5FB2"/>
    <w:rsid w:val="000F6457"/>
    <w:rsid w:val="0010611B"/>
    <w:rsid w:val="00107E85"/>
    <w:rsid w:val="00111C8E"/>
    <w:rsid w:val="00113F5C"/>
    <w:rsid w:val="0011434A"/>
    <w:rsid w:val="00117B6D"/>
    <w:rsid w:val="00153865"/>
    <w:rsid w:val="00156173"/>
    <w:rsid w:val="001561F3"/>
    <w:rsid w:val="00163C93"/>
    <w:rsid w:val="00164181"/>
    <w:rsid w:val="001710C0"/>
    <w:rsid w:val="00177BA9"/>
    <w:rsid w:val="00191992"/>
    <w:rsid w:val="00195AEE"/>
    <w:rsid w:val="001A1A60"/>
    <w:rsid w:val="001A2433"/>
    <w:rsid w:val="001A563F"/>
    <w:rsid w:val="001A5D8B"/>
    <w:rsid w:val="001A66EE"/>
    <w:rsid w:val="001B4330"/>
    <w:rsid w:val="001C1BE4"/>
    <w:rsid w:val="001C651E"/>
    <w:rsid w:val="001D0457"/>
    <w:rsid w:val="001D094D"/>
    <w:rsid w:val="001E051A"/>
    <w:rsid w:val="001E23DF"/>
    <w:rsid w:val="001E7F4F"/>
    <w:rsid w:val="001F29AF"/>
    <w:rsid w:val="001F2C23"/>
    <w:rsid w:val="00200654"/>
    <w:rsid w:val="00221407"/>
    <w:rsid w:val="00222430"/>
    <w:rsid w:val="00233C60"/>
    <w:rsid w:val="00235620"/>
    <w:rsid w:val="00236162"/>
    <w:rsid w:val="00236752"/>
    <w:rsid w:val="00243BFD"/>
    <w:rsid w:val="00250CF0"/>
    <w:rsid w:val="00251A5F"/>
    <w:rsid w:val="002545D0"/>
    <w:rsid w:val="00262814"/>
    <w:rsid w:val="00262BC4"/>
    <w:rsid w:val="002638CC"/>
    <w:rsid w:val="0026553D"/>
    <w:rsid w:val="0026728C"/>
    <w:rsid w:val="00270527"/>
    <w:rsid w:val="0027065F"/>
    <w:rsid w:val="00270F55"/>
    <w:rsid w:val="002735B6"/>
    <w:rsid w:val="00280E9B"/>
    <w:rsid w:val="00281F2E"/>
    <w:rsid w:val="00287758"/>
    <w:rsid w:val="00293F65"/>
    <w:rsid w:val="002A5CEE"/>
    <w:rsid w:val="002A69CA"/>
    <w:rsid w:val="002B35EF"/>
    <w:rsid w:val="002B4575"/>
    <w:rsid w:val="002B478A"/>
    <w:rsid w:val="002D24BC"/>
    <w:rsid w:val="002D5F02"/>
    <w:rsid w:val="002D62D1"/>
    <w:rsid w:val="002E27DE"/>
    <w:rsid w:val="002E4A66"/>
    <w:rsid w:val="002E7CB9"/>
    <w:rsid w:val="002F2F72"/>
    <w:rsid w:val="002F5456"/>
    <w:rsid w:val="002F6BBF"/>
    <w:rsid w:val="00300CF7"/>
    <w:rsid w:val="00311330"/>
    <w:rsid w:val="0033005D"/>
    <w:rsid w:val="003566B3"/>
    <w:rsid w:val="003568E3"/>
    <w:rsid w:val="00361E11"/>
    <w:rsid w:val="00366F62"/>
    <w:rsid w:val="003704E4"/>
    <w:rsid w:val="00371ABB"/>
    <w:rsid w:val="00377C9A"/>
    <w:rsid w:val="00381740"/>
    <w:rsid w:val="003A0068"/>
    <w:rsid w:val="003A036C"/>
    <w:rsid w:val="003A56C4"/>
    <w:rsid w:val="003A5EDC"/>
    <w:rsid w:val="003B78FC"/>
    <w:rsid w:val="003C44D0"/>
    <w:rsid w:val="003D1D4E"/>
    <w:rsid w:val="003D1F15"/>
    <w:rsid w:val="003D1FE6"/>
    <w:rsid w:val="003D499B"/>
    <w:rsid w:val="003E108A"/>
    <w:rsid w:val="003E500E"/>
    <w:rsid w:val="003E5C1E"/>
    <w:rsid w:val="003F633D"/>
    <w:rsid w:val="003F6F2B"/>
    <w:rsid w:val="0040047F"/>
    <w:rsid w:val="0040364B"/>
    <w:rsid w:val="00407D34"/>
    <w:rsid w:val="0041740C"/>
    <w:rsid w:val="0042417F"/>
    <w:rsid w:val="00431AB9"/>
    <w:rsid w:val="00431EB8"/>
    <w:rsid w:val="0044030D"/>
    <w:rsid w:val="004431D1"/>
    <w:rsid w:val="00451CC4"/>
    <w:rsid w:val="00453458"/>
    <w:rsid w:val="00455B67"/>
    <w:rsid w:val="00456F04"/>
    <w:rsid w:val="004625D4"/>
    <w:rsid w:val="00466486"/>
    <w:rsid w:val="00472FDD"/>
    <w:rsid w:val="004748FD"/>
    <w:rsid w:val="00477850"/>
    <w:rsid w:val="00477B13"/>
    <w:rsid w:val="00480D3D"/>
    <w:rsid w:val="004929BA"/>
    <w:rsid w:val="004B521A"/>
    <w:rsid w:val="004C4CEC"/>
    <w:rsid w:val="004D7E93"/>
    <w:rsid w:val="004F5109"/>
    <w:rsid w:val="0050095A"/>
    <w:rsid w:val="00501AC2"/>
    <w:rsid w:val="00503F91"/>
    <w:rsid w:val="00515D20"/>
    <w:rsid w:val="00521B03"/>
    <w:rsid w:val="00541BFA"/>
    <w:rsid w:val="005476A4"/>
    <w:rsid w:val="00555C3D"/>
    <w:rsid w:val="005613B1"/>
    <w:rsid w:val="00570E4C"/>
    <w:rsid w:val="00570EA5"/>
    <w:rsid w:val="00574F11"/>
    <w:rsid w:val="005772B6"/>
    <w:rsid w:val="00583442"/>
    <w:rsid w:val="00584242"/>
    <w:rsid w:val="00584DE2"/>
    <w:rsid w:val="00585E6E"/>
    <w:rsid w:val="00590BAF"/>
    <w:rsid w:val="005B3B4C"/>
    <w:rsid w:val="005C03BF"/>
    <w:rsid w:val="005C595E"/>
    <w:rsid w:val="005C6A01"/>
    <w:rsid w:val="005C7365"/>
    <w:rsid w:val="005D0DD2"/>
    <w:rsid w:val="005D42AB"/>
    <w:rsid w:val="005E2231"/>
    <w:rsid w:val="005F2165"/>
    <w:rsid w:val="005F3DA0"/>
    <w:rsid w:val="005F6E06"/>
    <w:rsid w:val="005F7B17"/>
    <w:rsid w:val="00603534"/>
    <w:rsid w:val="006069A2"/>
    <w:rsid w:val="00611FB5"/>
    <w:rsid w:val="00612BBF"/>
    <w:rsid w:val="00617BBA"/>
    <w:rsid w:val="00641A88"/>
    <w:rsid w:val="00653F63"/>
    <w:rsid w:val="006704AB"/>
    <w:rsid w:val="006A3F70"/>
    <w:rsid w:val="006A65EE"/>
    <w:rsid w:val="006B308A"/>
    <w:rsid w:val="006B64DB"/>
    <w:rsid w:val="006C7354"/>
    <w:rsid w:val="006D0035"/>
    <w:rsid w:val="006E1377"/>
    <w:rsid w:val="006F4F5D"/>
    <w:rsid w:val="00702017"/>
    <w:rsid w:val="00704E31"/>
    <w:rsid w:val="00707CDA"/>
    <w:rsid w:val="007214E8"/>
    <w:rsid w:val="007275B0"/>
    <w:rsid w:val="00730A31"/>
    <w:rsid w:val="00732908"/>
    <w:rsid w:val="00736B26"/>
    <w:rsid w:val="00741BB2"/>
    <w:rsid w:val="007428D0"/>
    <w:rsid w:val="007438D0"/>
    <w:rsid w:val="00746DC4"/>
    <w:rsid w:val="007704EC"/>
    <w:rsid w:val="00774BD1"/>
    <w:rsid w:val="007868AE"/>
    <w:rsid w:val="00786C42"/>
    <w:rsid w:val="00791B1C"/>
    <w:rsid w:val="00794E0F"/>
    <w:rsid w:val="00796D4E"/>
    <w:rsid w:val="007A0611"/>
    <w:rsid w:val="007B4E6E"/>
    <w:rsid w:val="007C191D"/>
    <w:rsid w:val="007C5DEE"/>
    <w:rsid w:val="007C644A"/>
    <w:rsid w:val="007D3E79"/>
    <w:rsid w:val="007D6770"/>
    <w:rsid w:val="007D7C24"/>
    <w:rsid w:val="007E0706"/>
    <w:rsid w:val="007E0716"/>
    <w:rsid w:val="007E0C94"/>
    <w:rsid w:val="007E1996"/>
    <w:rsid w:val="007E20E6"/>
    <w:rsid w:val="007E3A4E"/>
    <w:rsid w:val="007E6DF3"/>
    <w:rsid w:val="007F051D"/>
    <w:rsid w:val="007F1F8A"/>
    <w:rsid w:val="007F60E5"/>
    <w:rsid w:val="007F7F2F"/>
    <w:rsid w:val="00801EF5"/>
    <w:rsid w:val="00803FB5"/>
    <w:rsid w:val="00817B38"/>
    <w:rsid w:val="00823BE9"/>
    <w:rsid w:val="00830E63"/>
    <w:rsid w:val="00831E93"/>
    <w:rsid w:val="00842159"/>
    <w:rsid w:val="00843A6D"/>
    <w:rsid w:val="008455CA"/>
    <w:rsid w:val="00847671"/>
    <w:rsid w:val="0086371B"/>
    <w:rsid w:val="00870153"/>
    <w:rsid w:val="00872693"/>
    <w:rsid w:val="008753A2"/>
    <w:rsid w:val="008760B3"/>
    <w:rsid w:val="00884F8B"/>
    <w:rsid w:val="00891160"/>
    <w:rsid w:val="008A24DF"/>
    <w:rsid w:val="008A27B1"/>
    <w:rsid w:val="008A68E0"/>
    <w:rsid w:val="008B1994"/>
    <w:rsid w:val="008B3066"/>
    <w:rsid w:val="008B3EFA"/>
    <w:rsid w:val="008B57EA"/>
    <w:rsid w:val="008C379B"/>
    <w:rsid w:val="008C6960"/>
    <w:rsid w:val="008D2CBB"/>
    <w:rsid w:val="008D5F3B"/>
    <w:rsid w:val="008D6B92"/>
    <w:rsid w:val="008E525C"/>
    <w:rsid w:val="008E7D92"/>
    <w:rsid w:val="008F73A7"/>
    <w:rsid w:val="00921474"/>
    <w:rsid w:val="0093116B"/>
    <w:rsid w:val="00935DCF"/>
    <w:rsid w:val="00943260"/>
    <w:rsid w:val="009446EF"/>
    <w:rsid w:val="00944B1B"/>
    <w:rsid w:val="0094564C"/>
    <w:rsid w:val="00953D15"/>
    <w:rsid w:val="0097698A"/>
    <w:rsid w:val="00976F72"/>
    <w:rsid w:val="00980985"/>
    <w:rsid w:val="0098277A"/>
    <w:rsid w:val="00984582"/>
    <w:rsid w:val="00984A46"/>
    <w:rsid w:val="00992D9D"/>
    <w:rsid w:val="00993D6A"/>
    <w:rsid w:val="009960A6"/>
    <w:rsid w:val="00997987"/>
    <w:rsid w:val="009A3C99"/>
    <w:rsid w:val="009A3F51"/>
    <w:rsid w:val="009B0B47"/>
    <w:rsid w:val="009C3DB1"/>
    <w:rsid w:val="009D069D"/>
    <w:rsid w:val="009D6220"/>
    <w:rsid w:val="009D70E2"/>
    <w:rsid w:val="009E11EE"/>
    <w:rsid w:val="009F34A8"/>
    <w:rsid w:val="009F4E8A"/>
    <w:rsid w:val="009F5CB8"/>
    <w:rsid w:val="00A01851"/>
    <w:rsid w:val="00A0400F"/>
    <w:rsid w:val="00A04577"/>
    <w:rsid w:val="00A14FB1"/>
    <w:rsid w:val="00A15F57"/>
    <w:rsid w:val="00A22C6A"/>
    <w:rsid w:val="00A2646D"/>
    <w:rsid w:val="00A27ED9"/>
    <w:rsid w:val="00A33554"/>
    <w:rsid w:val="00A35AF6"/>
    <w:rsid w:val="00A444E5"/>
    <w:rsid w:val="00A5342C"/>
    <w:rsid w:val="00A606F7"/>
    <w:rsid w:val="00A66652"/>
    <w:rsid w:val="00A72300"/>
    <w:rsid w:val="00A75614"/>
    <w:rsid w:val="00A768FB"/>
    <w:rsid w:val="00A82526"/>
    <w:rsid w:val="00A82D83"/>
    <w:rsid w:val="00A86AFC"/>
    <w:rsid w:val="00A86C42"/>
    <w:rsid w:val="00A92E21"/>
    <w:rsid w:val="00A93E86"/>
    <w:rsid w:val="00AA342E"/>
    <w:rsid w:val="00AA3A0B"/>
    <w:rsid w:val="00AA5FF1"/>
    <w:rsid w:val="00AC1121"/>
    <w:rsid w:val="00AC2AD6"/>
    <w:rsid w:val="00AC4901"/>
    <w:rsid w:val="00AD2DEC"/>
    <w:rsid w:val="00AE1248"/>
    <w:rsid w:val="00AE2582"/>
    <w:rsid w:val="00AE34CF"/>
    <w:rsid w:val="00AE778F"/>
    <w:rsid w:val="00AF586B"/>
    <w:rsid w:val="00B1145D"/>
    <w:rsid w:val="00B11F1A"/>
    <w:rsid w:val="00B1388C"/>
    <w:rsid w:val="00B14E37"/>
    <w:rsid w:val="00B161AB"/>
    <w:rsid w:val="00B27420"/>
    <w:rsid w:val="00B4340D"/>
    <w:rsid w:val="00B47E30"/>
    <w:rsid w:val="00B50BC2"/>
    <w:rsid w:val="00B5197E"/>
    <w:rsid w:val="00B539E0"/>
    <w:rsid w:val="00B55087"/>
    <w:rsid w:val="00B61A09"/>
    <w:rsid w:val="00B72F5B"/>
    <w:rsid w:val="00B82BD8"/>
    <w:rsid w:val="00B85530"/>
    <w:rsid w:val="00B85E2F"/>
    <w:rsid w:val="00B90E25"/>
    <w:rsid w:val="00B94D89"/>
    <w:rsid w:val="00B9579D"/>
    <w:rsid w:val="00BA3183"/>
    <w:rsid w:val="00BC1BEA"/>
    <w:rsid w:val="00BD23C3"/>
    <w:rsid w:val="00BD2F08"/>
    <w:rsid w:val="00BD3057"/>
    <w:rsid w:val="00BD6598"/>
    <w:rsid w:val="00BD73BE"/>
    <w:rsid w:val="00BE18A5"/>
    <w:rsid w:val="00BE747A"/>
    <w:rsid w:val="00C02D00"/>
    <w:rsid w:val="00C0668B"/>
    <w:rsid w:val="00C12D99"/>
    <w:rsid w:val="00C26D45"/>
    <w:rsid w:val="00C27122"/>
    <w:rsid w:val="00C44392"/>
    <w:rsid w:val="00C47A73"/>
    <w:rsid w:val="00C54DA0"/>
    <w:rsid w:val="00C6748A"/>
    <w:rsid w:val="00C90B59"/>
    <w:rsid w:val="00C92052"/>
    <w:rsid w:val="00CA7B96"/>
    <w:rsid w:val="00CB1638"/>
    <w:rsid w:val="00CB6555"/>
    <w:rsid w:val="00CC36F7"/>
    <w:rsid w:val="00CC42E9"/>
    <w:rsid w:val="00CD4AB7"/>
    <w:rsid w:val="00CD5CCC"/>
    <w:rsid w:val="00CD6805"/>
    <w:rsid w:val="00CE1E0B"/>
    <w:rsid w:val="00CE7199"/>
    <w:rsid w:val="00D043FE"/>
    <w:rsid w:val="00D11C15"/>
    <w:rsid w:val="00D124EE"/>
    <w:rsid w:val="00D15F3A"/>
    <w:rsid w:val="00D2305F"/>
    <w:rsid w:val="00D2479B"/>
    <w:rsid w:val="00D36999"/>
    <w:rsid w:val="00D45E40"/>
    <w:rsid w:val="00D705EB"/>
    <w:rsid w:val="00D741B0"/>
    <w:rsid w:val="00D7517E"/>
    <w:rsid w:val="00D85E80"/>
    <w:rsid w:val="00D86A33"/>
    <w:rsid w:val="00D86EE4"/>
    <w:rsid w:val="00D93A53"/>
    <w:rsid w:val="00DA3D27"/>
    <w:rsid w:val="00DA4549"/>
    <w:rsid w:val="00DB035C"/>
    <w:rsid w:val="00DB28DB"/>
    <w:rsid w:val="00DB7371"/>
    <w:rsid w:val="00DB7ECB"/>
    <w:rsid w:val="00DD1F97"/>
    <w:rsid w:val="00DD543D"/>
    <w:rsid w:val="00DD62DE"/>
    <w:rsid w:val="00DE7595"/>
    <w:rsid w:val="00E00361"/>
    <w:rsid w:val="00E006D9"/>
    <w:rsid w:val="00E03AC1"/>
    <w:rsid w:val="00E03F9E"/>
    <w:rsid w:val="00E148E5"/>
    <w:rsid w:val="00E17DC6"/>
    <w:rsid w:val="00E21CCA"/>
    <w:rsid w:val="00E23713"/>
    <w:rsid w:val="00E2491B"/>
    <w:rsid w:val="00E31DD8"/>
    <w:rsid w:val="00E4162D"/>
    <w:rsid w:val="00E500EA"/>
    <w:rsid w:val="00E54378"/>
    <w:rsid w:val="00E5538B"/>
    <w:rsid w:val="00E554D8"/>
    <w:rsid w:val="00E56B91"/>
    <w:rsid w:val="00E63972"/>
    <w:rsid w:val="00E710B2"/>
    <w:rsid w:val="00E72686"/>
    <w:rsid w:val="00E81EDF"/>
    <w:rsid w:val="00E862C6"/>
    <w:rsid w:val="00E86E44"/>
    <w:rsid w:val="00E87507"/>
    <w:rsid w:val="00E915C7"/>
    <w:rsid w:val="00E945F0"/>
    <w:rsid w:val="00EA03BB"/>
    <w:rsid w:val="00EA4F07"/>
    <w:rsid w:val="00EA74FF"/>
    <w:rsid w:val="00EB0AB5"/>
    <w:rsid w:val="00EB1094"/>
    <w:rsid w:val="00EC0334"/>
    <w:rsid w:val="00EC04A9"/>
    <w:rsid w:val="00EC5CE1"/>
    <w:rsid w:val="00EC79F8"/>
    <w:rsid w:val="00ED060A"/>
    <w:rsid w:val="00EE04AB"/>
    <w:rsid w:val="00EE05CD"/>
    <w:rsid w:val="00EE36EF"/>
    <w:rsid w:val="00EE39A5"/>
    <w:rsid w:val="00EE4580"/>
    <w:rsid w:val="00EE70CC"/>
    <w:rsid w:val="00EF4348"/>
    <w:rsid w:val="00F03326"/>
    <w:rsid w:val="00F0620F"/>
    <w:rsid w:val="00F07D6A"/>
    <w:rsid w:val="00F21E17"/>
    <w:rsid w:val="00F257C3"/>
    <w:rsid w:val="00F26104"/>
    <w:rsid w:val="00F2732E"/>
    <w:rsid w:val="00F47CC6"/>
    <w:rsid w:val="00F5420D"/>
    <w:rsid w:val="00F56680"/>
    <w:rsid w:val="00F614B3"/>
    <w:rsid w:val="00F669A5"/>
    <w:rsid w:val="00F8078A"/>
    <w:rsid w:val="00F87024"/>
    <w:rsid w:val="00F94B18"/>
    <w:rsid w:val="00FB07FE"/>
    <w:rsid w:val="00FB5374"/>
    <w:rsid w:val="00FD49E3"/>
    <w:rsid w:val="00FE1D86"/>
    <w:rsid w:val="00FF4BF5"/>
    <w:rsid w:val="00FF5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F4B2D9"/>
  <w15:chartTrackingRefBased/>
  <w15:docId w15:val="{AAD9F838-3AFB-604A-B910-13DA59B54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2165"/>
    <w:pPr>
      <w:ind w:left="720"/>
      <w:contextualSpacing/>
    </w:pPr>
  </w:style>
  <w:style w:type="character" w:styleId="Hyperlink">
    <w:name w:val="Hyperlink"/>
    <w:basedOn w:val="DefaultParagraphFont"/>
    <w:uiPriority w:val="99"/>
    <w:unhideWhenUsed/>
    <w:rsid w:val="003A036C"/>
    <w:rPr>
      <w:color w:val="0563C1" w:themeColor="hyperlink"/>
      <w:u w:val="single"/>
    </w:rPr>
  </w:style>
  <w:style w:type="character" w:styleId="UnresolvedMention">
    <w:name w:val="Unresolved Mention"/>
    <w:basedOn w:val="DefaultParagraphFont"/>
    <w:uiPriority w:val="99"/>
    <w:semiHidden/>
    <w:unhideWhenUsed/>
    <w:rsid w:val="003A036C"/>
    <w:rPr>
      <w:color w:val="605E5C"/>
      <w:shd w:val="clear" w:color="auto" w:fill="E1DFDD"/>
    </w:rPr>
  </w:style>
  <w:style w:type="character" w:styleId="FollowedHyperlink">
    <w:name w:val="FollowedHyperlink"/>
    <w:basedOn w:val="DefaultParagraphFont"/>
    <w:uiPriority w:val="99"/>
    <w:semiHidden/>
    <w:unhideWhenUsed/>
    <w:rsid w:val="003A036C"/>
    <w:rPr>
      <w:color w:val="954F72" w:themeColor="followedHyperlink"/>
      <w:u w:val="single"/>
    </w:rPr>
  </w:style>
  <w:style w:type="character" w:customStyle="1" w:styleId="apple-converted-space">
    <w:name w:val="apple-converted-space"/>
    <w:basedOn w:val="DefaultParagraphFont"/>
    <w:rsid w:val="00E87507"/>
  </w:style>
  <w:style w:type="paragraph" w:styleId="NormalWeb">
    <w:name w:val="Normal (Web)"/>
    <w:basedOn w:val="Normal"/>
    <w:uiPriority w:val="99"/>
    <w:unhideWhenUsed/>
    <w:rsid w:val="005F6E06"/>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8277A"/>
    <w:pPr>
      <w:tabs>
        <w:tab w:val="center" w:pos="4513"/>
        <w:tab w:val="right" w:pos="9026"/>
      </w:tabs>
      <w:spacing w:after="0"/>
    </w:pPr>
  </w:style>
  <w:style w:type="character" w:customStyle="1" w:styleId="HeaderChar">
    <w:name w:val="Header Char"/>
    <w:basedOn w:val="DefaultParagraphFont"/>
    <w:link w:val="Header"/>
    <w:uiPriority w:val="99"/>
    <w:rsid w:val="0098277A"/>
  </w:style>
  <w:style w:type="paragraph" w:styleId="Footer">
    <w:name w:val="footer"/>
    <w:basedOn w:val="Normal"/>
    <w:link w:val="FooterChar"/>
    <w:uiPriority w:val="99"/>
    <w:unhideWhenUsed/>
    <w:rsid w:val="0098277A"/>
    <w:pPr>
      <w:tabs>
        <w:tab w:val="center" w:pos="4513"/>
        <w:tab w:val="right" w:pos="9026"/>
      </w:tabs>
      <w:spacing w:after="0"/>
    </w:pPr>
  </w:style>
  <w:style w:type="character" w:customStyle="1" w:styleId="FooterChar">
    <w:name w:val="Footer Char"/>
    <w:basedOn w:val="DefaultParagraphFont"/>
    <w:link w:val="Footer"/>
    <w:uiPriority w:val="99"/>
    <w:rsid w:val="009827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18184">
      <w:bodyDiv w:val="1"/>
      <w:marLeft w:val="0"/>
      <w:marRight w:val="0"/>
      <w:marTop w:val="0"/>
      <w:marBottom w:val="0"/>
      <w:divBdr>
        <w:top w:val="none" w:sz="0" w:space="0" w:color="auto"/>
        <w:left w:val="none" w:sz="0" w:space="0" w:color="auto"/>
        <w:bottom w:val="none" w:sz="0" w:space="0" w:color="auto"/>
        <w:right w:val="none" w:sz="0" w:space="0" w:color="auto"/>
      </w:divBdr>
    </w:div>
    <w:div w:id="133527227">
      <w:bodyDiv w:val="1"/>
      <w:marLeft w:val="0"/>
      <w:marRight w:val="0"/>
      <w:marTop w:val="0"/>
      <w:marBottom w:val="0"/>
      <w:divBdr>
        <w:top w:val="none" w:sz="0" w:space="0" w:color="auto"/>
        <w:left w:val="none" w:sz="0" w:space="0" w:color="auto"/>
        <w:bottom w:val="none" w:sz="0" w:space="0" w:color="auto"/>
        <w:right w:val="none" w:sz="0" w:space="0" w:color="auto"/>
      </w:divBdr>
    </w:div>
    <w:div w:id="222567416">
      <w:bodyDiv w:val="1"/>
      <w:marLeft w:val="0"/>
      <w:marRight w:val="0"/>
      <w:marTop w:val="0"/>
      <w:marBottom w:val="0"/>
      <w:divBdr>
        <w:top w:val="none" w:sz="0" w:space="0" w:color="auto"/>
        <w:left w:val="none" w:sz="0" w:space="0" w:color="auto"/>
        <w:bottom w:val="none" w:sz="0" w:space="0" w:color="auto"/>
        <w:right w:val="none" w:sz="0" w:space="0" w:color="auto"/>
      </w:divBdr>
    </w:div>
    <w:div w:id="338852924">
      <w:bodyDiv w:val="1"/>
      <w:marLeft w:val="0"/>
      <w:marRight w:val="0"/>
      <w:marTop w:val="0"/>
      <w:marBottom w:val="0"/>
      <w:divBdr>
        <w:top w:val="none" w:sz="0" w:space="0" w:color="auto"/>
        <w:left w:val="none" w:sz="0" w:space="0" w:color="auto"/>
        <w:bottom w:val="none" w:sz="0" w:space="0" w:color="auto"/>
        <w:right w:val="none" w:sz="0" w:space="0" w:color="auto"/>
      </w:divBdr>
    </w:div>
    <w:div w:id="401951387">
      <w:bodyDiv w:val="1"/>
      <w:marLeft w:val="0"/>
      <w:marRight w:val="0"/>
      <w:marTop w:val="0"/>
      <w:marBottom w:val="0"/>
      <w:divBdr>
        <w:top w:val="none" w:sz="0" w:space="0" w:color="auto"/>
        <w:left w:val="none" w:sz="0" w:space="0" w:color="auto"/>
        <w:bottom w:val="none" w:sz="0" w:space="0" w:color="auto"/>
        <w:right w:val="none" w:sz="0" w:space="0" w:color="auto"/>
      </w:divBdr>
    </w:div>
    <w:div w:id="543559600">
      <w:bodyDiv w:val="1"/>
      <w:marLeft w:val="0"/>
      <w:marRight w:val="0"/>
      <w:marTop w:val="0"/>
      <w:marBottom w:val="0"/>
      <w:divBdr>
        <w:top w:val="none" w:sz="0" w:space="0" w:color="auto"/>
        <w:left w:val="none" w:sz="0" w:space="0" w:color="auto"/>
        <w:bottom w:val="none" w:sz="0" w:space="0" w:color="auto"/>
        <w:right w:val="none" w:sz="0" w:space="0" w:color="auto"/>
      </w:divBdr>
    </w:div>
    <w:div w:id="634986647">
      <w:bodyDiv w:val="1"/>
      <w:marLeft w:val="0"/>
      <w:marRight w:val="0"/>
      <w:marTop w:val="0"/>
      <w:marBottom w:val="0"/>
      <w:divBdr>
        <w:top w:val="none" w:sz="0" w:space="0" w:color="auto"/>
        <w:left w:val="none" w:sz="0" w:space="0" w:color="auto"/>
        <w:bottom w:val="none" w:sz="0" w:space="0" w:color="auto"/>
        <w:right w:val="none" w:sz="0" w:space="0" w:color="auto"/>
      </w:divBdr>
    </w:div>
    <w:div w:id="685400810">
      <w:bodyDiv w:val="1"/>
      <w:marLeft w:val="0"/>
      <w:marRight w:val="0"/>
      <w:marTop w:val="0"/>
      <w:marBottom w:val="0"/>
      <w:divBdr>
        <w:top w:val="none" w:sz="0" w:space="0" w:color="auto"/>
        <w:left w:val="none" w:sz="0" w:space="0" w:color="auto"/>
        <w:bottom w:val="none" w:sz="0" w:space="0" w:color="auto"/>
        <w:right w:val="none" w:sz="0" w:space="0" w:color="auto"/>
      </w:divBdr>
    </w:div>
    <w:div w:id="746608748">
      <w:bodyDiv w:val="1"/>
      <w:marLeft w:val="0"/>
      <w:marRight w:val="0"/>
      <w:marTop w:val="0"/>
      <w:marBottom w:val="0"/>
      <w:divBdr>
        <w:top w:val="none" w:sz="0" w:space="0" w:color="auto"/>
        <w:left w:val="none" w:sz="0" w:space="0" w:color="auto"/>
        <w:bottom w:val="none" w:sz="0" w:space="0" w:color="auto"/>
        <w:right w:val="none" w:sz="0" w:space="0" w:color="auto"/>
      </w:divBdr>
      <w:divsChild>
        <w:div w:id="862014864">
          <w:marLeft w:val="300"/>
          <w:marRight w:val="0"/>
          <w:marTop w:val="0"/>
          <w:marBottom w:val="300"/>
          <w:divBdr>
            <w:top w:val="none" w:sz="0" w:space="0" w:color="auto"/>
            <w:left w:val="none" w:sz="0" w:space="0" w:color="auto"/>
            <w:bottom w:val="none" w:sz="0" w:space="0" w:color="auto"/>
            <w:right w:val="none" w:sz="0" w:space="0" w:color="auto"/>
          </w:divBdr>
        </w:div>
        <w:div w:id="548884667">
          <w:marLeft w:val="0"/>
          <w:marRight w:val="0"/>
          <w:marTop w:val="0"/>
          <w:marBottom w:val="0"/>
          <w:divBdr>
            <w:top w:val="none" w:sz="0" w:space="0" w:color="auto"/>
            <w:left w:val="none" w:sz="0" w:space="0" w:color="auto"/>
            <w:bottom w:val="none" w:sz="0" w:space="0" w:color="auto"/>
            <w:right w:val="none" w:sz="0" w:space="0" w:color="auto"/>
          </w:divBdr>
        </w:div>
      </w:divsChild>
    </w:div>
    <w:div w:id="793208531">
      <w:bodyDiv w:val="1"/>
      <w:marLeft w:val="0"/>
      <w:marRight w:val="0"/>
      <w:marTop w:val="0"/>
      <w:marBottom w:val="0"/>
      <w:divBdr>
        <w:top w:val="none" w:sz="0" w:space="0" w:color="auto"/>
        <w:left w:val="none" w:sz="0" w:space="0" w:color="auto"/>
        <w:bottom w:val="none" w:sz="0" w:space="0" w:color="auto"/>
        <w:right w:val="none" w:sz="0" w:space="0" w:color="auto"/>
      </w:divBdr>
    </w:div>
    <w:div w:id="989938614">
      <w:bodyDiv w:val="1"/>
      <w:marLeft w:val="0"/>
      <w:marRight w:val="0"/>
      <w:marTop w:val="0"/>
      <w:marBottom w:val="0"/>
      <w:divBdr>
        <w:top w:val="none" w:sz="0" w:space="0" w:color="auto"/>
        <w:left w:val="none" w:sz="0" w:space="0" w:color="auto"/>
        <w:bottom w:val="none" w:sz="0" w:space="0" w:color="auto"/>
        <w:right w:val="none" w:sz="0" w:space="0" w:color="auto"/>
      </w:divBdr>
    </w:div>
    <w:div w:id="1017150558">
      <w:bodyDiv w:val="1"/>
      <w:marLeft w:val="0"/>
      <w:marRight w:val="0"/>
      <w:marTop w:val="0"/>
      <w:marBottom w:val="0"/>
      <w:divBdr>
        <w:top w:val="none" w:sz="0" w:space="0" w:color="auto"/>
        <w:left w:val="none" w:sz="0" w:space="0" w:color="auto"/>
        <w:bottom w:val="none" w:sz="0" w:space="0" w:color="auto"/>
        <w:right w:val="none" w:sz="0" w:space="0" w:color="auto"/>
      </w:divBdr>
    </w:div>
    <w:div w:id="1247374833">
      <w:bodyDiv w:val="1"/>
      <w:marLeft w:val="0"/>
      <w:marRight w:val="0"/>
      <w:marTop w:val="0"/>
      <w:marBottom w:val="0"/>
      <w:divBdr>
        <w:top w:val="none" w:sz="0" w:space="0" w:color="auto"/>
        <w:left w:val="none" w:sz="0" w:space="0" w:color="auto"/>
        <w:bottom w:val="none" w:sz="0" w:space="0" w:color="auto"/>
        <w:right w:val="none" w:sz="0" w:space="0" w:color="auto"/>
      </w:divBdr>
      <w:divsChild>
        <w:div w:id="2087192251">
          <w:marLeft w:val="0"/>
          <w:marRight w:val="0"/>
          <w:marTop w:val="0"/>
          <w:marBottom w:val="0"/>
          <w:divBdr>
            <w:top w:val="none" w:sz="0" w:space="0" w:color="auto"/>
            <w:left w:val="none" w:sz="0" w:space="0" w:color="auto"/>
            <w:bottom w:val="none" w:sz="0" w:space="0" w:color="auto"/>
            <w:right w:val="none" w:sz="0" w:space="0" w:color="auto"/>
          </w:divBdr>
          <w:divsChild>
            <w:div w:id="1069814895">
              <w:marLeft w:val="0"/>
              <w:marRight w:val="0"/>
              <w:marTop w:val="0"/>
              <w:marBottom w:val="0"/>
              <w:divBdr>
                <w:top w:val="none" w:sz="0" w:space="0" w:color="auto"/>
                <w:left w:val="none" w:sz="0" w:space="0" w:color="auto"/>
                <w:bottom w:val="none" w:sz="0" w:space="0" w:color="auto"/>
                <w:right w:val="none" w:sz="0" w:space="0" w:color="auto"/>
              </w:divBdr>
              <w:divsChild>
                <w:div w:id="1609460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703570">
      <w:bodyDiv w:val="1"/>
      <w:marLeft w:val="0"/>
      <w:marRight w:val="0"/>
      <w:marTop w:val="0"/>
      <w:marBottom w:val="0"/>
      <w:divBdr>
        <w:top w:val="none" w:sz="0" w:space="0" w:color="auto"/>
        <w:left w:val="none" w:sz="0" w:space="0" w:color="auto"/>
        <w:bottom w:val="none" w:sz="0" w:space="0" w:color="auto"/>
        <w:right w:val="none" w:sz="0" w:space="0" w:color="auto"/>
      </w:divBdr>
    </w:div>
    <w:div w:id="1427656926">
      <w:bodyDiv w:val="1"/>
      <w:marLeft w:val="0"/>
      <w:marRight w:val="0"/>
      <w:marTop w:val="0"/>
      <w:marBottom w:val="0"/>
      <w:divBdr>
        <w:top w:val="none" w:sz="0" w:space="0" w:color="auto"/>
        <w:left w:val="none" w:sz="0" w:space="0" w:color="auto"/>
        <w:bottom w:val="none" w:sz="0" w:space="0" w:color="auto"/>
        <w:right w:val="none" w:sz="0" w:space="0" w:color="auto"/>
      </w:divBdr>
    </w:div>
    <w:div w:id="1491674881">
      <w:bodyDiv w:val="1"/>
      <w:marLeft w:val="0"/>
      <w:marRight w:val="0"/>
      <w:marTop w:val="0"/>
      <w:marBottom w:val="0"/>
      <w:divBdr>
        <w:top w:val="none" w:sz="0" w:space="0" w:color="auto"/>
        <w:left w:val="none" w:sz="0" w:space="0" w:color="auto"/>
        <w:bottom w:val="none" w:sz="0" w:space="0" w:color="auto"/>
        <w:right w:val="none" w:sz="0" w:space="0" w:color="auto"/>
      </w:divBdr>
    </w:div>
    <w:div w:id="1669016300">
      <w:bodyDiv w:val="1"/>
      <w:marLeft w:val="0"/>
      <w:marRight w:val="0"/>
      <w:marTop w:val="0"/>
      <w:marBottom w:val="0"/>
      <w:divBdr>
        <w:top w:val="none" w:sz="0" w:space="0" w:color="auto"/>
        <w:left w:val="none" w:sz="0" w:space="0" w:color="auto"/>
        <w:bottom w:val="none" w:sz="0" w:space="0" w:color="auto"/>
        <w:right w:val="none" w:sz="0" w:space="0" w:color="auto"/>
      </w:divBdr>
    </w:div>
    <w:div w:id="1684673522">
      <w:bodyDiv w:val="1"/>
      <w:marLeft w:val="0"/>
      <w:marRight w:val="0"/>
      <w:marTop w:val="0"/>
      <w:marBottom w:val="0"/>
      <w:divBdr>
        <w:top w:val="none" w:sz="0" w:space="0" w:color="auto"/>
        <w:left w:val="none" w:sz="0" w:space="0" w:color="auto"/>
        <w:bottom w:val="none" w:sz="0" w:space="0" w:color="auto"/>
        <w:right w:val="none" w:sz="0" w:space="0" w:color="auto"/>
      </w:divBdr>
    </w:div>
    <w:div w:id="1802649775">
      <w:bodyDiv w:val="1"/>
      <w:marLeft w:val="0"/>
      <w:marRight w:val="0"/>
      <w:marTop w:val="0"/>
      <w:marBottom w:val="0"/>
      <w:divBdr>
        <w:top w:val="none" w:sz="0" w:space="0" w:color="auto"/>
        <w:left w:val="none" w:sz="0" w:space="0" w:color="auto"/>
        <w:bottom w:val="none" w:sz="0" w:space="0" w:color="auto"/>
        <w:right w:val="none" w:sz="0" w:space="0" w:color="auto"/>
      </w:divBdr>
    </w:div>
    <w:div w:id="1831174143">
      <w:bodyDiv w:val="1"/>
      <w:marLeft w:val="0"/>
      <w:marRight w:val="0"/>
      <w:marTop w:val="0"/>
      <w:marBottom w:val="0"/>
      <w:divBdr>
        <w:top w:val="none" w:sz="0" w:space="0" w:color="auto"/>
        <w:left w:val="none" w:sz="0" w:space="0" w:color="auto"/>
        <w:bottom w:val="none" w:sz="0" w:space="0" w:color="auto"/>
        <w:right w:val="none" w:sz="0" w:space="0" w:color="auto"/>
      </w:divBdr>
    </w:div>
    <w:div w:id="1883979241">
      <w:bodyDiv w:val="1"/>
      <w:marLeft w:val="0"/>
      <w:marRight w:val="0"/>
      <w:marTop w:val="0"/>
      <w:marBottom w:val="0"/>
      <w:divBdr>
        <w:top w:val="none" w:sz="0" w:space="0" w:color="auto"/>
        <w:left w:val="none" w:sz="0" w:space="0" w:color="auto"/>
        <w:bottom w:val="none" w:sz="0" w:space="0" w:color="auto"/>
        <w:right w:val="none" w:sz="0" w:space="0" w:color="auto"/>
      </w:divBdr>
    </w:div>
    <w:div w:id="1924872579">
      <w:bodyDiv w:val="1"/>
      <w:marLeft w:val="0"/>
      <w:marRight w:val="0"/>
      <w:marTop w:val="0"/>
      <w:marBottom w:val="0"/>
      <w:divBdr>
        <w:top w:val="none" w:sz="0" w:space="0" w:color="auto"/>
        <w:left w:val="none" w:sz="0" w:space="0" w:color="auto"/>
        <w:bottom w:val="none" w:sz="0" w:space="0" w:color="auto"/>
        <w:right w:val="none" w:sz="0" w:space="0" w:color="auto"/>
      </w:divBdr>
    </w:div>
    <w:div w:id="1950116568">
      <w:bodyDiv w:val="1"/>
      <w:marLeft w:val="0"/>
      <w:marRight w:val="0"/>
      <w:marTop w:val="0"/>
      <w:marBottom w:val="0"/>
      <w:divBdr>
        <w:top w:val="none" w:sz="0" w:space="0" w:color="auto"/>
        <w:left w:val="none" w:sz="0" w:space="0" w:color="auto"/>
        <w:bottom w:val="none" w:sz="0" w:space="0" w:color="auto"/>
        <w:right w:val="none" w:sz="0" w:space="0" w:color="auto"/>
      </w:divBdr>
    </w:div>
    <w:div w:id="2111123449">
      <w:bodyDiv w:val="1"/>
      <w:marLeft w:val="0"/>
      <w:marRight w:val="0"/>
      <w:marTop w:val="0"/>
      <w:marBottom w:val="0"/>
      <w:divBdr>
        <w:top w:val="none" w:sz="0" w:space="0" w:color="auto"/>
        <w:left w:val="none" w:sz="0" w:space="0" w:color="auto"/>
        <w:bottom w:val="none" w:sz="0" w:space="0" w:color="auto"/>
        <w:right w:val="none" w:sz="0" w:space="0" w:color="auto"/>
      </w:divBdr>
      <w:divsChild>
        <w:div w:id="1047948245">
          <w:marLeft w:val="300"/>
          <w:marRight w:val="0"/>
          <w:marTop w:val="0"/>
          <w:marBottom w:val="300"/>
          <w:divBdr>
            <w:top w:val="none" w:sz="0" w:space="0" w:color="auto"/>
            <w:left w:val="none" w:sz="0" w:space="0" w:color="auto"/>
            <w:bottom w:val="none" w:sz="0" w:space="0" w:color="auto"/>
            <w:right w:val="none" w:sz="0" w:space="0" w:color="auto"/>
          </w:divBdr>
        </w:div>
        <w:div w:id="2013139962">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achertraininguk.com/post/dylan-wiliam-the-two-most-important-levers-for-improving-education" TargetMode="External"/><Relationship Id="rId18" Type="http://schemas.openxmlformats.org/officeDocument/2006/relationships/hyperlink" Target="https://hwb.gov.wales/curriculum-for-wales/mathematics-and-numeracy/" TargetMode="External"/><Relationship Id="rId26" Type="http://schemas.openxmlformats.org/officeDocument/2006/relationships/hyperlink" Target="https://hwb.gov.wales/curriculum-for-wales/introduction" TargetMode="External"/><Relationship Id="rId21" Type="http://schemas.openxmlformats.org/officeDocument/2006/relationships/hyperlink" Target="https://my.chartered.college/impact_article/a-good-start-the-pedagogical-challenge-of-engaging-prior-knowledge-for-all-pupils/" TargetMode="External"/><Relationship Id="rId34"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learningspy.co.uk/english-gcse/using-mini-whiteboards-in-english/" TargetMode="External"/><Relationship Id="rId17" Type="http://schemas.openxmlformats.org/officeDocument/2006/relationships/hyperlink" Target="https://hwb.gov.wales/curriculum-for-wales/languages-literacy-and-communication/" TargetMode="External"/><Relationship Id="rId25" Type="http://schemas.openxmlformats.org/officeDocument/2006/relationships/hyperlink" Target="https://hwb.gov.wales/curriculum-for-wales/languages-literacy-and-communication/descriptions-of-learning/" TargetMode="External"/><Relationship Id="rId33"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hwb.gov.wales/curriculum-for-wales/languages-literacy-and-communication/descriptions-of-learning/" TargetMode="External"/><Relationship Id="rId20" Type="http://schemas.openxmlformats.org/officeDocument/2006/relationships/hyperlink" Target="https://www.teachwithmrst.com/post/the-importance-of-prior-knowledge" TargetMode="External"/><Relationship Id="rId29"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cea.org.uk/downloads/docs/ccea-asset/Curriculum/The%20Northern%20Ireland%20Curriculum%20-%20Primary.pdf" TargetMode="External"/><Relationship Id="rId24" Type="http://schemas.openxmlformats.org/officeDocument/2006/relationships/hyperlink" Target="https://hwb.gov.wales/api/storage/663d00fd-9c3b-4003-9a1f-0012bad39fad/how-to-develop-thinking-and-assessment-for-learning-in-the-classroom.pdf" TargetMode="External"/><Relationship Id="rId32" Type="http://schemas.openxmlformats.org/officeDocument/2006/relationships/image" Target="media/image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uk/bitesize/articles/zrjqpg8" TargetMode="External"/><Relationship Id="rId23" Type="http://schemas.openxmlformats.org/officeDocument/2006/relationships/hyperlink" Target="https://www.teachingenglish.org.uk/professional-development/teachers/assessing-learning/articless/assessment-learning" TargetMode="External"/><Relationship Id="rId28" Type="http://schemas.openxmlformats.org/officeDocument/2006/relationships/hyperlink" Target="https://www.teachingexpertise.com/classroom-ideas/day-night-light-themed-learning-activities/" TargetMode="External"/><Relationship Id="rId36" Type="http://schemas.openxmlformats.org/officeDocument/2006/relationships/fontTable" Target="fontTable.xml"/><Relationship Id="rId10" Type="http://schemas.openxmlformats.org/officeDocument/2006/relationships/hyperlink" Target="https://cambridge-community.org.uk/professional-development/gsweq/index.html" TargetMode="External"/><Relationship Id="rId19" Type="http://schemas.openxmlformats.org/officeDocument/2006/relationships/hyperlink" Target="https://www.learningladders.info" TargetMode="Externa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hwb.gov.wales/curriculum-for-wales/assessment-arrangements" TargetMode="External"/><Relationship Id="rId22" Type="http://schemas.openxmlformats.org/officeDocument/2006/relationships/hyperlink" Target="https://www.teachmint.com/glossary/l/learning-progression/" TargetMode="External"/><Relationship Id="rId27" Type="http://schemas.openxmlformats.org/officeDocument/2006/relationships/hyperlink" Target="http://www.teachingexpertise.com.(2022)" TargetMode="External"/><Relationship Id="rId30" Type="http://schemas.openxmlformats.org/officeDocument/2006/relationships/image" Target="media/image2.png"/><Relationship Id="rId35" Type="http://schemas.openxmlformats.org/officeDocument/2006/relationships/image" Target="media/image7.png"/><Relationship Id="rId8" Type="http://schemas.openxmlformats.org/officeDocument/2006/relationships/hyperlink" Target="https://cyfarthfahigh.merthyr.sch.uk/curriculu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918DC0-EE04-5340-82FF-1D8665F1B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5280</Words>
  <Characters>31206</Characters>
  <Application>Microsoft Office Word</Application>
  <DocSecurity>0</DocSecurity>
  <Lines>567</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36344</CharactersWithSpaces>
  <SharedDoc>false</SharedDoc>
  <HLinks>
    <vt:vector size="126" baseType="variant">
      <vt:variant>
        <vt:i4>4522007</vt:i4>
      </vt:variant>
      <vt:variant>
        <vt:i4>60</vt:i4>
      </vt:variant>
      <vt:variant>
        <vt:i4>0</vt:i4>
      </vt:variant>
      <vt:variant>
        <vt:i4>5</vt:i4>
      </vt:variant>
      <vt:variant>
        <vt:lpwstr>https://www.teachingexpertise.com/classroom-ideas/day-night-light-themed-learning-activities/</vt:lpwstr>
      </vt:variant>
      <vt:variant>
        <vt:lpwstr/>
      </vt:variant>
      <vt:variant>
        <vt:i4>5767172</vt:i4>
      </vt:variant>
      <vt:variant>
        <vt:i4>57</vt:i4>
      </vt:variant>
      <vt:variant>
        <vt:i4>0</vt:i4>
      </vt:variant>
      <vt:variant>
        <vt:i4>5</vt:i4>
      </vt:variant>
      <vt:variant>
        <vt:lpwstr>http://www.teachingexpertise.com.(2022)/</vt:lpwstr>
      </vt:variant>
      <vt:variant>
        <vt:lpwstr/>
      </vt:variant>
      <vt:variant>
        <vt:i4>2556029</vt:i4>
      </vt:variant>
      <vt:variant>
        <vt:i4>54</vt:i4>
      </vt:variant>
      <vt:variant>
        <vt:i4>0</vt:i4>
      </vt:variant>
      <vt:variant>
        <vt:i4>5</vt:i4>
      </vt:variant>
      <vt:variant>
        <vt:lpwstr>https://hwb.gov.wales/curriculum-for-wales/introduction</vt:lpwstr>
      </vt:variant>
      <vt:variant>
        <vt:lpwstr/>
      </vt:variant>
      <vt:variant>
        <vt:i4>5767185</vt:i4>
      </vt:variant>
      <vt:variant>
        <vt:i4>51</vt:i4>
      </vt:variant>
      <vt:variant>
        <vt:i4>0</vt:i4>
      </vt:variant>
      <vt:variant>
        <vt:i4>5</vt:i4>
      </vt:variant>
      <vt:variant>
        <vt:lpwstr>https://hwb.gov.wales/curriculum-for-wales/languages-literacy-and-communication/descriptions-of-learning/</vt:lpwstr>
      </vt:variant>
      <vt:variant>
        <vt:lpwstr/>
      </vt:variant>
      <vt:variant>
        <vt:i4>3276907</vt:i4>
      </vt:variant>
      <vt:variant>
        <vt:i4>48</vt:i4>
      </vt:variant>
      <vt:variant>
        <vt:i4>0</vt:i4>
      </vt:variant>
      <vt:variant>
        <vt:i4>5</vt:i4>
      </vt:variant>
      <vt:variant>
        <vt:lpwstr>https://hwb.gov.wales/api/storage/663d00fd-9c3b-4003-9a1f-0012bad39fad/how-to-develop-thinking-and-assessment-for-learning-in-the-classroom.pdf</vt:lpwstr>
      </vt:variant>
      <vt:variant>
        <vt:lpwstr/>
      </vt:variant>
      <vt:variant>
        <vt:i4>5111903</vt:i4>
      </vt:variant>
      <vt:variant>
        <vt:i4>45</vt:i4>
      </vt:variant>
      <vt:variant>
        <vt:i4>0</vt:i4>
      </vt:variant>
      <vt:variant>
        <vt:i4>5</vt:i4>
      </vt:variant>
      <vt:variant>
        <vt:lpwstr>https://www.teachingenglish.org.uk/professional-development/teachers/assessing-learning/articless/assessment-learning</vt:lpwstr>
      </vt:variant>
      <vt:variant>
        <vt:lpwstr/>
      </vt:variant>
      <vt:variant>
        <vt:i4>2818087</vt:i4>
      </vt:variant>
      <vt:variant>
        <vt:i4>42</vt:i4>
      </vt:variant>
      <vt:variant>
        <vt:i4>0</vt:i4>
      </vt:variant>
      <vt:variant>
        <vt:i4>5</vt:i4>
      </vt:variant>
      <vt:variant>
        <vt:lpwstr>https://www.teachmint.com/glossary/l/learning-progression/</vt:lpwstr>
      </vt:variant>
      <vt:variant>
        <vt:lpwstr/>
      </vt:variant>
      <vt:variant>
        <vt:i4>5111922</vt:i4>
      </vt:variant>
      <vt:variant>
        <vt:i4>39</vt:i4>
      </vt:variant>
      <vt:variant>
        <vt:i4>0</vt:i4>
      </vt:variant>
      <vt:variant>
        <vt:i4>5</vt:i4>
      </vt:variant>
      <vt:variant>
        <vt:lpwstr>https://my.chartered.college/impact_article/a-good-start-the-pedagogical-challenge-of-engaging-prior-knowledge-for-all-pupils/</vt:lpwstr>
      </vt:variant>
      <vt:variant>
        <vt:lpwstr/>
      </vt:variant>
      <vt:variant>
        <vt:i4>1507401</vt:i4>
      </vt:variant>
      <vt:variant>
        <vt:i4>36</vt:i4>
      </vt:variant>
      <vt:variant>
        <vt:i4>0</vt:i4>
      </vt:variant>
      <vt:variant>
        <vt:i4>5</vt:i4>
      </vt:variant>
      <vt:variant>
        <vt:lpwstr>https://www.teachwithmrst.com/post/the-importance-of-prior-knowledge</vt:lpwstr>
      </vt:variant>
      <vt:variant>
        <vt:lpwstr/>
      </vt:variant>
      <vt:variant>
        <vt:i4>589916</vt:i4>
      </vt:variant>
      <vt:variant>
        <vt:i4>33</vt:i4>
      </vt:variant>
      <vt:variant>
        <vt:i4>0</vt:i4>
      </vt:variant>
      <vt:variant>
        <vt:i4>5</vt:i4>
      </vt:variant>
      <vt:variant>
        <vt:lpwstr>https://www.learningladders.info/</vt:lpwstr>
      </vt:variant>
      <vt:variant>
        <vt:lpwstr/>
      </vt:variant>
      <vt:variant>
        <vt:i4>262170</vt:i4>
      </vt:variant>
      <vt:variant>
        <vt:i4>30</vt:i4>
      </vt:variant>
      <vt:variant>
        <vt:i4>0</vt:i4>
      </vt:variant>
      <vt:variant>
        <vt:i4>5</vt:i4>
      </vt:variant>
      <vt:variant>
        <vt:lpwstr>https://hwb.gov.wales/curriculum-for-wales/mathematics-and-numeracy/</vt:lpwstr>
      </vt:variant>
      <vt:variant>
        <vt:lpwstr/>
      </vt:variant>
      <vt:variant>
        <vt:i4>262213</vt:i4>
      </vt:variant>
      <vt:variant>
        <vt:i4>27</vt:i4>
      </vt:variant>
      <vt:variant>
        <vt:i4>0</vt:i4>
      </vt:variant>
      <vt:variant>
        <vt:i4>5</vt:i4>
      </vt:variant>
      <vt:variant>
        <vt:lpwstr>https://hwb.gov.wales/curriculum-for-wales/languages-literacy-and-communication/</vt:lpwstr>
      </vt:variant>
      <vt:variant>
        <vt:lpwstr/>
      </vt:variant>
      <vt:variant>
        <vt:i4>5767185</vt:i4>
      </vt:variant>
      <vt:variant>
        <vt:i4>24</vt:i4>
      </vt:variant>
      <vt:variant>
        <vt:i4>0</vt:i4>
      </vt:variant>
      <vt:variant>
        <vt:i4>5</vt:i4>
      </vt:variant>
      <vt:variant>
        <vt:lpwstr>https://hwb.gov.wales/curriculum-for-wales/languages-literacy-and-communication/descriptions-of-learning/</vt:lpwstr>
      </vt:variant>
      <vt:variant>
        <vt:lpwstr/>
      </vt:variant>
      <vt:variant>
        <vt:i4>6881331</vt:i4>
      </vt:variant>
      <vt:variant>
        <vt:i4>21</vt:i4>
      </vt:variant>
      <vt:variant>
        <vt:i4>0</vt:i4>
      </vt:variant>
      <vt:variant>
        <vt:i4>5</vt:i4>
      </vt:variant>
      <vt:variant>
        <vt:lpwstr>https://www.bbc.co.uk/bitesize/articles/zrjqpg8</vt:lpwstr>
      </vt:variant>
      <vt:variant>
        <vt:lpwstr/>
      </vt:variant>
      <vt:variant>
        <vt:i4>7340146</vt:i4>
      </vt:variant>
      <vt:variant>
        <vt:i4>18</vt:i4>
      </vt:variant>
      <vt:variant>
        <vt:i4>0</vt:i4>
      </vt:variant>
      <vt:variant>
        <vt:i4>5</vt:i4>
      </vt:variant>
      <vt:variant>
        <vt:lpwstr>https://hwb.gov.wales/curriculum-for-wales/assessment-arrangements</vt:lpwstr>
      </vt:variant>
      <vt:variant>
        <vt:lpwstr/>
      </vt:variant>
      <vt:variant>
        <vt:i4>5767263</vt:i4>
      </vt:variant>
      <vt:variant>
        <vt:i4>15</vt:i4>
      </vt:variant>
      <vt:variant>
        <vt:i4>0</vt:i4>
      </vt:variant>
      <vt:variant>
        <vt:i4>5</vt:i4>
      </vt:variant>
      <vt:variant>
        <vt:lpwstr>https://www.teachertraininguk.com/post/dylan-wiliam-the-two-most-important-levers-for-improving-education</vt:lpwstr>
      </vt:variant>
      <vt:variant>
        <vt:lpwstr>:~:text=When%20we%20go%20through%20the,in%20terms%20of%20classroom%20pedagogy</vt:lpwstr>
      </vt:variant>
      <vt:variant>
        <vt:i4>5701705</vt:i4>
      </vt:variant>
      <vt:variant>
        <vt:i4>12</vt:i4>
      </vt:variant>
      <vt:variant>
        <vt:i4>0</vt:i4>
      </vt:variant>
      <vt:variant>
        <vt:i4>5</vt:i4>
      </vt:variant>
      <vt:variant>
        <vt:lpwstr>https://learningspy.co.uk/english-gcse/using-mini-whiteboards-in-english/</vt:lpwstr>
      </vt:variant>
      <vt:variant>
        <vt:lpwstr/>
      </vt:variant>
      <vt:variant>
        <vt:i4>3604519</vt:i4>
      </vt:variant>
      <vt:variant>
        <vt:i4>9</vt:i4>
      </vt:variant>
      <vt:variant>
        <vt:i4>0</vt:i4>
      </vt:variant>
      <vt:variant>
        <vt:i4>5</vt:i4>
      </vt:variant>
      <vt:variant>
        <vt:lpwstr>https://ccea.org.uk/downloads/docs/ccea-asset/Curriculum/The Northern Ireland Curriculum - Primary.pdf</vt:lpwstr>
      </vt:variant>
      <vt:variant>
        <vt:lpwstr/>
      </vt:variant>
      <vt:variant>
        <vt:i4>6094854</vt:i4>
      </vt:variant>
      <vt:variant>
        <vt:i4>6</vt:i4>
      </vt:variant>
      <vt:variant>
        <vt:i4>0</vt:i4>
      </vt:variant>
      <vt:variant>
        <vt:i4>5</vt:i4>
      </vt:variant>
      <vt:variant>
        <vt:lpwstr>https://cambridge-community.org.uk/professional-development/gsweq/index.html</vt:lpwstr>
      </vt:variant>
      <vt:variant>
        <vt:lpwstr/>
      </vt:variant>
      <vt:variant>
        <vt:i4>5701663</vt:i4>
      </vt:variant>
      <vt:variant>
        <vt:i4>3</vt:i4>
      </vt:variant>
      <vt:variant>
        <vt:i4>0</vt:i4>
      </vt:variant>
      <vt:variant>
        <vt:i4>5</vt:i4>
      </vt:variant>
      <vt:variant>
        <vt:lpwstr>https://cambridge-community.org.uk/professional-development/gswafl/index.html</vt:lpwstr>
      </vt:variant>
      <vt:variant>
        <vt:lpwstr/>
      </vt:variant>
      <vt:variant>
        <vt:i4>851998</vt:i4>
      </vt:variant>
      <vt:variant>
        <vt:i4>0</vt:i4>
      </vt:variant>
      <vt:variant>
        <vt:i4>0</vt:i4>
      </vt:variant>
      <vt:variant>
        <vt:i4>5</vt:i4>
      </vt:variant>
      <vt:variant>
        <vt:lpwstr>https://cyfarthfahigh.merthyr.sch.uk/curriculum/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Evans (2200034)</dc:creator>
  <cp:keywords/>
  <dc:description/>
  <cp:lastModifiedBy>Elle Evans (2200034)</cp:lastModifiedBy>
  <cp:revision>2</cp:revision>
  <dcterms:created xsi:type="dcterms:W3CDTF">2024-01-04T14:58:00Z</dcterms:created>
  <dcterms:modified xsi:type="dcterms:W3CDTF">2024-01-04T14:58:00Z</dcterms:modified>
</cp:coreProperties>
</file>