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76543" w14:textId="6FE66E79" w:rsidR="00992111" w:rsidRPr="00D73DBE" w:rsidRDefault="00992111" w:rsidP="00DF5878">
      <w:pPr>
        <w:spacing w:line="276" w:lineRule="auto"/>
        <w:ind w:right="531"/>
        <w:rPr>
          <w:rFonts w:ascii="Calibri" w:eastAsia="Times New Roman" w:hAnsi="Calibri" w:cs="Calibri"/>
          <w:b/>
          <w:bCs/>
          <w:lang w:eastAsia="en-GB"/>
        </w:rPr>
      </w:pPr>
      <w:r w:rsidRPr="00D73DBE">
        <w:rPr>
          <w:rFonts w:ascii="Calibri" w:hAnsi="Calibri" w:cs="Calibri"/>
        </w:rPr>
        <w:t>Rhys Watkins</w:t>
      </w:r>
      <w:r w:rsidR="00D73DBE" w:rsidRPr="00D73DBE">
        <w:rPr>
          <w:rFonts w:ascii="Calibri" w:hAnsi="Calibri" w:cs="Calibri"/>
        </w:rPr>
        <w:t>-2319893</w:t>
      </w:r>
    </w:p>
    <w:p w14:paraId="5D293393" w14:textId="77777777" w:rsidR="00992111" w:rsidRDefault="00992111" w:rsidP="00DF5878">
      <w:pPr>
        <w:spacing w:line="276" w:lineRule="auto"/>
        <w:ind w:right="531"/>
        <w:rPr>
          <w:rFonts w:ascii="Calibri" w:eastAsia="Times New Roman" w:hAnsi="Calibri" w:cs="Calibri"/>
          <w:b/>
          <w:bCs/>
          <w:lang w:eastAsia="en-GB"/>
        </w:rPr>
      </w:pPr>
    </w:p>
    <w:p w14:paraId="4AD62130" w14:textId="1BC484D9" w:rsidR="00DF5878" w:rsidRPr="00DF5878" w:rsidRDefault="00DF5878" w:rsidP="00DF5878">
      <w:pPr>
        <w:spacing w:line="276" w:lineRule="auto"/>
        <w:ind w:right="531"/>
        <w:rPr>
          <w:rFonts w:ascii="Calibri" w:eastAsia="Times New Roman" w:hAnsi="Calibri" w:cs="Calibri"/>
          <w:b/>
          <w:bCs/>
          <w:lang w:eastAsia="en-GB"/>
        </w:rPr>
      </w:pPr>
      <w:r w:rsidRPr="00DF5878">
        <w:rPr>
          <w:rFonts w:ascii="Calibri" w:eastAsia="Times New Roman" w:hAnsi="Calibri" w:cs="Calibri"/>
          <w:b/>
          <w:bCs/>
          <w:lang w:eastAsia="en-GB"/>
        </w:rPr>
        <w:t>Why are terrorist organisations often involved in other forms of criminality (e.g. acquisitive crime), and how can this inform counter-terrorism policing</w:t>
      </w:r>
      <w:r w:rsidRPr="00DF5878">
        <w:rPr>
          <w:rFonts w:ascii="Calibri" w:hAnsi="Calibri" w:cs="Calibri"/>
          <w:b/>
          <w:bCs/>
        </w:rPr>
        <w:t xml:space="preserve">? </w:t>
      </w:r>
    </w:p>
    <w:p w14:paraId="13C40462" w14:textId="77777777" w:rsidR="00DF5878" w:rsidRPr="00DF5878" w:rsidRDefault="00DF5878" w:rsidP="00DF5878">
      <w:pPr>
        <w:spacing w:line="276" w:lineRule="auto"/>
        <w:ind w:right="531"/>
        <w:rPr>
          <w:rFonts w:ascii="Calibri" w:eastAsia="Times New Roman" w:hAnsi="Calibri" w:cs="Calibri"/>
          <w:b/>
          <w:bCs/>
          <w:lang w:eastAsia="en-GB"/>
        </w:rPr>
      </w:pPr>
      <w:r w:rsidRPr="00DF5878">
        <w:rPr>
          <w:rFonts w:ascii="Calibri" w:eastAsia="Times New Roman" w:hAnsi="Calibri" w:cs="Calibri"/>
          <w:b/>
          <w:bCs/>
          <w:lang w:eastAsia="en-GB"/>
        </w:rPr>
        <w:t xml:space="preserve">Your answer must be based on academic research, although you may make reference relevant case studies. </w:t>
      </w:r>
    </w:p>
    <w:p w14:paraId="549E2964" w14:textId="77777777" w:rsidR="00DF5878" w:rsidRPr="00DF5878" w:rsidRDefault="00DF5878" w:rsidP="00DF5878">
      <w:pPr>
        <w:rPr>
          <w:rFonts w:ascii="Calibri" w:hAnsi="Calibri" w:cs="Calibri"/>
        </w:rPr>
      </w:pPr>
    </w:p>
    <w:p w14:paraId="4E19E4F8" w14:textId="09AD3385" w:rsidR="00DF5878" w:rsidRPr="00DF5878" w:rsidRDefault="00DF5878" w:rsidP="00DF5878">
      <w:pPr>
        <w:rPr>
          <w:rFonts w:ascii="Calibri" w:hAnsi="Calibri" w:cs="Calibri"/>
        </w:rPr>
      </w:pPr>
      <w:r w:rsidRPr="00DF5878">
        <w:rPr>
          <w:rFonts w:ascii="Calibri" w:hAnsi="Calibri" w:cs="Calibri"/>
        </w:rPr>
        <w:t>In recent years, the convergence of terrorism and criminality has presented significant challenges for UK counter-terrorism (CT) policing. Terrorist organisations frequently engage in various forms of criminal behaviour, including fraud, drug trafficking, cybercrime, and acquisitive offences, to fund operations, sustain networks, and exploit vulnerable populations. Understanding the nexus between terrorism and criminality is essential in shaping proactive and effective policing strategies. This essay explores the organisational structures and inter-relationships within UK counter-terrorism policing, analyses the links between terrorism and criminal behaviour, assesses the risk of insider threats, and evaluates prevention strategies, using relevant academic literature and case studies from the last decade.</w:t>
      </w:r>
    </w:p>
    <w:p w14:paraId="5271E3B2" w14:textId="77777777" w:rsidR="00DF5878" w:rsidRPr="00DF5878" w:rsidRDefault="00DF5878" w:rsidP="00DF5878">
      <w:pPr>
        <w:rPr>
          <w:rFonts w:ascii="Calibri" w:hAnsi="Calibri" w:cs="Calibri"/>
        </w:rPr>
      </w:pPr>
      <w:r w:rsidRPr="00DF5878">
        <w:rPr>
          <w:rFonts w:ascii="Calibri" w:hAnsi="Calibri" w:cs="Calibri"/>
        </w:rPr>
        <w:tab/>
      </w:r>
    </w:p>
    <w:p w14:paraId="76390930" w14:textId="63C1A408" w:rsidR="00DF5878" w:rsidRPr="00DF5878" w:rsidRDefault="00DF5878" w:rsidP="00DF5878">
      <w:pPr>
        <w:rPr>
          <w:rFonts w:ascii="Calibri" w:hAnsi="Calibri" w:cs="Calibri"/>
        </w:rPr>
      </w:pPr>
      <w:r w:rsidRPr="00DF5878">
        <w:rPr>
          <w:rFonts w:ascii="Calibri" w:hAnsi="Calibri" w:cs="Calibri"/>
        </w:rPr>
        <w:t>The organisational structure of counter-terrorism policing in the United Kingdom is unique in its blend of local, regional, and national cooperation. The Counter Terrorism Policing (CTP) network operates as a collaboration of policing units led by the National Police Chiefs’ Council (NPCC), working closely with MI5, the Home Office, and other key partners (Innes, 2020). At its core, the UK employs a regional CT structure, including Counter Terrorism Command (SO15) within the Metropolitan Police Service, and regional Counter Terrorism Units (CTUs) across England and Wales. These units are responsible for intelligence gathering, investigations, surveillance, and disrupting terrorist threats. Strategic coordination is led by the Director General of the Security Service and the Assistant Commissioner for Specialist Operations, providing a robust framework that emphasises intelligence-led policing (HM Government, 2018). The CONTEST strategy, particularly the “Pursue” and “Prevent” pillars, underpins this approach (Home Office, 2023).</w:t>
      </w:r>
    </w:p>
    <w:p w14:paraId="05227B5D" w14:textId="77777777" w:rsidR="00DF5878" w:rsidRPr="00DF5878" w:rsidRDefault="00DF5878" w:rsidP="00DF5878">
      <w:pPr>
        <w:rPr>
          <w:rFonts w:ascii="Calibri" w:hAnsi="Calibri" w:cs="Calibri"/>
        </w:rPr>
      </w:pPr>
      <w:r w:rsidRPr="00DF5878">
        <w:rPr>
          <w:rFonts w:ascii="Calibri" w:hAnsi="Calibri" w:cs="Calibri"/>
        </w:rPr>
        <w:tab/>
      </w:r>
    </w:p>
    <w:p w14:paraId="16E35B41" w14:textId="6286ADAD" w:rsidR="00DF5878" w:rsidRPr="00DF5878" w:rsidRDefault="00DF5878" w:rsidP="00DF5878">
      <w:pPr>
        <w:rPr>
          <w:rFonts w:ascii="Calibri" w:hAnsi="Calibri" w:cs="Calibri"/>
        </w:rPr>
      </w:pPr>
      <w:r w:rsidRPr="00DF5878">
        <w:rPr>
          <w:rFonts w:ascii="Calibri" w:hAnsi="Calibri" w:cs="Calibri"/>
        </w:rPr>
        <w:t>Terrorist organisations often resort to criminal activities as a strategic necessity. A major driver is the financial imperative. Terrorist operations require substantial resources—for travel, weapons, communications, and propaganda. Criminal enterprises offer an efficient, relatively low-risk source of funding. For instance, Khuram Butt, one of the London Bridge attackers in 2017, was involved in benefit fraud, which helped finance his extremist activities (BBC, 2019). This illustrates how economic opportunism and ideology can operate in tandem. As Basra, Neumann, and Brunner (2016) observed, the profiles of many European jihadists reveal a shift from religious puritanism to a “crime-terror nexus” whereby criminality is normalised within extremist milieus.</w:t>
      </w:r>
    </w:p>
    <w:p w14:paraId="2B30967F" w14:textId="77777777" w:rsidR="00DF5878" w:rsidRPr="00DF5878" w:rsidRDefault="00DF5878" w:rsidP="00DF5878">
      <w:pPr>
        <w:rPr>
          <w:rFonts w:ascii="Calibri" w:hAnsi="Calibri" w:cs="Calibri"/>
        </w:rPr>
      </w:pPr>
      <w:r w:rsidRPr="00DF5878">
        <w:rPr>
          <w:rFonts w:ascii="Calibri" w:hAnsi="Calibri" w:cs="Calibri"/>
        </w:rPr>
        <w:tab/>
      </w:r>
    </w:p>
    <w:p w14:paraId="020A3D5D" w14:textId="71BFB4C4" w:rsidR="00DF5878" w:rsidRPr="00DF5878" w:rsidRDefault="00DF5878" w:rsidP="00DF5878">
      <w:pPr>
        <w:rPr>
          <w:rFonts w:ascii="Calibri" w:hAnsi="Calibri" w:cs="Calibri"/>
        </w:rPr>
      </w:pPr>
      <w:r w:rsidRPr="00DF5878">
        <w:rPr>
          <w:rFonts w:ascii="Calibri" w:hAnsi="Calibri" w:cs="Calibri"/>
        </w:rPr>
        <w:t xml:space="preserve">The concept of convergence is critical in understanding how terrorist groups operate more like organised crime syndicates. Makarenko (2004) describes a continuum where ideological and criminal motivations merge, particularly in environments with weak governance or social marginalisation. In </w:t>
      </w:r>
      <w:r w:rsidRPr="00DF5878">
        <w:rPr>
          <w:rFonts w:ascii="Calibri" w:hAnsi="Calibri" w:cs="Calibri"/>
        </w:rPr>
        <w:lastRenderedPageBreak/>
        <w:t>the UK context, Islamist-inspired and right-wing groups have engaged in counterfeit goods trading, identity fraud, and narcotics trafficking. Operation Alicanto exposed a group in Manchester engaged in high-value VAT fraud and illicit tobacco trade to fund overseas terrorist networks (HM Treasury, 2021). These examples demonstrate how financially motivated crimes directly support extremist objectives, posing complex challenges for traditional police divisions. Moreover, these hybrid threats often span jurisdictions and demand integrated investigative frameworks capable of dismantling both ideological and criminal components simultaneously.</w:t>
      </w:r>
    </w:p>
    <w:p w14:paraId="5DE0C73D" w14:textId="77777777" w:rsidR="00DF5878" w:rsidRPr="00DF5878" w:rsidRDefault="00DF5878" w:rsidP="00DF5878">
      <w:pPr>
        <w:rPr>
          <w:rFonts w:ascii="Calibri" w:hAnsi="Calibri" w:cs="Calibri"/>
        </w:rPr>
      </w:pPr>
      <w:r w:rsidRPr="00DF5878">
        <w:rPr>
          <w:rFonts w:ascii="Calibri" w:hAnsi="Calibri" w:cs="Calibri"/>
        </w:rPr>
        <w:tab/>
      </w:r>
    </w:p>
    <w:p w14:paraId="134860AF" w14:textId="18B1A2D0" w:rsidR="00DF5878" w:rsidRPr="00DF5878" w:rsidRDefault="00DF5878" w:rsidP="00DF5878">
      <w:pPr>
        <w:rPr>
          <w:rFonts w:ascii="Calibri" w:hAnsi="Calibri" w:cs="Calibri"/>
        </w:rPr>
      </w:pPr>
      <w:r w:rsidRPr="00DF5878">
        <w:rPr>
          <w:rFonts w:ascii="Calibri" w:hAnsi="Calibri" w:cs="Calibri"/>
        </w:rPr>
        <w:t>Cybercrime is a rapidly growing domain where terrorism and criminality intersect. Modern terrorist actors use encrypted messaging apps, dark web forums, and cryptocurrencies to organise, radicalise, and raise funds anonymously. Sudesh Amman, responsible for the 2020 Streatham attack, used online platforms to access extremist material and plan attacks shortly after being released from prison (Walker, 2021). Terrorist groups have also been linked to phishing scams, ransomware, and online credit card fraud to finance their operations. Jarvis et al. (2020) argue that digital convergence has outpaced current counter-terrorism frameworks, necessitating greater investment in cyber-intelligence and forensic technologies. These online activities also complicate jurisdictional responses, reinforcing the need for international cooperation. Furthermore, recruitment through gaming platforms and livestreaming has emerged as a growing trend, particularly among younger radicalised individuals (O’Connor, 2023).</w:t>
      </w:r>
    </w:p>
    <w:p w14:paraId="5AB1C4CE" w14:textId="77777777" w:rsidR="00DF5878" w:rsidRPr="00DF5878" w:rsidRDefault="00DF5878" w:rsidP="00DF5878">
      <w:pPr>
        <w:rPr>
          <w:rFonts w:ascii="Calibri" w:hAnsi="Calibri" w:cs="Calibri"/>
        </w:rPr>
      </w:pPr>
      <w:r w:rsidRPr="00DF5878">
        <w:rPr>
          <w:rFonts w:ascii="Calibri" w:hAnsi="Calibri" w:cs="Calibri"/>
        </w:rPr>
        <w:tab/>
      </w:r>
    </w:p>
    <w:p w14:paraId="70D80B9E" w14:textId="2EAF5DE3" w:rsidR="00DF5878" w:rsidRPr="00DF5878" w:rsidRDefault="00DF5878" w:rsidP="00DF5878">
      <w:pPr>
        <w:rPr>
          <w:rFonts w:ascii="Calibri" w:hAnsi="Calibri" w:cs="Calibri"/>
        </w:rPr>
      </w:pPr>
      <w:r w:rsidRPr="00DF5878">
        <w:rPr>
          <w:rFonts w:ascii="Calibri" w:hAnsi="Calibri" w:cs="Calibri"/>
        </w:rPr>
        <w:t>In response, UK CT policing increasingly leverages technologies such as AI-driven threat detection, facial recognition software, and predictive analytics. While these innovations enhance operational capability, they also raise ethical concerns about surveillance, data retention, and proportionality (Wright &amp; Kreissl, 2014). The Investigatory Powers Act 2016—commonly referred to as the “Snoopers’ Charter”—attempted to create legal transparency in surveillance practices but remains contentious among civil liberties advocates. Ethical policing in the digital age demands a balance between state security and privacy rights, particularly when such powers disproportionately affect minority communities. Public confidence in CT policing is closely tied to the perceived fairness of these powers and the transparency with which they are applied.</w:t>
      </w:r>
    </w:p>
    <w:p w14:paraId="2B42A51C" w14:textId="77777777" w:rsidR="00DF5878" w:rsidRPr="00DF5878" w:rsidRDefault="00DF5878" w:rsidP="00DF5878">
      <w:pPr>
        <w:rPr>
          <w:rFonts w:ascii="Calibri" w:hAnsi="Calibri" w:cs="Calibri"/>
        </w:rPr>
      </w:pPr>
      <w:r w:rsidRPr="00DF5878">
        <w:rPr>
          <w:rFonts w:ascii="Calibri" w:hAnsi="Calibri" w:cs="Calibri"/>
        </w:rPr>
        <w:tab/>
      </w:r>
    </w:p>
    <w:p w14:paraId="36C4EEA0" w14:textId="7DC5F75B" w:rsidR="00DF5878" w:rsidRPr="00DF5878" w:rsidRDefault="00DF5878" w:rsidP="00DF5878">
      <w:pPr>
        <w:rPr>
          <w:rFonts w:ascii="Calibri" w:hAnsi="Calibri" w:cs="Calibri"/>
        </w:rPr>
      </w:pPr>
      <w:r w:rsidRPr="00DF5878">
        <w:rPr>
          <w:rFonts w:ascii="Calibri" w:hAnsi="Calibri" w:cs="Calibri"/>
        </w:rPr>
        <w:t>Financial intelligence plays a central role in identifying the links between terrorism and crime. Suspicious activity reports (SARs) submitted by financial institutions help authorities trace transactions related to terrorism financing. The UK’s Joint Money Laundering Intelligence Taskforce (JMLIT) enables information sharing between law enforcement and the financial sector. According to the National Crime Agency (2022), SARs linked to suspected terrorist financing have increased steadily, underscoring the value of financial data in identifying threat actors embedded within criminal networks. Moreover, collaboration with the Financial Conduct Authority and fintech providers has become increasingly necessary as threat actors exploit cryptocurrency platforms. The expansion of blockchain forensics is helping CT units trace previously untraceable transactions, supporting broader financial disruption strategies (Ellis, 2021).</w:t>
      </w:r>
    </w:p>
    <w:p w14:paraId="3C034698" w14:textId="77777777" w:rsidR="00DF5878" w:rsidRPr="00DF5878" w:rsidRDefault="00DF5878" w:rsidP="00DF5878">
      <w:pPr>
        <w:rPr>
          <w:rFonts w:ascii="Calibri" w:hAnsi="Calibri" w:cs="Calibri"/>
        </w:rPr>
      </w:pPr>
      <w:r w:rsidRPr="00DF5878">
        <w:rPr>
          <w:rFonts w:ascii="Calibri" w:hAnsi="Calibri" w:cs="Calibri"/>
        </w:rPr>
        <w:tab/>
      </w:r>
    </w:p>
    <w:p w14:paraId="64B80038" w14:textId="2393F25F" w:rsidR="00DF5878" w:rsidRPr="00DF5878" w:rsidRDefault="00DF5878" w:rsidP="00DF5878">
      <w:pPr>
        <w:rPr>
          <w:rFonts w:ascii="Calibri" w:hAnsi="Calibri" w:cs="Calibri"/>
        </w:rPr>
      </w:pPr>
      <w:r w:rsidRPr="00DF5878">
        <w:rPr>
          <w:rFonts w:ascii="Calibri" w:hAnsi="Calibri" w:cs="Calibri"/>
        </w:rPr>
        <w:t xml:space="preserve">The PREVENT strategy represents the UK’s flagship early intervention model. It aims to identify and support individuals vulnerable to radicalisation, often those already known to social services or the </w:t>
      </w:r>
      <w:r w:rsidRPr="00DF5878">
        <w:rPr>
          <w:rFonts w:ascii="Calibri" w:hAnsi="Calibri" w:cs="Calibri"/>
        </w:rPr>
        <w:lastRenderedPageBreak/>
        <w:t>criminal justice system. However, PREVENT has attracted criticism for its perceived securitisation of Muslim communities, a lack of transparency, and uneven implementation across local authorities (Awan, 2019). Despite these criticisms, Channel Panels—multi-agency safeguarding boards under PREVENT—have had success in tailoring support for at-risk individuals. The Manchester Arena Inquiry noted failures to respond to warning signs in Salman Abedi’s behaviour, including contact with known extremists and a prior criminal profile (Anderson, 2018). These lapses highlight the need for consistent, cross-agency risk assessments and cultural competency in implementation.</w:t>
      </w:r>
    </w:p>
    <w:p w14:paraId="01ED5DBB" w14:textId="77777777" w:rsidR="00DF5878" w:rsidRPr="00DF5878" w:rsidRDefault="00DF5878" w:rsidP="00DF5878">
      <w:pPr>
        <w:rPr>
          <w:rFonts w:ascii="Calibri" w:hAnsi="Calibri" w:cs="Calibri"/>
        </w:rPr>
      </w:pPr>
      <w:r w:rsidRPr="00DF5878">
        <w:rPr>
          <w:rFonts w:ascii="Calibri" w:hAnsi="Calibri" w:cs="Calibri"/>
        </w:rPr>
        <w:tab/>
      </w:r>
    </w:p>
    <w:p w14:paraId="0A318C4E" w14:textId="6E3287E3" w:rsidR="00DF5878" w:rsidRPr="00DF5878" w:rsidRDefault="00DF5878" w:rsidP="00DF5878">
      <w:pPr>
        <w:rPr>
          <w:rFonts w:ascii="Calibri" w:hAnsi="Calibri" w:cs="Calibri"/>
        </w:rPr>
      </w:pPr>
      <w:r w:rsidRPr="00DF5878">
        <w:rPr>
          <w:rFonts w:ascii="Calibri" w:hAnsi="Calibri" w:cs="Calibri"/>
        </w:rPr>
        <w:t>Prisons are another critical space where terrorism and criminality intersect. The growing number of incarcerated terrorist offenders poses challenges related to radicalisation, rehabilitation, and reintegration. The case of Usman Khan, released under MAPPA supervision and later responsible for the 2019 London Bridge attack, underscores the difficulty in assessing genuine reform versus concealment of intent (MI5 &amp; CTP, 2020). Silke (2020) warns that UK prisons can act as “incubators” of extremism, particularly when vulnerable individuals are exposed to charismatic ideological influencers and lack access to effective rehabilitative programmes.</w:t>
      </w:r>
    </w:p>
    <w:p w14:paraId="29E036C0" w14:textId="77777777" w:rsidR="00DF5878" w:rsidRPr="00DF5878" w:rsidRDefault="00DF5878" w:rsidP="00DF5878">
      <w:pPr>
        <w:rPr>
          <w:rFonts w:ascii="Calibri" w:hAnsi="Calibri" w:cs="Calibri"/>
        </w:rPr>
      </w:pPr>
      <w:r w:rsidRPr="00DF5878">
        <w:rPr>
          <w:rFonts w:ascii="Calibri" w:hAnsi="Calibri" w:cs="Calibri"/>
        </w:rPr>
        <w:tab/>
      </w:r>
    </w:p>
    <w:p w14:paraId="19A126E1" w14:textId="0E8A6432" w:rsidR="00DF5878" w:rsidRPr="00DF5878" w:rsidRDefault="00DF5878" w:rsidP="00DF5878">
      <w:pPr>
        <w:rPr>
          <w:rFonts w:ascii="Calibri" w:hAnsi="Calibri" w:cs="Calibri"/>
        </w:rPr>
      </w:pPr>
      <w:r w:rsidRPr="00DF5878">
        <w:rPr>
          <w:rFonts w:ascii="Calibri" w:hAnsi="Calibri" w:cs="Calibri"/>
        </w:rPr>
        <w:t>The Counter-Terrorism and Sentencing Act 2021 marked a significant shift in post-release supervision. It introduced extended sentences, new monitoring powers, and mandatory rehabilitation for convicted terrorist offenders. However, questions remain over the effectiveness of incarceration alone. Clarke and Bowman (2022) argue that without concurrent deradicalisation and educational strategies, prolonged detention risks entrenching extremist beliefs. The Desistance and Disengagement Programme (DDP), though relatively new, seeks to fill this gap by providing psychological support and reintegration planning. More transparency in outcomes and independent evaluation of such schemes would strengthen confidence in their efficacy.</w:t>
      </w:r>
    </w:p>
    <w:p w14:paraId="565D46BD" w14:textId="77777777" w:rsidR="00DF5878" w:rsidRPr="00DF5878" w:rsidRDefault="00DF5878" w:rsidP="00DF5878">
      <w:pPr>
        <w:rPr>
          <w:rFonts w:ascii="Calibri" w:hAnsi="Calibri" w:cs="Calibri"/>
        </w:rPr>
      </w:pPr>
      <w:r w:rsidRPr="00DF5878">
        <w:rPr>
          <w:rFonts w:ascii="Calibri" w:hAnsi="Calibri" w:cs="Calibri"/>
        </w:rPr>
        <w:tab/>
      </w:r>
    </w:p>
    <w:p w14:paraId="536F9D4F" w14:textId="4674EBE4" w:rsidR="00DF5878" w:rsidRPr="00DF5878" w:rsidRDefault="00DF5878" w:rsidP="00DF5878">
      <w:pPr>
        <w:rPr>
          <w:rFonts w:ascii="Calibri" w:hAnsi="Calibri" w:cs="Calibri"/>
        </w:rPr>
      </w:pPr>
      <w:r w:rsidRPr="00DF5878">
        <w:rPr>
          <w:rFonts w:ascii="Calibri" w:hAnsi="Calibri" w:cs="Calibri"/>
        </w:rPr>
        <w:t>Another under-acknowledged aspect of counter-terrorism policing is the insider threat. In 2021, Benjamin Hannam became the first British police officer convicted of belonging to a banned far-right group (National Action). This highlighted not only the presence of extremist ideologies within public institutions but also shortcomings in vetting and monitoring (Dearden, 2021). Insider threats can lead to breaches of classified data, compromised operations, or the erosion of public trust. The College of Policing (2022) provides national guidance on vetting, but the HMICFRS (2022) inspection identified variability in implementation and a need for uniform digital vetting and behavioural monitoring. Recent reforms to background checks and enhanced psychological screening protocols aim to bolster institutional resilience, yet long-term cultural change is required to ensure extremism is not tolerated at any level of public service.</w:t>
      </w:r>
    </w:p>
    <w:p w14:paraId="7BF2BD5B" w14:textId="77777777" w:rsidR="00DF5878" w:rsidRPr="00DF5878" w:rsidRDefault="00DF5878" w:rsidP="00DF5878">
      <w:pPr>
        <w:rPr>
          <w:rFonts w:ascii="Calibri" w:hAnsi="Calibri" w:cs="Calibri"/>
        </w:rPr>
      </w:pPr>
      <w:r w:rsidRPr="00DF5878">
        <w:rPr>
          <w:rFonts w:ascii="Calibri" w:hAnsi="Calibri" w:cs="Calibri"/>
        </w:rPr>
        <w:tab/>
      </w:r>
    </w:p>
    <w:p w14:paraId="2A574E36" w14:textId="659CABBA" w:rsidR="00DF5878" w:rsidRPr="00DF5878" w:rsidRDefault="00DF5878" w:rsidP="00DF5878">
      <w:pPr>
        <w:rPr>
          <w:rFonts w:ascii="Calibri" w:hAnsi="Calibri" w:cs="Calibri"/>
        </w:rPr>
      </w:pPr>
      <w:r w:rsidRPr="00DF5878">
        <w:rPr>
          <w:rFonts w:ascii="Calibri" w:hAnsi="Calibri" w:cs="Calibri"/>
        </w:rPr>
        <w:t xml:space="preserve">At the national and international level, intelligence fusion and inter-agency coordination are essential. The Joint Terrorism Analysis Centre (JTAC) integrates intelligence from MI5, GCHQ, the police, and border security agencies to assess threat levels and produce operational intelligence. The National Data Exploitation Capability (NDEC) and the Counter-Terrorism Internet Referral Unit (CTIRU) further enhance analytical capacity. Cross-border intelligence sharing with EUROPOL and INTERPOL remains crucial, particularly in the context of foreign fighters and transnational extremist networks (Gunning &amp; Jackson, 2020). Brexit posed risks to seamless intelligence sharing; however, </w:t>
      </w:r>
      <w:r w:rsidRPr="00DF5878">
        <w:rPr>
          <w:rFonts w:ascii="Calibri" w:hAnsi="Calibri" w:cs="Calibri"/>
        </w:rPr>
        <w:lastRenderedPageBreak/>
        <w:t>the UK-EU Trade and Cooperation Agreement preserved access to several databases, albeit with increased bureaucracy.</w:t>
      </w:r>
    </w:p>
    <w:p w14:paraId="726034B9" w14:textId="77777777" w:rsidR="00DF5878" w:rsidRPr="00DF5878" w:rsidRDefault="00DF5878" w:rsidP="00DF5878">
      <w:pPr>
        <w:rPr>
          <w:rFonts w:ascii="Calibri" w:hAnsi="Calibri" w:cs="Calibri"/>
        </w:rPr>
      </w:pPr>
      <w:r w:rsidRPr="00DF5878">
        <w:rPr>
          <w:rFonts w:ascii="Calibri" w:hAnsi="Calibri" w:cs="Calibri"/>
        </w:rPr>
        <w:tab/>
      </w:r>
    </w:p>
    <w:p w14:paraId="6FD38581" w14:textId="7E783BD7" w:rsidR="00DF5878" w:rsidRPr="00DF5878" w:rsidRDefault="00DF5878" w:rsidP="00DF5878">
      <w:pPr>
        <w:rPr>
          <w:rFonts w:ascii="Calibri" w:hAnsi="Calibri" w:cs="Calibri"/>
        </w:rPr>
      </w:pPr>
      <w:r w:rsidRPr="00DF5878">
        <w:rPr>
          <w:rFonts w:ascii="Calibri" w:hAnsi="Calibri" w:cs="Calibri"/>
        </w:rPr>
        <w:t>Community engagement is also central to effective CT policing. While advanced technologies and legal powers are vital, public trust is indispensable for gathering human intelligence. Stop and search powers under Section 43 of the Terrorism Act 2000 have been criticised for disproportionate application, especially among young Muslim men (Shiner et al., 2019). Such practices risk alienating communities and reducing their willingness to report suspicious activities. Community-led initiatives, such as neighbourhood forums, mosque outreach programmes, and the “ACT Early” campaign, have shown promise in encouraging cooperation outside criminal justice pathways (CTP UK, 2021).</w:t>
      </w:r>
    </w:p>
    <w:p w14:paraId="20B5A013" w14:textId="77777777" w:rsidR="00DF5878" w:rsidRPr="00DF5878" w:rsidRDefault="00DF5878" w:rsidP="00DF5878">
      <w:pPr>
        <w:rPr>
          <w:rFonts w:ascii="Calibri" w:hAnsi="Calibri" w:cs="Calibri"/>
        </w:rPr>
      </w:pPr>
      <w:r w:rsidRPr="00DF5878">
        <w:rPr>
          <w:rFonts w:ascii="Calibri" w:hAnsi="Calibri" w:cs="Calibri"/>
        </w:rPr>
        <w:tab/>
      </w:r>
    </w:p>
    <w:p w14:paraId="75E71BC0" w14:textId="2A5F581C" w:rsidR="00DF5878" w:rsidRPr="00DF5878" w:rsidRDefault="00DF5878" w:rsidP="00DF5878">
      <w:pPr>
        <w:rPr>
          <w:rFonts w:ascii="Calibri" w:hAnsi="Calibri" w:cs="Calibri"/>
        </w:rPr>
      </w:pPr>
      <w:r w:rsidRPr="00DF5878">
        <w:rPr>
          <w:rFonts w:ascii="Calibri" w:hAnsi="Calibri" w:cs="Calibri"/>
        </w:rPr>
        <w:t>A newer development in UK counter-terrorism strategy is the integration of public health approaches. The West Midlands Counter Terrorism Unit has piloted a model in which radicalisation risk is treated similarly to safeguarding concerns, using early intervention with schools, healthcare providers, and youth services (Lambert, 2022). This mirrors the success of Violence Reduction Units (VRUs) in preventing serious youth violence through non-policing interventions. Such approaches provide scalable models for addressing ideological violence without over-reliance on punitive measures.</w:t>
      </w:r>
      <w:r w:rsidR="004F2AAF">
        <w:rPr>
          <w:rFonts w:ascii="Calibri" w:hAnsi="Calibri" w:cs="Calibri"/>
        </w:rPr>
        <w:t xml:space="preserve">  </w:t>
      </w:r>
      <w:r w:rsidRPr="00DF5878">
        <w:rPr>
          <w:rFonts w:ascii="Calibri" w:hAnsi="Calibri" w:cs="Calibri"/>
        </w:rPr>
        <w:t>Training and professional development are critical for embedding these practices in daily policing. Officers in CT roles now require cross-disciplinary competence: familiarity with financial crime, psychological manipulation, cyber operations, and international law. The Policing Education Qualifications Framework (PEQF) includes modules on ethics, digital awareness, and partnership working (College of Policing, 2021). Multi-agency training exercises, including simulated terrorist incidents and debriefs, improve coordination and preparedness while ensuring that officers understand their role within wider institutional frameworks.</w:t>
      </w:r>
    </w:p>
    <w:p w14:paraId="08BE6418" w14:textId="77777777" w:rsidR="00DF5878" w:rsidRPr="00DF5878" w:rsidRDefault="00DF5878" w:rsidP="00DF5878">
      <w:pPr>
        <w:rPr>
          <w:rFonts w:ascii="Calibri" w:hAnsi="Calibri" w:cs="Calibri"/>
        </w:rPr>
      </w:pPr>
      <w:r w:rsidRPr="00DF5878">
        <w:rPr>
          <w:rFonts w:ascii="Calibri" w:hAnsi="Calibri" w:cs="Calibri"/>
        </w:rPr>
        <w:tab/>
      </w:r>
    </w:p>
    <w:p w14:paraId="7F41F186" w14:textId="35C2AEF3" w:rsidR="00DF5878" w:rsidRDefault="00DF5878" w:rsidP="00DF5878">
      <w:pPr>
        <w:rPr>
          <w:rFonts w:ascii="Calibri" w:hAnsi="Calibri" w:cs="Calibri"/>
        </w:rPr>
      </w:pPr>
      <w:r w:rsidRPr="00DF5878">
        <w:rPr>
          <w:rFonts w:ascii="Calibri" w:hAnsi="Calibri" w:cs="Calibri"/>
        </w:rPr>
        <w:t>In conclusion, terrorist organisations’ involvement in criminal activity is not incidental but deeply strategic. Whether through fraud, trafficking, cybercrime, or insider manipulation, criminality underpins terrorist operations in the UK and globally. The convergence of these threats demands a flexible, intelligence-led, and community-rooted counter-terrorism policing model. While legislation, surveillance, and technological tools are indispensable, they must be deployed with ethical care, cultural sensitivity, and public accountability. Success ultimately depends on the ability of police and partners to build trust, prevent radicalisation, and detect criminal-terrorist hybrids before they act. As threats evolve—from lone actors to AI-assisted propaganda—the UK’s counter-terrorism efforts must continue to integrate innovation, partnership, and reform at every level of practice.</w:t>
      </w:r>
    </w:p>
    <w:p w14:paraId="6842AD35" w14:textId="77777777" w:rsidR="00955CC3" w:rsidRDefault="00955CC3" w:rsidP="00DF5878">
      <w:pPr>
        <w:rPr>
          <w:rFonts w:ascii="Calibri" w:hAnsi="Calibri" w:cs="Calibri"/>
        </w:rPr>
      </w:pPr>
    </w:p>
    <w:p w14:paraId="323D2E19" w14:textId="1B8729D7" w:rsidR="00955CC3" w:rsidRDefault="00955CC3" w:rsidP="00DF5878">
      <w:pPr>
        <w:rPr>
          <w:rFonts w:ascii="Calibri" w:hAnsi="Calibri" w:cs="Calibri"/>
        </w:rPr>
      </w:pPr>
      <w:r>
        <w:rPr>
          <w:rFonts w:ascii="Calibri" w:hAnsi="Calibri" w:cs="Calibri"/>
        </w:rPr>
        <w:t>Word count-1750</w:t>
      </w:r>
    </w:p>
    <w:p w14:paraId="762A841D" w14:textId="77777777" w:rsidR="00DF5878" w:rsidRDefault="00DF5878" w:rsidP="00DF5878">
      <w:pPr>
        <w:rPr>
          <w:rFonts w:ascii="Calibri" w:hAnsi="Calibri" w:cs="Calibri"/>
        </w:rPr>
      </w:pPr>
    </w:p>
    <w:p w14:paraId="352583D0" w14:textId="77777777" w:rsidR="00DF5878" w:rsidRPr="00DF5878" w:rsidRDefault="00DF5878" w:rsidP="00DF5878">
      <w:pPr>
        <w:spacing w:line="276" w:lineRule="auto"/>
        <w:ind w:right="531"/>
        <w:rPr>
          <w:rFonts w:ascii="Calibri" w:eastAsia="Times New Roman" w:hAnsi="Calibri" w:cs="Calibri"/>
          <w:b/>
          <w:bCs/>
          <w:lang w:eastAsia="en-GB"/>
        </w:rPr>
      </w:pPr>
      <w:r w:rsidRPr="00DF5878">
        <w:rPr>
          <w:rFonts w:ascii="Calibri" w:eastAsia="Times New Roman" w:hAnsi="Calibri" w:cs="Calibri"/>
          <w:b/>
          <w:bCs/>
          <w:lang w:eastAsia="en-GB"/>
        </w:rPr>
        <w:t>Why is a partnership approach the most effective way to reach groups or communities who are less willing to engage with police? You should consider why certain groups are reluctant to engage with police, and the ways engagement can be achieved.</w:t>
      </w:r>
    </w:p>
    <w:p w14:paraId="7B3E9E7F" w14:textId="77777777" w:rsidR="00DF5878" w:rsidRPr="00DF5878" w:rsidRDefault="00DF5878" w:rsidP="00DF5878">
      <w:pPr>
        <w:spacing w:line="276" w:lineRule="auto"/>
        <w:ind w:right="531"/>
        <w:rPr>
          <w:rFonts w:ascii="Calibri" w:eastAsia="Times New Roman" w:hAnsi="Calibri" w:cs="Calibri"/>
          <w:b/>
          <w:bCs/>
          <w:lang w:eastAsia="en-GB"/>
        </w:rPr>
      </w:pPr>
      <w:r w:rsidRPr="00DF5878">
        <w:rPr>
          <w:rFonts w:ascii="Calibri" w:eastAsia="Times New Roman" w:hAnsi="Calibri" w:cs="Calibri"/>
          <w:b/>
          <w:bCs/>
          <w:lang w:eastAsia="en-GB"/>
        </w:rPr>
        <w:lastRenderedPageBreak/>
        <w:t>Your answer should be based on academic research, although you may make reference to relevant case studies.</w:t>
      </w:r>
    </w:p>
    <w:p w14:paraId="02AE810B" w14:textId="77777777" w:rsidR="00DF5878" w:rsidRDefault="00DF5878" w:rsidP="00DF5878">
      <w:pPr>
        <w:spacing w:line="276" w:lineRule="auto"/>
        <w:ind w:right="531"/>
        <w:rPr>
          <w:rFonts w:ascii="Calibri" w:eastAsia="Times New Roman" w:hAnsi="Calibri" w:cs="Calibri"/>
          <w:lang w:eastAsia="en-GB"/>
        </w:rPr>
      </w:pPr>
    </w:p>
    <w:p w14:paraId="7E643BB1" w14:textId="77777777" w:rsidR="00DF5878" w:rsidRDefault="00DF5878" w:rsidP="00DF5878">
      <w:pPr>
        <w:spacing w:line="276" w:lineRule="auto"/>
        <w:ind w:right="531"/>
        <w:rPr>
          <w:rFonts w:ascii="Calibri" w:eastAsia="Times New Roman" w:hAnsi="Calibri" w:cs="Calibri"/>
          <w:lang w:eastAsia="en-GB"/>
        </w:rPr>
      </w:pPr>
      <w:r w:rsidRPr="00DF5878">
        <w:rPr>
          <w:rFonts w:ascii="Calibri" w:eastAsia="Times New Roman" w:hAnsi="Calibri" w:cs="Calibri"/>
          <w:lang w:eastAsia="en-GB"/>
        </w:rPr>
        <w:t>Police legitimacy and public cooperation are fundamental pillars of effective policing. However, in many UK communities, there exists a persistent reluctance to engage with police due to historical mistrust, perceived discrimination, and socio-economic disparities. In such contexts, a partnership approach—where police collaborate with local authorities, community leaders, education, health services, and voluntary organisations—has emerged as the most effective strategy to reach and build trust with disengaged or marginalised groups. This essay explores the underlying reasons for reluctance to engage and demonstrates how partnership policing, grounded in academic research and supported by recent UK case studies, can help rebuild relationships, enhance legitimacy, and improve safety outcomes for all.</w:t>
      </w:r>
      <w:r w:rsidRPr="00DF5878">
        <w:rPr>
          <w:rFonts w:ascii="Calibri" w:eastAsia="Times New Roman" w:hAnsi="Calibri" w:cs="Calibri"/>
          <w:lang w:eastAsia="en-GB"/>
        </w:rPr>
        <w:br/>
      </w:r>
      <w:r w:rsidRPr="00DF5878">
        <w:rPr>
          <w:rFonts w:ascii="Calibri" w:eastAsia="Times New Roman" w:hAnsi="Calibri" w:cs="Calibri"/>
          <w:lang w:eastAsia="en-GB"/>
        </w:rPr>
        <w:br/>
        <w:t>Several social and structural factors explain why certain communities are less willing to engage with police. A primary driver is the legacy of disproportionate policing practices, especially among Black, Asian, and Minority Ethnic (BAME) communities. Stop and search remains a contentious practice in the UK. According to the Home Office (2023), Black individuals are nearly nine times more likely to be stopped and searched compared to white individuals. This overrepresentation fosters a perception of bias and criminalisation, undermining trust in law enforcement. Shiner et al. (2018) argue that the repeated and arbitrary use of stop and search contributes to a “cycle of disillusionment,” where communities feel policed rather than protected, and are less likely to cooperate with police, even in matters that affect their own safety.</w:t>
      </w:r>
      <w:r w:rsidRPr="00DF5878">
        <w:rPr>
          <w:rFonts w:ascii="Calibri" w:eastAsia="Times New Roman" w:hAnsi="Calibri" w:cs="Calibri"/>
          <w:lang w:eastAsia="en-GB"/>
        </w:rPr>
        <w:br/>
      </w:r>
      <w:r w:rsidRPr="00DF5878">
        <w:rPr>
          <w:rFonts w:ascii="Calibri" w:eastAsia="Times New Roman" w:hAnsi="Calibri" w:cs="Calibri"/>
          <w:lang w:eastAsia="en-GB"/>
        </w:rPr>
        <w:br/>
        <w:t>Historical incidents of institutional racism, such as the failures surrounding the murder of Stephen Lawrence, have further eroded confidence. The Macpherson Report (1999) explicitly identified institutional racism within the Metropolitan Police and recommended sweeping reforms. Yet, over two decades later, similar concerns persist. Recent reports by HMICFRS (2021) and the Independent Office for Police Conduct (2022) highlight ongoing issues with police misconduct, excessive force, and lack of cultural competency, particularly in interactions with minority and working-class communities. These documented inequalities have created lasting barriers to trust, particularly among communities who feel over-surveilled yet under-protected. This perception has been reinforced by high-profile cases such as the Child Q incident, in which a Black schoolgirl was subjected to a strip search by officers without parental or legal representation, sparking widespread outrage and further distrust (Children’s Commissioner, 2022).</w:t>
      </w:r>
      <w:r w:rsidRPr="00DF5878">
        <w:rPr>
          <w:rFonts w:ascii="Calibri" w:eastAsia="Times New Roman" w:hAnsi="Calibri" w:cs="Calibri"/>
          <w:lang w:eastAsia="en-GB"/>
        </w:rPr>
        <w:br/>
      </w:r>
      <w:r w:rsidRPr="00DF5878">
        <w:rPr>
          <w:rFonts w:ascii="Calibri" w:eastAsia="Times New Roman" w:hAnsi="Calibri" w:cs="Calibri"/>
          <w:lang w:eastAsia="en-GB"/>
        </w:rPr>
        <w:br/>
        <w:t xml:space="preserve">Moreover, socio-economic marginalisation correlates strongly with low engagement. In deprived areas, policing is often seen through an enforcement lens—focused on crime suppression rather than community problem-solving. Loader and Mulcahy (2003) contend that in these communities, policing is felt “as coercion, not consent.” The Grenfell Tower disaster, for example, exposed deep-seated mistrust between residents and authorities, including the police, who were perceived as complicit in systemic neglect (Hills, 2020). A failure to listen to community concerns prior to the disaster contributed to the perception that police and public </w:t>
      </w:r>
      <w:r w:rsidRPr="00DF5878">
        <w:rPr>
          <w:rFonts w:ascii="Calibri" w:eastAsia="Times New Roman" w:hAnsi="Calibri" w:cs="Calibri"/>
          <w:lang w:eastAsia="en-GB"/>
        </w:rPr>
        <w:lastRenderedPageBreak/>
        <w:t>authorities are distant and indifferent to the needs of marginalised people.</w:t>
      </w:r>
      <w:r w:rsidRPr="00DF5878">
        <w:rPr>
          <w:rFonts w:ascii="Calibri" w:eastAsia="Times New Roman" w:hAnsi="Calibri" w:cs="Calibri"/>
          <w:lang w:eastAsia="en-GB"/>
        </w:rPr>
        <w:br/>
      </w:r>
      <w:r w:rsidRPr="00DF5878">
        <w:rPr>
          <w:rFonts w:ascii="Calibri" w:eastAsia="Times New Roman" w:hAnsi="Calibri" w:cs="Calibri"/>
          <w:lang w:eastAsia="en-GB"/>
        </w:rPr>
        <w:br/>
        <w:t>Against this backdrop, partnership policing has gained prominence as a more inclusive and effective approach. Rooted in community-oriented and problem-solving policing models, partnerships enable police to collaborate with other agencies and community stakeholders to co-produce safety and trust. The College of Policing (2015) defines partnership working as “the active collaboration of organisations and individuals from a range of sectors who share a commitment to solving problems.” This approach aligns with procedural justice theory, which holds that when individuals perceive police as fair, respectful, and transparent, they are more likely to comply with the law and cooperate (Tyler, 2006). Such perceptions are key to fostering legitimacy and reducing social distance between the police and the communities they serve.</w:t>
      </w:r>
      <w:r w:rsidRPr="00DF5878">
        <w:rPr>
          <w:rFonts w:ascii="Calibri" w:eastAsia="Times New Roman" w:hAnsi="Calibri" w:cs="Calibri"/>
          <w:lang w:eastAsia="en-GB"/>
        </w:rPr>
        <w:br/>
      </w:r>
      <w:r w:rsidRPr="00DF5878">
        <w:rPr>
          <w:rFonts w:ascii="Calibri" w:eastAsia="Times New Roman" w:hAnsi="Calibri" w:cs="Calibri"/>
          <w:lang w:eastAsia="en-GB"/>
        </w:rPr>
        <w:br/>
        <w:t>One of the most successful applications of the partnership model in the UK is the Violence Reduction Unit (VRU) model, first pioneered in Glasgow and later adopted in London, Manchester, and the West Midlands. These multi-agency partnerships bring together police, youth services, public health, education, and community groups to address the root causes of violence. Evaluation of the Glasgow VRU demonstrated a significant reduction in youth violence through early intervention and relationship-building, rather than punitive measures (Williams &amp; Clarke, 2016). Similarly, London’s VRU, established in 2019, explicitly uses a public health approach, recognising that violence is not merely a policing issue but a societal one (Mayor of London, 2021). The strength of this model lies in its adaptability—local partners can tailor interventions to the specific social dynamics, crime trends, and cultural contexts of their areas, making it both flexible and responsive.</w:t>
      </w:r>
      <w:r w:rsidRPr="00DF5878">
        <w:rPr>
          <w:rFonts w:ascii="Calibri" w:eastAsia="Times New Roman" w:hAnsi="Calibri" w:cs="Calibri"/>
          <w:lang w:eastAsia="en-GB"/>
        </w:rPr>
        <w:br/>
      </w:r>
      <w:r w:rsidRPr="00DF5878">
        <w:rPr>
          <w:rFonts w:ascii="Calibri" w:eastAsia="Times New Roman" w:hAnsi="Calibri" w:cs="Calibri"/>
          <w:lang w:eastAsia="en-GB"/>
        </w:rPr>
        <w:br/>
        <w:t>Youth-focused partnerships have also shown measurable success in improving engagement. School-based officers and youth engagement teams have evolved from traditional enforcement roles to adopt mentoring and safeguarding responsibilities. The Youth Endowment Fund (2022) evaluated numerous projects where police worked in partnership with schools to provide diversionary activities for at-risk youth, demonstrating reductions in school exclusions and serious youth violence. Programmes such as the “Divert” scheme in London and the “StepOut” project in Manchester focus on life skills, employment, and rehabilitation rather than criminalisation. These initiatives are often more trusted because they are embedded within non-threatening, familiar environments and are co-designed with young people and professionals who understand the cultural dynamics at play. When youth engagement is integrated into the broader ecology of care—through education, health, and social support—young people are more likely to view police as allies rather than adversaries.</w:t>
      </w:r>
      <w:r w:rsidRPr="00DF5878">
        <w:rPr>
          <w:rFonts w:ascii="Calibri" w:eastAsia="Times New Roman" w:hAnsi="Calibri" w:cs="Calibri"/>
          <w:lang w:eastAsia="en-GB"/>
        </w:rPr>
        <w:br/>
      </w:r>
      <w:r w:rsidRPr="00DF5878">
        <w:rPr>
          <w:rFonts w:ascii="Calibri" w:eastAsia="Times New Roman" w:hAnsi="Calibri" w:cs="Calibri"/>
          <w:lang w:eastAsia="en-GB"/>
        </w:rPr>
        <w:br/>
        <w:t xml:space="preserve">Faith leaders and cultural organisations serve as essential intermediaries between the police and marginalised communities. A notable example is the work of the Muslim Safety Forum, which collaborates with the Metropolitan Police to address Islamophobic hate crimes and improve confidence among Muslim communities (Qurashi, 2018). Similarly, Black churches, Sikh temples, and African community groups have played active roles in promoting dialogue and shaping safety initiatives that reflect community needs. Foster et al. (2017) argue that these organisations offer culturally sensitive channels for engagement, acting as trusted conduits for two-way communication between communities and the police. This intermediary </w:t>
      </w:r>
      <w:r w:rsidRPr="00DF5878">
        <w:rPr>
          <w:rFonts w:ascii="Calibri" w:eastAsia="Times New Roman" w:hAnsi="Calibri" w:cs="Calibri"/>
          <w:lang w:eastAsia="en-GB"/>
        </w:rPr>
        <w:lastRenderedPageBreak/>
        <w:t>role is especially important when misinformation or past grievances risk derailing community-police relations.</w:t>
      </w:r>
      <w:r w:rsidRPr="00DF5878">
        <w:rPr>
          <w:rFonts w:ascii="Calibri" w:eastAsia="Times New Roman" w:hAnsi="Calibri" w:cs="Calibri"/>
          <w:lang w:eastAsia="en-GB"/>
        </w:rPr>
        <w:br/>
      </w:r>
      <w:r w:rsidRPr="00DF5878">
        <w:rPr>
          <w:rFonts w:ascii="Calibri" w:eastAsia="Times New Roman" w:hAnsi="Calibri" w:cs="Calibri"/>
          <w:lang w:eastAsia="en-GB"/>
        </w:rPr>
        <w:br/>
        <w:t>In rural and traveller communities—often excluded from mainstream engagement strategies—partnerships have helped reduce the isolation and mistrust that pervade interactions with law enforcement. The National Rural Crime Network has emphasised working alongside local councils, agricultural unions, and community organisations to develop bespoke solutions for rural safety (Smith &amp; Somerville, 2019). This includes neighbourhood watch schemes, mobile police stations, and regular meetings with community representatives, all of which improve visibility and responsiveness. A collaborative approach acknowledges that safety concerns in these communities—such as wildlife crime, equipment theft, and domestic abuse—require tailored, context-aware responses.</w:t>
      </w:r>
      <w:r w:rsidRPr="00DF5878">
        <w:rPr>
          <w:rFonts w:ascii="Calibri" w:eastAsia="Times New Roman" w:hAnsi="Calibri" w:cs="Calibri"/>
          <w:lang w:eastAsia="en-GB"/>
        </w:rPr>
        <w:br/>
      </w:r>
      <w:r w:rsidRPr="00DF5878">
        <w:rPr>
          <w:rFonts w:ascii="Calibri" w:eastAsia="Times New Roman" w:hAnsi="Calibri" w:cs="Calibri"/>
          <w:lang w:eastAsia="en-GB"/>
        </w:rPr>
        <w:br/>
        <w:t>Another key strength of partnership working lies in its ability to promote shared ownership of local safety challenges. Multi-agency forums such as Community Safety Partnerships (CSPs) and Multi-Agency Safeguarding Hubs (MASH) facilitate real-time information sharing and coordinated responses to issues such as domestic abuse, hate crime, and anti-social behaviour. According to the Local Government Association (2021), CSPs have enabled better resource allocation and faster intervention, while also increasing transparency and reducing duplication across services. By pooling intelligence and building collective responsibility, such forums break down silos and enhance accountability. They also offer a structure in which under-represented voices can gain a seat at the decision-making table, helping to democratise the policing process.</w:t>
      </w:r>
      <w:r w:rsidRPr="00DF5878">
        <w:rPr>
          <w:rFonts w:ascii="Calibri" w:eastAsia="Times New Roman" w:hAnsi="Calibri" w:cs="Calibri"/>
          <w:lang w:eastAsia="en-GB"/>
        </w:rPr>
        <w:br/>
      </w:r>
      <w:r w:rsidRPr="00DF5878">
        <w:rPr>
          <w:rFonts w:ascii="Calibri" w:eastAsia="Times New Roman" w:hAnsi="Calibri" w:cs="Calibri"/>
          <w:lang w:eastAsia="en-GB"/>
        </w:rPr>
        <w:br/>
        <w:t>Yet, partnership policing is not without its challenges. Power imbalances between the police and community actors can lead to tokenistic consultation rather than meaningful collaboration. Skinns (2011) warns that the police often dominate multi-agency discussions, marginalising local voices and shaping priorities around enforcement rather than prevention. To address this, there must be a conscious effort to empower communities, especially those with lived experience of marginalisation, to co-produce solutions. The Citizens UK “Commissioning for Justice” model is an instructive example. By conducting listening campaigns and convening public forums, it enables communities to set priorities and hold agencies accountable (Citizens UK, 2020).</w:t>
      </w:r>
      <w:r w:rsidRPr="00DF5878">
        <w:rPr>
          <w:rFonts w:ascii="Calibri" w:eastAsia="Times New Roman" w:hAnsi="Calibri" w:cs="Calibri"/>
          <w:lang w:eastAsia="en-GB"/>
        </w:rPr>
        <w:br/>
      </w:r>
      <w:r w:rsidRPr="00DF5878">
        <w:rPr>
          <w:rFonts w:ascii="Calibri" w:eastAsia="Times New Roman" w:hAnsi="Calibri" w:cs="Calibri"/>
          <w:lang w:eastAsia="en-GB"/>
        </w:rPr>
        <w:br/>
        <w:t>Evaluation of partnership initiatives also remains a concern. Traditional performance metrics often focus on crime rates or arrest data, which may not capture improvements in trust or procedural fairness. Jackson et al. (2012) argue that legitimacy is a subjective perception, influenced by feelings of respect, voice, and fairness, rather than outcomes alone. Therefore, qualitative data—such as focus groups, community surveys, and case studies—should be incorporated into evaluation frameworks to reflect a fuller picture of impact. In London, the Mayor’s Office for Policing and Crime (MOPAC) has begun incorporating community confidence metrics into its assessment of VRU outcomes (MOPAC, 2023).</w:t>
      </w:r>
      <w:r w:rsidRPr="00DF5878">
        <w:rPr>
          <w:rFonts w:ascii="Calibri" w:eastAsia="Times New Roman" w:hAnsi="Calibri" w:cs="Calibri"/>
          <w:lang w:eastAsia="en-GB"/>
        </w:rPr>
        <w:br/>
      </w:r>
      <w:r w:rsidRPr="00DF5878">
        <w:rPr>
          <w:rFonts w:ascii="Calibri" w:eastAsia="Times New Roman" w:hAnsi="Calibri" w:cs="Calibri"/>
          <w:lang w:eastAsia="en-GB"/>
        </w:rPr>
        <w:br/>
        <w:t xml:space="preserve">Technology presents both opportunities and risks in partnership policing. On one hand, social media and digital platforms have become powerful tools for community engagement. Police </w:t>
      </w:r>
      <w:r w:rsidRPr="00DF5878">
        <w:rPr>
          <w:rFonts w:ascii="Calibri" w:eastAsia="Times New Roman" w:hAnsi="Calibri" w:cs="Calibri"/>
          <w:lang w:eastAsia="en-GB"/>
        </w:rPr>
        <w:lastRenderedPageBreak/>
        <w:t>forces have increasingly used Twitter, Facebook, and WhatsApp to share updates, correct misinformation, and promote campaigns such as #WeStandTogether, which emerged after the Manchester bombing to show solidarity with affected communities (O’Neill &amp; Fyfe, 2020). These digital efforts humanise officers and make them more accessible. On the other hand, digital exclusion remains a barrier for some, particularly older adults and low-income households. Moreover, the use of surveillance technology or data sharing without informed consent can exacerbate mistrust, especially in communities already sensitive to over-policing.</w:t>
      </w:r>
      <w:r w:rsidRPr="00DF5878">
        <w:rPr>
          <w:rFonts w:ascii="Calibri" w:eastAsia="Times New Roman" w:hAnsi="Calibri" w:cs="Calibri"/>
          <w:lang w:eastAsia="en-GB"/>
        </w:rPr>
        <w:br/>
      </w:r>
      <w:r w:rsidRPr="00DF5878">
        <w:rPr>
          <w:rFonts w:ascii="Calibri" w:eastAsia="Times New Roman" w:hAnsi="Calibri" w:cs="Calibri"/>
          <w:lang w:eastAsia="en-GB"/>
        </w:rPr>
        <w:br/>
        <w:t>Training and workforce development are essential in supporting effective partnership work. Officers must be equipped with cultural awareness, trauma-informed approaches, and negotiation skills to build constructive relationships across sectors. The PEQF (Policing Education Qualifications Framework) has responded to this need by incorporating community engagement, procedural justice, and partnership modules into officer training (College of Policing, 2021). Continuing professional development, including placements with partner agencies, can further enhance officers’ ability to work collaboratively and sensitively.</w:t>
      </w:r>
      <w:r w:rsidRPr="00DF5878">
        <w:rPr>
          <w:rFonts w:ascii="Calibri" w:eastAsia="Times New Roman" w:hAnsi="Calibri" w:cs="Calibri"/>
          <w:lang w:eastAsia="en-GB"/>
        </w:rPr>
        <w:br/>
      </w:r>
      <w:r w:rsidRPr="00DF5878">
        <w:rPr>
          <w:rFonts w:ascii="Calibri" w:eastAsia="Times New Roman" w:hAnsi="Calibri" w:cs="Calibri"/>
          <w:lang w:eastAsia="en-GB"/>
        </w:rPr>
        <w:br/>
        <w:t>Finally, partnership policing must be situated within broader structural reforms. Building legitimacy requires more than improved communication; it demands systemic accountability and a commitment to fairness. This includes addressing internal police culture, diversifying recruitment, and ensuring that misconduct is dealt with transparently. A partnership approach that ignores these internal dynamics risks being seen as superficial or performative. As Loader (2022) contends, legitimacy cannot be achieved through outreach alone—it must be earned through consistent ethical practice and structural change.</w:t>
      </w:r>
      <w:r w:rsidRPr="00DF5878">
        <w:rPr>
          <w:rFonts w:ascii="Calibri" w:eastAsia="Times New Roman" w:hAnsi="Calibri" w:cs="Calibri"/>
          <w:lang w:eastAsia="en-GB"/>
        </w:rPr>
        <w:br/>
      </w:r>
      <w:r w:rsidRPr="00DF5878">
        <w:rPr>
          <w:rFonts w:ascii="Calibri" w:eastAsia="Times New Roman" w:hAnsi="Calibri" w:cs="Calibri"/>
          <w:lang w:eastAsia="en-GB"/>
        </w:rPr>
        <w:br/>
        <w:t>In conclusion, certain communities in the UK are less willing to engage with police due to structural inequality, historical misconduct, and perceived discrimination. These barriers to trust cannot be overcome by traditional enforcement-focused models. A partnership approach—encompassing education, youth services, health, faith groups, and civil society—offers a more inclusive and sustainable path forward. By co-producing solutions, building mutual accountability, and fostering cultural sensitivity, partnership policing enhances legitimacy and public safety. While challenges remain in evaluation, power dynamics, and consistency, the evidence increasingly supports partnership as the most effective method for reaching disengaged communities. In a diverse and dynamic society, the future of policing depends on collaboration, empathy, and shared responsibility.</w:t>
      </w:r>
    </w:p>
    <w:p w14:paraId="551BD883" w14:textId="77777777" w:rsidR="00EE436A" w:rsidRDefault="00EE436A" w:rsidP="00DF5878">
      <w:pPr>
        <w:spacing w:line="276" w:lineRule="auto"/>
        <w:ind w:right="531"/>
        <w:rPr>
          <w:rFonts w:ascii="Calibri" w:eastAsia="Times New Roman" w:hAnsi="Calibri" w:cs="Calibri"/>
          <w:lang w:eastAsia="en-GB"/>
        </w:rPr>
      </w:pPr>
    </w:p>
    <w:p w14:paraId="54C50EFF" w14:textId="0E8FA055" w:rsidR="00EE436A" w:rsidRPr="00DF5878" w:rsidRDefault="00EE436A" w:rsidP="00DF5878">
      <w:pPr>
        <w:spacing w:line="276" w:lineRule="auto"/>
        <w:ind w:right="531"/>
        <w:rPr>
          <w:rFonts w:ascii="Calibri" w:eastAsia="Times New Roman" w:hAnsi="Calibri" w:cs="Calibri"/>
          <w:lang w:eastAsia="en-GB"/>
        </w:rPr>
      </w:pPr>
      <w:r>
        <w:rPr>
          <w:rFonts w:ascii="Calibri" w:eastAsia="Times New Roman" w:hAnsi="Calibri" w:cs="Calibri"/>
          <w:lang w:eastAsia="en-GB"/>
        </w:rPr>
        <w:t>Word count- 1821</w:t>
      </w:r>
    </w:p>
    <w:p w14:paraId="7AD05F18" w14:textId="77777777" w:rsidR="00DF5878" w:rsidRDefault="00DF5878" w:rsidP="00DF5878">
      <w:pPr>
        <w:rPr>
          <w:rFonts w:ascii="Calibri" w:hAnsi="Calibri" w:cs="Calibri"/>
        </w:rPr>
      </w:pPr>
    </w:p>
    <w:p w14:paraId="0CE0CEC3" w14:textId="4A23F1FD" w:rsidR="00DF5878" w:rsidRDefault="00DF5878" w:rsidP="00DF5878">
      <w:pPr>
        <w:rPr>
          <w:rFonts w:ascii="Calibri" w:hAnsi="Calibri" w:cs="Calibri"/>
          <w:b/>
          <w:bCs/>
        </w:rPr>
      </w:pPr>
      <w:r>
        <w:rPr>
          <w:rFonts w:ascii="Calibri" w:hAnsi="Calibri" w:cs="Calibri"/>
          <w:b/>
          <w:bCs/>
        </w:rPr>
        <w:t>Bibliography</w:t>
      </w:r>
    </w:p>
    <w:p w14:paraId="1580729A" w14:textId="77777777" w:rsidR="00DF5878" w:rsidRDefault="00DF5878" w:rsidP="00DF5878">
      <w:pPr>
        <w:rPr>
          <w:rFonts w:ascii="Calibri" w:hAnsi="Calibri" w:cs="Calibri"/>
          <w:b/>
          <w:bCs/>
        </w:rPr>
      </w:pPr>
    </w:p>
    <w:p w14:paraId="26B3BB7F" w14:textId="77777777" w:rsidR="00DF5878" w:rsidRPr="00DF5878" w:rsidRDefault="00DF5878" w:rsidP="00DF5878">
      <w:pPr>
        <w:rPr>
          <w:rFonts w:ascii="Calibri" w:hAnsi="Calibri" w:cs="Calibri"/>
        </w:rPr>
      </w:pPr>
      <w:r w:rsidRPr="00DF5878">
        <w:rPr>
          <w:rFonts w:ascii="Calibri" w:hAnsi="Calibri" w:cs="Calibri"/>
        </w:rPr>
        <w:t>Anderson, D. (2018) 'Report of the Independent Reviewer: The Manchester Arena Attack', London: HMSO.</w:t>
      </w:r>
    </w:p>
    <w:p w14:paraId="582CB0D5" w14:textId="77777777" w:rsidR="00DF5878" w:rsidRPr="00DF5878" w:rsidRDefault="00DF5878" w:rsidP="00DF5878">
      <w:pPr>
        <w:rPr>
          <w:rFonts w:ascii="Calibri" w:hAnsi="Calibri" w:cs="Calibri"/>
        </w:rPr>
      </w:pPr>
      <w:r w:rsidRPr="00DF5878">
        <w:rPr>
          <w:rFonts w:ascii="Calibri" w:hAnsi="Calibri" w:cs="Calibri"/>
        </w:rPr>
        <w:tab/>
      </w:r>
    </w:p>
    <w:p w14:paraId="4588AFF9" w14:textId="12945DB8" w:rsidR="00DF5878" w:rsidRPr="00DF5878" w:rsidRDefault="00DF5878" w:rsidP="00DF5878">
      <w:pPr>
        <w:rPr>
          <w:rFonts w:ascii="Calibri" w:hAnsi="Calibri" w:cs="Calibri"/>
        </w:rPr>
      </w:pPr>
      <w:r w:rsidRPr="00DF5878">
        <w:rPr>
          <w:rFonts w:ascii="Calibri" w:hAnsi="Calibri" w:cs="Calibri"/>
        </w:rPr>
        <w:lastRenderedPageBreak/>
        <w:t>Awan, I. (2019) 'Islamophobia and Prevent: National security and the marginalisation of British Muslim communities', International Journal for Crime, Justice and Social Democracy, 8(1), pp. 23–37.</w:t>
      </w:r>
    </w:p>
    <w:p w14:paraId="27D3C012" w14:textId="77777777" w:rsidR="00DF5878" w:rsidRPr="00DF5878" w:rsidRDefault="00DF5878" w:rsidP="00DF5878">
      <w:pPr>
        <w:rPr>
          <w:rFonts w:ascii="Calibri" w:hAnsi="Calibri" w:cs="Calibri"/>
        </w:rPr>
      </w:pPr>
      <w:r w:rsidRPr="00DF5878">
        <w:rPr>
          <w:rFonts w:ascii="Calibri" w:hAnsi="Calibri" w:cs="Calibri"/>
        </w:rPr>
        <w:tab/>
      </w:r>
    </w:p>
    <w:p w14:paraId="017C3980" w14:textId="5F6075CF" w:rsidR="00DF5878" w:rsidRPr="00DF5878" w:rsidRDefault="00DF5878" w:rsidP="00DF5878">
      <w:pPr>
        <w:rPr>
          <w:rFonts w:ascii="Calibri" w:hAnsi="Calibri" w:cs="Calibri"/>
        </w:rPr>
      </w:pPr>
      <w:r w:rsidRPr="00DF5878">
        <w:rPr>
          <w:rFonts w:ascii="Calibri" w:hAnsi="Calibri" w:cs="Calibri"/>
        </w:rPr>
        <w:t xml:space="preserve">BBC (2019) 'London Bridge attack: Who were the attackers?', BBC News. Available at: </w:t>
      </w:r>
      <w:hyperlink r:id="rId5" w:history="1">
        <w:r w:rsidRPr="00DF5878">
          <w:rPr>
            <w:rStyle w:val="Hyperlink"/>
            <w:rFonts w:ascii="Calibri" w:hAnsi="Calibri" w:cs="Calibri"/>
          </w:rPr>
          <w:t>https://www.bbc.co.uk/news/uk-40146916</w:t>
        </w:r>
      </w:hyperlink>
    </w:p>
    <w:p w14:paraId="15B69781" w14:textId="77777777" w:rsidR="00DF5878" w:rsidRPr="00DF5878" w:rsidRDefault="00DF5878" w:rsidP="00DF5878">
      <w:pPr>
        <w:rPr>
          <w:rFonts w:ascii="Calibri" w:hAnsi="Calibri" w:cs="Calibri"/>
        </w:rPr>
      </w:pPr>
      <w:r w:rsidRPr="00DF5878">
        <w:rPr>
          <w:rFonts w:ascii="Calibri" w:hAnsi="Calibri" w:cs="Calibri"/>
        </w:rPr>
        <w:tab/>
      </w:r>
    </w:p>
    <w:p w14:paraId="18DEE597" w14:textId="4568C528" w:rsidR="00DF5878" w:rsidRPr="00DF5878" w:rsidRDefault="00DF5878" w:rsidP="00DF5878">
      <w:pPr>
        <w:rPr>
          <w:rFonts w:ascii="Calibri" w:hAnsi="Calibri" w:cs="Calibri"/>
        </w:rPr>
      </w:pPr>
      <w:r w:rsidRPr="00DF5878">
        <w:rPr>
          <w:rFonts w:ascii="Calibri" w:hAnsi="Calibri" w:cs="Calibri"/>
        </w:rPr>
        <w:t>Basra, R., Neumann, P.R. and Brunner, C. (2016) 'Criminal Pasts, Terrorist Futures: European Jihadists and the New Crime-Terror Nexus', ICSR Report.</w:t>
      </w:r>
    </w:p>
    <w:p w14:paraId="3A1A99E6" w14:textId="77777777" w:rsidR="00DF5878" w:rsidRPr="00DF5878" w:rsidRDefault="00DF5878" w:rsidP="00DF5878">
      <w:pPr>
        <w:rPr>
          <w:rFonts w:ascii="Calibri" w:hAnsi="Calibri" w:cs="Calibri"/>
        </w:rPr>
      </w:pPr>
      <w:r w:rsidRPr="00DF5878">
        <w:rPr>
          <w:rFonts w:ascii="Calibri" w:hAnsi="Calibri" w:cs="Calibri"/>
        </w:rPr>
        <w:tab/>
      </w:r>
    </w:p>
    <w:p w14:paraId="298EEC0D" w14:textId="3F5BF23C" w:rsidR="00DF5878" w:rsidRPr="00DF5878" w:rsidRDefault="00DF5878" w:rsidP="00DF5878">
      <w:pPr>
        <w:rPr>
          <w:rFonts w:ascii="Calibri" w:hAnsi="Calibri" w:cs="Calibri"/>
        </w:rPr>
      </w:pPr>
      <w:r w:rsidRPr="00DF5878">
        <w:rPr>
          <w:rFonts w:ascii="Calibri" w:hAnsi="Calibri" w:cs="Calibri"/>
        </w:rPr>
        <w:t xml:space="preserve">CTP UK (2021) 'ACT Early campaign: Annual review'. Available at: </w:t>
      </w:r>
      <w:hyperlink r:id="rId6" w:history="1">
        <w:r w:rsidRPr="00DF5878">
          <w:rPr>
            <w:rStyle w:val="Hyperlink"/>
            <w:rFonts w:ascii="Calibri" w:hAnsi="Calibri" w:cs="Calibri"/>
          </w:rPr>
          <w:t>https://actearly.uk</w:t>
        </w:r>
      </w:hyperlink>
    </w:p>
    <w:p w14:paraId="6B0288A2" w14:textId="77777777" w:rsidR="00DF5878" w:rsidRPr="00DF5878" w:rsidRDefault="00DF5878" w:rsidP="00DF5878">
      <w:pPr>
        <w:rPr>
          <w:rFonts w:ascii="Calibri" w:hAnsi="Calibri" w:cs="Calibri"/>
        </w:rPr>
      </w:pPr>
      <w:r w:rsidRPr="00DF5878">
        <w:rPr>
          <w:rFonts w:ascii="Calibri" w:hAnsi="Calibri" w:cs="Calibri"/>
        </w:rPr>
        <w:tab/>
      </w:r>
    </w:p>
    <w:p w14:paraId="5B40ADDB" w14:textId="25155B4A" w:rsidR="00DF5878" w:rsidRPr="00DF5878" w:rsidRDefault="00DF5878" w:rsidP="00DF5878">
      <w:pPr>
        <w:rPr>
          <w:rFonts w:ascii="Calibri" w:hAnsi="Calibri" w:cs="Calibri"/>
        </w:rPr>
      </w:pPr>
      <w:r w:rsidRPr="00DF5878">
        <w:rPr>
          <w:rFonts w:ascii="Calibri" w:hAnsi="Calibri" w:cs="Calibri"/>
        </w:rPr>
        <w:t>Children’s Commissioner (2022) 'Strip search of Child Q: Investigation report'. London: Office of the Children’s Commissioner.</w:t>
      </w:r>
    </w:p>
    <w:p w14:paraId="5B5A7FE7" w14:textId="77777777" w:rsidR="00DF5878" w:rsidRPr="00DF5878" w:rsidRDefault="00DF5878" w:rsidP="00DF5878">
      <w:pPr>
        <w:rPr>
          <w:rFonts w:ascii="Calibri" w:hAnsi="Calibri" w:cs="Calibri"/>
        </w:rPr>
      </w:pPr>
      <w:r w:rsidRPr="00DF5878">
        <w:rPr>
          <w:rFonts w:ascii="Calibri" w:hAnsi="Calibri" w:cs="Calibri"/>
        </w:rPr>
        <w:tab/>
      </w:r>
    </w:p>
    <w:p w14:paraId="39E9967D" w14:textId="405557C8" w:rsidR="00DF5878" w:rsidRPr="00DF5878" w:rsidRDefault="00DF5878" w:rsidP="00DF5878">
      <w:pPr>
        <w:rPr>
          <w:rFonts w:ascii="Calibri" w:hAnsi="Calibri" w:cs="Calibri"/>
        </w:rPr>
      </w:pPr>
      <w:r w:rsidRPr="00DF5878">
        <w:rPr>
          <w:rFonts w:ascii="Calibri" w:hAnsi="Calibri" w:cs="Calibri"/>
        </w:rPr>
        <w:t xml:space="preserve">Citizens UK (2020) 'Commissioning for Justice: Building accountable relationships between citizens and services'. Available at: </w:t>
      </w:r>
      <w:hyperlink r:id="rId7" w:history="1">
        <w:r w:rsidRPr="00DF5878">
          <w:rPr>
            <w:rStyle w:val="Hyperlink"/>
            <w:rFonts w:ascii="Calibri" w:hAnsi="Calibri" w:cs="Calibri"/>
          </w:rPr>
          <w:t>https://www.citizensuk.org</w:t>
        </w:r>
      </w:hyperlink>
    </w:p>
    <w:p w14:paraId="513EFD85" w14:textId="77777777" w:rsidR="00DF5878" w:rsidRPr="00DF5878" w:rsidRDefault="00DF5878" w:rsidP="00DF5878">
      <w:pPr>
        <w:rPr>
          <w:rFonts w:ascii="Calibri" w:hAnsi="Calibri" w:cs="Calibri"/>
        </w:rPr>
      </w:pPr>
      <w:r w:rsidRPr="00DF5878">
        <w:rPr>
          <w:rFonts w:ascii="Calibri" w:hAnsi="Calibri" w:cs="Calibri"/>
        </w:rPr>
        <w:tab/>
      </w:r>
    </w:p>
    <w:p w14:paraId="7890B56C" w14:textId="2EF6778E" w:rsidR="00DF5878" w:rsidRPr="00DF5878" w:rsidRDefault="00DF5878" w:rsidP="00DF5878">
      <w:pPr>
        <w:rPr>
          <w:rFonts w:ascii="Calibri" w:hAnsi="Calibri" w:cs="Calibri"/>
        </w:rPr>
      </w:pPr>
      <w:r w:rsidRPr="00DF5878">
        <w:rPr>
          <w:rFonts w:ascii="Calibri" w:hAnsi="Calibri" w:cs="Calibri"/>
        </w:rPr>
        <w:t>Clarke, R. and Bowman, J. (2022) 'Radicalisation, prisons and the rehabilitation challenge', Criminal Justice Matters, 127(1), pp. 10–12.</w:t>
      </w:r>
    </w:p>
    <w:p w14:paraId="628CF5D4" w14:textId="77777777" w:rsidR="00DF5878" w:rsidRPr="00DF5878" w:rsidRDefault="00DF5878" w:rsidP="00DF5878">
      <w:pPr>
        <w:rPr>
          <w:rFonts w:ascii="Calibri" w:hAnsi="Calibri" w:cs="Calibri"/>
        </w:rPr>
      </w:pPr>
      <w:r w:rsidRPr="00DF5878">
        <w:rPr>
          <w:rFonts w:ascii="Calibri" w:hAnsi="Calibri" w:cs="Calibri"/>
        </w:rPr>
        <w:tab/>
      </w:r>
    </w:p>
    <w:p w14:paraId="54BFC11F" w14:textId="23452704" w:rsidR="00DF5878" w:rsidRPr="00DF5878" w:rsidRDefault="00DF5878" w:rsidP="00DF5878">
      <w:pPr>
        <w:rPr>
          <w:rFonts w:ascii="Calibri" w:hAnsi="Calibri" w:cs="Calibri"/>
        </w:rPr>
      </w:pPr>
      <w:r w:rsidRPr="00DF5878">
        <w:rPr>
          <w:rFonts w:ascii="Calibri" w:hAnsi="Calibri" w:cs="Calibri"/>
        </w:rPr>
        <w:t>College of Policing (2015) 'Working in partnership: Effectiveness of partnerships in crime and disorder reduction'. Coventry: College of Policing.</w:t>
      </w:r>
    </w:p>
    <w:p w14:paraId="5B60ACCF" w14:textId="77777777" w:rsidR="00DF5878" w:rsidRPr="00DF5878" w:rsidRDefault="00DF5878" w:rsidP="00DF5878">
      <w:pPr>
        <w:rPr>
          <w:rFonts w:ascii="Calibri" w:hAnsi="Calibri" w:cs="Calibri"/>
        </w:rPr>
      </w:pPr>
      <w:r w:rsidRPr="00DF5878">
        <w:rPr>
          <w:rFonts w:ascii="Calibri" w:hAnsi="Calibri" w:cs="Calibri"/>
        </w:rPr>
        <w:tab/>
      </w:r>
    </w:p>
    <w:p w14:paraId="26D26648" w14:textId="5936B831" w:rsidR="00DF5878" w:rsidRPr="00DF5878" w:rsidRDefault="00DF5878" w:rsidP="00DF5878">
      <w:pPr>
        <w:rPr>
          <w:rFonts w:ascii="Calibri" w:hAnsi="Calibri" w:cs="Calibri"/>
        </w:rPr>
      </w:pPr>
      <w:r w:rsidRPr="00DF5878">
        <w:rPr>
          <w:rFonts w:ascii="Calibri" w:hAnsi="Calibri" w:cs="Calibri"/>
        </w:rPr>
        <w:t xml:space="preserve">College of Policing (2021) 'PEQF curriculum documentation'. Available at: </w:t>
      </w:r>
      <w:hyperlink r:id="rId8" w:history="1">
        <w:r w:rsidRPr="00DF5878">
          <w:rPr>
            <w:rStyle w:val="Hyperlink"/>
            <w:rFonts w:ascii="Calibri" w:hAnsi="Calibri" w:cs="Calibri"/>
          </w:rPr>
          <w:t>https://www.college.police.uk</w:t>
        </w:r>
      </w:hyperlink>
    </w:p>
    <w:p w14:paraId="70AA8CE7" w14:textId="77777777" w:rsidR="00DF5878" w:rsidRPr="00DF5878" w:rsidRDefault="00DF5878" w:rsidP="00DF5878">
      <w:pPr>
        <w:rPr>
          <w:rFonts w:ascii="Calibri" w:hAnsi="Calibri" w:cs="Calibri"/>
        </w:rPr>
      </w:pPr>
      <w:r w:rsidRPr="00DF5878">
        <w:rPr>
          <w:rFonts w:ascii="Calibri" w:hAnsi="Calibri" w:cs="Calibri"/>
        </w:rPr>
        <w:tab/>
      </w:r>
    </w:p>
    <w:p w14:paraId="59EC7553" w14:textId="6C0A10E3" w:rsidR="00DF5878" w:rsidRPr="00DF5878" w:rsidRDefault="00DF5878" w:rsidP="00DF5878">
      <w:pPr>
        <w:rPr>
          <w:rFonts w:ascii="Calibri" w:hAnsi="Calibri" w:cs="Calibri"/>
        </w:rPr>
      </w:pPr>
      <w:r w:rsidRPr="00DF5878">
        <w:rPr>
          <w:rFonts w:ascii="Calibri" w:hAnsi="Calibri" w:cs="Calibri"/>
        </w:rPr>
        <w:t xml:space="preserve">College of Policing (2022) 'National Vetting Code of Practice'. Available at: </w:t>
      </w:r>
      <w:hyperlink r:id="rId9" w:history="1">
        <w:r w:rsidRPr="00DF5878">
          <w:rPr>
            <w:rStyle w:val="Hyperlink"/>
            <w:rFonts w:ascii="Calibri" w:hAnsi="Calibri" w:cs="Calibri"/>
          </w:rPr>
          <w:t>https://www.college.police.uk</w:t>
        </w:r>
      </w:hyperlink>
    </w:p>
    <w:p w14:paraId="5F5DD149" w14:textId="77777777" w:rsidR="00DF5878" w:rsidRPr="00DF5878" w:rsidRDefault="00DF5878" w:rsidP="00DF5878">
      <w:pPr>
        <w:rPr>
          <w:rFonts w:ascii="Calibri" w:hAnsi="Calibri" w:cs="Calibri"/>
        </w:rPr>
      </w:pPr>
      <w:r w:rsidRPr="00DF5878">
        <w:rPr>
          <w:rFonts w:ascii="Calibri" w:hAnsi="Calibri" w:cs="Calibri"/>
        </w:rPr>
        <w:tab/>
      </w:r>
    </w:p>
    <w:p w14:paraId="2D32B915" w14:textId="7AE2DB75" w:rsidR="00DF5878" w:rsidRPr="00DF5878" w:rsidRDefault="00DF5878" w:rsidP="00DF5878">
      <w:pPr>
        <w:rPr>
          <w:rFonts w:ascii="Calibri" w:hAnsi="Calibri" w:cs="Calibri"/>
        </w:rPr>
      </w:pPr>
      <w:r w:rsidRPr="00DF5878">
        <w:rPr>
          <w:rFonts w:ascii="Calibri" w:hAnsi="Calibri" w:cs="Calibri"/>
        </w:rPr>
        <w:t>Dearden, L. (2021) 'First serving British police officer convicted of terror offence jailed for joining banned group National Action', The Independent, 30 April.</w:t>
      </w:r>
    </w:p>
    <w:p w14:paraId="0DF3331F" w14:textId="77777777" w:rsidR="00DF5878" w:rsidRPr="00DF5878" w:rsidRDefault="00DF5878" w:rsidP="00DF5878">
      <w:pPr>
        <w:rPr>
          <w:rFonts w:ascii="Calibri" w:hAnsi="Calibri" w:cs="Calibri"/>
        </w:rPr>
      </w:pPr>
      <w:r w:rsidRPr="00DF5878">
        <w:rPr>
          <w:rFonts w:ascii="Calibri" w:hAnsi="Calibri" w:cs="Calibri"/>
        </w:rPr>
        <w:tab/>
      </w:r>
    </w:p>
    <w:p w14:paraId="45FCF398" w14:textId="69E7C0F8" w:rsidR="00DF5878" w:rsidRPr="00DF5878" w:rsidRDefault="00DF5878" w:rsidP="00DF5878">
      <w:pPr>
        <w:rPr>
          <w:rFonts w:ascii="Calibri" w:hAnsi="Calibri" w:cs="Calibri"/>
        </w:rPr>
      </w:pPr>
      <w:r w:rsidRPr="00DF5878">
        <w:rPr>
          <w:rFonts w:ascii="Calibri" w:hAnsi="Calibri" w:cs="Calibri"/>
        </w:rPr>
        <w:t>Ellis, C. (2021) 'Cryptocurrencies and counter-terrorism financing: A UK perspective', Journal of Financial Crime, 28(4), pp. 1210–1223.</w:t>
      </w:r>
    </w:p>
    <w:p w14:paraId="1419E510" w14:textId="77777777" w:rsidR="00DF5878" w:rsidRPr="00DF5878" w:rsidRDefault="00DF5878" w:rsidP="00DF5878">
      <w:pPr>
        <w:rPr>
          <w:rFonts w:ascii="Calibri" w:hAnsi="Calibri" w:cs="Calibri"/>
        </w:rPr>
      </w:pPr>
      <w:r w:rsidRPr="00DF5878">
        <w:rPr>
          <w:rFonts w:ascii="Calibri" w:hAnsi="Calibri" w:cs="Calibri"/>
        </w:rPr>
        <w:tab/>
      </w:r>
    </w:p>
    <w:p w14:paraId="40755E4B" w14:textId="6254CA74" w:rsidR="00DF5878" w:rsidRPr="00DF5878" w:rsidRDefault="00DF5878" w:rsidP="00DF5878">
      <w:pPr>
        <w:rPr>
          <w:rFonts w:ascii="Calibri" w:hAnsi="Calibri" w:cs="Calibri"/>
        </w:rPr>
      </w:pPr>
      <w:r w:rsidRPr="00DF5878">
        <w:rPr>
          <w:rFonts w:ascii="Calibri" w:hAnsi="Calibri" w:cs="Calibri"/>
        </w:rPr>
        <w:lastRenderedPageBreak/>
        <w:t>Foster, J., Newburn, T. and Souhami, A. (2017) 'Transforming policing: Police legitimacy and reform in the UK', The British Journal of Criminology, 57(5), pp. 1091–1109.</w:t>
      </w:r>
    </w:p>
    <w:p w14:paraId="71AF4806" w14:textId="77777777" w:rsidR="00DF5878" w:rsidRPr="00DF5878" w:rsidRDefault="00DF5878" w:rsidP="00DF5878">
      <w:pPr>
        <w:rPr>
          <w:rFonts w:ascii="Calibri" w:hAnsi="Calibri" w:cs="Calibri"/>
        </w:rPr>
      </w:pPr>
      <w:r w:rsidRPr="00DF5878">
        <w:rPr>
          <w:rFonts w:ascii="Calibri" w:hAnsi="Calibri" w:cs="Calibri"/>
        </w:rPr>
        <w:tab/>
      </w:r>
    </w:p>
    <w:p w14:paraId="6C6AF3C8" w14:textId="51EBE8F4" w:rsidR="00DF5878" w:rsidRPr="00DF5878" w:rsidRDefault="00DF5878" w:rsidP="00DF5878">
      <w:pPr>
        <w:rPr>
          <w:rFonts w:ascii="Calibri" w:hAnsi="Calibri" w:cs="Calibri"/>
        </w:rPr>
      </w:pPr>
      <w:r w:rsidRPr="00DF5878">
        <w:rPr>
          <w:rFonts w:ascii="Calibri" w:hAnsi="Calibri" w:cs="Calibri"/>
        </w:rPr>
        <w:t>Gunning, J. and Jackson, R. (2020) 'Countering Terrorism in the UK: A Strategy of Tensions?', Critical Studies on Terrorism, 13(1), pp. 87–108.</w:t>
      </w:r>
    </w:p>
    <w:p w14:paraId="5E17252F" w14:textId="77777777" w:rsidR="00DF5878" w:rsidRPr="00DF5878" w:rsidRDefault="00DF5878" w:rsidP="00DF5878">
      <w:pPr>
        <w:rPr>
          <w:rFonts w:ascii="Calibri" w:hAnsi="Calibri" w:cs="Calibri"/>
        </w:rPr>
      </w:pPr>
      <w:r w:rsidRPr="00DF5878">
        <w:rPr>
          <w:rFonts w:ascii="Calibri" w:hAnsi="Calibri" w:cs="Calibri"/>
        </w:rPr>
        <w:tab/>
      </w:r>
    </w:p>
    <w:p w14:paraId="38FA5AB6" w14:textId="304B403B" w:rsidR="00DF5878" w:rsidRPr="00DF5878" w:rsidRDefault="00DF5878" w:rsidP="00DF5878">
      <w:pPr>
        <w:rPr>
          <w:rFonts w:ascii="Calibri" w:hAnsi="Calibri" w:cs="Calibri"/>
        </w:rPr>
      </w:pPr>
      <w:r w:rsidRPr="00DF5878">
        <w:rPr>
          <w:rFonts w:ascii="Calibri" w:hAnsi="Calibri" w:cs="Calibri"/>
        </w:rPr>
        <w:t>HM Government (2018) 'CONTEST: The United Kingdom’s Strategy for Countering Terrorism', London: HMSO.</w:t>
      </w:r>
    </w:p>
    <w:p w14:paraId="7776BB66" w14:textId="77777777" w:rsidR="00DF5878" w:rsidRPr="00DF5878" w:rsidRDefault="00DF5878" w:rsidP="00DF5878">
      <w:pPr>
        <w:rPr>
          <w:rFonts w:ascii="Calibri" w:hAnsi="Calibri" w:cs="Calibri"/>
        </w:rPr>
      </w:pPr>
      <w:r w:rsidRPr="00DF5878">
        <w:rPr>
          <w:rFonts w:ascii="Calibri" w:hAnsi="Calibri" w:cs="Calibri"/>
        </w:rPr>
        <w:tab/>
      </w:r>
    </w:p>
    <w:p w14:paraId="21003C9B" w14:textId="56AC6FD6" w:rsidR="00DF5878" w:rsidRPr="00DF5878" w:rsidRDefault="00DF5878" w:rsidP="00DF5878">
      <w:pPr>
        <w:rPr>
          <w:rFonts w:ascii="Calibri" w:hAnsi="Calibri" w:cs="Calibri"/>
        </w:rPr>
      </w:pPr>
      <w:r w:rsidRPr="00DF5878">
        <w:rPr>
          <w:rFonts w:ascii="Calibri" w:hAnsi="Calibri" w:cs="Calibri"/>
        </w:rPr>
        <w:t>HM Treasury (2021) 'Money Laundering and Terrorist Financing Risk Assessment'. London: HM Treasury.</w:t>
      </w:r>
    </w:p>
    <w:p w14:paraId="2121C63A" w14:textId="77777777" w:rsidR="00DF5878" w:rsidRPr="00DF5878" w:rsidRDefault="00DF5878" w:rsidP="00DF5878">
      <w:pPr>
        <w:rPr>
          <w:rFonts w:ascii="Calibri" w:hAnsi="Calibri" w:cs="Calibri"/>
        </w:rPr>
      </w:pPr>
      <w:r w:rsidRPr="00DF5878">
        <w:rPr>
          <w:rFonts w:ascii="Calibri" w:hAnsi="Calibri" w:cs="Calibri"/>
        </w:rPr>
        <w:tab/>
      </w:r>
    </w:p>
    <w:p w14:paraId="27BE503A" w14:textId="54CCFA55" w:rsidR="00DF5878" w:rsidRPr="00DF5878" w:rsidRDefault="00DF5878" w:rsidP="00DF5878">
      <w:pPr>
        <w:rPr>
          <w:rFonts w:ascii="Calibri" w:hAnsi="Calibri" w:cs="Calibri"/>
        </w:rPr>
      </w:pPr>
      <w:r w:rsidRPr="00DF5878">
        <w:rPr>
          <w:rFonts w:ascii="Calibri" w:hAnsi="Calibri" w:cs="Calibri"/>
        </w:rPr>
        <w:t>HMICFRS (2021) 'A duty to protect: Police use of protective powers in cases involving violence against women and girls'. London: HMICFRS.</w:t>
      </w:r>
    </w:p>
    <w:p w14:paraId="4B187A8A" w14:textId="77777777" w:rsidR="00DF5878" w:rsidRPr="00DF5878" w:rsidRDefault="00DF5878" w:rsidP="00DF5878">
      <w:pPr>
        <w:rPr>
          <w:rFonts w:ascii="Calibri" w:hAnsi="Calibri" w:cs="Calibri"/>
        </w:rPr>
      </w:pPr>
      <w:r w:rsidRPr="00DF5878">
        <w:rPr>
          <w:rFonts w:ascii="Calibri" w:hAnsi="Calibri" w:cs="Calibri"/>
        </w:rPr>
        <w:tab/>
      </w:r>
    </w:p>
    <w:p w14:paraId="0521E630" w14:textId="0F15DD06" w:rsidR="00DF5878" w:rsidRPr="00DF5878" w:rsidRDefault="00DF5878" w:rsidP="00DF5878">
      <w:pPr>
        <w:rPr>
          <w:rFonts w:ascii="Calibri" w:hAnsi="Calibri" w:cs="Calibri"/>
        </w:rPr>
      </w:pPr>
      <w:r w:rsidRPr="00DF5878">
        <w:rPr>
          <w:rFonts w:ascii="Calibri" w:hAnsi="Calibri" w:cs="Calibri"/>
        </w:rPr>
        <w:t>Hills, J. (2020) 'The Grenfell Tower tragedy: Inequality and institutional failure in urban Britain', London Review of Education, 18(1), pp. 123–130.</w:t>
      </w:r>
    </w:p>
    <w:p w14:paraId="0088820E" w14:textId="77777777" w:rsidR="00DF5878" w:rsidRPr="00DF5878" w:rsidRDefault="00DF5878" w:rsidP="00DF5878">
      <w:pPr>
        <w:rPr>
          <w:rFonts w:ascii="Calibri" w:hAnsi="Calibri" w:cs="Calibri"/>
        </w:rPr>
      </w:pPr>
      <w:r w:rsidRPr="00DF5878">
        <w:rPr>
          <w:rFonts w:ascii="Calibri" w:hAnsi="Calibri" w:cs="Calibri"/>
        </w:rPr>
        <w:tab/>
      </w:r>
    </w:p>
    <w:p w14:paraId="0FF1F28F" w14:textId="6A6DBDC3" w:rsidR="00DF5878" w:rsidRPr="00DF5878" w:rsidRDefault="00DF5878" w:rsidP="00DF5878">
      <w:pPr>
        <w:rPr>
          <w:rFonts w:ascii="Calibri" w:hAnsi="Calibri" w:cs="Calibri"/>
        </w:rPr>
      </w:pPr>
      <w:r w:rsidRPr="00DF5878">
        <w:rPr>
          <w:rFonts w:ascii="Calibri" w:hAnsi="Calibri" w:cs="Calibri"/>
        </w:rPr>
        <w:t>Home Office (2023) 'Police powers and procedures: Stop and search and arrests, England and Wales year ending March 2023'. London: Home Office.</w:t>
      </w:r>
    </w:p>
    <w:p w14:paraId="4FF31684" w14:textId="77777777" w:rsidR="00DF5878" w:rsidRPr="00DF5878" w:rsidRDefault="00DF5878" w:rsidP="00DF5878">
      <w:pPr>
        <w:rPr>
          <w:rFonts w:ascii="Calibri" w:hAnsi="Calibri" w:cs="Calibri"/>
        </w:rPr>
      </w:pPr>
      <w:r w:rsidRPr="00DF5878">
        <w:rPr>
          <w:rFonts w:ascii="Calibri" w:hAnsi="Calibri" w:cs="Calibri"/>
        </w:rPr>
        <w:tab/>
      </w:r>
    </w:p>
    <w:p w14:paraId="3BB39EA2" w14:textId="0BAC4207" w:rsidR="00DF5878" w:rsidRPr="00DF5878" w:rsidRDefault="00DF5878" w:rsidP="00DF5878">
      <w:pPr>
        <w:rPr>
          <w:rFonts w:ascii="Calibri" w:hAnsi="Calibri" w:cs="Calibri"/>
        </w:rPr>
      </w:pPr>
      <w:r w:rsidRPr="00DF5878">
        <w:rPr>
          <w:rFonts w:ascii="Calibri" w:hAnsi="Calibri" w:cs="Calibri"/>
        </w:rPr>
        <w:t>Home Office (2023) 'Prevent Duty Guidance: For England and Wales'. London: Home Office.</w:t>
      </w:r>
    </w:p>
    <w:p w14:paraId="74D97262" w14:textId="77777777" w:rsidR="00DF5878" w:rsidRPr="00DF5878" w:rsidRDefault="00DF5878" w:rsidP="00DF5878">
      <w:pPr>
        <w:rPr>
          <w:rFonts w:ascii="Calibri" w:hAnsi="Calibri" w:cs="Calibri"/>
        </w:rPr>
      </w:pPr>
      <w:r w:rsidRPr="00DF5878">
        <w:rPr>
          <w:rFonts w:ascii="Calibri" w:hAnsi="Calibri" w:cs="Calibri"/>
        </w:rPr>
        <w:tab/>
      </w:r>
    </w:p>
    <w:p w14:paraId="55060905" w14:textId="0ADAEC6A" w:rsidR="00DF5878" w:rsidRPr="00DF5878" w:rsidRDefault="00DF5878" w:rsidP="00DF5878">
      <w:pPr>
        <w:rPr>
          <w:rFonts w:ascii="Calibri" w:hAnsi="Calibri" w:cs="Calibri"/>
        </w:rPr>
      </w:pPr>
      <w:r w:rsidRPr="00DF5878">
        <w:rPr>
          <w:rFonts w:ascii="Calibri" w:hAnsi="Calibri" w:cs="Calibri"/>
        </w:rPr>
        <w:t>Independent Office for Police Conduct (2022) 'Annual report and accounts 2021–22'. London: IOPC.</w:t>
      </w:r>
    </w:p>
    <w:p w14:paraId="6394E28D" w14:textId="77777777" w:rsidR="00DF5878" w:rsidRPr="00DF5878" w:rsidRDefault="00DF5878" w:rsidP="00DF5878">
      <w:pPr>
        <w:rPr>
          <w:rFonts w:ascii="Calibri" w:hAnsi="Calibri" w:cs="Calibri"/>
        </w:rPr>
      </w:pPr>
      <w:r w:rsidRPr="00DF5878">
        <w:rPr>
          <w:rFonts w:ascii="Calibri" w:hAnsi="Calibri" w:cs="Calibri"/>
        </w:rPr>
        <w:tab/>
      </w:r>
    </w:p>
    <w:p w14:paraId="61C41DFA" w14:textId="4587EEA4" w:rsidR="00DF5878" w:rsidRPr="00DF5878" w:rsidRDefault="00DF5878" w:rsidP="00DF5878">
      <w:pPr>
        <w:rPr>
          <w:rFonts w:ascii="Calibri" w:hAnsi="Calibri" w:cs="Calibri"/>
        </w:rPr>
      </w:pPr>
      <w:r w:rsidRPr="00DF5878">
        <w:rPr>
          <w:rFonts w:ascii="Calibri" w:hAnsi="Calibri" w:cs="Calibri"/>
        </w:rPr>
        <w:t>Innes, M. (2020) 'A “Moment of Danger”? Terrorism, Security and the New Crime Ecology', The British Journal of Criminology, 60(4), pp. 791–809.</w:t>
      </w:r>
    </w:p>
    <w:p w14:paraId="3BBEE918" w14:textId="77777777" w:rsidR="00DF5878" w:rsidRPr="00DF5878" w:rsidRDefault="00DF5878" w:rsidP="00DF5878">
      <w:pPr>
        <w:rPr>
          <w:rFonts w:ascii="Calibri" w:hAnsi="Calibri" w:cs="Calibri"/>
        </w:rPr>
      </w:pPr>
      <w:r w:rsidRPr="00DF5878">
        <w:rPr>
          <w:rFonts w:ascii="Calibri" w:hAnsi="Calibri" w:cs="Calibri"/>
        </w:rPr>
        <w:tab/>
      </w:r>
    </w:p>
    <w:p w14:paraId="26011F6D" w14:textId="79477607" w:rsidR="00DF5878" w:rsidRPr="00DF5878" w:rsidRDefault="00DF5878" w:rsidP="00DF5878">
      <w:pPr>
        <w:rPr>
          <w:rFonts w:ascii="Calibri" w:hAnsi="Calibri" w:cs="Calibri"/>
        </w:rPr>
      </w:pPr>
      <w:r w:rsidRPr="00DF5878">
        <w:rPr>
          <w:rFonts w:ascii="Calibri" w:hAnsi="Calibri" w:cs="Calibri"/>
        </w:rPr>
        <w:t>Jackson, J. et al. (2012) 'Just authority? Trust in the police in England and Wales', London: Routledge.</w:t>
      </w:r>
    </w:p>
    <w:p w14:paraId="141F6D0B" w14:textId="77777777" w:rsidR="00DF5878" w:rsidRPr="00DF5878" w:rsidRDefault="00DF5878" w:rsidP="00DF5878">
      <w:pPr>
        <w:rPr>
          <w:rFonts w:ascii="Calibri" w:hAnsi="Calibri" w:cs="Calibri"/>
        </w:rPr>
      </w:pPr>
      <w:r w:rsidRPr="00DF5878">
        <w:rPr>
          <w:rFonts w:ascii="Calibri" w:hAnsi="Calibri" w:cs="Calibri"/>
        </w:rPr>
        <w:tab/>
      </w:r>
    </w:p>
    <w:p w14:paraId="14A70DAC" w14:textId="0E5F4E31" w:rsidR="00DF5878" w:rsidRPr="00DF5878" w:rsidRDefault="00DF5878" w:rsidP="00DF5878">
      <w:pPr>
        <w:rPr>
          <w:rFonts w:ascii="Calibri" w:hAnsi="Calibri" w:cs="Calibri"/>
        </w:rPr>
      </w:pPr>
      <w:r w:rsidRPr="00DF5878">
        <w:rPr>
          <w:rFonts w:ascii="Calibri" w:hAnsi="Calibri" w:cs="Calibri"/>
        </w:rPr>
        <w:t>Jarvis, L., Macdonald, S. and Whiting, A. (2020) 'Online Terrorist Content, Regulation and the Role of Platforms', Terrorism and Political Violence, 32(4), pp. 836–855.</w:t>
      </w:r>
    </w:p>
    <w:p w14:paraId="67C44EAE" w14:textId="77777777" w:rsidR="00DF5878" w:rsidRPr="00DF5878" w:rsidRDefault="00DF5878" w:rsidP="00DF5878">
      <w:pPr>
        <w:rPr>
          <w:rFonts w:ascii="Calibri" w:hAnsi="Calibri" w:cs="Calibri"/>
        </w:rPr>
      </w:pPr>
      <w:r w:rsidRPr="00DF5878">
        <w:rPr>
          <w:rFonts w:ascii="Calibri" w:hAnsi="Calibri" w:cs="Calibri"/>
        </w:rPr>
        <w:tab/>
      </w:r>
    </w:p>
    <w:p w14:paraId="710B6930" w14:textId="2ED07683" w:rsidR="00DF5878" w:rsidRPr="00DF5878" w:rsidRDefault="00DF5878" w:rsidP="00DF5878">
      <w:pPr>
        <w:rPr>
          <w:rFonts w:ascii="Calibri" w:hAnsi="Calibri" w:cs="Calibri"/>
        </w:rPr>
      </w:pPr>
      <w:r w:rsidRPr="00DF5878">
        <w:rPr>
          <w:rFonts w:ascii="Calibri" w:hAnsi="Calibri" w:cs="Calibri"/>
        </w:rPr>
        <w:lastRenderedPageBreak/>
        <w:t>Lambert, R. (2022) 'Policing, radicalisation and public health: Lessons from the West Midlands', Journal of Policing, 5(2), pp. 114–127.</w:t>
      </w:r>
    </w:p>
    <w:p w14:paraId="5DCF3991" w14:textId="77777777" w:rsidR="00DF5878" w:rsidRPr="00DF5878" w:rsidRDefault="00DF5878" w:rsidP="00DF5878">
      <w:pPr>
        <w:rPr>
          <w:rFonts w:ascii="Calibri" w:hAnsi="Calibri" w:cs="Calibri"/>
        </w:rPr>
      </w:pPr>
      <w:r w:rsidRPr="00DF5878">
        <w:rPr>
          <w:rFonts w:ascii="Calibri" w:hAnsi="Calibri" w:cs="Calibri"/>
        </w:rPr>
        <w:tab/>
      </w:r>
    </w:p>
    <w:p w14:paraId="71E05580" w14:textId="7ABFE566" w:rsidR="00DF5878" w:rsidRPr="00DF5878" w:rsidRDefault="00DF5878" w:rsidP="00DF5878">
      <w:pPr>
        <w:rPr>
          <w:rFonts w:ascii="Calibri" w:hAnsi="Calibri" w:cs="Calibri"/>
        </w:rPr>
      </w:pPr>
      <w:r w:rsidRPr="00DF5878">
        <w:rPr>
          <w:rFonts w:ascii="Calibri" w:hAnsi="Calibri" w:cs="Calibri"/>
        </w:rPr>
        <w:t>Loader, I. (2022) 'Policing, legitimacy, and reform: A UK perspective', Policing and Society, 32(4), pp. 475–491.</w:t>
      </w:r>
    </w:p>
    <w:p w14:paraId="463D09EF" w14:textId="77777777" w:rsidR="00DF5878" w:rsidRPr="00DF5878" w:rsidRDefault="00DF5878" w:rsidP="00DF5878">
      <w:pPr>
        <w:rPr>
          <w:rFonts w:ascii="Calibri" w:hAnsi="Calibri" w:cs="Calibri"/>
        </w:rPr>
      </w:pPr>
      <w:r w:rsidRPr="00DF5878">
        <w:rPr>
          <w:rFonts w:ascii="Calibri" w:hAnsi="Calibri" w:cs="Calibri"/>
        </w:rPr>
        <w:tab/>
      </w:r>
    </w:p>
    <w:p w14:paraId="2EB2E82C" w14:textId="7865F6F4" w:rsidR="00DF5878" w:rsidRPr="00DF5878" w:rsidRDefault="00DF5878" w:rsidP="00DF5878">
      <w:pPr>
        <w:rPr>
          <w:rFonts w:ascii="Calibri" w:hAnsi="Calibri" w:cs="Calibri"/>
        </w:rPr>
      </w:pPr>
      <w:r w:rsidRPr="00DF5878">
        <w:rPr>
          <w:rFonts w:ascii="Calibri" w:hAnsi="Calibri" w:cs="Calibri"/>
        </w:rPr>
        <w:t>Loader, I. and Mulcahy, A. (2003) 'Policing and the condition of England: Memory, politics and culture', Oxford: Oxford University Press.</w:t>
      </w:r>
    </w:p>
    <w:p w14:paraId="2081AB5D" w14:textId="77777777" w:rsidR="00DF5878" w:rsidRPr="00DF5878" w:rsidRDefault="00DF5878" w:rsidP="00DF5878">
      <w:pPr>
        <w:rPr>
          <w:rFonts w:ascii="Calibri" w:hAnsi="Calibri" w:cs="Calibri"/>
        </w:rPr>
      </w:pPr>
      <w:r w:rsidRPr="00DF5878">
        <w:rPr>
          <w:rFonts w:ascii="Calibri" w:hAnsi="Calibri" w:cs="Calibri"/>
        </w:rPr>
        <w:tab/>
      </w:r>
    </w:p>
    <w:p w14:paraId="2997DE49" w14:textId="4000C3D7" w:rsidR="00DF5878" w:rsidRPr="00DF5878" w:rsidRDefault="00DF5878" w:rsidP="00DF5878">
      <w:pPr>
        <w:rPr>
          <w:rFonts w:ascii="Calibri" w:hAnsi="Calibri" w:cs="Calibri"/>
        </w:rPr>
      </w:pPr>
      <w:r w:rsidRPr="00DF5878">
        <w:rPr>
          <w:rFonts w:ascii="Calibri" w:hAnsi="Calibri" w:cs="Calibri"/>
        </w:rPr>
        <w:t>Local Government Association (2021) 'The role of Community Safety Partnerships in local public safety'. London: LGA.</w:t>
      </w:r>
    </w:p>
    <w:p w14:paraId="423765A5" w14:textId="77777777" w:rsidR="00DF5878" w:rsidRPr="00DF5878" w:rsidRDefault="00DF5878" w:rsidP="00DF5878">
      <w:pPr>
        <w:rPr>
          <w:rFonts w:ascii="Calibri" w:hAnsi="Calibri" w:cs="Calibri"/>
        </w:rPr>
      </w:pPr>
      <w:r w:rsidRPr="00DF5878">
        <w:rPr>
          <w:rFonts w:ascii="Calibri" w:hAnsi="Calibri" w:cs="Calibri"/>
        </w:rPr>
        <w:tab/>
      </w:r>
    </w:p>
    <w:p w14:paraId="62433D96" w14:textId="40EF8652" w:rsidR="00DF5878" w:rsidRPr="00DF5878" w:rsidRDefault="00DF5878" w:rsidP="00DF5878">
      <w:pPr>
        <w:rPr>
          <w:rFonts w:ascii="Calibri" w:hAnsi="Calibri" w:cs="Calibri"/>
        </w:rPr>
      </w:pPr>
      <w:r w:rsidRPr="00DF5878">
        <w:rPr>
          <w:rFonts w:ascii="Calibri" w:hAnsi="Calibri" w:cs="Calibri"/>
        </w:rPr>
        <w:t>MI5 and Counter Terrorism Policing (2020) 'Independent Review of the London Bridge Attack', London: UK Intelligence Community.</w:t>
      </w:r>
    </w:p>
    <w:p w14:paraId="489E8ABE" w14:textId="77777777" w:rsidR="00DF5878" w:rsidRPr="00DF5878" w:rsidRDefault="00DF5878" w:rsidP="00DF5878">
      <w:pPr>
        <w:rPr>
          <w:rFonts w:ascii="Calibri" w:hAnsi="Calibri" w:cs="Calibri"/>
        </w:rPr>
      </w:pPr>
      <w:r w:rsidRPr="00DF5878">
        <w:rPr>
          <w:rFonts w:ascii="Calibri" w:hAnsi="Calibri" w:cs="Calibri"/>
        </w:rPr>
        <w:tab/>
      </w:r>
    </w:p>
    <w:p w14:paraId="053D8068" w14:textId="797CB9C4" w:rsidR="00DF5878" w:rsidRPr="00DF5878" w:rsidRDefault="00DF5878" w:rsidP="00DF5878">
      <w:pPr>
        <w:rPr>
          <w:rFonts w:ascii="Calibri" w:hAnsi="Calibri" w:cs="Calibri"/>
        </w:rPr>
      </w:pPr>
      <w:r w:rsidRPr="00DF5878">
        <w:rPr>
          <w:rFonts w:ascii="Calibri" w:hAnsi="Calibri" w:cs="Calibri"/>
        </w:rPr>
        <w:t>MOPAC (2023) 'VRU annual report 2022–2023'. London: Mayor’s Office for Policing and Crime.</w:t>
      </w:r>
    </w:p>
    <w:p w14:paraId="2373C00B" w14:textId="77777777" w:rsidR="00DF5878" w:rsidRPr="00DF5878" w:rsidRDefault="00DF5878" w:rsidP="00DF5878">
      <w:pPr>
        <w:rPr>
          <w:rFonts w:ascii="Calibri" w:hAnsi="Calibri" w:cs="Calibri"/>
        </w:rPr>
      </w:pPr>
      <w:r w:rsidRPr="00DF5878">
        <w:rPr>
          <w:rFonts w:ascii="Calibri" w:hAnsi="Calibri" w:cs="Calibri"/>
        </w:rPr>
        <w:tab/>
      </w:r>
    </w:p>
    <w:p w14:paraId="2A9B2A8F" w14:textId="159E6B07" w:rsidR="00DF5878" w:rsidRPr="00DF5878" w:rsidRDefault="00DF5878" w:rsidP="00DF5878">
      <w:pPr>
        <w:rPr>
          <w:rFonts w:ascii="Calibri" w:hAnsi="Calibri" w:cs="Calibri"/>
        </w:rPr>
      </w:pPr>
      <w:r w:rsidRPr="00DF5878">
        <w:rPr>
          <w:rFonts w:ascii="Calibri" w:hAnsi="Calibri" w:cs="Calibri"/>
        </w:rPr>
        <w:t>Macpherson, W. (1999) 'The Stephen Lawrence Inquiry: Report of an inquiry by Sir William Macpherson of Cluny', London: The Stationery Office.</w:t>
      </w:r>
    </w:p>
    <w:p w14:paraId="1DBC6B25" w14:textId="77777777" w:rsidR="00DF5878" w:rsidRPr="00DF5878" w:rsidRDefault="00DF5878" w:rsidP="00DF5878">
      <w:pPr>
        <w:rPr>
          <w:rFonts w:ascii="Calibri" w:hAnsi="Calibri" w:cs="Calibri"/>
        </w:rPr>
      </w:pPr>
      <w:r w:rsidRPr="00DF5878">
        <w:rPr>
          <w:rFonts w:ascii="Calibri" w:hAnsi="Calibri" w:cs="Calibri"/>
        </w:rPr>
        <w:tab/>
      </w:r>
    </w:p>
    <w:p w14:paraId="606730F3" w14:textId="514D17FF" w:rsidR="00DF5878" w:rsidRPr="00DF5878" w:rsidRDefault="00DF5878" w:rsidP="00DF5878">
      <w:pPr>
        <w:rPr>
          <w:rFonts w:ascii="Calibri" w:hAnsi="Calibri" w:cs="Calibri"/>
        </w:rPr>
      </w:pPr>
      <w:r w:rsidRPr="00DF5878">
        <w:rPr>
          <w:rFonts w:ascii="Calibri" w:hAnsi="Calibri" w:cs="Calibri"/>
        </w:rPr>
        <w:t>Makarenko, T. (2004) 'The Crime–Terror Continuum: Tracing the Interplay between Transnational Organised Crime and Terrorism', Global Crime, 6(1), pp. 129–145.</w:t>
      </w:r>
    </w:p>
    <w:p w14:paraId="71CDB131" w14:textId="77777777" w:rsidR="00DF5878" w:rsidRPr="00DF5878" w:rsidRDefault="00DF5878" w:rsidP="00DF5878">
      <w:pPr>
        <w:rPr>
          <w:rFonts w:ascii="Calibri" w:hAnsi="Calibri" w:cs="Calibri"/>
        </w:rPr>
      </w:pPr>
      <w:r w:rsidRPr="00DF5878">
        <w:rPr>
          <w:rFonts w:ascii="Calibri" w:hAnsi="Calibri" w:cs="Calibri"/>
        </w:rPr>
        <w:tab/>
      </w:r>
    </w:p>
    <w:p w14:paraId="7B13999C" w14:textId="202BF46F" w:rsidR="00DF5878" w:rsidRPr="00DF5878" w:rsidRDefault="00DF5878" w:rsidP="00DF5878">
      <w:pPr>
        <w:rPr>
          <w:rFonts w:ascii="Calibri" w:hAnsi="Calibri" w:cs="Calibri"/>
        </w:rPr>
      </w:pPr>
      <w:r w:rsidRPr="00DF5878">
        <w:rPr>
          <w:rFonts w:ascii="Calibri" w:hAnsi="Calibri" w:cs="Calibri"/>
        </w:rPr>
        <w:t>Mayor of London (2021) 'London’s Violence Reduction Unit: Strategy 2021–2024'. London: GLA.</w:t>
      </w:r>
    </w:p>
    <w:p w14:paraId="39F8FCC5" w14:textId="77777777" w:rsidR="00DF5878" w:rsidRPr="00DF5878" w:rsidRDefault="00DF5878" w:rsidP="00DF5878">
      <w:pPr>
        <w:rPr>
          <w:rFonts w:ascii="Calibri" w:hAnsi="Calibri" w:cs="Calibri"/>
        </w:rPr>
      </w:pPr>
      <w:r w:rsidRPr="00DF5878">
        <w:rPr>
          <w:rFonts w:ascii="Calibri" w:hAnsi="Calibri" w:cs="Calibri"/>
        </w:rPr>
        <w:tab/>
      </w:r>
    </w:p>
    <w:p w14:paraId="2005D83A" w14:textId="6851AB77" w:rsidR="00DF5878" w:rsidRPr="00DF5878" w:rsidRDefault="00DF5878" w:rsidP="00DF5878">
      <w:pPr>
        <w:rPr>
          <w:rFonts w:ascii="Calibri" w:hAnsi="Calibri" w:cs="Calibri"/>
        </w:rPr>
      </w:pPr>
      <w:r w:rsidRPr="00DF5878">
        <w:rPr>
          <w:rFonts w:ascii="Calibri" w:hAnsi="Calibri" w:cs="Calibri"/>
        </w:rPr>
        <w:t>National Crime Agency (2022) 'Suspicious Activity Reports (SARs) Annual Report 2022'. London: NCA.</w:t>
      </w:r>
    </w:p>
    <w:p w14:paraId="1B44E790" w14:textId="77777777" w:rsidR="00DF5878" w:rsidRPr="00DF5878" w:rsidRDefault="00DF5878" w:rsidP="00DF5878">
      <w:pPr>
        <w:rPr>
          <w:rFonts w:ascii="Calibri" w:hAnsi="Calibri" w:cs="Calibri"/>
        </w:rPr>
      </w:pPr>
      <w:r w:rsidRPr="00DF5878">
        <w:rPr>
          <w:rFonts w:ascii="Calibri" w:hAnsi="Calibri" w:cs="Calibri"/>
        </w:rPr>
        <w:tab/>
      </w:r>
    </w:p>
    <w:p w14:paraId="3D744585" w14:textId="463131D6" w:rsidR="00DF5878" w:rsidRPr="00DF5878" w:rsidRDefault="00DF5878" w:rsidP="00DF5878">
      <w:pPr>
        <w:rPr>
          <w:rFonts w:ascii="Calibri" w:hAnsi="Calibri" w:cs="Calibri"/>
        </w:rPr>
      </w:pPr>
      <w:r w:rsidRPr="00DF5878">
        <w:rPr>
          <w:rFonts w:ascii="Calibri" w:hAnsi="Calibri" w:cs="Calibri"/>
        </w:rPr>
        <w:t>O’Connor, C. (2023) 'Youth radicalisation in digital spaces: The new frontiers of extremist grooming', Digital Society, 4(1), pp. 1–16.</w:t>
      </w:r>
    </w:p>
    <w:p w14:paraId="309BE0B9" w14:textId="77777777" w:rsidR="00DF5878" w:rsidRPr="00DF5878" w:rsidRDefault="00DF5878" w:rsidP="00DF5878">
      <w:pPr>
        <w:rPr>
          <w:rFonts w:ascii="Calibri" w:hAnsi="Calibri" w:cs="Calibri"/>
        </w:rPr>
      </w:pPr>
      <w:r w:rsidRPr="00DF5878">
        <w:rPr>
          <w:rFonts w:ascii="Calibri" w:hAnsi="Calibri" w:cs="Calibri"/>
        </w:rPr>
        <w:tab/>
      </w:r>
    </w:p>
    <w:p w14:paraId="6708F824" w14:textId="1D0E3C6F" w:rsidR="00DF5878" w:rsidRPr="00DF5878" w:rsidRDefault="00DF5878" w:rsidP="00DF5878">
      <w:pPr>
        <w:rPr>
          <w:rFonts w:ascii="Calibri" w:hAnsi="Calibri" w:cs="Calibri"/>
        </w:rPr>
      </w:pPr>
      <w:r w:rsidRPr="00DF5878">
        <w:rPr>
          <w:rFonts w:ascii="Calibri" w:hAnsi="Calibri" w:cs="Calibri"/>
        </w:rPr>
        <w:t>O’Neill, M. and Fyfe, N. R. (2020) 'Communication, trust and the policing of terrorism in the digital age', Policing and Society, 30(1), pp. 1–17.</w:t>
      </w:r>
    </w:p>
    <w:p w14:paraId="5E245C3C" w14:textId="77777777" w:rsidR="00DF5878" w:rsidRPr="00DF5878" w:rsidRDefault="00DF5878" w:rsidP="00DF5878">
      <w:pPr>
        <w:rPr>
          <w:rFonts w:ascii="Calibri" w:hAnsi="Calibri" w:cs="Calibri"/>
        </w:rPr>
      </w:pPr>
      <w:r w:rsidRPr="00DF5878">
        <w:rPr>
          <w:rFonts w:ascii="Calibri" w:hAnsi="Calibri" w:cs="Calibri"/>
        </w:rPr>
        <w:tab/>
      </w:r>
    </w:p>
    <w:p w14:paraId="33F35DDD" w14:textId="73E7C219" w:rsidR="00DF5878" w:rsidRPr="00DF5878" w:rsidRDefault="00DF5878" w:rsidP="00DF5878">
      <w:pPr>
        <w:rPr>
          <w:rFonts w:ascii="Calibri" w:hAnsi="Calibri" w:cs="Calibri"/>
        </w:rPr>
      </w:pPr>
      <w:r w:rsidRPr="00DF5878">
        <w:rPr>
          <w:rFonts w:ascii="Calibri" w:hAnsi="Calibri" w:cs="Calibri"/>
        </w:rPr>
        <w:lastRenderedPageBreak/>
        <w:t>Qurashi, F. (2018) 'The Prevent strategy and the UK “war on terror”: Embedding infrastructures of surveillance in Muslim communities', Palgrave Communications, 4(17), pp. 1–13.</w:t>
      </w:r>
    </w:p>
    <w:p w14:paraId="1A64A8A0" w14:textId="77777777" w:rsidR="00DF5878" w:rsidRPr="00DF5878" w:rsidRDefault="00DF5878" w:rsidP="00DF5878">
      <w:pPr>
        <w:rPr>
          <w:rFonts w:ascii="Calibri" w:hAnsi="Calibri" w:cs="Calibri"/>
        </w:rPr>
      </w:pPr>
      <w:r w:rsidRPr="00DF5878">
        <w:rPr>
          <w:rFonts w:ascii="Calibri" w:hAnsi="Calibri" w:cs="Calibri"/>
        </w:rPr>
        <w:tab/>
      </w:r>
    </w:p>
    <w:p w14:paraId="22A5C497" w14:textId="7317FE00" w:rsidR="00DF5878" w:rsidRPr="00DF5878" w:rsidRDefault="00DF5878" w:rsidP="00DF5878">
      <w:pPr>
        <w:rPr>
          <w:rFonts w:ascii="Calibri" w:hAnsi="Calibri" w:cs="Calibri"/>
        </w:rPr>
      </w:pPr>
      <w:r w:rsidRPr="00DF5878">
        <w:rPr>
          <w:rFonts w:ascii="Calibri" w:hAnsi="Calibri" w:cs="Calibri"/>
        </w:rPr>
        <w:t>Shiner, M. et al. (2018) 'The colour of injustice: “Race”, drugs and law enforcement in England and Wales', London: StopWatch.</w:t>
      </w:r>
    </w:p>
    <w:p w14:paraId="4C738CC0" w14:textId="77777777" w:rsidR="00DF5878" w:rsidRPr="00DF5878" w:rsidRDefault="00DF5878" w:rsidP="00DF5878">
      <w:pPr>
        <w:rPr>
          <w:rFonts w:ascii="Calibri" w:hAnsi="Calibri" w:cs="Calibri"/>
        </w:rPr>
      </w:pPr>
      <w:r w:rsidRPr="00DF5878">
        <w:rPr>
          <w:rFonts w:ascii="Calibri" w:hAnsi="Calibri" w:cs="Calibri"/>
        </w:rPr>
        <w:tab/>
      </w:r>
    </w:p>
    <w:p w14:paraId="07EB8EED" w14:textId="7A784B25" w:rsidR="00DF5878" w:rsidRPr="00DF5878" w:rsidRDefault="00DF5878" w:rsidP="00DF5878">
      <w:pPr>
        <w:rPr>
          <w:rFonts w:ascii="Calibri" w:hAnsi="Calibri" w:cs="Calibri"/>
        </w:rPr>
      </w:pPr>
      <w:r w:rsidRPr="00DF5878">
        <w:rPr>
          <w:rFonts w:ascii="Calibri" w:hAnsi="Calibri" w:cs="Calibri"/>
        </w:rPr>
        <w:t>Silke, A. (2020) 'Radicalisation and the Prison Experience: A UK Perspective', Social Sciences, 9(10), pp. 1–14.</w:t>
      </w:r>
    </w:p>
    <w:p w14:paraId="72D6C029" w14:textId="77777777" w:rsidR="00DF5878" w:rsidRPr="00DF5878" w:rsidRDefault="00DF5878" w:rsidP="00DF5878">
      <w:pPr>
        <w:rPr>
          <w:rFonts w:ascii="Calibri" w:hAnsi="Calibri" w:cs="Calibri"/>
        </w:rPr>
      </w:pPr>
      <w:r w:rsidRPr="00DF5878">
        <w:rPr>
          <w:rFonts w:ascii="Calibri" w:hAnsi="Calibri" w:cs="Calibri"/>
        </w:rPr>
        <w:tab/>
      </w:r>
    </w:p>
    <w:p w14:paraId="3396C939" w14:textId="5177918F" w:rsidR="00DF5878" w:rsidRPr="00DF5878" w:rsidRDefault="00DF5878" w:rsidP="00DF5878">
      <w:pPr>
        <w:rPr>
          <w:rFonts w:ascii="Calibri" w:hAnsi="Calibri" w:cs="Calibri"/>
        </w:rPr>
      </w:pPr>
      <w:r w:rsidRPr="00DF5878">
        <w:rPr>
          <w:rFonts w:ascii="Calibri" w:hAnsi="Calibri" w:cs="Calibri"/>
        </w:rPr>
        <w:t>Skinns, L. (2011) 'Police custody: Governance, legitimacy and reform in the criminal justice process', Abingdon: Routledge.</w:t>
      </w:r>
    </w:p>
    <w:p w14:paraId="3AB271F0" w14:textId="77777777" w:rsidR="00DF5878" w:rsidRPr="00DF5878" w:rsidRDefault="00DF5878" w:rsidP="00DF5878">
      <w:pPr>
        <w:rPr>
          <w:rFonts w:ascii="Calibri" w:hAnsi="Calibri" w:cs="Calibri"/>
        </w:rPr>
      </w:pPr>
      <w:r w:rsidRPr="00DF5878">
        <w:rPr>
          <w:rFonts w:ascii="Calibri" w:hAnsi="Calibri" w:cs="Calibri"/>
        </w:rPr>
        <w:tab/>
      </w:r>
    </w:p>
    <w:p w14:paraId="6AC9E30B" w14:textId="337603AB" w:rsidR="00DF5878" w:rsidRPr="00DF5878" w:rsidRDefault="00DF5878" w:rsidP="00DF5878">
      <w:pPr>
        <w:rPr>
          <w:rFonts w:ascii="Calibri" w:hAnsi="Calibri" w:cs="Calibri"/>
        </w:rPr>
      </w:pPr>
      <w:r w:rsidRPr="00DF5878">
        <w:rPr>
          <w:rFonts w:ascii="Calibri" w:hAnsi="Calibri" w:cs="Calibri"/>
        </w:rPr>
        <w:t>Smith, R. and Somerville, P. (2019) 'Understanding community policing in rural areas', Rural Society, 28(2), pp. 88–102.</w:t>
      </w:r>
    </w:p>
    <w:p w14:paraId="5E181B8C" w14:textId="77777777" w:rsidR="00DF5878" w:rsidRPr="00DF5878" w:rsidRDefault="00DF5878" w:rsidP="00DF5878">
      <w:pPr>
        <w:rPr>
          <w:rFonts w:ascii="Calibri" w:hAnsi="Calibri" w:cs="Calibri"/>
        </w:rPr>
      </w:pPr>
      <w:r w:rsidRPr="00DF5878">
        <w:rPr>
          <w:rFonts w:ascii="Calibri" w:hAnsi="Calibri" w:cs="Calibri"/>
        </w:rPr>
        <w:tab/>
      </w:r>
    </w:p>
    <w:p w14:paraId="5DE5C21E" w14:textId="70EC473E" w:rsidR="00DF5878" w:rsidRPr="00DF5878" w:rsidRDefault="00DF5878" w:rsidP="00DF5878">
      <w:pPr>
        <w:rPr>
          <w:rFonts w:ascii="Calibri" w:hAnsi="Calibri" w:cs="Calibri"/>
        </w:rPr>
      </w:pPr>
      <w:r w:rsidRPr="00DF5878">
        <w:rPr>
          <w:rFonts w:ascii="Calibri" w:hAnsi="Calibri" w:cs="Calibri"/>
        </w:rPr>
        <w:t>Tyler, T. R. (2006) 'Why people obey the law', Princeton: Princeton University Press.</w:t>
      </w:r>
    </w:p>
    <w:p w14:paraId="5254E731" w14:textId="77777777" w:rsidR="00DF5878" w:rsidRPr="00DF5878" w:rsidRDefault="00DF5878" w:rsidP="00DF5878">
      <w:pPr>
        <w:rPr>
          <w:rFonts w:ascii="Calibri" w:hAnsi="Calibri" w:cs="Calibri"/>
        </w:rPr>
      </w:pPr>
      <w:r w:rsidRPr="00DF5878">
        <w:rPr>
          <w:rFonts w:ascii="Calibri" w:hAnsi="Calibri" w:cs="Calibri"/>
        </w:rPr>
        <w:tab/>
      </w:r>
    </w:p>
    <w:p w14:paraId="1E362B07" w14:textId="4F0E414F" w:rsidR="00DF5878" w:rsidRPr="00DF5878" w:rsidRDefault="00DF5878" w:rsidP="00DF5878">
      <w:pPr>
        <w:rPr>
          <w:rFonts w:ascii="Calibri" w:hAnsi="Calibri" w:cs="Calibri"/>
        </w:rPr>
      </w:pPr>
      <w:r w:rsidRPr="00DF5878">
        <w:rPr>
          <w:rFonts w:ascii="Calibri" w:hAnsi="Calibri" w:cs="Calibri"/>
        </w:rPr>
        <w:t>Walker, C. (2021) 'Post-release Controls for Terrorist Offenders: Issues of Risk and Rights', Terrorism and Political Violence, 33(5), pp. 992–1010.</w:t>
      </w:r>
    </w:p>
    <w:p w14:paraId="1F1D786C" w14:textId="77777777" w:rsidR="00DF5878" w:rsidRPr="00DF5878" w:rsidRDefault="00DF5878" w:rsidP="00DF5878">
      <w:pPr>
        <w:rPr>
          <w:rFonts w:ascii="Calibri" w:hAnsi="Calibri" w:cs="Calibri"/>
        </w:rPr>
      </w:pPr>
      <w:r w:rsidRPr="00DF5878">
        <w:rPr>
          <w:rFonts w:ascii="Calibri" w:hAnsi="Calibri" w:cs="Calibri"/>
        </w:rPr>
        <w:tab/>
      </w:r>
    </w:p>
    <w:p w14:paraId="48A188A6" w14:textId="433B252E" w:rsidR="00DF5878" w:rsidRPr="00DF5878" w:rsidRDefault="00DF5878" w:rsidP="00DF5878">
      <w:pPr>
        <w:rPr>
          <w:rFonts w:ascii="Calibri" w:hAnsi="Calibri" w:cs="Calibri"/>
        </w:rPr>
      </w:pPr>
      <w:r w:rsidRPr="00DF5878">
        <w:rPr>
          <w:rFonts w:ascii="Calibri" w:hAnsi="Calibri" w:cs="Calibri"/>
        </w:rPr>
        <w:t>Williams, P. and Clarke, B. (2016) 'Violence reduction in Scotland: Learning from the Glasgow VRU', Journal of Public Health, 38(4), pp. e1–e6.</w:t>
      </w:r>
    </w:p>
    <w:p w14:paraId="780411BB" w14:textId="77777777" w:rsidR="00DF5878" w:rsidRPr="00DF5878" w:rsidRDefault="00DF5878" w:rsidP="00DF5878">
      <w:pPr>
        <w:rPr>
          <w:rFonts w:ascii="Calibri" w:hAnsi="Calibri" w:cs="Calibri"/>
        </w:rPr>
      </w:pPr>
      <w:r w:rsidRPr="00DF5878">
        <w:rPr>
          <w:rFonts w:ascii="Calibri" w:hAnsi="Calibri" w:cs="Calibri"/>
        </w:rPr>
        <w:tab/>
      </w:r>
    </w:p>
    <w:p w14:paraId="4F29336F" w14:textId="5E7ED841" w:rsidR="00DF5878" w:rsidRPr="00DF5878" w:rsidRDefault="00DF5878" w:rsidP="00DF5878">
      <w:pPr>
        <w:rPr>
          <w:rFonts w:ascii="Calibri" w:hAnsi="Calibri" w:cs="Calibri"/>
        </w:rPr>
      </w:pPr>
      <w:r w:rsidRPr="00DF5878">
        <w:rPr>
          <w:rFonts w:ascii="Calibri" w:hAnsi="Calibri" w:cs="Calibri"/>
        </w:rPr>
        <w:t>Wright, D. and Kreissl, R. (2014) 'Surveillance in Europe', London: Routledge.</w:t>
      </w:r>
    </w:p>
    <w:p w14:paraId="7AA716F1" w14:textId="77777777" w:rsidR="00DF5878" w:rsidRPr="00DF5878" w:rsidRDefault="00DF5878" w:rsidP="00DF5878">
      <w:pPr>
        <w:rPr>
          <w:rFonts w:ascii="Calibri" w:hAnsi="Calibri" w:cs="Calibri"/>
        </w:rPr>
      </w:pPr>
      <w:r w:rsidRPr="00DF5878">
        <w:rPr>
          <w:rFonts w:ascii="Calibri" w:hAnsi="Calibri" w:cs="Calibri"/>
        </w:rPr>
        <w:tab/>
      </w:r>
    </w:p>
    <w:p w14:paraId="772811C9" w14:textId="3C4281EB" w:rsidR="00DF5878" w:rsidRPr="00DF5878" w:rsidRDefault="00DF5878" w:rsidP="00DF5878">
      <w:pPr>
        <w:rPr>
          <w:rFonts w:ascii="Calibri" w:hAnsi="Calibri" w:cs="Calibri"/>
        </w:rPr>
      </w:pPr>
      <w:r w:rsidRPr="00DF5878">
        <w:rPr>
          <w:rFonts w:ascii="Calibri" w:hAnsi="Calibri" w:cs="Calibri"/>
        </w:rPr>
        <w:t>Youth Endowment Fund (2022) 'Evidence and gap map: Youth diversion'. London: YEF.</w:t>
      </w:r>
    </w:p>
    <w:p w14:paraId="573F3E22" w14:textId="77777777" w:rsidR="00DF5878" w:rsidRPr="00DF5878" w:rsidRDefault="00DF5878" w:rsidP="00DF5878">
      <w:pPr>
        <w:rPr>
          <w:rFonts w:ascii="Calibri" w:hAnsi="Calibri" w:cs="Calibri"/>
        </w:rPr>
      </w:pPr>
      <w:r w:rsidRPr="00DF5878">
        <w:rPr>
          <w:rFonts w:ascii="Calibri" w:hAnsi="Calibri" w:cs="Calibri"/>
        </w:rPr>
        <w:tab/>
      </w:r>
    </w:p>
    <w:p w14:paraId="303F90C5" w14:textId="77777777" w:rsidR="00DF5878" w:rsidRPr="00DF5878" w:rsidRDefault="00DF5878" w:rsidP="00DF5878">
      <w:pPr>
        <w:rPr>
          <w:rFonts w:ascii="Calibri" w:hAnsi="Calibri" w:cs="Calibri"/>
        </w:rPr>
      </w:pPr>
      <w:r w:rsidRPr="00DF5878">
        <w:rPr>
          <w:rFonts w:ascii="Calibri" w:hAnsi="Calibri" w:cs="Calibri"/>
        </w:rPr>
        <w:tab/>
      </w:r>
    </w:p>
    <w:p w14:paraId="11A1970F" w14:textId="77777777" w:rsidR="00DF5878" w:rsidRPr="00DF5878" w:rsidRDefault="00DF5878" w:rsidP="00DF5878">
      <w:pPr>
        <w:rPr>
          <w:rFonts w:ascii="Calibri" w:hAnsi="Calibri" w:cs="Calibri"/>
        </w:rPr>
      </w:pPr>
    </w:p>
    <w:p w14:paraId="0EA64000" w14:textId="77777777" w:rsidR="00DF5878" w:rsidRPr="00DF5878" w:rsidRDefault="00DF5878" w:rsidP="00DF5878">
      <w:pPr>
        <w:rPr>
          <w:rFonts w:ascii="Calibri" w:hAnsi="Calibri" w:cs="Calibri"/>
        </w:rPr>
      </w:pPr>
    </w:p>
    <w:p w14:paraId="1FDBA69B" w14:textId="77777777" w:rsidR="00DF5878" w:rsidRPr="00DF5878" w:rsidRDefault="00DF5878" w:rsidP="00DF5878">
      <w:pPr>
        <w:rPr>
          <w:rFonts w:ascii="Calibri" w:hAnsi="Calibri" w:cs="Calibri"/>
        </w:rPr>
      </w:pPr>
      <w:r w:rsidRPr="00DF5878">
        <w:rPr>
          <w:rFonts w:ascii="Calibri" w:hAnsi="Calibri" w:cs="Calibri"/>
        </w:rPr>
        <w:tab/>
      </w:r>
    </w:p>
    <w:p w14:paraId="489344C7" w14:textId="77777777" w:rsidR="00DF5878" w:rsidRPr="00DF5878" w:rsidRDefault="00DF5878" w:rsidP="00DF5878">
      <w:pPr>
        <w:rPr>
          <w:rFonts w:ascii="Calibri" w:hAnsi="Calibri" w:cs="Calibri"/>
        </w:rPr>
      </w:pPr>
      <w:r w:rsidRPr="00DF5878">
        <w:rPr>
          <w:rFonts w:ascii="Calibri" w:hAnsi="Calibri" w:cs="Calibri"/>
        </w:rPr>
        <w:tab/>
      </w:r>
    </w:p>
    <w:p w14:paraId="4E2CD44B" w14:textId="77777777" w:rsidR="008A6F42" w:rsidRPr="00DF5878" w:rsidRDefault="008A6F42">
      <w:pPr>
        <w:rPr>
          <w:rFonts w:ascii="Calibri" w:hAnsi="Calibri" w:cs="Calibri"/>
        </w:rPr>
      </w:pPr>
    </w:p>
    <w:sectPr w:rsidR="008A6F42" w:rsidRPr="00DF58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878"/>
    <w:rsid w:val="004F2AAF"/>
    <w:rsid w:val="00801D43"/>
    <w:rsid w:val="008A6F42"/>
    <w:rsid w:val="00955CC3"/>
    <w:rsid w:val="00992111"/>
    <w:rsid w:val="00A50E42"/>
    <w:rsid w:val="00AC073B"/>
    <w:rsid w:val="00D73DBE"/>
    <w:rsid w:val="00DF5878"/>
    <w:rsid w:val="00EE436A"/>
    <w:rsid w:val="00F54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F2E98"/>
  <w15:chartTrackingRefBased/>
  <w15:docId w15:val="{F4A87F9A-D0BF-4DB1-AC7D-7FDEFE640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58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58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58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58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58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58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58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58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58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8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58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58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58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58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58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58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58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5878"/>
    <w:rPr>
      <w:rFonts w:eastAsiaTheme="majorEastAsia" w:cstheme="majorBidi"/>
      <w:color w:val="272727" w:themeColor="text1" w:themeTint="D8"/>
    </w:rPr>
  </w:style>
  <w:style w:type="paragraph" w:styleId="Title">
    <w:name w:val="Title"/>
    <w:basedOn w:val="Normal"/>
    <w:next w:val="Normal"/>
    <w:link w:val="TitleChar"/>
    <w:uiPriority w:val="10"/>
    <w:qFormat/>
    <w:rsid w:val="00DF58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58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58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58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5878"/>
    <w:pPr>
      <w:spacing w:before="160"/>
      <w:jc w:val="center"/>
    </w:pPr>
    <w:rPr>
      <w:i/>
      <w:iCs/>
      <w:color w:val="404040" w:themeColor="text1" w:themeTint="BF"/>
    </w:rPr>
  </w:style>
  <w:style w:type="character" w:customStyle="1" w:styleId="QuoteChar">
    <w:name w:val="Quote Char"/>
    <w:basedOn w:val="DefaultParagraphFont"/>
    <w:link w:val="Quote"/>
    <w:uiPriority w:val="29"/>
    <w:rsid w:val="00DF5878"/>
    <w:rPr>
      <w:i/>
      <w:iCs/>
      <w:color w:val="404040" w:themeColor="text1" w:themeTint="BF"/>
    </w:rPr>
  </w:style>
  <w:style w:type="paragraph" w:styleId="ListParagraph">
    <w:name w:val="List Paragraph"/>
    <w:basedOn w:val="Normal"/>
    <w:uiPriority w:val="34"/>
    <w:qFormat/>
    <w:rsid w:val="00DF5878"/>
    <w:pPr>
      <w:ind w:left="720"/>
      <w:contextualSpacing/>
    </w:pPr>
  </w:style>
  <w:style w:type="character" w:styleId="IntenseEmphasis">
    <w:name w:val="Intense Emphasis"/>
    <w:basedOn w:val="DefaultParagraphFont"/>
    <w:uiPriority w:val="21"/>
    <w:qFormat/>
    <w:rsid w:val="00DF5878"/>
    <w:rPr>
      <w:i/>
      <w:iCs/>
      <w:color w:val="0F4761" w:themeColor="accent1" w:themeShade="BF"/>
    </w:rPr>
  </w:style>
  <w:style w:type="paragraph" w:styleId="IntenseQuote">
    <w:name w:val="Intense Quote"/>
    <w:basedOn w:val="Normal"/>
    <w:next w:val="Normal"/>
    <w:link w:val="IntenseQuoteChar"/>
    <w:uiPriority w:val="30"/>
    <w:qFormat/>
    <w:rsid w:val="00DF58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5878"/>
    <w:rPr>
      <w:i/>
      <w:iCs/>
      <w:color w:val="0F4761" w:themeColor="accent1" w:themeShade="BF"/>
    </w:rPr>
  </w:style>
  <w:style w:type="character" w:styleId="IntenseReference">
    <w:name w:val="Intense Reference"/>
    <w:basedOn w:val="DefaultParagraphFont"/>
    <w:uiPriority w:val="32"/>
    <w:qFormat/>
    <w:rsid w:val="00DF5878"/>
    <w:rPr>
      <w:b/>
      <w:bCs/>
      <w:smallCaps/>
      <w:color w:val="0F4761" w:themeColor="accent1" w:themeShade="BF"/>
      <w:spacing w:val="5"/>
    </w:rPr>
  </w:style>
  <w:style w:type="character" w:styleId="Hyperlink">
    <w:name w:val="Hyperlink"/>
    <w:basedOn w:val="DefaultParagraphFont"/>
    <w:uiPriority w:val="99"/>
    <w:unhideWhenUsed/>
    <w:rsid w:val="00DF5878"/>
    <w:rPr>
      <w:color w:val="467886" w:themeColor="hyperlink"/>
      <w:u w:val="single"/>
    </w:rPr>
  </w:style>
  <w:style w:type="character" w:styleId="UnresolvedMention">
    <w:name w:val="Unresolved Mention"/>
    <w:basedOn w:val="DefaultParagraphFont"/>
    <w:uiPriority w:val="99"/>
    <w:semiHidden/>
    <w:unhideWhenUsed/>
    <w:rsid w:val="00DF58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0696400">
      <w:bodyDiv w:val="1"/>
      <w:marLeft w:val="0"/>
      <w:marRight w:val="0"/>
      <w:marTop w:val="0"/>
      <w:marBottom w:val="0"/>
      <w:divBdr>
        <w:top w:val="none" w:sz="0" w:space="0" w:color="auto"/>
        <w:left w:val="none" w:sz="0" w:space="0" w:color="auto"/>
        <w:bottom w:val="none" w:sz="0" w:space="0" w:color="auto"/>
        <w:right w:val="none" w:sz="0" w:space="0" w:color="auto"/>
      </w:divBdr>
    </w:div>
    <w:div w:id="716513767">
      <w:bodyDiv w:val="1"/>
      <w:marLeft w:val="0"/>
      <w:marRight w:val="0"/>
      <w:marTop w:val="0"/>
      <w:marBottom w:val="0"/>
      <w:divBdr>
        <w:top w:val="none" w:sz="0" w:space="0" w:color="auto"/>
        <w:left w:val="none" w:sz="0" w:space="0" w:color="auto"/>
        <w:bottom w:val="none" w:sz="0" w:space="0" w:color="auto"/>
        <w:right w:val="none" w:sz="0" w:space="0" w:color="auto"/>
      </w:divBdr>
    </w:div>
    <w:div w:id="865217907">
      <w:bodyDiv w:val="1"/>
      <w:marLeft w:val="0"/>
      <w:marRight w:val="0"/>
      <w:marTop w:val="0"/>
      <w:marBottom w:val="0"/>
      <w:divBdr>
        <w:top w:val="none" w:sz="0" w:space="0" w:color="auto"/>
        <w:left w:val="none" w:sz="0" w:space="0" w:color="auto"/>
        <w:bottom w:val="none" w:sz="0" w:space="0" w:color="auto"/>
        <w:right w:val="none" w:sz="0" w:space="0" w:color="auto"/>
      </w:divBdr>
    </w:div>
    <w:div w:id="1202594708">
      <w:bodyDiv w:val="1"/>
      <w:marLeft w:val="0"/>
      <w:marRight w:val="0"/>
      <w:marTop w:val="0"/>
      <w:marBottom w:val="0"/>
      <w:divBdr>
        <w:top w:val="none" w:sz="0" w:space="0" w:color="auto"/>
        <w:left w:val="none" w:sz="0" w:space="0" w:color="auto"/>
        <w:bottom w:val="none" w:sz="0" w:space="0" w:color="auto"/>
        <w:right w:val="none" w:sz="0" w:space="0" w:color="auto"/>
      </w:divBdr>
    </w:div>
    <w:div w:id="1211651229">
      <w:bodyDiv w:val="1"/>
      <w:marLeft w:val="0"/>
      <w:marRight w:val="0"/>
      <w:marTop w:val="0"/>
      <w:marBottom w:val="0"/>
      <w:divBdr>
        <w:top w:val="none" w:sz="0" w:space="0" w:color="auto"/>
        <w:left w:val="none" w:sz="0" w:space="0" w:color="auto"/>
        <w:bottom w:val="none" w:sz="0" w:space="0" w:color="auto"/>
        <w:right w:val="none" w:sz="0" w:space="0" w:color="auto"/>
      </w:divBdr>
    </w:div>
    <w:div w:id="1852333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 TargetMode="External"/><Relationship Id="rId3" Type="http://schemas.openxmlformats.org/officeDocument/2006/relationships/settings" Target="settings.xml"/><Relationship Id="rId7" Type="http://schemas.openxmlformats.org/officeDocument/2006/relationships/hyperlink" Target="https://www.citizensuk.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ctearly.uk" TargetMode="External"/><Relationship Id="rId11" Type="http://schemas.openxmlformats.org/officeDocument/2006/relationships/theme" Target="theme/theme1.xml"/><Relationship Id="rId5" Type="http://schemas.openxmlformats.org/officeDocument/2006/relationships/hyperlink" Target="https://www.bbc.co.uk/news/uk-40146916"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llege.polic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TotalTime>
  <Pages>12</Pages>
  <Words>4958</Words>
  <Characters>28264</Characters>
  <Application>Microsoft Office Word</Application>
  <DocSecurity>0</DocSecurity>
  <Lines>235</Lines>
  <Paragraphs>66</Paragraphs>
  <ScaleCrop>false</ScaleCrop>
  <Company>South Wales Police</Company>
  <LinksUpToDate>false</LinksUpToDate>
  <CharactersWithSpaces>33156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Watkins,Rhys swp8740</dc:creator>
  <cp:keywords/>
  <dc:description/>
  <cp:lastModifiedBy>Watkins,Rhys swp8740</cp:lastModifiedBy>
  <cp:revision>6</cp:revision>
  <dcterms:created xsi:type="dcterms:W3CDTF">2025-05-23T14:50:00Z</dcterms:created>
  <dcterms:modified xsi:type="dcterms:W3CDTF">2025-05-26T18:59:00Z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2025-05-23T15:01:56Z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55120efb-4a43-4dd5-80a3-72131ef48073</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