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B8CBAA" w14:textId="2967D57E" w:rsidR="005921B9" w:rsidRDefault="005921B9" w:rsidP="005921B9">
      <w:pPr>
        <w:pStyle w:val="ae"/>
        <w:spacing w:before="0" w:beforeAutospacing="0" w:after="0" w:afterAutospacing="0"/>
        <w:ind w:left="-180" w:right="-334"/>
      </w:pPr>
      <w:r>
        <w:rPr>
          <w:noProof/>
          <w:lang w:val="en-US"/>
        </w:rPr>
        <w:drawing>
          <wp:inline distT="0" distB="0" distL="0" distR="0" wp14:anchorId="6DA09674" wp14:editId="16F0A7F3">
            <wp:extent cx="1906905" cy="635635"/>
            <wp:effectExtent l="25400" t="25400" r="23495" b="24765"/>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006A056A" w14:textId="77777777" w:rsidR="005921B9" w:rsidRDefault="005921B9" w:rsidP="005921B9">
      <w:pPr>
        <w:pStyle w:val="ae"/>
        <w:spacing w:before="0" w:beforeAutospacing="0" w:after="0" w:afterAutospacing="0"/>
        <w:ind w:left="-180" w:right="-334"/>
      </w:pPr>
    </w:p>
    <w:p w14:paraId="7E5E6003" w14:textId="77777777" w:rsidR="005921B9" w:rsidRDefault="005921B9" w:rsidP="005921B9">
      <w:pPr>
        <w:pStyle w:val="ae"/>
        <w:spacing w:before="0" w:beforeAutospacing="0" w:after="0" w:afterAutospacing="0"/>
        <w:ind w:left="-180" w:right="-334"/>
      </w:pPr>
    </w:p>
    <w:p w14:paraId="05964F40" w14:textId="77777777" w:rsidR="005921B9" w:rsidRDefault="005921B9" w:rsidP="005921B9">
      <w:pPr>
        <w:pStyle w:val="ae"/>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26B0B5C" w14:textId="77777777" w:rsidR="005921B9" w:rsidRPr="00230F35" w:rsidRDefault="005921B9" w:rsidP="005921B9">
      <w:pPr>
        <w:pStyle w:val="ae"/>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F9FC2B5" w14:textId="77777777" w:rsidR="005921B9" w:rsidRPr="00230F35" w:rsidRDefault="005921B9" w:rsidP="005921B9">
      <w:pPr>
        <w:rPr>
          <w:rFonts w:ascii="Arial" w:hAnsi="Arial" w:cs="Arial"/>
          <w:sz w:val="28"/>
          <w:szCs w:val="28"/>
          <w:lang w:val="cy-GB"/>
        </w:rPr>
      </w:pPr>
    </w:p>
    <w:p w14:paraId="7EFD5E03" w14:textId="77777777" w:rsidR="005921B9" w:rsidRDefault="005921B9" w:rsidP="005921B9">
      <w:pPr>
        <w:pStyle w:val="3"/>
        <w:jc w:val="center"/>
        <w:rPr>
          <w:lang w:val="cy-GB"/>
        </w:rPr>
      </w:pPr>
      <w:r>
        <w:rPr>
          <w:lang w:val="cy-GB"/>
        </w:rPr>
        <w:t>THIS SHEET MUST BE THE FIRST PAGE OF THE ASSIGNMENT YOU ARE SUBMITTING  (DO NOT SEND AS A SEPARATE FILE)</w:t>
      </w:r>
    </w:p>
    <w:p w14:paraId="590C8523" w14:textId="77777777" w:rsidR="005921B9" w:rsidRDefault="005921B9" w:rsidP="005921B9">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35"/>
        <w:gridCol w:w="423"/>
        <w:gridCol w:w="1488"/>
        <w:gridCol w:w="284"/>
        <w:gridCol w:w="1786"/>
      </w:tblGrid>
      <w:tr w:rsidR="005921B9" w:rsidRPr="00230F35" w14:paraId="03E2C2EB" w14:textId="77777777" w:rsidTr="000054E0">
        <w:trPr>
          <w:trHeight w:val="614"/>
        </w:trPr>
        <w:tc>
          <w:tcPr>
            <w:tcW w:w="8856" w:type="dxa"/>
            <w:gridSpan w:val="5"/>
          </w:tcPr>
          <w:p w14:paraId="505C66DB" w14:textId="77777777" w:rsidR="005921B9" w:rsidRPr="00230F35" w:rsidRDefault="005921B9" w:rsidP="000054E0">
            <w:pPr>
              <w:pStyle w:val="ae"/>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921B9" w:rsidRPr="00230F35" w14:paraId="44605458" w14:textId="77777777" w:rsidTr="000054E0">
        <w:trPr>
          <w:trHeight w:val="718"/>
        </w:trPr>
        <w:tc>
          <w:tcPr>
            <w:tcW w:w="8856" w:type="dxa"/>
            <w:gridSpan w:val="5"/>
          </w:tcPr>
          <w:p w14:paraId="2D5C5F4E" w14:textId="77777777" w:rsidR="005921B9" w:rsidRPr="00F37F43" w:rsidRDefault="005921B9" w:rsidP="000054E0">
            <w:pPr>
              <w:pStyle w:val="ae"/>
              <w:spacing w:before="0" w:beforeAutospacing="0" w:after="0" w:afterAutospacing="0"/>
              <w:ind w:right="34"/>
              <w:rPr>
                <w:rFonts w:ascii="Arial" w:hAnsi="Arial" w:cs="Arial"/>
                <w:sz w:val="22"/>
                <w:szCs w:val="22"/>
                <w:lang w:val="en-US"/>
              </w:rPr>
            </w:pPr>
            <w:r w:rsidRPr="00230F35">
              <w:rPr>
                <w:rFonts w:ascii="Arial" w:hAnsi="Arial" w:cs="Arial"/>
                <w:sz w:val="22"/>
                <w:szCs w:val="22"/>
              </w:rPr>
              <w:t>Student Name:</w:t>
            </w:r>
            <w:r>
              <w:rPr>
                <w:rFonts w:ascii="Arial" w:hAnsi="Arial" w:cs="Arial" w:hint="eastAsia"/>
                <w:sz w:val="22"/>
                <w:szCs w:val="22"/>
              </w:rPr>
              <w:t xml:space="preserve"> Dan</w:t>
            </w:r>
            <w:r>
              <w:rPr>
                <w:rFonts w:ascii="Arial" w:hAnsi="Arial" w:cs="Arial"/>
                <w:sz w:val="22"/>
                <w:szCs w:val="22"/>
                <w:lang w:val="en-US"/>
              </w:rPr>
              <w:t xml:space="preserve">iel </w:t>
            </w:r>
            <w:r>
              <w:rPr>
                <w:rFonts w:ascii="Arial" w:hAnsi="Arial" w:cs="Arial" w:hint="eastAsia"/>
                <w:sz w:val="22"/>
                <w:szCs w:val="22"/>
                <w:lang w:val="en-US"/>
              </w:rPr>
              <w:t xml:space="preserve">P </w:t>
            </w:r>
            <w:r>
              <w:rPr>
                <w:rFonts w:ascii="Arial" w:hAnsi="Arial" w:cs="Arial"/>
                <w:sz w:val="22"/>
                <w:szCs w:val="22"/>
                <w:lang w:val="en-US"/>
              </w:rPr>
              <w:t>Clutton</w:t>
            </w:r>
          </w:p>
          <w:p w14:paraId="4BC0F413" w14:textId="77777777" w:rsidR="005921B9" w:rsidRPr="00230F35" w:rsidRDefault="005921B9" w:rsidP="000054E0">
            <w:pPr>
              <w:pStyle w:val="ae"/>
              <w:spacing w:before="0" w:beforeAutospacing="0" w:after="0" w:afterAutospacing="0"/>
              <w:ind w:right="34"/>
              <w:rPr>
                <w:rFonts w:ascii="Arial" w:hAnsi="Arial" w:cs="Arial"/>
                <w:sz w:val="22"/>
                <w:szCs w:val="22"/>
              </w:rPr>
            </w:pPr>
          </w:p>
        </w:tc>
      </w:tr>
      <w:tr w:rsidR="005921B9" w:rsidRPr="00230F35" w14:paraId="0F485B7B" w14:textId="77777777" w:rsidTr="000054E0">
        <w:trPr>
          <w:trHeight w:val="849"/>
        </w:trPr>
        <w:tc>
          <w:tcPr>
            <w:tcW w:w="4788" w:type="dxa"/>
          </w:tcPr>
          <w:p w14:paraId="3E908CD6" w14:textId="77777777" w:rsidR="005921B9" w:rsidRPr="00230F35" w:rsidRDefault="005921B9" w:rsidP="000054E0">
            <w:pPr>
              <w:pStyle w:val="ae"/>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F37F43">
              <w:rPr>
                <w:rFonts w:ascii="Arial" w:hAnsi="Arial" w:cs="Arial"/>
                <w:sz w:val="22"/>
                <w:szCs w:val="22"/>
              </w:rPr>
              <w:t>AHHI7001</w:t>
            </w:r>
          </w:p>
          <w:p w14:paraId="4A77B18D" w14:textId="77777777" w:rsidR="005921B9" w:rsidRPr="00230F35" w:rsidRDefault="005921B9" w:rsidP="000054E0">
            <w:pPr>
              <w:pStyle w:val="ae"/>
              <w:spacing w:before="0" w:beforeAutospacing="0" w:after="0" w:afterAutospacing="0"/>
              <w:ind w:right="34"/>
              <w:rPr>
                <w:rFonts w:ascii="Arial" w:hAnsi="Arial" w:cs="Arial"/>
                <w:sz w:val="22"/>
                <w:szCs w:val="22"/>
              </w:rPr>
            </w:pPr>
          </w:p>
          <w:p w14:paraId="6CE356D2" w14:textId="77777777" w:rsidR="005921B9" w:rsidRDefault="005921B9" w:rsidP="000054E0">
            <w:pPr>
              <w:pStyle w:val="ae"/>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 Methodology</w:t>
            </w:r>
          </w:p>
          <w:p w14:paraId="6886A601" w14:textId="77777777" w:rsidR="005921B9" w:rsidRDefault="005921B9" w:rsidP="000054E0">
            <w:pPr>
              <w:pStyle w:val="ae"/>
              <w:spacing w:before="0" w:beforeAutospacing="0" w:after="0" w:afterAutospacing="0"/>
              <w:ind w:right="34"/>
              <w:rPr>
                <w:rFonts w:ascii="Arial" w:hAnsi="Arial" w:cs="Arial"/>
                <w:sz w:val="22"/>
                <w:szCs w:val="22"/>
              </w:rPr>
            </w:pPr>
          </w:p>
          <w:p w14:paraId="109B6DFA" w14:textId="77777777" w:rsidR="005921B9" w:rsidRPr="00230F35" w:rsidRDefault="005921B9" w:rsidP="000054E0">
            <w:pPr>
              <w:pStyle w:val="ae"/>
              <w:spacing w:before="0" w:beforeAutospacing="0" w:after="0" w:afterAutospacing="0"/>
              <w:ind w:right="34"/>
              <w:rPr>
                <w:rFonts w:ascii="Arial" w:hAnsi="Arial" w:cs="Arial"/>
                <w:sz w:val="22"/>
                <w:szCs w:val="22"/>
              </w:rPr>
            </w:pPr>
          </w:p>
        </w:tc>
        <w:tc>
          <w:tcPr>
            <w:tcW w:w="2266" w:type="dxa"/>
            <w:gridSpan w:val="3"/>
          </w:tcPr>
          <w:p w14:paraId="35D6BBBB" w14:textId="77777777" w:rsidR="005921B9" w:rsidRDefault="005921B9" w:rsidP="000054E0">
            <w:pPr>
              <w:pStyle w:val="ae"/>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9ECB959" w14:textId="77777777" w:rsidR="005921B9" w:rsidRPr="00230F35" w:rsidRDefault="005921B9" w:rsidP="000054E0">
            <w:pPr>
              <w:pStyle w:val="ae"/>
              <w:spacing w:before="0" w:beforeAutospacing="0" w:after="0" w:afterAutospacing="0"/>
              <w:ind w:right="34"/>
              <w:rPr>
                <w:rFonts w:ascii="Arial" w:hAnsi="Arial" w:cs="Arial"/>
                <w:sz w:val="22"/>
                <w:szCs w:val="22"/>
              </w:rPr>
            </w:pPr>
            <w:r>
              <w:rPr>
                <w:rFonts w:ascii="Arial" w:hAnsi="Arial" w:cs="Arial"/>
                <w:sz w:val="22"/>
                <w:szCs w:val="22"/>
              </w:rPr>
              <w:t>1807567</w:t>
            </w:r>
          </w:p>
        </w:tc>
        <w:tc>
          <w:tcPr>
            <w:tcW w:w="1802" w:type="dxa"/>
          </w:tcPr>
          <w:p w14:paraId="598F3896" w14:textId="77777777" w:rsidR="005921B9" w:rsidRPr="00230F35" w:rsidRDefault="005921B9" w:rsidP="000054E0">
            <w:pPr>
              <w:pStyle w:val="ae"/>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67AC79A" w14:textId="77777777" w:rsidR="005921B9" w:rsidRPr="00230F35" w:rsidRDefault="005921B9" w:rsidP="000054E0">
            <w:pPr>
              <w:pStyle w:val="ae"/>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5921B9" w:rsidRPr="00230F35" w14:paraId="1F7D24C5" w14:textId="77777777" w:rsidTr="000054E0">
        <w:trPr>
          <w:trHeight w:val="1139"/>
        </w:trPr>
        <w:tc>
          <w:tcPr>
            <w:tcW w:w="8856" w:type="dxa"/>
            <w:gridSpan w:val="5"/>
          </w:tcPr>
          <w:p w14:paraId="65EA2CD0" w14:textId="77777777" w:rsidR="005921B9" w:rsidRPr="00230F35" w:rsidRDefault="005921B9" w:rsidP="000054E0">
            <w:pPr>
              <w:pStyle w:val="ae"/>
              <w:spacing w:before="0" w:beforeAutospacing="0" w:after="0" w:afterAutospacing="0"/>
              <w:ind w:right="34"/>
              <w:rPr>
                <w:rFonts w:ascii="Arial" w:hAnsi="Arial" w:cs="Arial"/>
                <w:sz w:val="22"/>
                <w:szCs w:val="22"/>
              </w:rPr>
            </w:pPr>
            <w:r>
              <w:rPr>
                <w:rFonts w:ascii="Arial" w:hAnsi="Arial" w:cs="Arial"/>
                <w:sz w:val="22"/>
                <w:szCs w:val="22"/>
              </w:rPr>
              <w:t>Module tutor: Janet Burton</w:t>
            </w:r>
          </w:p>
          <w:p w14:paraId="63C60B11" w14:textId="77777777" w:rsidR="005921B9" w:rsidRPr="00230F35" w:rsidRDefault="005921B9" w:rsidP="000054E0">
            <w:pPr>
              <w:pStyle w:val="ae"/>
              <w:spacing w:before="0" w:beforeAutospacing="0" w:after="0" w:afterAutospacing="0"/>
              <w:ind w:right="34"/>
              <w:rPr>
                <w:rFonts w:ascii="Arial" w:hAnsi="Arial" w:cs="Arial"/>
                <w:sz w:val="22"/>
                <w:szCs w:val="22"/>
              </w:rPr>
            </w:pPr>
          </w:p>
          <w:p w14:paraId="3FA36D68" w14:textId="77777777" w:rsidR="005921B9" w:rsidRDefault="005921B9" w:rsidP="000054E0">
            <w:pPr>
              <w:pStyle w:val="ae"/>
              <w:spacing w:before="0" w:beforeAutospacing="0" w:after="0" w:afterAutospacing="0"/>
              <w:ind w:right="34"/>
              <w:rPr>
                <w:rFonts w:ascii="Arial" w:hAnsi="Arial" w:cs="Arial"/>
                <w:sz w:val="22"/>
                <w:szCs w:val="22"/>
              </w:rPr>
            </w:pPr>
          </w:p>
          <w:p w14:paraId="7BA90DA3" w14:textId="77777777" w:rsidR="005921B9" w:rsidRPr="00230F35" w:rsidRDefault="005921B9" w:rsidP="000054E0">
            <w:pPr>
              <w:pStyle w:val="ae"/>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25.1.2019</w:t>
            </w:r>
          </w:p>
        </w:tc>
      </w:tr>
      <w:tr w:rsidR="005921B9" w:rsidRPr="00230F35" w14:paraId="2C4F8724" w14:textId="77777777" w:rsidTr="000054E0">
        <w:trPr>
          <w:trHeight w:val="978"/>
        </w:trPr>
        <w:tc>
          <w:tcPr>
            <w:tcW w:w="8856" w:type="dxa"/>
            <w:gridSpan w:val="5"/>
            <w:tcBorders>
              <w:bottom w:val="single" w:sz="4" w:space="0" w:color="000000"/>
            </w:tcBorders>
          </w:tcPr>
          <w:p w14:paraId="1EF86B77" w14:textId="77777777" w:rsidR="005921B9" w:rsidRDefault="005921B9" w:rsidP="000054E0">
            <w:pPr>
              <w:rPr>
                <w:rFonts w:ascii="Arial" w:hAnsi="Arial" w:cs="Arial"/>
                <w:sz w:val="22"/>
                <w:szCs w:val="22"/>
              </w:rPr>
            </w:pPr>
            <w:r>
              <w:rPr>
                <w:rFonts w:ascii="Arial" w:hAnsi="Arial" w:cs="Arial"/>
                <w:sz w:val="22"/>
                <w:szCs w:val="22"/>
              </w:rPr>
              <w:t>If your module has multiple submissions please indicate which piece of work this is.</w:t>
            </w:r>
          </w:p>
          <w:p w14:paraId="3B3F7C2A" w14:textId="77777777" w:rsidR="005921B9" w:rsidRDefault="005921B9" w:rsidP="000054E0">
            <w:pPr>
              <w:rPr>
                <w:rFonts w:ascii="Arial" w:hAnsi="Arial" w:cs="Arial"/>
                <w:sz w:val="22"/>
                <w:szCs w:val="22"/>
              </w:rPr>
            </w:pPr>
          </w:p>
          <w:p w14:paraId="0D8B1920" w14:textId="77777777" w:rsidR="005921B9" w:rsidRPr="00230F35" w:rsidRDefault="005921B9" w:rsidP="000054E0">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4"/>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F37F43">
              <w:rPr>
                <w:rFonts w:ascii="Wingdings" w:hAnsi="Wingdings" w:cs="Arial"/>
                <w:sz w:val="28"/>
                <w:szCs w:val="22"/>
                <w:highlight w:val="lightGray"/>
              </w:rPr>
              <w:t></w:t>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1"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2"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3"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p>
        </w:tc>
      </w:tr>
      <w:tr w:rsidR="005921B9" w:rsidRPr="00230F35" w14:paraId="2DCE6AA2" w14:textId="77777777" w:rsidTr="000054E0">
        <w:trPr>
          <w:trHeight w:val="978"/>
        </w:trPr>
        <w:tc>
          <w:tcPr>
            <w:tcW w:w="8856" w:type="dxa"/>
            <w:gridSpan w:val="5"/>
            <w:shd w:val="clear" w:color="auto" w:fill="D9D9D9"/>
          </w:tcPr>
          <w:p w14:paraId="0200317F" w14:textId="77777777" w:rsidR="005921B9" w:rsidRPr="00230F35" w:rsidRDefault="005921B9" w:rsidP="000054E0">
            <w:pPr>
              <w:pStyle w:val="ae"/>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C777834" w14:textId="77777777" w:rsidR="005921B9" w:rsidRDefault="005921B9" w:rsidP="000054E0">
            <w:pPr>
              <w:pStyle w:val="ae"/>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6E4B3D07" w14:textId="77777777" w:rsidR="005921B9" w:rsidRDefault="005921B9" w:rsidP="000054E0">
            <w:pPr>
              <w:pStyle w:val="ae"/>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F37F43">
              <w:rPr>
                <w:rFonts w:ascii="Wingdings" w:hAnsi="Wingdings" w:cs="Arial"/>
                <w:sz w:val="28"/>
                <w:szCs w:val="22"/>
                <w:highlight w:val="lightGray"/>
              </w:rPr>
              <w:t></w:t>
            </w:r>
          </w:p>
          <w:p w14:paraId="57713A17" w14:textId="77777777" w:rsidR="005921B9" w:rsidRPr="00230F35" w:rsidRDefault="005921B9" w:rsidP="000054E0">
            <w:pPr>
              <w:pStyle w:val="ae"/>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21B9" w:rsidRPr="00230F35" w14:paraId="344A026D" w14:textId="77777777" w:rsidTr="000054E0">
        <w:trPr>
          <w:trHeight w:val="3972"/>
        </w:trPr>
        <w:tc>
          <w:tcPr>
            <w:tcW w:w="8856" w:type="dxa"/>
            <w:gridSpan w:val="5"/>
          </w:tcPr>
          <w:p w14:paraId="62DDA05E" w14:textId="77777777" w:rsidR="005921B9" w:rsidRDefault="005921B9" w:rsidP="000054E0">
            <w:pPr>
              <w:rPr>
                <w:rFonts w:ascii="Arial" w:hAnsi="Arial"/>
                <w:b/>
              </w:rPr>
            </w:pPr>
          </w:p>
          <w:p w14:paraId="6B5E15FB" w14:textId="77777777" w:rsidR="005921B9" w:rsidRPr="00116CE6" w:rsidRDefault="005921B9" w:rsidP="000054E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7"/>
              <w:gridCol w:w="1583"/>
            </w:tblGrid>
            <w:tr w:rsidR="005921B9" w:rsidRPr="00116CE6" w14:paraId="457E488D" w14:textId="77777777" w:rsidTr="000054E0">
              <w:tc>
                <w:tcPr>
                  <w:tcW w:w="6970" w:type="dxa"/>
                </w:tcPr>
                <w:p w14:paraId="137E243D" w14:textId="77777777" w:rsidR="005921B9" w:rsidRPr="00116CE6" w:rsidRDefault="005921B9" w:rsidP="000054E0">
                  <w:pPr>
                    <w:rPr>
                      <w:rFonts w:ascii="Arial" w:hAnsi="Arial"/>
                      <w:sz w:val="20"/>
                      <w:szCs w:val="20"/>
                    </w:rPr>
                  </w:pPr>
                </w:p>
                <w:p w14:paraId="6940FAEB" w14:textId="77777777" w:rsidR="005921B9" w:rsidRPr="00116CE6" w:rsidRDefault="005921B9" w:rsidP="000054E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CE70380" w14:textId="77777777" w:rsidR="005921B9" w:rsidRPr="00116CE6" w:rsidRDefault="005921B9" w:rsidP="000054E0">
                  <w:pPr>
                    <w:rPr>
                      <w:rFonts w:ascii="Arial" w:hAnsi="Arial"/>
                      <w:sz w:val="20"/>
                      <w:szCs w:val="20"/>
                    </w:rPr>
                  </w:pPr>
                </w:p>
              </w:tc>
            </w:tr>
            <w:tr w:rsidR="005921B9" w:rsidRPr="00116CE6" w14:paraId="1A22EAE1" w14:textId="77777777" w:rsidTr="000054E0">
              <w:tc>
                <w:tcPr>
                  <w:tcW w:w="6970" w:type="dxa"/>
                </w:tcPr>
                <w:p w14:paraId="18B2173A" w14:textId="77777777" w:rsidR="005921B9" w:rsidRPr="00116CE6" w:rsidRDefault="005921B9" w:rsidP="000054E0">
                  <w:pPr>
                    <w:rPr>
                      <w:rFonts w:ascii="Arial" w:hAnsi="Arial"/>
                      <w:sz w:val="20"/>
                      <w:szCs w:val="20"/>
                    </w:rPr>
                  </w:pPr>
                </w:p>
                <w:p w14:paraId="0331C2EC" w14:textId="77777777" w:rsidR="005921B9" w:rsidRPr="00116CE6" w:rsidRDefault="005921B9" w:rsidP="000054E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70F89B7" w14:textId="77777777" w:rsidR="005921B9" w:rsidRPr="00116CE6" w:rsidRDefault="005921B9" w:rsidP="000054E0">
                  <w:pPr>
                    <w:rPr>
                      <w:rFonts w:ascii="Arial" w:hAnsi="Arial"/>
                      <w:sz w:val="20"/>
                      <w:szCs w:val="20"/>
                    </w:rPr>
                  </w:pPr>
                </w:p>
              </w:tc>
            </w:tr>
            <w:tr w:rsidR="005921B9" w:rsidRPr="00116CE6" w14:paraId="1236721F" w14:textId="77777777" w:rsidTr="000054E0">
              <w:tc>
                <w:tcPr>
                  <w:tcW w:w="6970" w:type="dxa"/>
                </w:tcPr>
                <w:p w14:paraId="48998976" w14:textId="77777777" w:rsidR="005921B9" w:rsidRPr="00116CE6" w:rsidRDefault="005921B9" w:rsidP="000054E0">
                  <w:pPr>
                    <w:rPr>
                      <w:rFonts w:ascii="Arial" w:hAnsi="Arial"/>
                      <w:sz w:val="20"/>
                      <w:szCs w:val="20"/>
                    </w:rPr>
                  </w:pPr>
                </w:p>
                <w:p w14:paraId="453B57E5" w14:textId="77777777" w:rsidR="005921B9" w:rsidRPr="00116CE6" w:rsidRDefault="005921B9" w:rsidP="000054E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0A7D8D7" w14:textId="77777777" w:rsidR="005921B9" w:rsidRPr="00116CE6" w:rsidRDefault="005921B9" w:rsidP="000054E0">
                  <w:pPr>
                    <w:rPr>
                      <w:rFonts w:ascii="Arial" w:hAnsi="Arial"/>
                      <w:sz w:val="20"/>
                      <w:szCs w:val="20"/>
                    </w:rPr>
                  </w:pPr>
                </w:p>
              </w:tc>
            </w:tr>
            <w:tr w:rsidR="005921B9" w:rsidRPr="00116CE6" w14:paraId="0C9C45CD" w14:textId="77777777" w:rsidTr="000054E0">
              <w:tc>
                <w:tcPr>
                  <w:tcW w:w="6970" w:type="dxa"/>
                </w:tcPr>
                <w:p w14:paraId="4DC4C3B6" w14:textId="77777777" w:rsidR="005921B9" w:rsidRDefault="005921B9" w:rsidP="000054E0">
                  <w:pPr>
                    <w:rPr>
                      <w:rFonts w:ascii="Arial" w:hAnsi="Arial"/>
                      <w:sz w:val="20"/>
                      <w:szCs w:val="20"/>
                    </w:rPr>
                  </w:pPr>
                </w:p>
                <w:p w14:paraId="1094FCA7" w14:textId="77777777" w:rsidR="005921B9" w:rsidRPr="00022345" w:rsidRDefault="005921B9" w:rsidP="000054E0">
                  <w:pPr>
                    <w:rPr>
                      <w:rFonts w:ascii="Arial" w:hAnsi="Arial"/>
                      <w:b/>
                      <w:sz w:val="20"/>
                      <w:szCs w:val="20"/>
                    </w:rPr>
                  </w:pPr>
                  <w:r w:rsidRPr="00022345">
                    <w:rPr>
                      <w:rFonts w:ascii="Arial" w:hAnsi="Arial"/>
                      <w:b/>
                      <w:sz w:val="20"/>
                      <w:szCs w:val="20"/>
                    </w:rPr>
                    <w:t>Final Mark</w:t>
                  </w:r>
                </w:p>
                <w:p w14:paraId="3EAD5CD9" w14:textId="77777777" w:rsidR="005921B9" w:rsidRPr="00116CE6" w:rsidRDefault="005921B9" w:rsidP="000054E0">
                  <w:pPr>
                    <w:rPr>
                      <w:rFonts w:ascii="Arial" w:hAnsi="Arial"/>
                      <w:sz w:val="20"/>
                      <w:szCs w:val="20"/>
                    </w:rPr>
                  </w:pPr>
                </w:p>
              </w:tc>
              <w:tc>
                <w:tcPr>
                  <w:tcW w:w="1660" w:type="dxa"/>
                </w:tcPr>
                <w:p w14:paraId="1BCFC3EE" w14:textId="77777777" w:rsidR="005921B9" w:rsidRPr="00116CE6" w:rsidRDefault="005921B9" w:rsidP="000054E0">
                  <w:pPr>
                    <w:rPr>
                      <w:rFonts w:ascii="Arial" w:hAnsi="Arial"/>
                      <w:sz w:val="20"/>
                      <w:szCs w:val="20"/>
                    </w:rPr>
                  </w:pPr>
                </w:p>
              </w:tc>
            </w:tr>
          </w:tbl>
          <w:p w14:paraId="622E6FC2" w14:textId="77777777" w:rsidR="005921B9" w:rsidRDefault="005921B9" w:rsidP="000054E0">
            <w:pPr>
              <w:pStyle w:val="ae"/>
              <w:spacing w:before="0" w:beforeAutospacing="0" w:after="0" w:afterAutospacing="0"/>
              <w:ind w:left="142" w:right="34"/>
              <w:rPr>
                <w:rFonts w:ascii="Arial" w:hAnsi="Arial" w:cs="Arial"/>
                <w:b/>
                <w:sz w:val="22"/>
                <w:szCs w:val="22"/>
              </w:rPr>
            </w:pPr>
          </w:p>
          <w:p w14:paraId="2A825EB6" w14:textId="77777777" w:rsidR="005921B9" w:rsidRPr="00230F35" w:rsidRDefault="005921B9" w:rsidP="000054E0">
            <w:pPr>
              <w:pStyle w:val="ae"/>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67841E8" w14:textId="77777777" w:rsidR="005921B9" w:rsidRDefault="005921B9" w:rsidP="000054E0">
            <w:pPr>
              <w:pStyle w:val="ae"/>
              <w:spacing w:before="0" w:beforeAutospacing="0" w:after="0" w:afterAutospacing="0"/>
              <w:rPr>
                <w:rFonts w:ascii="Arial" w:hAnsi="Arial" w:cs="Arial"/>
                <w:b/>
                <w:sz w:val="22"/>
                <w:szCs w:val="22"/>
              </w:rPr>
            </w:pPr>
          </w:p>
          <w:p w14:paraId="2E8560A9" w14:textId="77777777" w:rsidR="005921B9" w:rsidRDefault="005921B9" w:rsidP="000054E0">
            <w:pPr>
              <w:pStyle w:val="ae"/>
              <w:spacing w:before="0" w:beforeAutospacing="0" w:after="0" w:afterAutospacing="0"/>
              <w:rPr>
                <w:rFonts w:ascii="Arial" w:hAnsi="Arial" w:cs="Arial"/>
                <w:b/>
                <w:sz w:val="22"/>
                <w:szCs w:val="22"/>
              </w:rPr>
            </w:pPr>
          </w:p>
          <w:p w14:paraId="4DDA0524" w14:textId="77777777" w:rsidR="005921B9" w:rsidRDefault="005921B9" w:rsidP="000054E0">
            <w:pPr>
              <w:pStyle w:val="ae"/>
              <w:spacing w:before="0" w:beforeAutospacing="0" w:after="0" w:afterAutospacing="0"/>
              <w:rPr>
                <w:rFonts w:ascii="Arial" w:hAnsi="Arial" w:cs="Arial"/>
                <w:b/>
                <w:sz w:val="22"/>
                <w:szCs w:val="22"/>
              </w:rPr>
            </w:pPr>
          </w:p>
          <w:p w14:paraId="40041670" w14:textId="77777777" w:rsidR="005921B9" w:rsidRDefault="005921B9" w:rsidP="000054E0">
            <w:pPr>
              <w:pStyle w:val="ae"/>
              <w:spacing w:before="0" w:beforeAutospacing="0" w:after="0" w:afterAutospacing="0"/>
              <w:rPr>
                <w:rFonts w:ascii="Arial" w:hAnsi="Arial" w:cs="Arial"/>
                <w:b/>
                <w:sz w:val="22"/>
                <w:szCs w:val="22"/>
              </w:rPr>
            </w:pPr>
          </w:p>
          <w:p w14:paraId="77DD90CA" w14:textId="77777777" w:rsidR="005921B9" w:rsidRDefault="005921B9" w:rsidP="000054E0">
            <w:pPr>
              <w:pStyle w:val="ae"/>
              <w:spacing w:before="0" w:beforeAutospacing="0" w:after="0" w:afterAutospacing="0"/>
              <w:rPr>
                <w:rFonts w:ascii="Arial" w:hAnsi="Arial" w:cs="Arial"/>
                <w:b/>
                <w:sz w:val="22"/>
                <w:szCs w:val="22"/>
              </w:rPr>
            </w:pPr>
          </w:p>
          <w:p w14:paraId="0A0887E0" w14:textId="77777777" w:rsidR="005921B9" w:rsidRPr="00230F35" w:rsidRDefault="005921B9" w:rsidP="000054E0">
            <w:pPr>
              <w:pStyle w:val="ae"/>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45164D6" w14:textId="77777777" w:rsidR="005921B9" w:rsidRDefault="005921B9" w:rsidP="000054E0">
            <w:pPr>
              <w:pStyle w:val="ae"/>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1960BA8" w14:textId="77777777" w:rsidR="005921B9" w:rsidRPr="00001C3B" w:rsidRDefault="005921B9" w:rsidP="000054E0">
            <w:pPr>
              <w:pStyle w:val="ae"/>
              <w:rPr>
                <w:rFonts w:ascii="Arial" w:hAnsi="Arial" w:cs="Arial"/>
                <w:sz w:val="22"/>
                <w:szCs w:val="22"/>
              </w:rPr>
            </w:pPr>
          </w:p>
        </w:tc>
      </w:tr>
      <w:tr w:rsidR="005921B9" w:rsidRPr="00230F35" w14:paraId="634C27A0" w14:textId="77777777" w:rsidTr="000054E0">
        <w:trPr>
          <w:trHeight w:val="492"/>
        </w:trPr>
        <w:tc>
          <w:tcPr>
            <w:tcW w:w="6768" w:type="dxa"/>
            <w:gridSpan w:val="3"/>
          </w:tcPr>
          <w:p w14:paraId="164BD3A3" w14:textId="77777777" w:rsidR="005921B9" w:rsidRPr="00230F35" w:rsidRDefault="005921B9" w:rsidP="000054E0">
            <w:pPr>
              <w:pStyle w:val="ae"/>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602C4FD" w14:textId="77777777" w:rsidR="005921B9" w:rsidRPr="00230F35" w:rsidRDefault="005921B9" w:rsidP="000054E0">
            <w:pPr>
              <w:pStyle w:val="ae"/>
              <w:spacing w:after="0"/>
              <w:ind w:left="142" w:right="34"/>
              <w:rPr>
                <w:rFonts w:ascii="Arial" w:hAnsi="Arial" w:cs="Arial"/>
                <w:sz w:val="22"/>
                <w:szCs w:val="22"/>
              </w:rPr>
            </w:pPr>
            <w:r w:rsidRPr="00230F35">
              <w:rPr>
                <w:rFonts w:ascii="Arial" w:hAnsi="Arial" w:cs="Arial"/>
                <w:sz w:val="22"/>
                <w:szCs w:val="22"/>
              </w:rPr>
              <w:t>Date:</w:t>
            </w:r>
          </w:p>
        </w:tc>
      </w:tr>
      <w:tr w:rsidR="005921B9" w:rsidRPr="002F467C" w14:paraId="5901AD0D" w14:textId="77777777" w:rsidTr="000054E0">
        <w:tc>
          <w:tcPr>
            <w:tcW w:w="8856" w:type="dxa"/>
            <w:gridSpan w:val="5"/>
          </w:tcPr>
          <w:p w14:paraId="7B991FEE" w14:textId="77777777" w:rsidR="005921B9" w:rsidRPr="00230F35" w:rsidRDefault="005921B9" w:rsidP="000054E0">
            <w:pPr>
              <w:pStyle w:val="ae"/>
              <w:spacing w:before="0" w:beforeAutospacing="0" w:after="0" w:afterAutospacing="0"/>
              <w:ind w:right="-334"/>
              <w:rPr>
                <w:rFonts w:ascii="Arial" w:hAnsi="Arial" w:cs="Arial"/>
                <w:bCs/>
                <w:i/>
                <w:sz w:val="22"/>
                <w:szCs w:val="22"/>
              </w:rPr>
            </w:pPr>
          </w:p>
          <w:p w14:paraId="3C6AE280" w14:textId="77777777" w:rsidR="005921B9" w:rsidRPr="00230F35" w:rsidRDefault="005921B9" w:rsidP="000054E0">
            <w:pPr>
              <w:pStyle w:val="ae"/>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B8017D9" w14:textId="77777777" w:rsidR="005921B9" w:rsidRPr="00230F35" w:rsidRDefault="005921B9" w:rsidP="000054E0">
            <w:pPr>
              <w:pStyle w:val="ae"/>
              <w:spacing w:before="0" w:beforeAutospacing="0" w:after="0" w:afterAutospacing="0"/>
              <w:ind w:right="-334"/>
              <w:rPr>
                <w:rFonts w:ascii="Arial" w:hAnsi="Arial" w:cs="Arial"/>
                <w:b/>
                <w:bCs/>
                <w:sz w:val="22"/>
                <w:szCs w:val="22"/>
              </w:rPr>
            </w:pPr>
          </w:p>
          <w:p w14:paraId="2C1FC762" w14:textId="77777777" w:rsidR="005921B9" w:rsidRPr="00230F35" w:rsidRDefault="005921B9" w:rsidP="000054E0">
            <w:pPr>
              <w:pStyle w:val="ae"/>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A30D5A3" w14:textId="77777777" w:rsidR="005921B9" w:rsidRPr="00230F35" w:rsidRDefault="005921B9" w:rsidP="000054E0">
            <w:pPr>
              <w:pStyle w:val="ae"/>
              <w:spacing w:before="0" w:beforeAutospacing="0" w:after="0" w:afterAutospacing="0"/>
              <w:ind w:right="-334"/>
              <w:rPr>
                <w:rFonts w:ascii="Arial" w:hAnsi="Arial" w:cs="Arial"/>
                <w:bCs/>
                <w:sz w:val="22"/>
                <w:szCs w:val="22"/>
              </w:rPr>
            </w:pPr>
          </w:p>
          <w:p w14:paraId="1E80C2A8" w14:textId="77777777" w:rsidR="005921B9" w:rsidRPr="00230F35" w:rsidRDefault="005921B9" w:rsidP="000054E0">
            <w:pPr>
              <w:pStyle w:val="ae"/>
              <w:spacing w:before="0" w:beforeAutospacing="0" w:after="0" w:afterAutospacing="0"/>
              <w:ind w:right="-334"/>
              <w:rPr>
                <w:rFonts w:ascii="Arial" w:hAnsi="Arial" w:cs="Arial"/>
                <w:bCs/>
                <w:sz w:val="22"/>
                <w:szCs w:val="22"/>
              </w:rPr>
            </w:pPr>
          </w:p>
          <w:p w14:paraId="4CB864D9" w14:textId="77777777" w:rsidR="005921B9" w:rsidRPr="00230F35" w:rsidRDefault="005921B9" w:rsidP="000054E0">
            <w:pPr>
              <w:pStyle w:val="ae"/>
              <w:spacing w:before="0" w:beforeAutospacing="0" w:after="0" w:afterAutospacing="0"/>
              <w:ind w:right="-334"/>
              <w:rPr>
                <w:rFonts w:ascii="Arial" w:hAnsi="Arial" w:cs="Arial"/>
                <w:bCs/>
                <w:sz w:val="22"/>
                <w:szCs w:val="22"/>
              </w:rPr>
            </w:pPr>
          </w:p>
        </w:tc>
      </w:tr>
      <w:tr w:rsidR="005921B9" w:rsidRPr="002F467C" w14:paraId="433499C1" w14:textId="77777777" w:rsidTr="000054E0">
        <w:trPr>
          <w:trHeight w:val="720"/>
        </w:trPr>
        <w:tc>
          <w:tcPr>
            <w:tcW w:w="5211" w:type="dxa"/>
            <w:gridSpan w:val="2"/>
          </w:tcPr>
          <w:p w14:paraId="3058ABDB" w14:textId="77777777" w:rsidR="005921B9" w:rsidRPr="00230F35" w:rsidRDefault="005921B9" w:rsidP="000054E0">
            <w:pPr>
              <w:pStyle w:val="ae"/>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4C5CC1F" w14:textId="77777777" w:rsidR="005921B9" w:rsidRPr="00230F35" w:rsidRDefault="005921B9" w:rsidP="000054E0">
            <w:pPr>
              <w:pStyle w:val="ae"/>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921B9" w:rsidRPr="002F467C" w14:paraId="2571EFC3" w14:textId="77777777" w:rsidTr="000054E0">
        <w:trPr>
          <w:trHeight w:val="720"/>
        </w:trPr>
        <w:tc>
          <w:tcPr>
            <w:tcW w:w="8856" w:type="dxa"/>
            <w:gridSpan w:val="5"/>
          </w:tcPr>
          <w:p w14:paraId="53FB4872" w14:textId="77777777" w:rsidR="005921B9" w:rsidRPr="00B34964" w:rsidRDefault="005921B9" w:rsidP="000054E0">
            <w:pPr>
              <w:rPr>
                <w:rFonts w:ascii="Arial" w:hAnsi="Arial" w:cs="Arial"/>
                <w:b/>
                <w:sz w:val="22"/>
                <w:szCs w:val="22"/>
              </w:rPr>
            </w:pPr>
            <w:r w:rsidRPr="00B34964">
              <w:rPr>
                <w:rFonts w:ascii="Arial" w:hAnsi="Arial" w:cs="Arial"/>
                <w:b/>
                <w:sz w:val="22"/>
                <w:szCs w:val="22"/>
              </w:rPr>
              <w:t>External Examiner’s comments (if relevant)</w:t>
            </w:r>
          </w:p>
          <w:p w14:paraId="6A171441" w14:textId="77777777" w:rsidR="005921B9" w:rsidRPr="00230F35" w:rsidRDefault="005921B9" w:rsidP="000054E0">
            <w:pPr>
              <w:pStyle w:val="ae"/>
              <w:spacing w:before="0" w:beforeAutospacing="0" w:after="0" w:afterAutospacing="0"/>
              <w:ind w:right="-334"/>
              <w:rPr>
                <w:rFonts w:ascii="Arial" w:hAnsi="Arial" w:cs="Arial"/>
                <w:bCs/>
                <w:sz w:val="22"/>
                <w:szCs w:val="22"/>
              </w:rPr>
            </w:pPr>
          </w:p>
          <w:p w14:paraId="1270EF76" w14:textId="77777777" w:rsidR="005921B9" w:rsidRPr="00230F35" w:rsidRDefault="005921B9" w:rsidP="000054E0">
            <w:pPr>
              <w:pStyle w:val="ae"/>
              <w:spacing w:before="0" w:beforeAutospacing="0" w:after="0" w:afterAutospacing="0"/>
              <w:ind w:right="-334"/>
              <w:rPr>
                <w:rFonts w:ascii="Arial" w:hAnsi="Arial" w:cs="Arial"/>
                <w:bCs/>
                <w:sz w:val="22"/>
                <w:szCs w:val="22"/>
              </w:rPr>
            </w:pPr>
          </w:p>
          <w:p w14:paraId="119F4049" w14:textId="77777777" w:rsidR="005921B9" w:rsidRPr="00230F35" w:rsidRDefault="005921B9" w:rsidP="000054E0">
            <w:pPr>
              <w:pStyle w:val="ae"/>
              <w:spacing w:before="0" w:beforeAutospacing="0" w:after="0" w:afterAutospacing="0"/>
              <w:ind w:right="-334"/>
              <w:rPr>
                <w:rFonts w:ascii="Arial" w:hAnsi="Arial" w:cs="Arial"/>
                <w:bCs/>
                <w:sz w:val="22"/>
                <w:szCs w:val="22"/>
              </w:rPr>
            </w:pPr>
          </w:p>
        </w:tc>
      </w:tr>
      <w:tr w:rsidR="005921B9" w:rsidRPr="002F467C" w14:paraId="7080176A" w14:textId="77777777" w:rsidTr="000054E0">
        <w:trPr>
          <w:trHeight w:val="720"/>
        </w:trPr>
        <w:tc>
          <w:tcPr>
            <w:tcW w:w="5211" w:type="dxa"/>
            <w:gridSpan w:val="2"/>
          </w:tcPr>
          <w:p w14:paraId="1F07CB02" w14:textId="77777777" w:rsidR="005921B9" w:rsidRPr="00230F35" w:rsidRDefault="005921B9" w:rsidP="000054E0">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903C3ED" w14:textId="77777777" w:rsidR="005921B9" w:rsidRPr="00230F35" w:rsidRDefault="005921B9" w:rsidP="000054E0">
            <w:pPr>
              <w:rPr>
                <w:rFonts w:ascii="Arial" w:hAnsi="Arial" w:cs="Arial"/>
                <w:sz w:val="22"/>
                <w:szCs w:val="22"/>
              </w:rPr>
            </w:pPr>
            <w:r w:rsidRPr="00230F35">
              <w:rPr>
                <w:rFonts w:ascii="Arial" w:hAnsi="Arial" w:cs="Arial"/>
                <w:sz w:val="22"/>
                <w:szCs w:val="22"/>
              </w:rPr>
              <w:t>Date:</w:t>
            </w:r>
          </w:p>
        </w:tc>
      </w:tr>
    </w:tbl>
    <w:p w14:paraId="7D0F1FCF" w14:textId="77777777" w:rsidR="005921B9" w:rsidRDefault="005921B9" w:rsidP="005921B9">
      <w:pPr>
        <w:pStyle w:val="ae"/>
        <w:spacing w:before="0" w:beforeAutospacing="0" w:after="0" w:afterAutospacing="0"/>
        <w:ind w:right="-334"/>
        <w:rPr>
          <w:rFonts w:ascii="Trebuchet MS" w:hAnsi="Trebuchet MS" w:cs="Tahoma" w:hint="eastAsia"/>
          <w:bCs/>
          <w:sz w:val="24"/>
          <w:szCs w:val="24"/>
        </w:rPr>
      </w:pPr>
    </w:p>
    <w:p w14:paraId="0781BFB0" w14:textId="77777777" w:rsidR="00CA7DEA" w:rsidRDefault="00CA7DEA" w:rsidP="005921B9">
      <w:pPr>
        <w:pStyle w:val="ae"/>
        <w:spacing w:before="0" w:beforeAutospacing="0" w:after="0" w:afterAutospacing="0"/>
        <w:ind w:right="-334"/>
        <w:rPr>
          <w:rFonts w:ascii="Trebuchet MS" w:hAnsi="Trebuchet MS" w:cs="Tahoma" w:hint="eastAsia"/>
          <w:bCs/>
          <w:sz w:val="24"/>
          <w:szCs w:val="24"/>
        </w:rPr>
      </w:pPr>
    </w:p>
    <w:p w14:paraId="17A3731F" w14:textId="77777777" w:rsidR="00CA7DEA" w:rsidRDefault="00CA7DEA" w:rsidP="005921B9">
      <w:pPr>
        <w:pStyle w:val="ae"/>
        <w:spacing w:before="0" w:beforeAutospacing="0" w:after="0" w:afterAutospacing="0"/>
        <w:ind w:right="-334"/>
        <w:rPr>
          <w:rFonts w:ascii="Trebuchet MS" w:hAnsi="Trebuchet MS" w:cs="Tahoma" w:hint="eastAsia"/>
          <w:bCs/>
          <w:sz w:val="24"/>
          <w:szCs w:val="24"/>
        </w:rPr>
      </w:pPr>
    </w:p>
    <w:p w14:paraId="748417DE" w14:textId="77777777" w:rsidR="00CA7DEA" w:rsidRPr="00D67BF8" w:rsidRDefault="00CA7DEA" w:rsidP="005921B9">
      <w:pPr>
        <w:pStyle w:val="ae"/>
        <w:spacing w:before="0" w:beforeAutospacing="0" w:after="0" w:afterAutospacing="0"/>
        <w:ind w:right="-334"/>
        <w:rPr>
          <w:rFonts w:ascii="Trebuchet MS" w:hAnsi="Trebuchet MS" w:cs="Tahoma" w:hint="eastAsia"/>
          <w:bCs/>
          <w:sz w:val="24"/>
          <w:szCs w:val="24"/>
        </w:rPr>
      </w:pPr>
    </w:p>
    <w:p w14:paraId="4729308A" w14:textId="2D655726" w:rsidR="000176CF" w:rsidRPr="009549E6" w:rsidRDefault="00E43638">
      <w:pPr>
        <w:rPr>
          <w:u w:val="single"/>
        </w:rPr>
      </w:pPr>
      <w:r w:rsidRPr="009549E6">
        <w:rPr>
          <w:rFonts w:hint="eastAsia"/>
          <w:u w:val="single"/>
        </w:rPr>
        <w:lastRenderedPageBreak/>
        <w:t>Research Methodology</w:t>
      </w:r>
      <w:r w:rsidR="00586CE2">
        <w:rPr>
          <w:u w:val="single"/>
        </w:rPr>
        <w:t xml:space="preserve"> 2018-19</w:t>
      </w:r>
      <w:r w:rsidRPr="009549E6">
        <w:rPr>
          <w:rFonts w:hint="eastAsia"/>
          <w:u w:val="single"/>
        </w:rPr>
        <w:t xml:space="preserve"> </w:t>
      </w:r>
      <w:r w:rsidRPr="009549E6">
        <w:rPr>
          <w:u w:val="single"/>
        </w:rPr>
        <w:t>–</w:t>
      </w:r>
      <w:r w:rsidRPr="009549E6">
        <w:rPr>
          <w:rFonts w:hint="eastAsia"/>
          <w:u w:val="single"/>
        </w:rPr>
        <w:t xml:space="preserve"> Assignment </w:t>
      </w:r>
      <w:r w:rsidRPr="009549E6">
        <w:rPr>
          <w:u w:val="single"/>
        </w:rPr>
        <w:t>3 (</w:t>
      </w:r>
      <w:r w:rsidR="00586CE2">
        <w:rPr>
          <w:rFonts w:hint="eastAsia"/>
          <w:u w:val="single"/>
        </w:rPr>
        <w:t>Final</w:t>
      </w:r>
      <w:r w:rsidR="00586CE2">
        <w:rPr>
          <w:u w:val="single"/>
        </w:rPr>
        <w:t xml:space="preserve"> Submission</w:t>
      </w:r>
      <w:r w:rsidRPr="009549E6">
        <w:rPr>
          <w:u w:val="single"/>
        </w:rPr>
        <w:t>)</w:t>
      </w:r>
      <w:bookmarkStart w:id="4" w:name="_GoBack"/>
      <w:bookmarkEnd w:id="4"/>
    </w:p>
    <w:p w14:paraId="58036CDE" w14:textId="77777777" w:rsidR="007C1704" w:rsidRDefault="007C1704"/>
    <w:p w14:paraId="6625CF9F" w14:textId="4085FBF2" w:rsidR="000900C7" w:rsidRDefault="00BE6CD9">
      <w:r>
        <w:t xml:space="preserve">The Conques tympanum </w:t>
      </w:r>
      <w:r w:rsidR="00711853">
        <w:t>is a t</w:t>
      </w:r>
      <w:r w:rsidR="00093A93">
        <w:t>welfth</w:t>
      </w:r>
      <w:r w:rsidR="00093A93">
        <w:rPr>
          <w:rFonts w:hint="eastAsia"/>
        </w:rPr>
        <w:t>-</w:t>
      </w:r>
      <w:r w:rsidR="00711853">
        <w:t xml:space="preserve">century sculpture situated at the western entrance of the Church of St. Foy at Conques. The tympanum depicts a detailed representation of the last judgement, with the figure of Christ placed at the centre of the piece </w:t>
      </w:r>
      <w:r w:rsidR="00C35D18">
        <w:t xml:space="preserve">presiding over the </w:t>
      </w:r>
      <w:r w:rsidR="00711853">
        <w:t xml:space="preserve">judgement </w:t>
      </w:r>
      <w:r w:rsidR="00C35D18">
        <w:t>of</w:t>
      </w:r>
      <w:r w:rsidR="00711853">
        <w:t xml:space="preserve"> the souls of the resurrected. </w:t>
      </w:r>
    </w:p>
    <w:p w14:paraId="157A09AB" w14:textId="77777777" w:rsidR="00711853" w:rsidRDefault="00711853"/>
    <w:p w14:paraId="58C82DE4" w14:textId="53A8ECE5" w:rsidR="00D23D78" w:rsidRDefault="00711853">
      <w:r>
        <w:t xml:space="preserve">The sculpture is separated into a number of distinct </w:t>
      </w:r>
      <w:r w:rsidR="005645FD">
        <w:t>parts, separated by decorative</w:t>
      </w:r>
      <w:r>
        <w:t xml:space="preserve"> or textual features.</w:t>
      </w:r>
      <w:r w:rsidR="00C92B75">
        <w:rPr>
          <w:rStyle w:val="a6"/>
        </w:rPr>
        <w:footnoteReference w:id="1"/>
      </w:r>
      <w:r>
        <w:t xml:space="preserve"> Christ </w:t>
      </w:r>
      <w:r w:rsidR="00D32F2B">
        <w:t>is situated</w:t>
      </w:r>
      <w:r>
        <w:t xml:space="preserve"> alone in the centre, </w:t>
      </w:r>
      <w:r w:rsidR="004E1278">
        <w:t>larger than any other figure</w:t>
      </w:r>
      <w:r w:rsidR="00D32F2B">
        <w:t>,</w:t>
      </w:r>
      <w:r w:rsidR="004E1278">
        <w:t xml:space="preserve"> and </w:t>
      </w:r>
      <w:r w:rsidR="00D32F2B">
        <w:t>enclosed</w:t>
      </w:r>
      <w:r>
        <w:t xml:space="preserve"> </w:t>
      </w:r>
      <w:r w:rsidR="00D32F2B">
        <w:t>in</w:t>
      </w:r>
      <w:r>
        <w:t xml:space="preserve"> a </w:t>
      </w:r>
      <w:r w:rsidR="00D32F2B">
        <w:t>mandorla</w:t>
      </w:r>
      <w:r w:rsidR="004E1278">
        <w:t xml:space="preserve"> of clouds</w:t>
      </w:r>
      <w:r>
        <w:t xml:space="preserve">. </w:t>
      </w:r>
      <w:r w:rsidR="004E1278">
        <w:t>The rest of the image is essentially divided into the depiction of the saved</w:t>
      </w:r>
      <w:r w:rsidR="00633FE5">
        <w:t xml:space="preserve"> (the elect)</w:t>
      </w:r>
      <w:r w:rsidR="004E1278">
        <w:t xml:space="preserve"> in heaven</w:t>
      </w:r>
      <w:r w:rsidR="002620CC">
        <w:t>, placed to Christ’s right, and the damned suffering eternal torment in hell to Christ’s left.</w:t>
      </w:r>
      <w:r w:rsidR="006247A2">
        <w:rPr>
          <w:rStyle w:val="a6"/>
        </w:rPr>
        <w:footnoteReference w:id="2"/>
      </w:r>
      <w:r w:rsidR="002620CC">
        <w:t xml:space="preserve"> </w:t>
      </w:r>
      <w:r w:rsidR="004E1278">
        <w:t xml:space="preserve"> </w:t>
      </w:r>
      <w:r w:rsidR="002620CC">
        <w:t>In the central register, im</w:t>
      </w:r>
      <w:r w:rsidR="005F6D49">
        <w:t>m</w:t>
      </w:r>
      <w:r w:rsidR="002620CC">
        <w:t xml:space="preserve">ediately to Christ’s right, is a procession of significant Christian saints, including Mary and Peter, </w:t>
      </w:r>
      <w:r w:rsidR="004E1278">
        <w:t xml:space="preserve">as well as </w:t>
      </w:r>
      <w:r w:rsidR="002620CC">
        <w:t>Charlemagne, who donated the land for the church.</w:t>
      </w:r>
      <w:r w:rsidR="00D23D78">
        <w:t xml:space="preserve"> </w:t>
      </w:r>
      <w:r w:rsidR="002620CC">
        <w:t xml:space="preserve">Below this procession, in a separate section, is the figure of </w:t>
      </w:r>
      <w:r w:rsidR="004E1278">
        <w:t>St</w:t>
      </w:r>
      <w:r w:rsidR="00C35D18">
        <w:t xml:space="preserve">. Foy herself, </w:t>
      </w:r>
      <w:r w:rsidR="002620CC">
        <w:t>who is show</w:t>
      </w:r>
      <w:r w:rsidR="005F6D49">
        <w:t>n</w:t>
      </w:r>
      <w:r w:rsidR="002620CC">
        <w:t xml:space="preserve"> prostrate before the hand of God, in the act of intersecting</w:t>
      </w:r>
      <w:r w:rsidR="005F6D49">
        <w:t xml:space="preserve"> for the souls of the resurre</w:t>
      </w:r>
      <w:r w:rsidR="002620CC">
        <w:t xml:space="preserve">cted. </w:t>
      </w:r>
      <w:r w:rsidR="00D23D78">
        <w:t xml:space="preserve">There is also a depiction of the Church of Saint Foy behind her, with cuffs hanging from the walls. </w:t>
      </w:r>
      <w:r w:rsidR="009549E6">
        <w:t>This would have been understood as a reference to her role in freeing religiou</w:t>
      </w:r>
      <w:r w:rsidR="00C92B75">
        <w:t>s prisoners during Roman times.</w:t>
      </w:r>
      <w:r w:rsidR="00BA66CB">
        <w:rPr>
          <w:rStyle w:val="a6"/>
        </w:rPr>
        <w:footnoteReference w:id="3"/>
      </w:r>
    </w:p>
    <w:p w14:paraId="08792C50" w14:textId="77777777" w:rsidR="00D23D78" w:rsidRDefault="00D23D78"/>
    <w:p w14:paraId="0F2C4ED7" w14:textId="73E2FC6B" w:rsidR="004E1278" w:rsidRDefault="00C35D18">
      <w:r>
        <w:t>The bodies of the de</w:t>
      </w:r>
      <w:r w:rsidR="009549E6">
        <w:t>ad are shown being awakened on judg</w:t>
      </w:r>
      <w:r w:rsidR="00471C38">
        <w:t>e</w:t>
      </w:r>
      <w:r w:rsidR="009549E6">
        <w:t>ment d</w:t>
      </w:r>
      <w:r>
        <w:t xml:space="preserve">ay and Saint Michael weighs their souls while a demon watches on expectantly, gesturing to distract him. The </w:t>
      </w:r>
      <w:r w:rsidR="008060F5">
        <w:t xml:space="preserve">elect are led away by an angel to take </w:t>
      </w:r>
      <w:r>
        <w:t>their place in a very stately and regal depiction of heaven with Abraham at its centre.</w:t>
      </w:r>
      <w:r w:rsidR="008060F5">
        <w:rPr>
          <w:rStyle w:val="a6"/>
        </w:rPr>
        <w:footnoteReference w:id="4"/>
      </w:r>
      <w:r>
        <w:t xml:space="preserve"> </w:t>
      </w:r>
      <w:r w:rsidR="002620CC">
        <w:t xml:space="preserve">The damned, meanwhile, are devoured by Leviathan at the mouth of hell and excreted into the realm of everlasting torment. Lucifer sits in </w:t>
      </w:r>
      <w:r w:rsidR="00D23D78">
        <w:t>mock majesty, grimly mirroring the role of Christ and Abraham. The depictions of torture and punishment</w:t>
      </w:r>
      <w:r w:rsidR="00EE6AFF">
        <w:t>, as Denny observes,</w:t>
      </w:r>
      <w:r w:rsidR="00D23D78">
        <w:t xml:space="preserve"> are particularly vivid and numerous.</w:t>
      </w:r>
      <w:r w:rsidR="00EE6AFF">
        <w:rPr>
          <w:rStyle w:val="a6"/>
        </w:rPr>
        <w:footnoteReference w:id="5"/>
      </w:r>
    </w:p>
    <w:p w14:paraId="751F6768" w14:textId="77777777" w:rsidR="00D23D78" w:rsidRDefault="00D23D78"/>
    <w:p w14:paraId="534E1E16" w14:textId="4BB06E49" w:rsidR="00D23D78" w:rsidRDefault="00D23D78">
      <w:r>
        <w:t xml:space="preserve">The principal theme and message of the piece is clear: sinners will face eternal punishment for their wickedness. </w:t>
      </w:r>
      <w:r w:rsidR="001D76CA">
        <w:t xml:space="preserve">A range of sins are depicted, along with </w:t>
      </w:r>
      <w:r w:rsidR="00A05774">
        <w:t>apposite</w:t>
      </w:r>
      <w:r w:rsidR="001D76CA">
        <w:t xml:space="preserve"> punishments. An idle man is shown prostrate beneath Satan’s feet, a miser is hanged with his own grant cord</w:t>
      </w:r>
      <w:r w:rsidR="00F720B5">
        <w:t xml:space="preserve">, and a proud knight </w:t>
      </w:r>
      <w:r w:rsidR="009549E6">
        <w:t xml:space="preserve">literally takes a fall from his horse and </w:t>
      </w:r>
      <w:r w:rsidR="00F720B5">
        <w:t xml:space="preserve">is skewered </w:t>
      </w:r>
      <w:r w:rsidR="009549E6">
        <w:t>by waiting demons</w:t>
      </w:r>
      <w:r w:rsidR="001D76CA">
        <w:t>.</w:t>
      </w:r>
      <w:r w:rsidR="00F720B5">
        <w:t xml:space="preserve"> </w:t>
      </w:r>
      <w:r w:rsidR="009549E6">
        <w:t xml:space="preserve">There are also depictions of </w:t>
      </w:r>
      <w:r w:rsidR="00A05774">
        <w:lastRenderedPageBreak/>
        <w:t>true to life</w:t>
      </w:r>
      <w:r w:rsidR="009549E6">
        <w:t xml:space="preserve"> punishments, such as a blasphemer having his tongue pierced so a stick can be inserted and an adulterous couple tied by the neck and hands</w:t>
      </w:r>
      <w:r w:rsidR="00471C38">
        <w:t xml:space="preserve"> awaiting their fate</w:t>
      </w:r>
      <w:r w:rsidR="009549E6">
        <w:t>.</w:t>
      </w:r>
    </w:p>
    <w:p w14:paraId="539AF312" w14:textId="77777777" w:rsidR="000900C7" w:rsidRDefault="000900C7"/>
    <w:p w14:paraId="4EEFE754" w14:textId="7F22096B" w:rsidR="00ED7D29" w:rsidRDefault="0026294B">
      <w:r>
        <w:t xml:space="preserve">The Conques tympanum was created in the twelfth century at the height of </w:t>
      </w:r>
      <w:r w:rsidR="00E94CEA">
        <w:rPr>
          <w:rFonts w:hint="eastAsia"/>
        </w:rPr>
        <w:t>what</w:t>
      </w:r>
      <w:r w:rsidR="00E94CEA">
        <w:t xml:space="preserve"> Col</w:t>
      </w:r>
      <w:r w:rsidR="00093A93">
        <w:t>ette Deremble describes as the ‘</w:t>
      </w:r>
      <w:r w:rsidR="00E94CEA">
        <w:t>fev</w:t>
      </w:r>
      <w:r w:rsidR="00093A93">
        <w:t xml:space="preserve">er of construction’ </w:t>
      </w:r>
      <w:r w:rsidR="00E94CEA">
        <w:t xml:space="preserve">in </w:t>
      </w:r>
      <w:r>
        <w:t xml:space="preserve">the </w:t>
      </w:r>
      <w:r w:rsidR="00E94CEA">
        <w:t xml:space="preserve">high </w:t>
      </w:r>
      <w:r>
        <w:t>Romanesque period of Western</w:t>
      </w:r>
      <w:r w:rsidR="00E94CEA">
        <w:t xml:space="preserve"> religious</w:t>
      </w:r>
      <w:r>
        <w:t xml:space="preserve"> art.</w:t>
      </w:r>
      <w:r w:rsidR="003E066D">
        <w:rPr>
          <w:rStyle w:val="a6"/>
        </w:rPr>
        <w:footnoteReference w:id="6"/>
      </w:r>
      <w:r w:rsidR="00E94CEA">
        <w:t xml:space="preserve"> The early 1100s saw a number of social and </w:t>
      </w:r>
      <w:r w:rsidR="00C51FA2">
        <w:t>economic</w:t>
      </w:r>
      <w:r w:rsidR="00E94CEA">
        <w:t xml:space="preserve"> developments, including greater peace and political consolidation in Europe, </w:t>
      </w:r>
      <w:r w:rsidR="00C51FA2">
        <w:t xml:space="preserve">along with </w:t>
      </w:r>
      <w:r w:rsidR="00E94CEA">
        <w:t xml:space="preserve">the </w:t>
      </w:r>
      <w:r w:rsidR="00C51FA2">
        <w:t xml:space="preserve">advent of feudalism. It was also a time of great religious fervor, with the preaching of the crusades and the rise of the </w:t>
      </w:r>
      <w:r w:rsidR="00C4389D">
        <w:t>monasteries</w:t>
      </w:r>
      <w:r w:rsidR="00A05774">
        <w:t xml:space="preserve"> and stone cathedrals</w:t>
      </w:r>
      <w:r w:rsidR="00C51FA2">
        <w:t xml:space="preserve"> across Europe. All of these changes led to greater patronage of religious institutions, with significant wealth being channeled</w:t>
      </w:r>
      <w:r w:rsidR="004352F9">
        <w:t>, in particular,</w:t>
      </w:r>
      <w:r w:rsidR="00C51FA2">
        <w:t xml:space="preserve"> into artistic </w:t>
      </w:r>
      <w:r w:rsidR="00A05774">
        <w:t xml:space="preserve">and building </w:t>
      </w:r>
      <w:r w:rsidR="00C51FA2">
        <w:t xml:space="preserve">projects along the pilgrimage route to Santiago. </w:t>
      </w:r>
      <w:r w:rsidR="00336F61">
        <w:t xml:space="preserve">Much of the patronage for the monastery at Conques came from Spanish nobles, including Alfonso </w:t>
      </w:r>
      <w:r w:rsidR="00C64277">
        <w:t>V</w:t>
      </w:r>
      <w:r w:rsidR="00336F61">
        <w:t>I, who donated funds and land to the monks acquired as spoi</w:t>
      </w:r>
      <w:r w:rsidR="00711C4C">
        <w:t>ls in the crusade against the Muslim</w:t>
      </w:r>
      <w:r w:rsidR="00A05774">
        <w:t>s in Spain</w:t>
      </w:r>
      <w:r w:rsidR="00711C4C">
        <w:t>.</w:t>
      </w:r>
      <w:r w:rsidR="005B58E0">
        <w:rPr>
          <w:rStyle w:val="a6"/>
        </w:rPr>
        <w:footnoteReference w:id="7"/>
      </w:r>
      <w:r w:rsidR="004D6529">
        <w:t xml:space="preserve"> It was also common for wealthy pilgrims</w:t>
      </w:r>
      <w:r w:rsidR="005B58E0">
        <w:t xml:space="preserve"> from distant places</w:t>
      </w:r>
      <w:r w:rsidR="004D6529">
        <w:t xml:space="preserve"> to donate property and land to the monastery</w:t>
      </w:r>
      <w:r w:rsidR="005B58E0">
        <w:t>.</w:t>
      </w:r>
      <w:r w:rsidR="005B58E0">
        <w:rPr>
          <w:rStyle w:val="a6"/>
        </w:rPr>
        <w:footnoteReference w:id="8"/>
      </w:r>
      <w:r w:rsidR="005B58E0">
        <w:t xml:space="preserve"> </w:t>
      </w:r>
      <w:r w:rsidR="004D6529">
        <w:t xml:space="preserve"> </w:t>
      </w:r>
    </w:p>
    <w:p w14:paraId="2B8BFBF9" w14:textId="77777777" w:rsidR="00ED7D29" w:rsidRDefault="00ED7D29"/>
    <w:p w14:paraId="010D29AF" w14:textId="42544089" w:rsidR="00C5525C" w:rsidRDefault="004352F9">
      <w:r>
        <w:t xml:space="preserve">The Conques tympanum was </w:t>
      </w:r>
      <w:r w:rsidR="0042159B">
        <w:t>commissioned in this</w:t>
      </w:r>
      <w:r w:rsidR="00093A93">
        <w:t xml:space="preserve"> context by A</w:t>
      </w:r>
      <w:r w:rsidR="00A05774">
        <w:t xml:space="preserve">bbot Bego III some </w:t>
      </w:r>
      <w:r w:rsidR="0042159B">
        <w:t>time between 1107 and 1130.</w:t>
      </w:r>
      <w:r w:rsidR="00C4389D">
        <w:rPr>
          <w:rStyle w:val="a6"/>
        </w:rPr>
        <w:footnoteReference w:id="9"/>
      </w:r>
      <w:r w:rsidR="0042159B">
        <w:t xml:space="preserve"> The </w:t>
      </w:r>
      <w:r w:rsidR="00800750">
        <w:t xml:space="preserve">primary </w:t>
      </w:r>
      <w:r>
        <w:t xml:space="preserve">intended audience for the sculpture was </w:t>
      </w:r>
      <w:r w:rsidR="00800750">
        <w:t>arguably</w:t>
      </w:r>
      <w:r>
        <w:t xml:space="preserve"> the steady stream of pilgrims that passed through Conques each year.</w:t>
      </w:r>
      <w:r w:rsidR="00ED7D29">
        <w:t xml:space="preserve"> As the majority of the pilgrims are likely to have been illiterate, sculpture and other visual arts represented an important way of reinforcing the Christian church’s message to the masses. They would no doubt have been familiar with the theme of the apocalypse and God’s final judgement from hearing the liturgy. However, seeing such a vivid </w:t>
      </w:r>
      <w:r w:rsidR="00C5525C">
        <w:t>sculpture, particularly when it was freshly carved and painted in vivid colours, must have made a deep impression on the viewer. In this sense, the tympanum had a didactic purpose</w:t>
      </w:r>
      <w:r w:rsidR="00621F01">
        <w:t>, something reinforced for literate viewers by the inscription around the tympanum</w:t>
      </w:r>
      <w:r w:rsidR="00C5525C">
        <w:t>.</w:t>
      </w:r>
      <w:r w:rsidR="00800750">
        <w:rPr>
          <w:rStyle w:val="a6"/>
        </w:rPr>
        <w:footnoteReference w:id="10"/>
      </w:r>
      <w:r w:rsidR="00C5525C">
        <w:t xml:space="preserve"> </w:t>
      </w:r>
    </w:p>
    <w:p w14:paraId="5F3AA292" w14:textId="77777777" w:rsidR="00C5525C" w:rsidRDefault="00C5525C"/>
    <w:p w14:paraId="77510E50" w14:textId="0F38B6D5" w:rsidR="00C5525C" w:rsidRDefault="00C5525C">
      <w:r>
        <w:t>Indeed, we might go further and argue it was also erected as a</w:t>
      </w:r>
      <w:r w:rsidR="004E75ED">
        <w:t>n explicit</w:t>
      </w:r>
      <w:r>
        <w:t xml:space="preserve"> warning </w:t>
      </w:r>
      <w:r w:rsidR="00800750">
        <w:t>about</w:t>
      </w:r>
      <w:r>
        <w:t xml:space="preserve"> the fate awaiting sinners who did not heed the church’s teachings. The growth of urban developments and economic changes in Europe had led to a greater emphasis on material concerns and accumulation of wealth. The Conques tympanum, as well as related sculptures in sister churches along the pilgrim </w:t>
      </w:r>
      <w:r>
        <w:lastRenderedPageBreak/>
        <w:t>route</w:t>
      </w:r>
      <w:r w:rsidR="00802377">
        <w:t>s of southern France</w:t>
      </w:r>
      <w:r>
        <w:t xml:space="preserve">, stood as </w:t>
      </w:r>
      <w:r w:rsidR="0042159B">
        <w:t xml:space="preserve">a </w:t>
      </w:r>
      <w:r>
        <w:t xml:space="preserve">stark </w:t>
      </w:r>
      <w:r w:rsidR="004E75ED">
        <w:t>reminder of the consequences</w:t>
      </w:r>
      <w:r>
        <w:t xml:space="preserve"> </w:t>
      </w:r>
      <w:r w:rsidR="004E75ED">
        <w:t>of</w:t>
      </w:r>
      <w:r>
        <w:t xml:space="preserve"> avarice and usury, as well as other perceived evils and temptations waiting to </w:t>
      </w:r>
      <w:r w:rsidR="0042159B">
        <w:t>ensnare the mortal souls of non-pious</w:t>
      </w:r>
      <w:r w:rsidR="00A05774">
        <w:t>, worldly-focused</w:t>
      </w:r>
      <w:r w:rsidR="0042159B">
        <w:t xml:space="preserve"> individuals.</w:t>
      </w:r>
      <w:r w:rsidR="00800750">
        <w:rPr>
          <w:rStyle w:val="a6"/>
        </w:rPr>
        <w:footnoteReference w:id="11"/>
      </w:r>
      <w:r w:rsidR="000440F9">
        <w:t xml:space="preserve"> </w:t>
      </w:r>
      <w:r w:rsidR="0042159B">
        <w:t xml:space="preserve">However, </w:t>
      </w:r>
      <w:r w:rsidR="000440F9">
        <w:t xml:space="preserve">we might also argue that the tympanum also had a </w:t>
      </w:r>
      <w:r w:rsidR="00A05774">
        <w:t xml:space="preserve">specific </w:t>
      </w:r>
      <w:r w:rsidR="000440F9">
        <w:t>warning for wealthier pilgrims</w:t>
      </w:r>
      <w:r w:rsidR="004E75ED">
        <w:t xml:space="preserve"> too</w:t>
      </w:r>
      <w:r w:rsidR="000440F9">
        <w:t xml:space="preserve">, </w:t>
      </w:r>
      <w:r w:rsidR="00A05774">
        <w:t>reminding them</w:t>
      </w:r>
      <w:r w:rsidR="00336F61">
        <w:t xml:space="preserve"> </w:t>
      </w:r>
      <w:r w:rsidR="000440F9">
        <w:t xml:space="preserve">that they needed to show their devotion to the church through donations or perhaps by going on crusade in the holy land. </w:t>
      </w:r>
      <w:r w:rsidR="00711C4C">
        <w:t>St. Foy was widely reputed to wreak terrible physical retribution on the stingy who refused to make material contributions to the church at Conques, which was the centre of her cult and the site of her relics.</w:t>
      </w:r>
      <w:r w:rsidR="00A03B71">
        <w:rPr>
          <w:rStyle w:val="a6"/>
        </w:rPr>
        <w:footnoteReference w:id="12"/>
      </w:r>
      <w:r w:rsidR="00711C4C">
        <w:t xml:space="preserve"> The tympanum would have been a solid, visible reminder of such stories in its depictions of torture and punishment.</w:t>
      </w:r>
    </w:p>
    <w:p w14:paraId="588F3EEF" w14:textId="77777777" w:rsidR="00A9388C" w:rsidRDefault="00A9388C"/>
    <w:p w14:paraId="49102851" w14:textId="2ABB36E4" w:rsidR="00802377" w:rsidRDefault="00802377">
      <w:r>
        <w:t>The Conques tympanum is significant for a number of reasons. For a start, the</w:t>
      </w:r>
      <w:r w:rsidR="00621F01">
        <w:t>re are notable</w:t>
      </w:r>
      <w:r w:rsidR="00025D8E">
        <w:t xml:space="preserve"> </w:t>
      </w:r>
      <w:r w:rsidR="00CC2640">
        <w:t>likenesses</w:t>
      </w:r>
      <w:r>
        <w:t xml:space="preserve"> in the structure and themes of the sculpture to the artworks adorning other churches in the region</w:t>
      </w:r>
      <w:r w:rsidR="00621F01">
        <w:t>. It is important to remember that these churches did not exist in isolation and that, at the time of construction, the Cluny monastery held a dominant positi</w:t>
      </w:r>
      <w:r w:rsidR="00CC2640">
        <w:t>on in French monastic affairs.</w:t>
      </w:r>
      <w:r>
        <w:t xml:space="preserve"> </w:t>
      </w:r>
      <w:r w:rsidR="00025D8E">
        <w:t xml:space="preserve">The striking </w:t>
      </w:r>
      <w:r w:rsidR="00CC2640">
        <w:t xml:space="preserve">similarities found in the architectural projects of the pilgrim churches </w:t>
      </w:r>
      <w:r w:rsidR="004E75ED">
        <w:t>reflect</w:t>
      </w:r>
      <w:r>
        <w:t xml:space="preserve"> </w:t>
      </w:r>
      <w:r w:rsidR="004E75ED">
        <w:t>a</w:t>
      </w:r>
      <w:r>
        <w:t xml:space="preserve"> concerted effort</w:t>
      </w:r>
      <w:r w:rsidR="004E75ED">
        <w:t xml:space="preserve"> on the part of</w:t>
      </w:r>
      <w:r>
        <w:t xml:space="preserve"> the Cluny monastery to enforce a </w:t>
      </w:r>
      <w:r w:rsidR="004E75ED">
        <w:t>unified message to the public, part of</w:t>
      </w:r>
      <w:r>
        <w:t xml:space="preserve"> a consistent program</w:t>
      </w:r>
      <w:r w:rsidR="006C2733">
        <w:t xml:space="preserve"> to use art for furthering the causes of the church.</w:t>
      </w:r>
      <w:r w:rsidR="00A03B71">
        <w:rPr>
          <w:rStyle w:val="a6"/>
        </w:rPr>
        <w:footnoteReference w:id="13"/>
      </w:r>
      <w:r w:rsidR="006C2733">
        <w:t xml:space="preserve"> Some commentators have also suggested that it shows wider literary and cultural connections in </w:t>
      </w:r>
      <w:r w:rsidR="00621F01">
        <w:t>twelfth-</w:t>
      </w:r>
      <w:r w:rsidR="006C2733">
        <w:t xml:space="preserve">century Europe, </w:t>
      </w:r>
      <w:r w:rsidR="00061206">
        <w:t>arguing</w:t>
      </w:r>
      <w:r w:rsidR="006C2733">
        <w:t xml:space="preserve"> that the content of the piece was deeply influenced by </w:t>
      </w:r>
      <w:r w:rsidR="006841F9">
        <w:t xml:space="preserve">a comparable illumination in </w:t>
      </w:r>
      <w:r w:rsidR="006C2733">
        <w:t xml:space="preserve">the Winchester Psalter </w:t>
      </w:r>
      <w:r w:rsidR="004E75ED">
        <w:t>produced in</w:t>
      </w:r>
      <w:r w:rsidR="006C2733">
        <w:t xml:space="preserve"> England.</w:t>
      </w:r>
      <w:r w:rsidR="00061206">
        <w:rPr>
          <w:rStyle w:val="a6"/>
        </w:rPr>
        <w:footnoteReference w:id="14"/>
      </w:r>
    </w:p>
    <w:p w14:paraId="3E057E34" w14:textId="77777777" w:rsidR="00A9388C" w:rsidRDefault="00A9388C"/>
    <w:p w14:paraId="375338F5" w14:textId="0D984F38" w:rsidR="00DA6369" w:rsidRDefault="00DA6369">
      <w:r>
        <w:t xml:space="preserve">Another significant </w:t>
      </w:r>
      <w:r w:rsidR="00A05774">
        <w:t xml:space="preserve">aspect </w:t>
      </w:r>
      <w:r>
        <w:t xml:space="preserve">of the Conques tympanum is the </w:t>
      </w:r>
      <w:r>
        <w:rPr>
          <w:rFonts w:hint="eastAsia"/>
        </w:rPr>
        <w:t xml:space="preserve">extent </w:t>
      </w:r>
      <w:r>
        <w:t xml:space="preserve">to which it reflects many of the </w:t>
      </w:r>
      <w:r w:rsidR="00A05774">
        <w:t>principal</w:t>
      </w:r>
      <w:r>
        <w:t xml:space="preserve"> concerns of the social and religious culture it belonged to. There is a distinct hierarchical composition to the depiction of the elect, with the </w:t>
      </w:r>
      <w:r w:rsidR="0093646E">
        <w:t>most important church figures, including Mary,</w:t>
      </w:r>
      <w:r w:rsidR="00061206">
        <w:t xml:space="preserve"> placed ahead of Charle</w:t>
      </w:r>
      <w:r>
        <w:t>magne, who</w:t>
      </w:r>
      <w:r w:rsidR="00061206">
        <w:t>se figure</w:t>
      </w:r>
      <w:r>
        <w:t xml:space="preserve"> </w:t>
      </w:r>
      <w:r w:rsidR="00061206">
        <w:t xml:space="preserve">seems to represent </w:t>
      </w:r>
      <w:r>
        <w:t>temporal rule. The creators of the piece are bestowing prestige on Charlemagne, and by extension</w:t>
      </w:r>
      <w:r w:rsidR="0093646E">
        <w:t xml:space="preserve"> other princely patrons of the C</w:t>
      </w:r>
      <w:r>
        <w:t xml:space="preserve">hurch, </w:t>
      </w:r>
      <w:r w:rsidR="0093646E">
        <w:t>through his inclusion, yet</w:t>
      </w:r>
      <w:r>
        <w:t xml:space="preserve"> at the same time he is shown as a supplicant to Jesus and the</w:t>
      </w:r>
      <w:r w:rsidR="006841F9">
        <w:t xml:space="preserve"> church as a whole</w:t>
      </w:r>
      <w:r>
        <w:t>.</w:t>
      </w:r>
      <w:r w:rsidR="0093646E">
        <w:t xml:space="preserve"> As the sculpture was made around the time of the investiture controversy, this seems to be a reminder that earthly rule, in the eyes of the church, was secondary to the word and laws of God.</w:t>
      </w:r>
      <w:r w:rsidR="00CC2640">
        <w:t xml:space="preserve"> Furthermore, the inclusion of Charlemagne, already a deeply revered and heroic figure in European culture at the time of construction, also seems to stem from the monastery’s desire to enhance its own prestige.</w:t>
      </w:r>
    </w:p>
    <w:p w14:paraId="368F27AE" w14:textId="77777777" w:rsidR="0093646E" w:rsidRDefault="0093646E"/>
    <w:p w14:paraId="59CCD749" w14:textId="157AC918" w:rsidR="0093646E" w:rsidRDefault="0093646E">
      <w:r>
        <w:lastRenderedPageBreak/>
        <w:t xml:space="preserve">In addition, the tympanum </w:t>
      </w:r>
      <w:r w:rsidR="00277068">
        <w:t xml:space="preserve">is particularly significant when we consider the notion of ‘visual culture’ </w:t>
      </w:r>
      <w:r w:rsidR="00A05774">
        <w:t>as it relates to</w:t>
      </w:r>
      <w:r w:rsidR="00277068">
        <w:t xml:space="preserve"> medieval times. The work </w:t>
      </w:r>
      <w:r>
        <w:t>is noted</w:t>
      </w:r>
      <w:r w:rsidR="00A870FF">
        <w:t xml:space="preserve"> among art historians</w:t>
      </w:r>
      <w:r>
        <w:t xml:space="preserve"> for its </w:t>
      </w:r>
      <w:r w:rsidR="00A870FF">
        <w:t>detail</w:t>
      </w:r>
      <w:r>
        <w:t xml:space="preserve"> and </w:t>
      </w:r>
      <w:r w:rsidR="00A870FF">
        <w:t>realism. Denny describes its depi</w:t>
      </w:r>
      <w:r w:rsidR="003D7685">
        <w:t>ction of the Last Judgement as ‘convincingly brutal’</w:t>
      </w:r>
      <w:r w:rsidR="00A870FF">
        <w:t xml:space="preserve"> </w:t>
      </w:r>
      <w:r w:rsidR="003D7685">
        <w:t>and argues that ‘</w:t>
      </w:r>
      <w:r w:rsidR="00A870FF">
        <w:t>…n</w:t>
      </w:r>
      <w:r w:rsidR="00A870FF" w:rsidRPr="00A870FF">
        <w:t>o early twelfth-century representation of Hell - nor any of a yet earlier time - is so populous and so filled with varied circumstantial detail</w:t>
      </w:r>
      <w:r w:rsidR="003D7685">
        <w:t>’</w:t>
      </w:r>
      <w:r w:rsidR="00A870FF" w:rsidRPr="00A870FF">
        <w:t>.</w:t>
      </w:r>
      <w:r w:rsidR="00793FAE">
        <w:rPr>
          <w:rStyle w:val="a6"/>
        </w:rPr>
        <w:footnoteReference w:id="15"/>
      </w:r>
      <w:r w:rsidR="00A870FF">
        <w:t xml:space="preserve"> This suggests that it </w:t>
      </w:r>
      <w:r w:rsidR="006841F9">
        <w:t>heralds</w:t>
      </w:r>
      <w:r w:rsidR="00A870FF">
        <w:t xml:space="preserve"> an important moment of change in the ideological stance of the church, perhaps reflecting new conceptions of Hell and punishment current in the </w:t>
      </w:r>
      <w:r w:rsidR="006841F9">
        <w:t>twelfth</w:t>
      </w:r>
      <w:r w:rsidR="00A870FF">
        <w:t xml:space="preserve"> century.</w:t>
      </w:r>
      <w:r w:rsidR="00793FAE">
        <w:rPr>
          <w:rStyle w:val="a6"/>
        </w:rPr>
        <w:footnoteReference w:id="16"/>
      </w:r>
      <w:r w:rsidR="00A870FF">
        <w:t xml:space="preserve"> </w:t>
      </w:r>
      <w:r>
        <w:t>The erection of the tympanum would also</w:t>
      </w:r>
      <w:r w:rsidR="00A870FF">
        <w:t xml:space="preserve"> have added </w:t>
      </w:r>
      <w:r w:rsidR="00903179">
        <w:t xml:space="preserve">dramatically </w:t>
      </w:r>
      <w:r w:rsidR="00A870FF">
        <w:t>to the already considerable prestige of the Church of S</w:t>
      </w:r>
      <w:r w:rsidR="00903179">
        <w:t>t. Foy, no doubt bringing more visitors. This was perhaps something of</w:t>
      </w:r>
      <w:r w:rsidR="00A870FF">
        <w:t xml:space="preserve"> </w:t>
      </w:r>
      <w:r w:rsidR="00903179">
        <w:t xml:space="preserve">urgent </w:t>
      </w:r>
      <w:r w:rsidR="00A870FF">
        <w:t xml:space="preserve">importance </w:t>
      </w:r>
      <w:r w:rsidR="00903179">
        <w:t>to the abbot as the pilgrim industry developed and the existing economic situation of the monastery and surrounding region continued to change.</w:t>
      </w:r>
      <w:r w:rsidR="00793FAE">
        <w:rPr>
          <w:rStyle w:val="a6"/>
        </w:rPr>
        <w:footnoteReference w:id="17"/>
      </w:r>
    </w:p>
    <w:p w14:paraId="7F4E6189" w14:textId="77777777" w:rsidR="00903179" w:rsidRDefault="00903179"/>
    <w:p w14:paraId="7D00CEC9" w14:textId="5CFA8861" w:rsidR="00903179" w:rsidRDefault="00903179">
      <w:r>
        <w:t>The tympanum’s theme of judgement and the meting out of justice is also significant for another reason. The temporal rulers of medieval society expressed their power through the appointment and administration of local public officials. The ideas of justice and law, as well as the holding of assizes and courts by the local aristocracy</w:t>
      </w:r>
      <w:r w:rsidR="005F4878">
        <w:t xml:space="preserve">, </w:t>
      </w:r>
      <w:r>
        <w:t>were</w:t>
      </w:r>
      <w:r w:rsidR="005F4878">
        <w:t xml:space="preserve"> </w:t>
      </w:r>
      <w:r>
        <w:t>fund</w:t>
      </w:r>
      <w:r w:rsidR="00277068">
        <w:t>a</w:t>
      </w:r>
      <w:r>
        <w:t xml:space="preserve">mental </w:t>
      </w:r>
      <w:r w:rsidR="00277068">
        <w:t xml:space="preserve">aspects of </w:t>
      </w:r>
      <w:r>
        <w:t xml:space="preserve">the social </w:t>
      </w:r>
      <w:r w:rsidR="00277068">
        <w:t>and political culture of the era.</w:t>
      </w:r>
      <w:r w:rsidR="005F4878">
        <w:t xml:space="preserve"> Indeed, the aristocracy in medieval Eu</w:t>
      </w:r>
      <w:r w:rsidR="003770C2">
        <w:t>rope considered themselves the ‘</w:t>
      </w:r>
      <w:r w:rsidR="005F4878">
        <w:t>natural governors of the count</w:t>
      </w:r>
      <w:r w:rsidR="003770C2">
        <w:t>ryside’</w:t>
      </w:r>
      <w:r w:rsidR="005F4878">
        <w:t>.</w:t>
      </w:r>
      <w:r w:rsidR="005F4878">
        <w:rPr>
          <w:rStyle w:val="a6"/>
        </w:rPr>
        <w:footnoteReference w:id="18"/>
      </w:r>
      <w:r w:rsidR="00277068">
        <w:t xml:space="preserve"> From this perspective the message of the sculpture w</w:t>
      </w:r>
      <w:r w:rsidR="008D3704">
        <w:t xml:space="preserve">ould most likely have been well </w:t>
      </w:r>
      <w:r w:rsidR="00277068">
        <w:t>received by most members of the local elites in southern France.</w:t>
      </w:r>
      <w:r w:rsidR="001E65DC">
        <w:t xml:space="preserve"> As </w:t>
      </w:r>
      <w:r w:rsidR="008E420D">
        <w:t xml:space="preserve">Don </w:t>
      </w:r>
      <w:r w:rsidR="001E65DC">
        <w:t xml:space="preserve">Denny </w:t>
      </w:r>
      <w:r w:rsidR="008D3704">
        <w:t xml:space="preserve">notes regarding </w:t>
      </w:r>
      <w:r w:rsidR="005F4878">
        <w:t>a similar</w:t>
      </w:r>
      <w:r w:rsidR="008D3704">
        <w:t xml:space="preserve"> sculpture</w:t>
      </w:r>
      <w:r w:rsidR="005F4878">
        <w:t xml:space="preserve"> located at Autun cathedral</w:t>
      </w:r>
      <w:r w:rsidR="001E65DC">
        <w:t xml:space="preserve">, the principal theme seems to be </w:t>
      </w:r>
      <w:r w:rsidR="003D7685">
        <w:t>‘</w:t>
      </w:r>
      <w:r w:rsidR="001E65DC">
        <w:t>human responsibility</w:t>
      </w:r>
      <w:r w:rsidR="008D3704">
        <w:t xml:space="preserve"> a</w:t>
      </w:r>
      <w:r w:rsidR="003D7685">
        <w:t>nd the avoidance of wrong-doing’</w:t>
      </w:r>
      <w:r w:rsidR="008D3704">
        <w:t xml:space="preserve">, with the innocent contrasting strongly with the guilty. This, </w:t>
      </w:r>
      <w:r w:rsidR="008E420D">
        <w:t>argues</w:t>
      </w:r>
      <w:r w:rsidR="003D7685">
        <w:t xml:space="preserve"> Denny, is closely related to ‘</w:t>
      </w:r>
      <w:r w:rsidR="008D3704">
        <w:t>the operat</w:t>
      </w:r>
      <w:r w:rsidR="003D7685">
        <w:t>ion of a primitive legal system’</w:t>
      </w:r>
      <w:r w:rsidR="008D3704">
        <w:t>.</w:t>
      </w:r>
      <w:r w:rsidR="008E420D">
        <w:rPr>
          <w:rStyle w:val="a6"/>
        </w:rPr>
        <w:footnoteReference w:id="19"/>
      </w:r>
    </w:p>
    <w:p w14:paraId="13F96A49" w14:textId="77777777" w:rsidR="00277068" w:rsidRDefault="00277068"/>
    <w:p w14:paraId="4C7148DC" w14:textId="64180A1A" w:rsidR="00903179" w:rsidRDefault="008D3704">
      <w:r>
        <w:t>In conclusion, we have tentatively explored the themes of the Conques tympanum and the context of its construction. The evidence suggests a clear didactic purpose related to the consolidation and strengthening of church strictures and notions of personal morality in the early twelfth century.</w:t>
      </w:r>
      <w:r w:rsidR="00A77024">
        <w:t xml:space="preserve"> </w:t>
      </w:r>
      <w:r w:rsidR="008E420D">
        <w:t xml:space="preserve"> It also suggests that the sculpture reflects a number of social, economic and intellectual developments of the era. </w:t>
      </w:r>
      <w:r w:rsidR="00A77024">
        <w:t>However, recent work on visual culture, particularly by Richard Howells and other cultural scholars, suggests that the significance of a work of art can be multi-faceted and depends on the construction of meaning by each particular viewer</w:t>
      </w:r>
      <w:r w:rsidR="006841F9">
        <w:t xml:space="preserve"> and the context in which they do the viewing</w:t>
      </w:r>
      <w:r w:rsidR="00A77024">
        <w:t xml:space="preserve">. Future research may provide fresh interpretations of </w:t>
      </w:r>
      <w:r w:rsidR="006841F9">
        <w:t>twelfth</w:t>
      </w:r>
      <w:r w:rsidR="00A77024">
        <w:t xml:space="preserve"> century </w:t>
      </w:r>
      <w:r w:rsidR="006841F9">
        <w:t>points of view</w:t>
      </w:r>
      <w:r w:rsidR="00A77024">
        <w:t xml:space="preserve"> that we are yet to </w:t>
      </w:r>
      <w:r w:rsidR="00A05774">
        <w:t xml:space="preserve">fully </w:t>
      </w:r>
      <w:r w:rsidR="00A77024">
        <w:t>perceive.</w:t>
      </w:r>
    </w:p>
    <w:p w14:paraId="3104FC4F" w14:textId="77777777" w:rsidR="00903179" w:rsidRDefault="00903179"/>
    <w:p w14:paraId="54E8B03C" w14:textId="77777777" w:rsidR="00A05774" w:rsidRDefault="00A05774" w:rsidP="007C1704"/>
    <w:p w14:paraId="3D41E544" w14:textId="77777777" w:rsidR="00C42E7D" w:rsidRDefault="00C42E7D" w:rsidP="007C1704"/>
    <w:p w14:paraId="240528E3" w14:textId="77777777" w:rsidR="00C42E7D" w:rsidRDefault="00C42E7D" w:rsidP="007C1704"/>
    <w:p w14:paraId="74FE555E" w14:textId="77777777" w:rsidR="00C42E7D" w:rsidRDefault="00C42E7D" w:rsidP="007C1704"/>
    <w:p w14:paraId="5C1DED3C" w14:textId="77777777" w:rsidR="00C42E7D" w:rsidRDefault="00C42E7D" w:rsidP="007C1704"/>
    <w:p w14:paraId="7AF96CF6" w14:textId="77777777" w:rsidR="007C1704" w:rsidRDefault="007C1704" w:rsidP="006908D1">
      <w:pPr>
        <w:jc w:val="left"/>
      </w:pPr>
      <w:r>
        <w:t>Works Cited</w:t>
      </w:r>
    </w:p>
    <w:p w14:paraId="4DD60D0E" w14:textId="77777777" w:rsidR="007C1704" w:rsidRDefault="007C1704" w:rsidP="006908D1">
      <w:pPr>
        <w:jc w:val="left"/>
      </w:pPr>
    </w:p>
    <w:p w14:paraId="19D3CE38" w14:textId="7BA13C47" w:rsidR="00CD2956" w:rsidRDefault="00CD2956" w:rsidP="006908D1">
      <w:pPr>
        <w:jc w:val="left"/>
      </w:pPr>
      <w:r>
        <w:t>Ambrose, K. ‘</w:t>
      </w:r>
      <w:r w:rsidRPr="00CD2956">
        <w:t>Attunement to the Damned of the Conques Tympanum</w:t>
      </w:r>
      <w:r>
        <w:t xml:space="preserve">’, </w:t>
      </w:r>
      <w:r w:rsidRPr="005645FD">
        <w:rPr>
          <w:i/>
        </w:rPr>
        <w:t>Gesta</w:t>
      </w:r>
      <w:r w:rsidRPr="00CD2956">
        <w:t>, Vol. 50, No. 1 (2011), pp. 1-17</w:t>
      </w:r>
      <w:r w:rsidR="00C4389D">
        <w:t xml:space="preserve">, </w:t>
      </w:r>
      <w:r>
        <w:t xml:space="preserve">&lt; </w:t>
      </w:r>
      <w:hyperlink r:id="rId8" w:history="1">
        <w:r w:rsidR="00C4389D" w:rsidRPr="00E13D35">
          <w:rPr>
            <w:rStyle w:val="a3"/>
          </w:rPr>
          <w:t>https://www.jstor.org/stable/41550546</w:t>
        </w:r>
      </w:hyperlink>
      <w:r>
        <w:t>&gt;</w:t>
      </w:r>
      <w:r w:rsidR="00C4389D">
        <w:t xml:space="preserve">, </w:t>
      </w:r>
      <w:r>
        <w:t>[Accessed: 30-11-2018]</w:t>
      </w:r>
      <w:r w:rsidR="00C42E7D">
        <w:t>.</w:t>
      </w:r>
    </w:p>
    <w:p w14:paraId="6E9AB3E7" w14:textId="77777777" w:rsidR="00CD2956" w:rsidRDefault="00CD2956" w:rsidP="006908D1">
      <w:pPr>
        <w:jc w:val="left"/>
      </w:pPr>
    </w:p>
    <w:p w14:paraId="4A752304" w14:textId="73925F49" w:rsidR="00F8387C" w:rsidRDefault="00F8387C" w:rsidP="006908D1">
      <w:pPr>
        <w:jc w:val="left"/>
      </w:pPr>
      <w:r>
        <w:t xml:space="preserve">Baumann, P. ‘The Deadliest Sin: Warnings against Avarice and Usury on Romanesque Capitals in Auvergne’, </w:t>
      </w:r>
      <w:r w:rsidRPr="005645FD">
        <w:rPr>
          <w:i/>
        </w:rPr>
        <w:t>Church History</w:t>
      </w:r>
      <w:r w:rsidRPr="00F8387C">
        <w:t>, Vol. 59, No. 1 (Mar., 1990), pp. 7-18</w:t>
      </w:r>
      <w:r w:rsidR="00C42E7D">
        <w:t xml:space="preserve">, </w:t>
      </w:r>
      <w:r>
        <w:t>&lt;</w:t>
      </w:r>
      <w:r w:rsidRPr="00F8387C">
        <w:t xml:space="preserve"> </w:t>
      </w:r>
      <w:hyperlink r:id="rId9" w:history="1">
        <w:r w:rsidR="00C42E7D" w:rsidRPr="00E13D35">
          <w:rPr>
            <w:rStyle w:val="a3"/>
          </w:rPr>
          <w:t>https://www.jstor.org/stable/3169082</w:t>
        </w:r>
      </w:hyperlink>
      <w:r>
        <w:t>&gt;</w:t>
      </w:r>
      <w:r w:rsidR="00C42E7D">
        <w:t xml:space="preserve">, </w:t>
      </w:r>
      <w:r>
        <w:t>[Accessed: 30-11-2018]</w:t>
      </w:r>
      <w:r w:rsidR="00C42E7D">
        <w:t>.</w:t>
      </w:r>
    </w:p>
    <w:p w14:paraId="517E74AC" w14:textId="77777777" w:rsidR="00F8387C" w:rsidRDefault="00F8387C" w:rsidP="006908D1">
      <w:pPr>
        <w:jc w:val="left"/>
      </w:pPr>
    </w:p>
    <w:p w14:paraId="4CDEF5ED" w14:textId="6A24A057" w:rsidR="00234410" w:rsidRDefault="00234410" w:rsidP="006908D1">
      <w:pPr>
        <w:jc w:val="left"/>
      </w:pPr>
      <w:r>
        <w:t>Browning, W. R. F.</w:t>
      </w:r>
      <w:r w:rsidRPr="00234410">
        <w:t xml:space="preserve">, </w:t>
      </w:r>
      <w:r w:rsidRPr="00234410">
        <w:rPr>
          <w:i/>
        </w:rPr>
        <w:t>A Dictionary of the Bible</w:t>
      </w:r>
      <w:r w:rsidRPr="00234410">
        <w:t xml:space="preserve"> (2nd ed.), (Oxford University Pre</w:t>
      </w:r>
      <w:r w:rsidR="006908D1">
        <w:t xml:space="preserve">ss, 2009; Online edition 2010), </w:t>
      </w:r>
      <w:r w:rsidRPr="00234410">
        <w:t>&lt;http://www.oxfordreference.com/view/10.1093/acref/9780199543984.001.0001/acref-9780199543984&gt;, [Accessed: 10-1-2019]</w:t>
      </w:r>
      <w:r>
        <w:t>.</w:t>
      </w:r>
    </w:p>
    <w:p w14:paraId="208D5BA4" w14:textId="77777777" w:rsidR="00234410" w:rsidRDefault="00234410" w:rsidP="006908D1">
      <w:pPr>
        <w:jc w:val="left"/>
      </w:pPr>
    </w:p>
    <w:p w14:paraId="68CFAF28" w14:textId="4E2CCC87" w:rsidR="00024862" w:rsidRDefault="00024862" w:rsidP="006908D1">
      <w:pPr>
        <w:jc w:val="left"/>
      </w:pPr>
      <w:r w:rsidRPr="00024862">
        <w:t>Church,</w:t>
      </w:r>
      <w:r w:rsidR="006062AB">
        <w:t xml:space="preserve"> R.E.,</w:t>
      </w:r>
      <w:r w:rsidRPr="00024862">
        <w:t xml:space="preserve"> </w:t>
      </w:r>
      <w:r w:rsidRPr="00024862">
        <w:rPr>
          <w:i/>
        </w:rPr>
        <w:t>Crossing the Pyrenees: paths of cultural interaction and transmission in the central Middle Ages</w:t>
      </w:r>
      <w:r w:rsidRPr="00024862">
        <w:t xml:space="preserve"> (PhD the</w:t>
      </w:r>
      <w:r>
        <w:t xml:space="preserve">sis, University of Iowa, 2013), </w:t>
      </w:r>
      <w:r w:rsidRPr="00024862">
        <w:t>&lt;https://ir.uiowa.edu/etd/2195&gt;, [Accessed 8-12-2018].</w:t>
      </w:r>
    </w:p>
    <w:p w14:paraId="5B9754CD" w14:textId="77777777" w:rsidR="00686CAB" w:rsidRDefault="00686CAB" w:rsidP="006908D1">
      <w:pPr>
        <w:jc w:val="left"/>
      </w:pPr>
    </w:p>
    <w:p w14:paraId="63E37996" w14:textId="6A875E01" w:rsidR="007C1704" w:rsidRDefault="007C1704" w:rsidP="006908D1">
      <w:pPr>
        <w:jc w:val="left"/>
      </w:pPr>
      <w:r>
        <w:rPr>
          <w:rFonts w:hint="eastAsia"/>
        </w:rPr>
        <w:t>De</w:t>
      </w:r>
      <w:r>
        <w:t>nny, D. ‘</w:t>
      </w:r>
      <w:r w:rsidRPr="007C1704">
        <w:t>The Date of the Conques Last Judgment and Its Compositional Analogues</w:t>
      </w:r>
      <w:r>
        <w:t xml:space="preserve">’, </w:t>
      </w:r>
      <w:r w:rsidRPr="005645FD">
        <w:rPr>
          <w:i/>
        </w:rPr>
        <w:t>The Art Bulletin</w:t>
      </w:r>
      <w:r w:rsidRPr="007C1704">
        <w:t>, Vol. 66, No. 1 (Mar., 1984), pp. 7-14</w:t>
      </w:r>
      <w:r>
        <w:t>.</w:t>
      </w:r>
      <w:r w:rsidR="00C42E7D">
        <w:t xml:space="preserve">, </w:t>
      </w:r>
      <w:r>
        <w:t>&lt;</w:t>
      </w:r>
      <w:hyperlink r:id="rId10" w:history="1">
        <w:r w:rsidR="00C42E7D" w:rsidRPr="00E13D35">
          <w:rPr>
            <w:rStyle w:val="a3"/>
          </w:rPr>
          <w:t>https://www.jstor.org/stable/3050390</w:t>
        </w:r>
      </w:hyperlink>
      <w:r>
        <w:t>&gt;</w:t>
      </w:r>
      <w:r w:rsidR="00C42E7D">
        <w:t xml:space="preserve">, </w:t>
      </w:r>
      <w:r>
        <w:t>[Accessed: 30-11-2018]</w:t>
      </w:r>
      <w:r w:rsidR="00C42E7D">
        <w:t>.</w:t>
      </w:r>
    </w:p>
    <w:p w14:paraId="28F04F42" w14:textId="77777777" w:rsidR="007C1704" w:rsidRDefault="007C1704" w:rsidP="006908D1">
      <w:pPr>
        <w:jc w:val="left"/>
      </w:pPr>
    </w:p>
    <w:p w14:paraId="7D4BBA89" w14:textId="77777777" w:rsidR="00621F01" w:rsidRDefault="00621F01" w:rsidP="00621F01">
      <w:pPr>
        <w:jc w:val="left"/>
      </w:pPr>
      <w:r>
        <w:rPr>
          <w:rFonts w:hint="eastAsia"/>
        </w:rPr>
        <w:t>De</w:t>
      </w:r>
      <w:r>
        <w:t>nny, D. ‘</w:t>
      </w:r>
      <w:r w:rsidRPr="009F67F7">
        <w:t>The Last Judgment Tympanum at Autun: Its Sources and Meaning</w:t>
      </w:r>
      <w:r>
        <w:t xml:space="preserve">’, </w:t>
      </w:r>
      <w:r w:rsidRPr="005645FD">
        <w:rPr>
          <w:i/>
        </w:rPr>
        <w:t>Speculum</w:t>
      </w:r>
      <w:r w:rsidRPr="009F67F7">
        <w:t>, Vol. 57, No. 3 (Jul., 1982), pp. 532-547</w:t>
      </w:r>
      <w:r>
        <w:t xml:space="preserve">, </w:t>
      </w:r>
      <w:hyperlink r:id="rId11" w:history="1">
        <w:r w:rsidRPr="00E13D35">
          <w:rPr>
            <w:rStyle w:val="a3"/>
          </w:rPr>
          <w:t>https://www.jstor.org/stable/2848692</w:t>
        </w:r>
      </w:hyperlink>
      <w:r>
        <w:t>, [Accessed: 30-11-2018].</w:t>
      </w:r>
    </w:p>
    <w:p w14:paraId="47EA29A0" w14:textId="77777777" w:rsidR="00621F01" w:rsidRDefault="00621F01" w:rsidP="006908D1">
      <w:pPr>
        <w:jc w:val="left"/>
      </w:pPr>
    </w:p>
    <w:p w14:paraId="4AB7B336" w14:textId="6843FC43" w:rsidR="00686CAB" w:rsidRDefault="00686CAB" w:rsidP="006908D1">
      <w:pPr>
        <w:jc w:val="left"/>
      </w:pPr>
      <w:r>
        <w:rPr>
          <w:rFonts w:hint="eastAsia"/>
        </w:rPr>
        <w:t>Deremble,</w:t>
      </w:r>
      <w:r>
        <w:t xml:space="preserve"> C.,</w:t>
      </w:r>
      <w:r>
        <w:rPr>
          <w:rFonts w:hint="eastAsia"/>
        </w:rPr>
        <w:t xml:space="preserve"> </w:t>
      </w:r>
      <w:r w:rsidRPr="003E066D">
        <w:rPr>
          <w:rFonts w:hint="eastAsia"/>
          <w:i/>
        </w:rPr>
        <w:t>Encyclopedia of the Middle Age</w:t>
      </w:r>
      <w:r>
        <w:rPr>
          <w:rFonts w:hint="eastAsia"/>
          <w:i/>
        </w:rPr>
        <w:t>s</w:t>
      </w:r>
      <w:r w:rsidRPr="003E066D">
        <w:rPr>
          <w:rFonts w:hint="eastAsia"/>
        </w:rPr>
        <w:t>,</w:t>
      </w:r>
      <w:r>
        <w:rPr>
          <w:rFonts w:hint="eastAsia"/>
          <w:i/>
        </w:rPr>
        <w:t xml:space="preserve"> </w:t>
      </w:r>
      <w:r>
        <w:rPr>
          <w:i/>
        </w:rPr>
        <w:t>(</w:t>
      </w:r>
      <w:r>
        <w:t xml:space="preserve">Cambridge: </w:t>
      </w:r>
      <w:r w:rsidRPr="003E066D">
        <w:rPr>
          <w:rFonts w:hint="eastAsia"/>
        </w:rPr>
        <w:t>James Clarke &amp; Co</w:t>
      </w:r>
      <w:r>
        <w:t>.,</w:t>
      </w:r>
      <w:r w:rsidRPr="003E066D">
        <w:rPr>
          <w:rFonts w:hint="eastAsia"/>
        </w:rPr>
        <w:t xml:space="preserve"> 2002</w:t>
      </w:r>
      <w:r>
        <w:t>; Online edition 2005), &lt;</w:t>
      </w:r>
      <w:hyperlink r:id="rId12" w:history="1">
        <w:r w:rsidRPr="00E13D35">
          <w:rPr>
            <w:rStyle w:val="a3"/>
          </w:rPr>
          <w:t>http://www.oxfordreference.com/view/10.1093/acref/9780227679319.001.0001/acref-9780227679319</w:t>
        </w:r>
      </w:hyperlink>
      <w:r>
        <w:t>&gt;, [Accessed 10-1-2019].</w:t>
      </w:r>
    </w:p>
    <w:p w14:paraId="3E23B845" w14:textId="77777777" w:rsidR="009F67F7" w:rsidRDefault="009F67F7" w:rsidP="006908D1">
      <w:pPr>
        <w:jc w:val="left"/>
      </w:pPr>
    </w:p>
    <w:p w14:paraId="59DB8CD8" w14:textId="7FFDF182" w:rsidR="00BC7366" w:rsidRDefault="00BC7366" w:rsidP="006908D1">
      <w:pPr>
        <w:jc w:val="left"/>
      </w:pPr>
      <w:r>
        <w:t xml:space="preserve">Howells, R. and Negreiros, J., </w:t>
      </w:r>
      <w:r w:rsidRPr="00BC7366">
        <w:rPr>
          <w:i/>
        </w:rPr>
        <w:t>Visual Culture</w:t>
      </w:r>
      <w:r>
        <w:t xml:space="preserve"> (2nd ed.), </w:t>
      </w:r>
      <w:r w:rsidR="00C42E7D">
        <w:t>(</w:t>
      </w:r>
      <w:r>
        <w:t>Cambridge, UK; Malden: Polity Press 2012)</w:t>
      </w:r>
      <w:r w:rsidR="00C42E7D">
        <w:t>.</w:t>
      </w:r>
    </w:p>
    <w:p w14:paraId="56B733A0" w14:textId="77777777" w:rsidR="00BC7366" w:rsidRDefault="00BC7366" w:rsidP="006908D1">
      <w:pPr>
        <w:jc w:val="left"/>
      </w:pPr>
    </w:p>
    <w:p w14:paraId="1063FE90" w14:textId="148AE7DD" w:rsidR="00305C4A" w:rsidRDefault="00305C4A" w:rsidP="006908D1">
      <w:pPr>
        <w:jc w:val="left"/>
      </w:pPr>
      <w:r>
        <w:t>Vernon, E. ‘</w:t>
      </w:r>
      <w:r w:rsidRPr="00305C4A">
        <w:t>Romanesque Churches of the Pilgrimage Roads</w:t>
      </w:r>
      <w:r>
        <w:t xml:space="preserve">’, </w:t>
      </w:r>
      <w:r w:rsidRPr="005645FD">
        <w:rPr>
          <w:i/>
        </w:rPr>
        <w:t>Gesta</w:t>
      </w:r>
      <w:r w:rsidR="005645FD">
        <w:t>, Pre-Serial Issue,</w:t>
      </w:r>
      <w:r w:rsidRPr="00305C4A">
        <w:t xml:space="preserve"> Annual of the International Center of Romanesque Art Inc. (1963), pp. 12-15</w:t>
      </w:r>
      <w:r w:rsidR="00C42E7D">
        <w:t xml:space="preserve">, </w:t>
      </w:r>
      <w:r>
        <w:t xml:space="preserve">&lt; </w:t>
      </w:r>
      <w:hyperlink r:id="rId13" w:history="1">
        <w:r w:rsidR="00C42E7D" w:rsidRPr="00E13D35">
          <w:rPr>
            <w:rStyle w:val="a3"/>
          </w:rPr>
          <w:t>https://www.jstor.org/stable/766600</w:t>
        </w:r>
      </w:hyperlink>
      <w:r>
        <w:t>&gt;</w:t>
      </w:r>
      <w:r w:rsidR="00C42E7D">
        <w:t xml:space="preserve">, </w:t>
      </w:r>
      <w:r>
        <w:t>[Accessed: 30-11-2018]</w:t>
      </w:r>
      <w:r w:rsidR="00C42E7D">
        <w:t>.</w:t>
      </w:r>
    </w:p>
    <w:p w14:paraId="7195BD84" w14:textId="77777777" w:rsidR="00324B11" w:rsidRDefault="00324B11" w:rsidP="006908D1">
      <w:pPr>
        <w:jc w:val="left"/>
      </w:pPr>
    </w:p>
    <w:p w14:paraId="7152CC9A" w14:textId="0B17232B" w:rsidR="00305C4A" w:rsidRDefault="00305C4A" w:rsidP="006908D1">
      <w:pPr>
        <w:jc w:val="left"/>
      </w:pPr>
      <w:r>
        <w:t>Werckmeister, O.K.</w:t>
      </w:r>
      <w:r w:rsidR="005645FD">
        <w:t>,</w:t>
      </w:r>
      <w:r>
        <w:t xml:space="preserve"> ‘</w:t>
      </w:r>
      <w:r w:rsidRPr="00305C4A">
        <w:t>Cluny III and the Pilgrimage to Santiago de Compostela</w:t>
      </w:r>
      <w:r>
        <w:t xml:space="preserve">’, </w:t>
      </w:r>
      <w:r w:rsidRPr="005645FD">
        <w:rPr>
          <w:i/>
        </w:rPr>
        <w:t>Gesta</w:t>
      </w:r>
      <w:r w:rsidRPr="00305C4A">
        <w:t>, Vol. 27, No. 1/2, Current Studies on Cluny (1988), pp. 103-112</w:t>
      </w:r>
      <w:r w:rsidR="00C42E7D">
        <w:t xml:space="preserve">, </w:t>
      </w:r>
      <w:hyperlink r:id="rId14" w:history="1">
        <w:r w:rsidR="00C42E7D" w:rsidRPr="00E13D35">
          <w:rPr>
            <w:rStyle w:val="a3"/>
          </w:rPr>
          <w:t>https://www.jstor.org/stable/766998</w:t>
        </w:r>
      </w:hyperlink>
      <w:r w:rsidR="00C42E7D">
        <w:t xml:space="preserve">, </w:t>
      </w:r>
      <w:r>
        <w:t>[Accessed: 30-11-2018]</w:t>
      </w:r>
      <w:r w:rsidR="00C42E7D">
        <w:t>.</w:t>
      </w:r>
    </w:p>
    <w:p w14:paraId="5B381783" w14:textId="77777777" w:rsidR="00305C4A" w:rsidRDefault="00305C4A" w:rsidP="00305C4A"/>
    <w:p w14:paraId="508C89F8" w14:textId="138AF3C1" w:rsidR="007C1704" w:rsidRDefault="007C1704"/>
    <w:sectPr w:rsidR="007C1704" w:rsidSect="00BB34F2">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D3A899" w14:textId="77777777" w:rsidR="003770C2" w:rsidRDefault="003770C2" w:rsidP="005645FD">
      <w:r>
        <w:separator/>
      </w:r>
    </w:p>
  </w:endnote>
  <w:endnote w:type="continuationSeparator" w:id="0">
    <w:p w14:paraId="2D7DFCD7" w14:textId="77777777" w:rsidR="003770C2" w:rsidRDefault="003770C2" w:rsidP="005645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SimSun">
    <w:altName w:val="宋体"/>
    <w:charset w:val="86"/>
    <w:family w:val="auto"/>
    <w:pitch w:val="variable"/>
    <w:sig w:usb0="00000003" w:usb1="288F0000" w:usb2="00000016" w:usb3="00000000" w:csb0="00040001"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A97A45" w14:textId="77777777" w:rsidR="003770C2" w:rsidRDefault="003770C2" w:rsidP="005645FD">
      <w:r>
        <w:separator/>
      </w:r>
    </w:p>
  </w:footnote>
  <w:footnote w:type="continuationSeparator" w:id="0">
    <w:p w14:paraId="7CC6BD19" w14:textId="77777777" w:rsidR="003770C2" w:rsidRDefault="003770C2" w:rsidP="005645FD">
      <w:r>
        <w:continuationSeparator/>
      </w:r>
    </w:p>
  </w:footnote>
  <w:footnote w:id="1">
    <w:p w14:paraId="060EBF97" w14:textId="62DDFF17" w:rsidR="003770C2" w:rsidRDefault="003770C2" w:rsidP="00596854">
      <w:pPr>
        <w:pStyle w:val="a4"/>
        <w:jc w:val="both"/>
      </w:pPr>
      <w:r>
        <w:rPr>
          <w:rStyle w:val="a6"/>
        </w:rPr>
        <w:footnoteRef/>
      </w:r>
      <w:r>
        <w:t xml:space="preserve"> </w:t>
      </w:r>
      <w:r w:rsidRPr="00C92B75">
        <w:t xml:space="preserve">For a detailed description see D. Denny, ‘The Date of the Conques Last Judgment and Its Compositional Analogues’, </w:t>
      </w:r>
      <w:r w:rsidRPr="00C92B75">
        <w:rPr>
          <w:i/>
        </w:rPr>
        <w:t>The Art Bulletin</w:t>
      </w:r>
      <w:r w:rsidRPr="00C92B75">
        <w:t>, Vol. 66, No. 1 (Mar., 1984), pp. 7-14. &lt;https://www.jstor.org/stable/3050390&gt; [Accessed: 30-11-2018].</w:t>
      </w:r>
    </w:p>
  </w:footnote>
  <w:footnote w:id="2">
    <w:p w14:paraId="1386A8FE" w14:textId="2E4D1F26" w:rsidR="003770C2" w:rsidRDefault="003770C2" w:rsidP="00596854">
      <w:pPr>
        <w:pStyle w:val="a4"/>
        <w:jc w:val="both"/>
      </w:pPr>
      <w:r>
        <w:rPr>
          <w:rStyle w:val="a6"/>
        </w:rPr>
        <w:footnoteRef/>
      </w:r>
      <w:r>
        <w:t xml:space="preserve"> Some scholars have found significance in the passive, expressionless depiction of the damned: see K. Ambrose, ‘Attunement to the Damned of the Conques Tympanum’, </w:t>
      </w:r>
      <w:r w:rsidRPr="006247A2">
        <w:rPr>
          <w:i/>
        </w:rPr>
        <w:t>Gesta</w:t>
      </w:r>
      <w:r>
        <w:t>, Vol. 50, No. 1 (2011), p. 1.</w:t>
      </w:r>
    </w:p>
    <w:p w14:paraId="4AD287C0" w14:textId="6CA89CB2" w:rsidR="003770C2" w:rsidRDefault="003770C2" w:rsidP="00596854">
      <w:pPr>
        <w:pStyle w:val="a4"/>
        <w:jc w:val="both"/>
      </w:pPr>
      <w:r>
        <w:t xml:space="preserve">&lt; </w:t>
      </w:r>
      <w:hyperlink r:id="rId1" w:history="1">
        <w:r w:rsidRPr="00E13D35">
          <w:rPr>
            <w:rStyle w:val="a3"/>
          </w:rPr>
          <w:t>https://www.jstor.org/stable/41550546</w:t>
        </w:r>
      </w:hyperlink>
      <w:r>
        <w:t>&gt; [Accessed: 30-11-2018]. Others, meanwhile, note the large number of figures depicted in hell: see Denny, ‘The Date’. p. 8.</w:t>
      </w:r>
    </w:p>
  </w:footnote>
  <w:footnote w:id="3">
    <w:p w14:paraId="1294EAA1" w14:textId="4F500BBB" w:rsidR="003770C2" w:rsidRDefault="003770C2" w:rsidP="00596854">
      <w:pPr>
        <w:pStyle w:val="a4"/>
        <w:jc w:val="both"/>
      </w:pPr>
      <w:r>
        <w:rPr>
          <w:rStyle w:val="a6"/>
        </w:rPr>
        <w:footnoteRef/>
      </w:r>
      <w:r>
        <w:t xml:space="preserve"> </w:t>
      </w:r>
      <w:r w:rsidRPr="00BA66CB">
        <w:t xml:space="preserve">W. R. F. </w:t>
      </w:r>
      <w:r>
        <w:rPr>
          <w:rFonts w:hint="eastAsia"/>
        </w:rPr>
        <w:t>Browning</w:t>
      </w:r>
      <w:r>
        <w:t xml:space="preserve">, </w:t>
      </w:r>
      <w:r w:rsidRPr="00BA66CB">
        <w:rPr>
          <w:i/>
        </w:rPr>
        <w:t xml:space="preserve">A Dictionary of the Bible </w:t>
      </w:r>
      <w:r w:rsidRPr="00BA66CB">
        <w:t>(2</w:t>
      </w:r>
      <w:r>
        <w:t>nd</w:t>
      </w:r>
      <w:r w:rsidRPr="00BA66CB">
        <w:t xml:space="preserve"> ed.)</w:t>
      </w:r>
      <w:r>
        <w:t>, (Oxford University Press, 2009; Online edition 2010), &lt;</w:t>
      </w:r>
      <w:r w:rsidRPr="00BA66CB">
        <w:t>http://www.oxfordreference.com/view/10.1093/acref/9780199543984.001.0001/acref-9780199543984</w:t>
      </w:r>
      <w:r>
        <w:t>&gt;, [Accessed: 10-1-2019]</w:t>
      </w:r>
    </w:p>
  </w:footnote>
  <w:footnote w:id="4">
    <w:p w14:paraId="78CD614A" w14:textId="095BDCCF" w:rsidR="003770C2" w:rsidRDefault="003770C2">
      <w:pPr>
        <w:pStyle w:val="a4"/>
      </w:pPr>
      <w:r>
        <w:rPr>
          <w:rStyle w:val="a6"/>
        </w:rPr>
        <w:footnoteRef/>
      </w:r>
      <w:r>
        <w:t xml:space="preserve"> Denny notes that this section of the painting reflects Byzantine conventions, unlike the rest of the composition: see Denny, ‘The Date’. p. 9.</w:t>
      </w:r>
    </w:p>
  </w:footnote>
  <w:footnote w:id="5">
    <w:p w14:paraId="65FA9C57" w14:textId="18E7F814" w:rsidR="003770C2" w:rsidRDefault="003770C2">
      <w:pPr>
        <w:pStyle w:val="a4"/>
      </w:pPr>
      <w:r>
        <w:rPr>
          <w:rStyle w:val="a6"/>
        </w:rPr>
        <w:footnoteRef/>
      </w:r>
      <w:r>
        <w:t xml:space="preserve"> Denny, ‘The Date’, p. 8.</w:t>
      </w:r>
    </w:p>
  </w:footnote>
  <w:footnote w:id="6">
    <w:p w14:paraId="692BE597" w14:textId="38CF3AD3" w:rsidR="003770C2" w:rsidRDefault="003770C2">
      <w:pPr>
        <w:pStyle w:val="a4"/>
      </w:pPr>
      <w:r>
        <w:rPr>
          <w:rStyle w:val="a6"/>
        </w:rPr>
        <w:footnoteRef/>
      </w:r>
      <w:r>
        <w:t xml:space="preserve"> C. </w:t>
      </w:r>
      <w:r>
        <w:rPr>
          <w:rFonts w:hint="eastAsia"/>
        </w:rPr>
        <w:t xml:space="preserve">Deremble, </w:t>
      </w:r>
      <w:r w:rsidRPr="003E066D">
        <w:rPr>
          <w:rFonts w:hint="eastAsia"/>
          <w:i/>
        </w:rPr>
        <w:t>Encyclopedia of the Middle Age</w:t>
      </w:r>
      <w:r>
        <w:rPr>
          <w:rFonts w:hint="eastAsia"/>
          <w:i/>
        </w:rPr>
        <w:t>s</w:t>
      </w:r>
      <w:r w:rsidRPr="003E066D">
        <w:rPr>
          <w:rFonts w:hint="eastAsia"/>
        </w:rPr>
        <w:t>,</w:t>
      </w:r>
      <w:r>
        <w:rPr>
          <w:rFonts w:hint="eastAsia"/>
          <w:i/>
        </w:rPr>
        <w:t xml:space="preserve"> </w:t>
      </w:r>
      <w:r>
        <w:rPr>
          <w:i/>
        </w:rPr>
        <w:t>(</w:t>
      </w:r>
      <w:r>
        <w:t xml:space="preserve">Cambridge: </w:t>
      </w:r>
      <w:r w:rsidRPr="003E066D">
        <w:rPr>
          <w:rFonts w:hint="eastAsia"/>
        </w:rPr>
        <w:t>James Clarke &amp; Co</w:t>
      </w:r>
      <w:r>
        <w:t>.,</w:t>
      </w:r>
      <w:r w:rsidRPr="003E066D">
        <w:rPr>
          <w:rFonts w:hint="eastAsia"/>
        </w:rPr>
        <w:t xml:space="preserve"> 2002</w:t>
      </w:r>
      <w:r>
        <w:t>; Online edition 2005), &lt;</w:t>
      </w:r>
      <w:hyperlink r:id="rId2" w:history="1">
        <w:r w:rsidRPr="00E13D35">
          <w:rPr>
            <w:rStyle w:val="a3"/>
          </w:rPr>
          <w:t>http://www.oxfordreference.com/view/10.1093/acref/9780227679319.001.0001/acref-9780227679319</w:t>
        </w:r>
      </w:hyperlink>
      <w:r>
        <w:t>&gt;, [Accessed 10-1-2019].</w:t>
      </w:r>
    </w:p>
  </w:footnote>
  <w:footnote w:id="7">
    <w:p w14:paraId="11251C1C" w14:textId="64B8B78C" w:rsidR="003770C2" w:rsidRDefault="003770C2" w:rsidP="005B58E0">
      <w:pPr>
        <w:pStyle w:val="a4"/>
      </w:pPr>
      <w:r>
        <w:rPr>
          <w:rStyle w:val="a6"/>
        </w:rPr>
        <w:footnoteRef/>
      </w:r>
      <w:r>
        <w:t xml:space="preserve"> R.E. Church, </w:t>
      </w:r>
      <w:r w:rsidRPr="00B85324">
        <w:rPr>
          <w:i/>
        </w:rPr>
        <w:t>Crossing the Pyrenees: paths of cultural interaction and transmission in the central Middle Ages</w:t>
      </w:r>
      <w:r>
        <w:t xml:space="preserve"> (PhD thesis, University of Iowa, 2013), p. 167 &lt;</w:t>
      </w:r>
      <w:r w:rsidRPr="00B85324">
        <w:t>https://ir.uiowa.edu/etd/2195</w:t>
      </w:r>
      <w:r>
        <w:t>&gt;, [Accessed 8-12-2018].</w:t>
      </w:r>
    </w:p>
  </w:footnote>
  <w:footnote w:id="8">
    <w:p w14:paraId="3DDB64FC" w14:textId="6358DC73" w:rsidR="003770C2" w:rsidRDefault="003770C2">
      <w:pPr>
        <w:pStyle w:val="a4"/>
      </w:pPr>
      <w:r>
        <w:rPr>
          <w:rStyle w:val="a6"/>
        </w:rPr>
        <w:footnoteRef/>
      </w:r>
      <w:r>
        <w:t xml:space="preserve"> Ibid, p. 176 According to Church, the St. Foy monks had considerable Iberian properties, including land in Minorca. </w:t>
      </w:r>
    </w:p>
  </w:footnote>
  <w:footnote w:id="9">
    <w:p w14:paraId="3AF058DF" w14:textId="1F4DB1E4" w:rsidR="003770C2" w:rsidRDefault="003770C2">
      <w:pPr>
        <w:pStyle w:val="a4"/>
      </w:pPr>
      <w:r>
        <w:rPr>
          <w:rStyle w:val="a6"/>
        </w:rPr>
        <w:footnoteRef/>
      </w:r>
      <w:r>
        <w:t xml:space="preserve"> Denny, ‘The Date’, p. 6.</w:t>
      </w:r>
    </w:p>
  </w:footnote>
  <w:footnote w:id="10">
    <w:p w14:paraId="32C58D84" w14:textId="71D97D50" w:rsidR="003770C2" w:rsidRDefault="003770C2" w:rsidP="00800750">
      <w:pPr>
        <w:pStyle w:val="a4"/>
      </w:pPr>
      <w:r>
        <w:rPr>
          <w:rStyle w:val="a6"/>
        </w:rPr>
        <w:footnoteRef/>
      </w:r>
      <w:r>
        <w:t xml:space="preserve"> For a detailed discussion see E. Vernon, ‘</w:t>
      </w:r>
      <w:r w:rsidRPr="00800750">
        <w:t>Romanesque Churches of the Pilgrimage Roads</w:t>
      </w:r>
      <w:r>
        <w:t xml:space="preserve">’, </w:t>
      </w:r>
      <w:r w:rsidRPr="00800750">
        <w:rPr>
          <w:i/>
        </w:rPr>
        <w:t>Gesta</w:t>
      </w:r>
      <w:r>
        <w:t>, Pre-Serial Issue, Annual of the International Center of Romanesque Art Inc. (1963), pp. 12-15,</w:t>
      </w:r>
    </w:p>
    <w:p w14:paraId="15B035F7" w14:textId="0110913D" w:rsidR="003770C2" w:rsidRDefault="003770C2">
      <w:pPr>
        <w:pStyle w:val="a4"/>
      </w:pPr>
      <w:r>
        <w:t xml:space="preserve">&lt; </w:t>
      </w:r>
      <w:hyperlink r:id="rId3" w:history="1">
        <w:r w:rsidRPr="00E13D35">
          <w:rPr>
            <w:rStyle w:val="a3"/>
          </w:rPr>
          <w:t>https://www.jstor.org/stable/766600</w:t>
        </w:r>
      </w:hyperlink>
      <w:r>
        <w:t>&gt; [Accessed: 30-11-2018].</w:t>
      </w:r>
    </w:p>
  </w:footnote>
  <w:footnote w:id="11">
    <w:p w14:paraId="0214C89C" w14:textId="406DFBD1" w:rsidR="003770C2" w:rsidRDefault="003770C2" w:rsidP="00800750">
      <w:pPr>
        <w:pStyle w:val="a4"/>
      </w:pPr>
      <w:r>
        <w:rPr>
          <w:rStyle w:val="a6"/>
        </w:rPr>
        <w:footnoteRef/>
      </w:r>
      <w:r>
        <w:t xml:space="preserve"> See Baumann, P., ‘The Deadliest Sin: Warnings against Avarice and Usury on Romanesque Capitals in Auvergne’, </w:t>
      </w:r>
      <w:r w:rsidRPr="00A03B71">
        <w:rPr>
          <w:i/>
        </w:rPr>
        <w:t>Church History</w:t>
      </w:r>
      <w:r>
        <w:t>, Vol. 59, No. 1 (Mar., 1990), pp. 7-18, &lt; https://www.jstor.org/stable/3169082&gt;,</w:t>
      </w:r>
    </w:p>
    <w:p w14:paraId="7260ABF6" w14:textId="77777777" w:rsidR="003770C2" w:rsidRDefault="003770C2" w:rsidP="00800750">
      <w:pPr>
        <w:pStyle w:val="a4"/>
      </w:pPr>
      <w:r>
        <w:t>[Accessed: 30-11-2018]</w:t>
      </w:r>
    </w:p>
    <w:p w14:paraId="57A6869B" w14:textId="26143FCC" w:rsidR="003770C2" w:rsidRDefault="003770C2">
      <w:pPr>
        <w:pStyle w:val="a4"/>
      </w:pPr>
    </w:p>
  </w:footnote>
  <w:footnote w:id="12">
    <w:p w14:paraId="6D05F4C6" w14:textId="5CF99317" w:rsidR="003770C2" w:rsidRDefault="003770C2">
      <w:pPr>
        <w:pStyle w:val="a4"/>
      </w:pPr>
      <w:r>
        <w:rPr>
          <w:rStyle w:val="a6"/>
        </w:rPr>
        <w:footnoteRef/>
      </w:r>
      <w:r>
        <w:t xml:space="preserve"> See Ambrose, ‘Attunement’, p. 8.</w:t>
      </w:r>
    </w:p>
  </w:footnote>
  <w:footnote w:id="13">
    <w:p w14:paraId="1BD1E76A" w14:textId="0FF3D1EA" w:rsidR="003770C2" w:rsidRDefault="003770C2">
      <w:pPr>
        <w:pStyle w:val="a4"/>
      </w:pPr>
      <w:r>
        <w:rPr>
          <w:rStyle w:val="a6"/>
        </w:rPr>
        <w:footnoteRef/>
      </w:r>
      <w:r>
        <w:t xml:space="preserve"> </w:t>
      </w:r>
      <w:r>
        <w:rPr>
          <w:rFonts w:hint="eastAsia"/>
        </w:rPr>
        <w:t>Bau</w:t>
      </w:r>
      <w:r>
        <w:t>mann, ‘The Deadliest Sin’, p. 16.</w:t>
      </w:r>
    </w:p>
  </w:footnote>
  <w:footnote w:id="14">
    <w:p w14:paraId="1E2020DD" w14:textId="24572587" w:rsidR="003770C2" w:rsidRDefault="003770C2">
      <w:pPr>
        <w:pStyle w:val="a4"/>
      </w:pPr>
      <w:r>
        <w:rPr>
          <w:rStyle w:val="a6"/>
        </w:rPr>
        <w:footnoteRef/>
      </w:r>
      <w:r>
        <w:t xml:space="preserve"> See Denny, ‘The Date’</w:t>
      </w:r>
    </w:p>
  </w:footnote>
  <w:footnote w:id="15">
    <w:p w14:paraId="20019FC5" w14:textId="3FA94CF1" w:rsidR="003770C2" w:rsidRDefault="003770C2">
      <w:pPr>
        <w:pStyle w:val="a4"/>
      </w:pPr>
      <w:r>
        <w:rPr>
          <w:rStyle w:val="a6"/>
        </w:rPr>
        <w:footnoteRef/>
      </w:r>
      <w:r>
        <w:t xml:space="preserve"> Denny, ‘The Date’, p. 8.</w:t>
      </w:r>
    </w:p>
  </w:footnote>
  <w:footnote w:id="16">
    <w:p w14:paraId="26F3C1F7" w14:textId="6D8CB584" w:rsidR="003770C2" w:rsidRDefault="003770C2">
      <w:pPr>
        <w:pStyle w:val="a4"/>
      </w:pPr>
      <w:r>
        <w:rPr>
          <w:rStyle w:val="a6"/>
        </w:rPr>
        <w:footnoteRef/>
      </w:r>
      <w:r>
        <w:t xml:space="preserve"> See Ambrose, ‘Attunement’, p. 11 for further discussion of the background.</w:t>
      </w:r>
    </w:p>
  </w:footnote>
  <w:footnote w:id="17">
    <w:p w14:paraId="3453A971" w14:textId="41863174" w:rsidR="003770C2" w:rsidRDefault="003770C2">
      <w:pPr>
        <w:pStyle w:val="a4"/>
      </w:pPr>
      <w:r>
        <w:rPr>
          <w:rStyle w:val="a6"/>
        </w:rPr>
        <w:footnoteRef/>
      </w:r>
      <w:r>
        <w:t xml:space="preserve"> See Baumann, ‘The Deadliest Sin’ for further discussion.</w:t>
      </w:r>
    </w:p>
  </w:footnote>
  <w:footnote w:id="18">
    <w:p w14:paraId="3A61E385" w14:textId="5E35523F" w:rsidR="003770C2" w:rsidRDefault="003770C2">
      <w:pPr>
        <w:pStyle w:val="a4"/>
      </w:pPr>
      <w:r>
        <w:rPr>
          <w:rStyle w:val="a6"/>
        </w:rPr>
        <w:footnoteRef/>
      </w:r>
      <w:r>
        <w:t xml:space="preserve"> D. Denny, ‘The Last Judgment Tympanum at Autun: Its Sources and Meaning’, Speculum, Vol. 57, No. 3 (1982), p. 544, &lt; </w:t>
      </w:r>
      <w:hyperlink r:id="rId4" w:history="1">
        <w:r w:rsidRPr="00E13D35">
          <w:rPr>
            <w:rStyle w:val="a3"/>
          </w:rPr>
          <w:t>https://www.jstor.org/stable/2848692</w:t>
        </w:r>
      </w:hyperlink>
      <w:r>
        <w:t>&gt;, [Accessed: 30-11-2018]</w:t>
      </w:r>
    </w:p>
  </w:footnote>
  <w:footnote w:id="19">
    <w:p w14:paraId="257C5DA0" w14:textId="0D9BB2B7" w:rsidR="003770C2" w:rsidRDefault="003770C2">
      <w:pPr>
        <w:pStyle w:val="a4"/>
      </w:pPr>
      <w:r>
        <w:rPr>
          <w:rStyle w:val="a6"/>
        </w:rPr>
        <w:footnoteRef/>
      </w:r>
      <w:r>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96"/>
  <w:bordersDoNotSurroundHeader/>
  <w:bordersDoNotSurroundFooter/>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3638"/>
    <w:rsid w:val="000176CF"/>
    <w:rsid w:val="00024862"/>
    <w:rsid w:val="00025D8E"/>
    <w:rsid w:val="000440F9"/>
    <w:rsid w:val="00061206"/>
    <w:rsid w:val="000900C7"/>
    <w:rsid w:val="00093A93"/>
    <w:rsid w:val="000A573D"/>
    <w:rsid w:val="001D76CA"/>
    <w:rsid w:val="001E65DC"/>
    <w:rsid w:val="00234410"/>
    <w:rsid w:val="002620CC"/>
    <w:rsid w:val="0026294B"/>
    <w:rsid w:val="00277068"/>
    <w:rsid w:val="00305C4A"/>
    <w:rsid w:val="00314FA4"/>
    <w:rsid w:val="00324B11"/>
    <w:rsid w:val="00336F61"/>
    <w:rsid w:val="003770C2"/>
    <w:rsid w:val="003835A3"/>
    <w:rsid w:val="00397728"/>
    <w:rsid w:val="003D7685"/>
    <w:rsid w:val="003E066D"/>
    <w:rsid w:val="0042159B"/>
    <w:rsid w:val="004352F9"/>
    <w:rsid w:val="004423A0"/>
    <w:rsid w:val="00471C38"/>
    <w:rsid w:val="004D6529"/>
    <w:rsid w:val="004E1278"/>
    <w:rsid w:val="004E601A"/>
    <w:rsid w:val="004E6442"/>
    <w:rsid w:val="004E75ED"/>
    <w:rsid w:val="0050286C"/>
    <w:rsid w:val="005645FD"/>
    <w:rsid w:val="00581E86"/>
    <w:rsid w:val="00586CE2"/>
    <w:rsid w:val="005921B9"/>
    <w:rsid w:val="00596854"/>
    <w:rsid w:val="005B58E0"/>
    <w:rsid w:val="005D240B"/>
    <w:rsid w:val="005D7575"/>
    <w:rsid w:val="005F4878"/>
    <w:rsid w:val="005F6D49"/>
    <w:rsid w:val="006062AB"/>
    <w:rsid w:val="00621F01"/>
    <w:rsid w:val="006247A2"/>
    <w:rsid w:val="00633FE5"/>
    <w:rsid w:val="006841F9"/>
    <w:rsid w:val="00686CAB"/>
    <w:rsid w:val="006908D1"/>
    <w:rsid w:val="006C2733"/>
    <w:rsid w:val="00711853"/>
    <w:rsid w:val="00711C4C"/>
    <w:rsid w:val="00793FAE"/>
    <w:rsid w:val="007A2319"/>
    <w:rsid w:val="007C1704"/>
    <w:rsid w:val="00800750"/>
    <w:rsid w:val="00802377"/>
    <w:rsid w:val="008060F5"/>
    <w:rsid w:val="008B7F06"/>
    <w:rsid w:val="008D3704"/>
    <w:rsid w:val="008E420D"/>
    <w:rsid w:val="00903179"/>
    <w:rsid w:val="0093646E"/>
    <w:rsid w:val="009401B6"/>
    <w:rsid w:val="009549E6"/>
    <w:rsid w:val="009734DA"/>
    <w:rsid w:val="009F67F7"/>
    <w:rsid w:val="00A03B71"/>
    <w:rsid w:val="00A05774"/>
    <w:rsid w:val="00A77024"/>
    <w:rsid w:val="00A82D7C"/>
    <w:rsid w:val="00A870FF"/>
    <w:rsid w:val="00A9388C"/>
    <w:rsid w:val="00AB2C87"/>
    <w:rsid w:val="00AF141F"/>
    <w:rsid w:val="00B33953"/>
    <w:rsid w:val="00B46486"/>
    <w:rsid w:val="00B85324"/>
    <w:rsid w:val="00BA66CB"/>
    <w:rsid w:val="00BB34F2"/>
    <w:rsid w:val="00BB6C6E"/>
    <w:rsid w:val="00BC7366"/>
    <w:rsid w:val="00BE6CD9"/>
    <w:rsid w:val="00BF756F"/>
    <w:rsid w:val="00C04B35"/>
    <w:rsid w:val="00C35D18"/>
    <w:rsid w:val="00C42E7D"/>
    <w:rsid w:val="00C4389D"/>
    <w:rsid w:val="00C51FA2"/>
    <w:rsid w:val="00C5525C"/>
    <w:rsid w:val="00C64277"/>
    <w:rsid w:val="00C92B75"/>
    <w:rsid w:val="00CA7DEA"/>
    <w:rsid w:val="00CC2640"/>
    <w:rsid w:val="00CD2956"/>
    <w:rsid w:val="00CD7A83"/>
    <w:rsid w:val="00D23D78"/>
    <w:rsid w:val="00D32F2B"/>
    <w:rsid w:val="00DA6369"/>
    <w:rsid w:val="00E43638"/>
    <w:rsid w:val="00E94CEA"/>
    <w:rsid w:val="00EB3812"/>
    <w:rsid w:val="00ED7D29"/>
    <w:rsid w:val="00EE6AFF"/>
    <w:rsid w:val="00F01A3D"/>
    <w:rsid w:val="00F720B5"/>
    <w:rsid w:val="00F8387C"/>
    <w:rsid w:val="00FF4F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294849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link w:val="30"/>
    <w:qFormat/>
    <w:rsid w:val="005921B9"/>
    <w:pPr>
      <w:keepNext/>
      <w:widowControl/>
      <w:ind w:left="720"/>
      <w:outlineLvl w:val="2"/>
    </w:pPr>
    <w:rPr>
      <w:rFonts w:ascii="Tahoma" w:eastAsia="SimSun"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7C1704"/>
    <w:rPr>
      <w:color w:val="0000FF" w:themeColor="hyperlink"/>
      <w:u w:val="single"/>
    </w:rPr>
  </w:style>
  <w:style w:type="paragraph" w:styleId="a4">
    <w:name w:val="footnote text"/>
    <w:basedOn w:val="a"/>
    <w:link w:val="a5"/>
    <w:uiPriority w:val="99"/>
    <w:unhideWhenUsed/>
    <w:rsid w:val="005645FD"/>
    <w:pPr>
      <w:snapToGrid w:val="0"/>
      <w:jc w:val="left"/>
    </w:pPr>
    <w:rPr>
      <w:sz w:val="18"/>
      <w:szCs w:val="18"/>
    </w:rPr>
  </w:style>
  <w:style w:type="character" w:customStyle="1" w:styleId="a5">
    <w:name w:val="脚注文本字符"/>
    <w:basedOn w:val="a0"/>
    <w:link w:val="a4"/>
    <w:uiPriority w:val="99"/>
    <w:rsid w:val="005645FD"/>
    <w:rPr>
      <w:sz w:val="18"/>
      <w:szCs w:val="18"/>
    </w:rPr>
  </w:style>
  <w:style w:type="character" w:styleId="a6">
    <w:name w:val="footnote reference"/>
    <w:basedOn w:val="a0"/>
    <w:uiPriority w:val="99"/>
    <w:unhideWhenUsed/>
    <w:rsid w:val="005645FD"/>
    <w:rPr>
      <w:vertAlign w:val="superscript"/>
    </w:rPr>
  </w:style>
  <w:style w:type="character" w:styleId="FollowedHyperlink">
    <w:name w:val="FollowedHyperlink"/>
    <w:basedOn w:val="a0"/>
    <w:uiPriority w:val="99"/>
    <w:semiHidden/>
    <w:unhideWhenUsed/>
    <w:rsid w:val="005645FD"/>
    <w:rPr>
      <w:color w:val="800080" w:themeColor="followedHyperlink"/>
      <w:u w:val="single"/>
    </w:rPr>
  </w:style>
  <w:style w:type="character" w:styleId="a7">
    <w:name w:val="annotation reference"/>
    <w:basedOn w:val="a0"/>
    <w:uiPriority w:val="99"/>
    <w:semiHidden/>
    <w:unhideWhenUsed/>
    <w:rsid w:val="007A2319"/>
    <w:rPr>
      <w:sz w:val="16"/>
      <w:szCs w:val="16"/>
    </w:rPr>
  </w:style>
  <w:style w:type="paragraph" w:styleId="a8">
    <w:name w:val="annotation text"/>
    <w:basedOn w:val="a"/>
    <w:link w:val="a9"/>
    <w:uiPriority w:val="99"/>
    <w:semiHidden/>
    <w:unhideWhenUsed/>
    <w:rsid w:val="007A2319"/>
    <w:rPr>
      <w:sz w:val="20"/>
      <w:szCs w:val="20"/>
    </w:rPr>
  </w:style>
  <w:style w:type="character" w:customStyle="1" w:styleId="a9">
    <w:name w:val="注释文本字符"/>
    <w:basedOn w:val="a0"/>
    <w:link w:val="a8"/>
    <w:uiPriority w:val="99"/>
    <w:semiHidden/>
    <w:rsid w:val="007A2319"/>
    <w:rPr>
      <w:sz w:val="20"/>
      <w:szCs w:val="20"/>
    </w:rPr>
  </w:style>
  <w:style w:type="paragraph" w:styleId="aa">
    <w:name w:val="annotation subject"/>
    <w:basedOn w:val="a8"/>
    <w:next w:val="a8"/>
    <w:link w:val="ab"/>
    <w:uiPriority w:val="99"/>
    <w:semiHidden/>
    <w:unhideWhenUsed/>
    <w:rsid w:val="007A2319"/>
    <w:rPr>
      <w:b/>
      <w:bCs/>
    </w:rPr>
  </w:style>
  <w:style w:type="character" w:customStyle="1" w:styleId="ab">
    <w:name w:val="批注主题字符"/>
    <w:basedOn w:val="a9"/>
    <w:link w:val="aa"/>
    <w:uiPriority w:val="99"/>
    <w:semiHidden/>
    <w:rsid w:val="007A2319"/>
    <w:rPr>
      <w:b/>
      <w:bCs/>
      <w:sz w:val="20"/>
      <w:szCs w:val="20"/>
    </w:rPr>
  </w:style>
  <w:style w:type="paragraph" w:styleId="ac">
    <w:name w:val="Balloon Text"/>
    <w:basedOn w:val="a"/>
    <w:link w:val="ad"/>
    <w:uiPriority w:val="99"/>
    <w:semiHidden/>
    <w:unhideWhenUsed/>
    <w:rsid w:val="007A2319"/>
    <w:rPr>
      <w:rFonts w:ascii="Tahoma" w:hAnsi="Tahoma" w:cs="Tahoma"/>
      <w:sz w:val="16"/>
      <w:szCs w:val="16"/>
    </w:rPr>
  </w:style>
  <w:style w:type="character" w:customStyle="1" w:styleId="ad">
    <w:name w:val="批注框文本字符"/>
    <w:basedOn w:val="a0"/>
    <w:link w:val="ac"/>
    <w:uiPriority w:val="99"/>
    <w:semiHidden/>
    <w:rsid w:val="007A2319"/>
    <w:rPr>
      <w:rFonts w:ascii="Tahoma" w:hAnsi="Tahoma" w:cs="Tahoma"/>
      <w:sz w:val="16"/>
      <w:szCs w:val="16"/>
    </w:rPr>
  </w:style>
  <w:style w:type="character" w:customStyle="1" w:styleId="30">
    <w:name w:val="标题 3字符"/>
    <w:basedOn w:val="a0"/>
    <w:link w:val="3"/>
    <w:rsid w:val="005921B9"/>
    <w:rPr>
      <w:rFonts w:ascii="Tahoma" w:eastAsia="SimSun" w:hAnsi="Tahoma" w:cs="Tahoma"/>
      <w:b/>
      <w:bCs/>
      <w:kern w:val="0"/>
      <w:sz w:val="20"/>
      <w:szCs w:val="20"/>
      <w:lang w:val="en-GB"/>
    </w:rPr>
  </w:style>
  <w:style w:type="paragraph" w:styleId="ae">
    <w:name w:val="Normal (Web)"/>
    <w:basedOn w:val="a"/>
    <w:rsid w:val="005921B9"/>
    <w:pPr>
      <w:widowControl/>
      <w:spacing w:before="100" w:beforeAutospacing="1" w:after="100" w:afterAutospacing="1"/>
      <w:jc w:val="left"/>
    </w:pPr>
    <w:rPr>
      <w:rFonts w:ascii="Georgia" w:eastAsia="SimSun" w:hAnsi="Georgia" w:cs="Times New Roman"/>
      <w:color w:val="000000"/>
      <w:kern w:val="0"/>
      <w:sz w:val="21"/>
      <w:szCs w:val="21"/>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link w:val="30"/>
    <w:qFormat/>
    <w:rsid w:val="005921B9"/>
    <w:pPr>
      <w:keepNext/>
      <w:widowControl/>
      <w:ind w:left="720"/>
      <w:outlineLvl w:val="2"/>
    </w:pPr>
    <w:rPr>
      <w:rFonts w:ascii="Tahoma" w:eastAsia="SimSun"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7C1704"/>
    <w:rPr>
      <w:color w:val="0000FF" w:themeColor="hyperlink"/>
      <w:u w:val="single"/>
    </w:rPr>
  </w:style>
  <w:style w:type="paragraph" w:styleId="a4">
    <w:name w:val="footnote text"/>
    <w:basedOn w:val="a"/>
    <w:link w:val="a5"/>
    <w:uiPriority w:val="99"/>
    <w:unhideWhenUsed/>
    <w:rsid w:val="005645FD"/>
    <w:pPr>
      <w:snapToGrid w:val="0"/>
      <w:jc w:val="left"/>
    </w:pPr>
    <w:rPr>
      <w:sz w:val="18"/>
      <w:szCs w:val="18"/>
    </w:rPr>
  </w:style>
  <w:style w:type="character" w:customStyle="1" w:styleId="a5">
    <w:name w:val="脚注文本字符"/>
    <w:basedOn w:val="a0"/>
    <w:link w:val="a4"/>
    <w:uiPriority w:val="99"/>
    <w:rsid w:val="005645FD"/>
    <w:rPr>
      <w:sz w:val="18"/>
      <w:szCs w:val="18"/>
    </w:rPr>
  </w:style>
  <w:style w:type="character" w:styleId="a6">
    <w:name w:val="footnote reference"/>
    <w:basedOn w:val="a0"/>
    <w:uiPriority w:val="99"/>
    <w:unhideWhenUsed/>
    <w:rsid w:val="005645FD"/>
    <w:rPr>
      <w:vertAlign w:val="superscript"/>
    </w:rPr>
  </w:style>
  <w:style w:type="character" w:styleId="FollowedHyperlink">
    <w:name w:val="FollowedHyperlink"/>
    <w:basedOn w:val="a0"/>
    <w:uiPriority w:val="99"/>
    <w:semiHidden/>
    <w:unhideWhenUsed/>
    <w:rsid w:val="005645FD"/>
    <w:rPr>
      <w:color w:val="800080" w:themeColor="followedHyperlink"/>
      <w:u w:val="single"/>
    </w:rPr>
  </w:style>
  <w:style w:type="character" w:styleId="a7">
    <w:name w:val="annotation reference"/>
    <w:basedOn w:val="a0"/>
    <w:uiPriority w:val="99"/>
    <w:semiHidden/>
    <w:unhideWhenUsed/>
    <w:rsid w:val="007A2319"/>
    <w:rPr>
      <w:sz w:val="16"/>
      <w:szCs w:val="16"/>
    </w:rPr>
  </w:style>
  <w:style w:type="paragraph" w:styleId="a8">
    <w:name w:val="annotation text"/>
    <w:basedOn w:val="a"/>
    <w:link w:val="a9"/>
    <w:uiPriority w:val="99"/>
    <w:semiHidden/>
    <w:unhideWhenUsed/>
    <w:rsid w:val="007A2319"/>
    <w:rPr>
      <w:sz w:val="20"/>
      <w:szCs w:val="20"/>
    </w:rPr>
  </w:style>
  <w:style w:type="character" w:customStyle="1" w:styleId="a9">
    <w:name w:val="注释文本字符"/>
    <w:basedOn w:val="a0"/>
    <w:link w:val="a8"/>
    <w:uiPriority w:val="99"/>
    <w:semiHidden/>
    <w:rsid w:val="007A2319"/>
    <w:rPr>
      <w:sz w:val="20"/>
      <w:szCs w:val="20"/>
    </w:rPr>
  </w:style>
  <w:style w:type="paragraph" w:styleId="aa">
    <w:name w:val="annotation subject"/>
    <w:basedOn w:val="a8"/>
    <w:next w:val="a8"/>
    <w:link w:val="ab"/>
    <w:uiPriority w:val="99"/>
    <w:semiHidden/>
    <w:unhideWhenUsed/>
    <w:rsid w:val="007A2319"/>
    <w:rPr>
      <w:b/>
      <w:bCs/>
    </w:rPr>
  </w:style>
  <w:style w:type="character" w:customStyle="1" w:styleId="ab">
    <w:name w:val="批注主题字符"/>
    <w:basedOn w:val="a9"/>
    <w:link w:val="aa"/>
    <w:uiPriority w:val="99"/>
    <w:semiHidden/>
    <w:rsid w:val="007A2319"/>
    <w:rPr>
      <w:b/>
      <w:bCs/>
      <w:sz w:val="20"/>
      <w:szCs w:val="20"/>
    </w:rPr>
  </w:style>
  <w:style w:type="paragraph" w:styleId="ac">
    <w:name w:val="Balloon Text"/>
    <w:basedOn w:val="a"/>
    <w:link w:val="ad"/>
    <w:uiPriority w:val="99"/>
    <w:semiHidden/>
    <w:unhideWhenUsed/>
    <w:rsid w:val="007A2319"/>
    <w:rPr>
      <w:rFonts w:ascii="Tahoma" w:hAnsi="Tahoma" w:cs="Tahoma"/>
      <w:sz w:val="16"/>
      <w:szCs w:val="16"/>
    </w:rPr>
  </w:style>
  <w:style w:type="character" w:customStyle="1" w:styleId="ad">
    <w:name w:val="批注框文本字符"/>
    <w:basedOn w:val="a0"/>
    <w:link w:val="ac"/>
    <w:uiPriority w:val="99"/>
    <w:semiHidden/>
    <w:rsid w:val="007A2319"/>
    <w:rPr>
      <w:rFonts w:ascii="Tahoma" w:hAnsi="Tahoma" w:cs="Tahoma"/>
      <w:sz w:val="16"/>
      <w:szCs w:val="16"/>
    </w:rPr>
  </w:style>
  <w:style w:type="character" w:customStyle="1" w:styleId="30">
    <w:name w:val="标题 3字符"/>
    <w:basedOn w:val="a0"/>
    <w:link w:val="3"/>
    <w:rsid w:val="005921B9"/>
    <w:rPr>
      <w:rFonts w:ascii="Tahoma" w:eastAsia="SimSun" w:hAnsi="Tahoma" w:cs="Tahoma"/>
      <w:b/>
      <w:bCs/>
      <w:kern w:val="0"/>
      <w:sz w:val="20"/>
      <w:szCs w:val="20"/>
      <w:lang w:val="en-GB"/>
    </w:rPr>
  </w:style>
  <w:style w:type="paragraph" w:styleId="ae">
    <w:name w:val="Normal (Web)"/>
    <w:basedOn w:val="a"/>
    <w:rsid w:val="005921B9"/>
    <w:pPr>
      <w:widowControl/>
      <w:spacing w:before="100" w:beforeAutospacing="1" w:after="100" w:afterAutospacing="1"/>
      <w:jc w:val="left"/>
    </w:pPr>
    <w:rPr>
      <w:rFonts w:ascii="Georgia" w:eastAsia="SimSun" w:hAnsi="Georgia" w:cs="Times New Roman"/>
      <w:color w:val="000000"/>
      <w:kern w:val="0"/>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0043898">
      <w:bodyDiv w:val="1"/>
      <w:marLeft w:val="0"/>
      <w:marRight w:val="0"/>
      <w:marTop w:val="0"/>
      <w:marBottom w:val="0"/>
      <w:divBdr>
        <w:top w:val="none" w:sz="0" w:space="0" w:color="auto"/>
        <w:left w:val="none" w:sz="0" w:space="0" w:color="auto"/>
        <w:bottom w:val="none" w:sz="0" w:space="0" w:color="auto"/>
        <w:right w:val="none" w:sz="0" w:space="0" w:color="auto"/>
      </w:divBdr>
    </w:div>
    <w:div w:id="956523582">
      <w:bodyDiv w:val="1"/>
      <w:marLeft w:val="0"/>
      <w:marRight w:val="0"/>
      <w:marTop w:val="0"/>
      <w:marBottom w:val="0"/>
      <w:divBdr>
        <w:top w:val="none" w:sz="0" w:space="0" w:color="auto"/>
        <w:left w:val="none" w:sz="0" w:space="0" w:color="auto"/>
        <w:bottom w:val="none" w:sz="0" w:space="0" w:color="auto"/>
        <w:right w:val="none" w:sz="0" w:space="0" w:color="auto"/>
      </w:divBdr>
    </w:div>
    <w:div w:id="1513035602">
      <w:bodyDiv w:val="1"/>
      <w:marLeft w:val="0"/>
      <w:marRight w:val="0"/>
      <w:marTop w:val="0"/>
      <w:marBottom w:val="0"/>
      <w:divBdr>
        <w:top w:val="none" w:sz="0" w:space="0" w:color="auto"/>
        <w:left w:val="none" w:sz="0" w:space="0" w:color="auto"/>
        <w:bottom w:val="none" w:sz="0" w:space="0" w:color="auto"/>
        <w:right w:val="none" w:sz="0" w:space="0" w:color="auto"/>
      </w:divBdr>
      <w:divsChild>
        <w:div w:id="16198511">
          <w:marLeft w:val="0"/>
          <w:marRight w:val="0"/>
          <w:marTop w:val="0"/>
          <w:marBottom w:val="0"/>
          <w:divBdr>
            <w:top w:val="none" w:sz="0" w:space="0" w:color="auto"/>
            <w:left w:val="none" w:sz="0" w:space="0" w:color="auto"/>
            <w:bottom w:val="none" w:sz="0" w:space="0" w:color="auto"/>
            <w:right w:val="none" w:sz="0" w:space="0" w:color="auto"/>
          </w:divBdr>
        </w:div>
        <w:div w:id="1562399825">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jstor.org/stable/2848692" TargetMode="External"/><Relationship Id="rId12" Type="http://schemas.openxmlformats.org/officeDocument/2006/relationships/hyperlink" Target="http://www.oxfordreference.com/view/10.1093/acref/9780227679319.001.0001/acref-9780227679319" TargetMode="External"/><Relationship Id="rId13" Type="http://schemas.openxmlformats.org/officeDocument/2006/relationships/hyperlink" Target="https://www.jstor.org/stable/766600" TargetMode="External"/><Relationship Id="rId14" Type="http://schemas.openxmlformats.org/officeDocument/2006/relationships/hyperlink" Target="https://www.jstor.org/stable/766998"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www.jstor.org/stable/41550546" TargetMode="External"/><Relationship Id="rId9" Type="http://schemas.openxmlformats.org/officeDocument/2006/relationships/hyperlink" Target="https://www.jstor.org/stable/3169082" TargetMode="External"/><Relationship Id="rId10" Type="http://schemas.openxmlformats.org/officeDocument/2006/relationships/hyperlink" Target="https://www.jstor.org/stable/3050390"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766600" TargetMode="External"/><Relationship Id="rId4" Type="http://schemas.openxmlformats.org/officeDocument/2006/relationships/hyperlink" Target="https://www.jstor.org/stable/2848692" TargetMode="External"/><Relationship Id="rId1" Type="http://schemas.openxmlformats.org/officeDocument/2006/relationships/hyperlink" Target="https://www.jstor.org/stable/41550546" TargetMode="External"/><Relationship Id="rId2" Type="http://schemas.openxmlformats.org/officeDocument/2006/relationships/hyperlink" Target="http://www.oxfordreference.com/view/10.1093/acref/9780227679319.001.0001/acref-9780227679319" TargetMode="Externa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50</TotalTime>
  <Pages>8</Pages>
  <Words>2212</Words>
  <Characters>11972</Characters>
  <Application>Microsoft Macintosh Word</Application>
  <DocSecurity>0</DocSecurity>
  <Lines>230</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Gina</dc:creator>
  <cp:lastModifiedBy>Gina</cp:lastModifiedBy>
  <cp:revision>11</cp:revision>
  <dcterms:created xsi:type="dcterms:W3CDTF">2019-01-15T10:28:00Z</dcterms:created>
  <dcterms:modified xsi:type="dcterms:W3CDTF">2019-01-21T01:52:00Z</dcterms:modified>
</cp:coreProperties>
</file>