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B7B9E" w14:textId="77777777" w:rsidR="00D97DB7" w:rsidRDefault="00D97DB7" w:rsidP="00D97DB7">
      <w:pPr>
        <w:pStyle w:val="BodyText"/>
        <w:spacing w:line="360" w:lineRule="auto"/>
        <w:jc w:val="center"/>
        <w:rPr>
          <w:rFonts w:ascii="Arial" w:hAnsi="Arial" w:cs="Arial"/>
        </w:rPr>
      </w:pPr>
    </w:p>
    <w:p w14:paraId="51A25AF4" w14:textId="77777777" w:rsidR="00D97DB7" w:rsidRDefault="00D97DB7" w:rsidP="00D97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color w:val="0070C0"/>
          <w:sz w:val="80"/>
          <w:szCs w:val="80"/>
        </w:rPr>
      </w:pPr>
      <w:r>
        <w:rPr>
          <w:noProof/>
        </w:rPr>
        <w:drawing>
          <wp:inline distT="0" distB="0" distL="0" distR="0" wp14:anchorId="56C11C9C" wp14:editId="49736F34">
            <wp:extent cx="3362960" cy="962025"/>
            <wp:effectExtent l="0" t="0" r="5080" b="13335"/>
            <wp:docPr id="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5C881489" w14:textId="77777777" w:rsidR="00D97DB7" w:rsidRDefault="00D97DB7" w:rsidP="00D97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36"/>
          <w:szCs w:val="36"/>
        </w:rPr>
      </w:pPr>
      <w:r>
        <w:rPr>
          <w:rFonts w:ascii="Arial" w:eastAsia="Arial Unicode MS" w:hAnsi="Arial" w:cs="Arial"/>
          <w:b/>
          <w:bCs/>
          <w:sz w:val="36"/>
          <w:szCs w:val="36"/>
        </w:rPr>
        <w:t>Lecturer name</w:t>
      </w:r>
      <w:r>
        <w:rPr>
          <w:rFonts w:ascii="Arial" w:eastAsia="Arial Unicode MS" w:hAnsi="Arial" w:cs="Arial"/>
          <w:sz w:val="36"/>
          <w:szCs w:val="36"/>
        </w:rPr>
        <w:t>: Dr Shepherd Ziko</w:t>
      </w:r>
    </w:p>
    <w:p w14:paraId="6B88BA10" w14:textId="77777777" w:rsidR="00D97DB7" w:rsidRDefault="00D97DB7" w:rsidP="00D97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36"/>
          <w:szCs w:val="36"/>
        </w:rPr>
      </w:pPr>
      <w:r>
        <w:rPr>
          <w:rFonts w:ascii="Arial" w:eastAsia="Arial Unicode MS" w:hAnsi="Arial" w:cs="Arial"/>
          <w:sz w:val="36"/>
          <w:szCs w:val="36"/>
        </w:rPr>
        <w:t>Module code: (BMHP6030_LON)</w:t>
      </w:r>
    </w:p>
    <w:p w14:paraId="7756E009" w14:textId="77777777" w:rsidR="00D97DB7" w:rsidRDefault="00D97DB7" w:rsidP="00D97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36"/>
          <w:szCs w:val="36"/>
        </w:rPr>
      </w:pPr>
      <w:r>
        <w:rPr>
          <w:rFonts w:ascii="Arial" w:eastAsia="Arial Unicode MS" w:hAnsi="Arial" w:cs="Arial"/>
          <w:sz w:val="36"/>
          <w:szCs w:val="36"/>
        </w:rPr>
        <w:t>Module name: Health, Wellbeing and Sustainability Development</w:t>
      </w:r>
    </w:p>
    <w:p w14:paraId="5ADDAC95" w14:textId="77777777" w:rsidR="00D97DB7" w:rsidRDefault="00D97DB7" w:rsidP="00D97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36"/>
          <w:szCs w:val="36"/>
        </w:rPr>
      </w:pPr>
      <w:r>
        <w:rPr>
          <w:rFonts w:ascii="Arial" w:eastAsia="Arial Unicode MS" w:hAnsi="Arial" w:cs="Arial"/>
          <w:sz w:val="36"/>
          <w:szCs w:val="36"/>
        </w:rPr>
        <w:t>Student: Molloy Montaque</w:t>
      </w:r>
    </w:p>
    <w:p w14:paraId="0532BEF4" w14:textId="77777777" w:rsidR="00D97DB7" w:rsidRDefault="00D97DB7" w:rsidP="00D97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36"/>
          <w:szCs w:val="36"/>
        </w:rPr>
      </w:pPr>
      <w:r>
        <w:rPr>
          <w:rFonts w:ascii="Arial" w:eastAsia="Arial Unicode MS" w:hAnsi="Arial" w:cs="Arial"/>
          <w:sz w:val="36"/>
          <w:szCs w:val="36"/>
        </w:rPr>
        <w:t>Student number: 2235978</w:t>
      </w:r>
    </w:p>
    <w:p w14:paraId="06D43C8F" w14:textId="77777777" w:rsidR="00D97DB7" w:rsidRDefault="00D97DB7" w:rsidP="00D97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40"/>
          <w:szCs w:val="40"/>
        </w:rPr>
      </w:pPr>
    </w:p>
    <w:p w14:paraId="1723E9FB" w14:textId="77777777" w:rsidR="00D97DB7" w:rsidRDefault="00D97DB7" w:rsidP="00D97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57D40638" w14:textId="77777777" w:rsidR="00D97DB7" w:rsidRDefault="00D97DB7" w:rsidP="00D97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7BFF697B" w14:textId="77777777" w:rsidR="00D97DB7" w:rsidRDefault="00D97DB7" w:rsidP="00D97DB7">
      <w:pPr>
        <w:pStyle w:val="Heading1"/>
        <w:spacing w:line="360" w:lineRule="auto"/>
        <w:jc w:val="both"/>
        <w:rPr>
          <w:rStyle w:val="Strong"/>
          <w:rFonts w:ascii="Arial" w:hAnsi="Arial" w:cs="Arial" w:hint="default"/>
          <w:b/>
          <w:bCs/>
          <w:sz w:val="22"/>
          <w:szCs w:val="22"/>
        </w:rPr>
      </w:pPr>
    </w:p>
    <w:p w14:paraId="107E9D68" w14:textId="77777777" w:rsidR="00D97DB7" w:rsidRDefault="00D97DB7" w:rsidP="00D97DB7">
      <w:pPr>
        <w:rPr>
          <w:rStyle w:val="Strong"/>
          <w:rFonts w:ascii="Arial" w:hAnsi="Arial" w:cs="Arial"/>
          <w:sz w:val="22"/>
          <w:szCs w:val="22"/>
        </w:rPr>
      </w:pPr>
    </w:p>
    <w:p w14:paraId="64694CDC" w14:textId="77777777" w:rsidR="00D97DB7" w:rsidRDefault="00D97DB7" w:rsidP="00D97DB7">
      <w:pPr>
        <w:rPr>
          <w:rStyle w:val="Strong"/>
          <w:rFonts w:ascii="Arial" w:hAnsi="Arial" w:cs="Arial"/>
          <w:sz w:val="22"/>
          <w:szCs w:val="22"/>
        </w:rPr>
      </w:pPr>
    </w:p>
    <w:p w14:paraId="36B688F6" w14:textId="77777777" w:rsidR="00D97DB7" w:rsidRDefault="00D97DB7" w:rsidP="00D97DB7">
      <w:pPr>
        <w:rPr>
          <w:rStyle w:val="Strong"/>
          <w:rFonts w:ascii="Arial" w:hAnsi="Arial" w:cs="Arial"/>
          <w:sz w:val="22"/>
          <w:szCs w:val="22"/>
        </w:rPr>
      </w:pPr>
    </w:p>
    <w:p w14:paraId="13B11492" w14:textId="77777777" w:rsidR="00D97DB7" w:rsidRDefault="00D97DB7" w:rsidP="00D97DB7">
      <w:pPr>
        <w:rPr>
          <w:rStyle w:val="Strong"/>
          <w:rFonts w:ascii="Arial" w:hAnsi="Arial" w:cs="Arial"/>
          <w:sz w:val="22"/>
          <w:szCs w:val="22"/>
        </w:rPr>
      </w:pPr>
    </w:p>
    <w:p w14:paraId="0B6ED84B" w14:textId="77777777" w:rsidR="00D97DB7" w:rsidRDefault="00D97DB7" w:rsidP="00D97DB7">
      <w:pPr>
        <w:rPr>
          <w:rStyle w:val="Strong"/>
          <w:rFonts w:ascii="Arial" w:hAnsi="Arial" w:cs="Arial"/>
          <w:sz w:val="22"/>
          <w:szCs w:val="22"/>
        </w:rPr>
      </w:pPr>
    </w:p>
    <w:p w14:paraId="366C7204" w14:textId="77777777" w:rsidR="00D97DB7" w:rsidRDefault="00D97DB7" w:rsidP="00D97DB7">
      <w:pPr>
        <w:rPr>
          <w:rStyle w:val="Strong"/>
          <w:rFonts w:ascii="Arial" w:hAnsi="Arial" w:cs="Arial"/>
          <w:sz w:val="22"/>
          <w:szCs w:val="22"/>
        </w:rPr>
      </w:pPr>
    </w:p>
    <w:p w14:paraId="795EC2D7" w14:textId="77777777" w:rsidR="00D97DB7" w:rsidRDefault="00D97DB7" w:rsidP="00D97DB7">
      <w:pPr>
        <w:rPr>
          <w:rStyle w:val="Strong"/>
          <w:rFonts w:ascii="Arial" w:hAnsi="Arial" w:cs="Arial"/>
          <w:sz w:val="22"/>
          <w:szCs w:val="22"/>
        </w:rPr>
      </w:pPr>
    </w:p>
    <w:p w14:paraId="4365A592" w14:textId="77777777" w:rsidR="00D97DB7" w:rsidRDefault="00D97DB7" w:rsidP="00D97DB7">
      <w:pPr>
        <w:rPr>
          <w:rStyle w:val="Strong"/>
          <w:rFonts w:ascii="Arial" w:hAnsi="Arial" w:cs="Arial"/>
          <w:sz w:val="22"/>
          <w:szCs w:val="22"/>
        </w:rPr>
      </w:pPr>
    </w:p>
    <w:p w14:paraId="2D8DA86F" w14:textId="77777777" w:rsidR="00D97DB7" w:rsidRDefault="00D97DB7" w:rsidP="00D97DB7">
      <w:pPr>
        <w:rPr>
          <w:rStyle w:val="Strong"/>
          <w:rFonts w:ascii="Arial" w:hAnsi="Arial" w:cs="Arial"/>
          <w:sz w:val="22"/>
          <w:szCs w:val="22"/>
        </w:rPr>
      </w:pPr>
    </w:p>
    <w:p w14:paraId="2E836E5C" w14:textId="77777777" w:rsidR="00D97DB7" w:rsidRDefault="00D97DB7" w:rsidP="00D97DB7">
      <w:pPr>
        <w:keepNext/>
        <w:pageBreakBefore/>
        <w:widowControl w:val="0"/>
        <w:autoSpaceDE w:val="0"/>
        <w:autoSpaceDN w:val="0"/>
        <w:spacing w:after="180" w:line="360" w:lineRule="auto"/>
        <w:outlineLvl w:val="0"/>
        <w:rPr>
          <w:rFonts w:ascii="Arial" w:eastAsia="Calibri Light" w:hAnsi="Arial" w:cs="Arial"/>
          <w:sz w:val="22"/>
          <w:szCs w:val="22"/>
          <w:lang w:val="en-GB" w:eastAsia="en-GB" w:bidi="en-GB"/>
        </w:rPr>
      </w:pPr>
      <w:bookmarkStart w:id="0" w:name="_Toc536543204"/>
      <w:bookmarkStart w:id="1" w:name="_Toc536543433"/>
      <w:bookmarkStart w:id="2" w:name="_Toc15893759"/>
      <w:bookmarkStart w:id="3" w:name="_Toc299977276"/>
      <w:r>
        <w:rPr>
          <w:rFonts w:ascii="Arial" w:eastAsia="Times New Roman" w:hAnsi="Arial" w:cs="Arial"/>
          <w:b/>
          <w:kern w:val="28"/>
          <w:sz w:val="22"/>
          <w:szCs w:val="22"/>
          <w:lang w:val="en-GB" w:eastAsia="en-GB" w:bidi="en-GB"/>
        </w:rPr>
        <w:lastRenderedPageBreak/>
        <w:t>Table of</w:t>
      </w:r>
      <w:r>
        <w:rPr>
          <w:rFonts w:ascii="Arial" w:eastAsia="Times New Roman" w:hAnsi="Arial" w:cs="Arial"/>
          <w:bCs/>
          <w:kern w:val="28"/>
          <w:sz w:val="22"/>
          <w:szCs w:val="22"/>
          <w:lang w:val="en-GB" w:eastAsia="en-GB" w:bidi="en-GB"/>
        </w:rPr>
        <w:t xml:space="preserve"> </w:t>
      </w:r>
      <w:r>
        <w:rPr>
          <w:rFonts w:ascii="Arial" w:eastAsia="Times New Roman" w:hAnsi="Arial" w:cs="Arial"/>
          <w:b/>
          <w:kern w:val="28"/>
          <w:sz w:val="22"/>
          <w:szCs w:val="22"/>
          <w:lang w:val="en-GB" w:eastAsia="en-GB" w:bidi="en-GB"/>
        </w:rPr>
        <w:t>Contents</w:t>
      </w:r>
      <w:bookmarkEnd w:id="0"/>
      <w:bookmarkEnd w:id="1"/>
      <w:bookmarkEnd w:id="2"/>
      <w:bookmarkEnd w:id="3"/>
      <w:r>
        <w:rPr>
          <w:rFonts w:ascii="Arial" w:eastAsia="Times New Roman" w:hAnsi="Arial" w:cs="Arial"/>
          <w:b/>
          <w:kern w:val="28"/>
          <w:sz w:val="22"/>
          <w:szCs w:val="22"/>
          <w:lang w:val="en-GB" w:eastAsia="en-GB" w:bidi="en-GB"/>
        </w:rPr>
        <w:t xml:space="preserve"> </w:t>
      </w:r>
      <w:r>
        <w:rPr>
          <w:rFonts w:ascii="Arial" w:eastAsia="Calibri Light" w:hAnsi="Arial" w:cs="Arial"/>
          <w:spacing w:val="-4"/>
          <w:sz w:val="22"/>
          <w:szCs w:val="22"/>
          <w:lang w:val="en-GB" w:eastAsia="en-GB" w:bidi="en-GB"/>
        </w:rPr>
        <w:t xml:space="preserve">                                                                                                                 </w:t>
      </w:r>
    </w:p>
    <w:sdt>
      <w:sdtPr>
        <w:rPr>
          <w:rFonts w:ascii="Arial" w:hAnsi="Arial" w:cs="Arial"/>
          <w:sz w:val="22"/>
          <w:szCs w:val="22"/>
        </w:rPr>
        <w:id w:val="147476981"/>
        <w:docPartObj>
          <w:docPartGallery w:val="Table of Contents"/>
          <w:docPartUnique/>
        </w:docPartObj>
      </w:sdtPr>
      <w:sdtContent>
        <w:p w14:paraId="032D9691" w14:textId="77777777" w:rsidR="00D97DB7" w:rsidRDefault="00D97DB7" w:rsidP="00D97DB7">
          <w:pPr>
            <w:pStyle w:val="TOC1"/>
            <w:tabs>
              <w:tab w:val="right" w:pos="8548"/>
            </w:tabs>
            <w:spacing w:before="174"/>
            <w:rPr>
              <w:rFonts w:ascii="Arial" w:hAnsi="Arial" w:cs="Arial"/>
              <w:sz w:val="22"/>
              <w:szCs w:val="22"/>
              <w:lang w:val="en-US"/>
            </w:rPr>
          </w:pPr>
          <w:r>
            <w:rPr>
              <w:rFonts w:ascii="Arial" w:hAnsi="Arial" w:cs="Arial"/>
              <w:sz w:val="22"/>
              <w:szCs w:val="22"/>
              <w:lang w:val="en-US"/>
            </w:rPr>
            <w:t xml:space="preserve">TITILE PAGE                                                                                                            </w:t>
          </w:r>
        </w:p>
        <w:p w14:paraId="06F5F5AC" w14:textId="77777777" w:rsidR="00D97DB7" w:rsidRDefault="00D97DB7" w:rsidP="00D97DB7">
          <w:pPr>
            <w:pStyle w:val="TOC1"/>
            <w:tabs>
              <w:tab w:val="right" w:pos="8553"/>
            </w:tabs>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TOC \o "1-1" \h \z \u </w:instrText>
          </w:r>
          <w:r>
            <w:rPr>
              <w:rFonts w:ascii="Arial" w:hAnsi="Arial" w:cs="Arial"/>
              <w:sz w:val="22"/>
              <w:szCs w:val="22"/>
            </w:rPr>
            <w:fldChar w:fldCharType="separate"/>
          </w:r>
          <w:hyperlink w:anchor="_TOC_250003" w:history="1">
            <w:r>
              <w:rPr>
                <w:rFonts w:ascii="Arial" w:hAnsi="Arial" w:cs="Arial"/>
                <w:sz w:val="22"/>
                <w:szCs w:val="22"/>
              </w:rPr>
              <w:t>TABLE</w:t>
            </w:r>
            <w:r>
              <w:rPr>
                <w:rFonts w:ascii="Arial" w:hAnsi="Arial" w:cs="Arial"/>
                <w:spacing w:val="-13"/>
                <w:sz w:val="22"/>
                <w:szCs w:val="22"/>
              </w:rPr>
              <w:t xml:space="preserve"> </w:t>
            </w:r>
            <w:r>
              <w:rPr>
                <w:rFonts w:ascii="Arial" w:hAnsi="Arial" w:cs="Arial"/>
                <w:sz w:val="22"/>
                <w:szCs w:val="22"/>
              </w:rPr>
              <w:t>OF</w:t>
            </w:r>
            <w:r>
              <w:rPr>
                <w:rFonts w:ascii="Arial" w:hAnsi="Arial" w:cs="Arial"/>
                <w:spacing w:val="-10"/>
                <w:sz w:val="22"/>
                <w:szCs w:val="22"/>
              </w:rPr>
              <w:t xml:space="preserve"> </w:t>
            </w:r>
            <w:r>
              <w:rPr>
                <w:rFonts w:ascii="Arial" w:hAnsi="Arial" w:cs="Arial"/>
                <w:spacing w:val="-2"/>
                <w:sz w:val="22"/>
                <w:szCs w:val="22"/>
              </w:rPr>
              <w:t>CONTENTS</w:t>
            </w:r>
            <w:r>
              <w:rPr>
                <w:rFonts w:ascii="Arial" w:hAnsi="Arial" w:cs="Arial"/>
                <w:sz w:val="22"/>
                <w:szCs w:val="22"/>
              </w:rPr>
              <w:tab/>
            </w:r>
            <w:r>
              <w:rPr>
                <w:rFonts w:ascii="Arial" w:hAnsi="Arial" w:cs="Arial"/>
                <w:sz w:val="22"/>
                <w:szCs w:val="22"/>
                <w:lang w:val="en-US"/>
              </w:rPr>
              <w:t>ii</w:t>
            </w:r>
          </w:hyperlink>
        </w:p>
        <w:p w14:paraId="24DE756B" w14:textId="77777777" w:rsidR="00D97DB7" w:rsidRDefault="00D97DB7" w:rsidP="00D97DB7">
          <w:pPr>
            <w:pStyle w:val="TOC1"/>
            <w:tabs>
              <w:tab w:val="right" w:pos="8568"/>
            </w:tabs>
            <w:spacing w:before="175"/>
            <w:rPr>
              <w:rFonts w:ascii="Arial" w:hAnsi="Arial" w:cs="Arial"/>
              <w:sz w:val="22"/>
              <w:szCs w:val="22"/>
            </w:rPr>
          </w:pPr>
          <w:hyperlink w:anchor="_TOC_250001" w:history="1">
            <w:r>
              <w:rPr>
                <w:rFonts w:ascii="Arial" w:hAnsi="Arial" w:cs="Arial"/>
                <w:sz w:val="22"/>
                <w:szCs w:val="22"/>
              </w:rPr>
              <w:t>LIST</w:t>
            </w:r>
            <w:r>
              <w:rPr>
                <w:rFonts w:ascii="Arial" w:hAnsi="Arial" w:cs="Arial"/>
                <w:spacing w:val="-8"/>
                <w:sz w:val="22"/>
                <w:szCs w:val="22"/>
              </w:rPr>
              <w:t xml:space="preserve"> </w:t>
            </w:r>
            <w:r>
              <w:rPr>
                <w:rFonts w:ascii="Arial" w:hAnsi="Arial" w:cs="Arial"/>
                <w:sz w:val="22"/>
                <w:szCs w:val="22"/>
              </w:rPr>
              <w:t>OF</w:t>
            </w:r>
            <w:r>
              <w:rPr>
                <w:rFonts w:ascii="Arial" w:hAnsi="Arial" w:cs="Arial"/>
                <w:spacing w:val="-4"/>
                <w:sz w:val="22"/>
                <w:szCs w:val="22"/>
              </w:rPr>
              <w:t xml:space="preserve"> </w:t>
            </w:r>
            <w:r>
              <w:rPr>
                <w:rFonts w:ascii="Arial" w:hAnsi="Arial" w:cs="Arial"/>
                <w:spacing w:val="-2"/>
                <w:sz w:val="22"/>
                <w:szCs w:val="22"/>
              </w:rPr>
              <w:t>TABLES</w:t>
            </w:r>
            <w:r>
              <w:rPr>
                <w:rFonts w:ascii="Arial" w:hAnsi="Arial" w:cs="Arial"/>
                <w:sz w:val="22"/>
                <w:szCs w:val="22"/>
              </w:rPr>
              <w:tab/>
            </w:r>
            <w:r>
              <w:rPr>
                <w:rFonts w:ascii="Arial" w:hAnsi="Arial" w:cs="Arial"/>
                <w:sz w:val="22"/>
                <w:szCs w:val="22"/>
                <w:lang w:val="en-US"/>
              </w:rPr>
              <w:t>i</w:t>
            </w:r>
            <w:r>
              <w:rPr>
                <w:rFonts w:ascii="Arial" w:hAnsi="Arial" w:cs="Arial"/>
                <w:spacing w:val="-5"/>
                <w:sz w:val="22"/>
                <w:szCs w:val="22"/>
              </w:rPr>
              <w:t>ii</w:t>
            </w:r>
          </w:hyperlink>
        </w:p>
        <w:p w14:paraId="054B619B" w14:textId="77777777" w:rsidR="00D97DB7" w:rsidRDefault="00D97DB7" w:rsidP="00D97DB7">
          <w:pPr>
            <w:pStyle w:val="TOC1"/>
            <w:tabs>
              <w:tab w:val="right" w:pos="8440"/>
            </w:tabs>
            <w:rPr>
              <w:rFonts w:ascii="Arial" w:hAnsi="Arial" w:cs="Arial"/>
              <w:sz w:val="22"/>
              <w:szCs w:val="22"/>
              <w:lang w:val="en-US"/>
            </w:rPr>
          </w:pPr>
          <w:hyperlink w:anchor="_TOC_250000" w:history="1">
            <w:r>
              <w:rPr>
                <w:rFonts w:ascii="Arial" w:hAnsi="Arial" w:cs="Arial"/>
                <w:sz w:val="22"/>
                <w:szCs w:val="22"/>
              </w:rPr>
              <w:t>LIST</w:t>
            </w:r>
            <w:r>
              <w:rPr>
                <w:rFonts w:ascii="Arial" w:hAnsi="Arial" w:cs="Arial"/>
                <w:spacing w:val="-8"/>
                <w:sz w:val="22"/>
                <w:szCs w:val="22"/>
              </w:rPr>
              <w:t xml:space="preserve"> </w:t>
            </w:r>
            <w:r>
              <w:rPr>
                <w:rFonts w:ascii="Arial" w:hAnsi="Arial" w:cs="Arial"/>
                <w:sz w:val="22"/>
                <w:szCs w:val="22"/>
              </w:rPr>
              <w:t>OF</w:t>
            </w:r>
            <w:r>
              <w:rPr>
                <w:rFonts w:ascii="Arial" w:hAnsi="Arial" w:cs="Arial"/>
                <w:spacing w:val="-14"/>
                <w:sz w:val="22"/>
                <w:szCs w:val="22"/>
              </w:rPr>
              <w:t xml:space="preserve"> </w:t>
            </w:r>
            <w:r>
              <w:rPr>
                <w:rFonts w:ascii="Arial" w:hAnsi="Arial" w:cs="Arial"/>
                <w:spacing w:val="-2"/>
                <w:sz w:val="22"/>
                <w:szCs w:val="22"/>
              </w:rPr>
              <w:t>ABBREVIATIONS/NOMENCLATURE</w:t>
            </w:r>
            <w:r>
              <w:rPr>
                <w:rFonts w:ascii="Arial" w:hAnsi="Arial" w:cs="Arial"/>
                <w:sz w:val="22"/>
                <w:szCs w:val="22"/>
              </w:rPr>
              <w:tab/>
            </w:r>
            <w:r>
              <w:rPr>
                <w:rFonts w:ascii="Arial" w:hAnsi="Arial" w:cs="Arial"/>
                <w:sz w:val="22"/>
                <w:szCs w:val="22"/>
                <w:lang w:val="en-US"/>
              </w:rPr>
              <w:t xml:space="preserve">          </w:t>
            </w:r>
            <w:r>
              <w:rPr>
                <w:rFonts w:ascii="Arial" w:hAnsi="Arial" w:cs="Arial"/>
                <w:spacing w:val="-5"/>
                <w:sz w:val="22"/>
                <w:szCs w:val="22"/>
              </w:rPr>
              <w:t>i</w:t>
            </w:r>
          </w:hyperlink>
          <w:r>
            <w:rPr>
              <w:rFonts w:ascii="Arial" w:hAnsi="Arial" w:cs="Arial"/>
              <w:spacing w:val="-5"/>
              <w:sz w:val="22"/>
              <w:szCs w:val="22"/>
              <w:lang w:val="en-US"/>
            </w:rPr>
            <w:t>v</w:t>
          </w:r>
        </w:p>
        <w:p w14:paraId="37EC3670" w14:textId="77777777" w:rsidR="00D97DB7" w:rsidRDefault="00D97DB7" w:rsidP="00D97DB7">
          <w:pPr>
            <w:widowControl w:val="0"/>
            <w:autoSpaceDE w:val="0"/>
            <w:autoSpaceDN w:val="0"/>
            <w:spacing w:line="174" w:lineRule="exact"/>
            <w:rPr>
              <w:rFonts w:ascii="Arial" w:eastAsia="Calibri Light" w:hAnsi="Arial" w:cs="Arial"/>
              <w:sz w:val="22"/>
              <w:szCs w:val="22"/>
              <w:lang w:val="en-GB" w:eastAsia="en-GB" w:bidi="en-GB"/>
            </w:rPr>
          </w:pPr>
          <w:r>
            <w:rPr>
              <w:rFonts w:ascii="Arial" w:eastAsia="Calibri Light" w:hAnsi="Arial" w:cs="Arial"/>
              <w:sz w:val="22"/>
              <w:szCs w:val="22"/>
              <w:lang w:val="en-GB" w:eastAsia="en-GB" w:bidi="en-GB"/>
            </w:rPr>
            <w:fldChar w:fldCharType="end"/>
          </w:r>
        </w:p>
      </w:sdtContent>
    </w:sdt>
    <w:p w14:paraId="7BF12E94" w14:textId="77777777" w:rsidR="00D97DB7" w:rsidRDefault="00D97DB7" w:rsidP="00D97DB7">
      <w:pPr>
        <w:widowControl w:val="0"/>
        <w:tabs>
          <w:tab w:val="left" w:pos="8400"/>
        </w:tabs>
        <w:autoSpaceDE w:val="0"/>
        <w:autoSpaceDN w:val="0"/>
        <w:ind w:left="360"/>
        <w:rPr>
          <w:rFonts w:ascii="Arial" w:eastAsia="Calibri Light" w:hAnsi="Arial" w:cs="Arial"/>
          <w:sz w:val="22"/>
          <w:szCs w:val="22"/>
          <w:lang w:val="en-GB" w:eastAsia="en-GB" w:bidi="en-GB"/>
        </w:rPr>
      </w:pPr>
      <w:r>
        <w:rPr>
          <w:rFonts w:ascii="Arial" w:eastAsia="Calibri Light" w:hAnsi="Arial" w:cs="Arial"/>
          <w:b/>
          <w:bCs/>
          <w:sz w:val="22"/>
          <w:szCs w:val="22"/>
          <w:lang w:eastAsia="en-GB" w:bidi="en-GB"/>
        </w:rPr>
        <w:t xml:space="preserve">SECTION </w:t>
      </w:r>
      <w:r>
        <w:rPr>
          <w:rFonts w:ascii="Arial" w:eastAsia="Calibri Light" w:hAnsi="Arial" w:cs="Arial"/>
          <w:b/>
          <w:bCs/>
          <w:sz w:val="22"/>
          <w:szCs w:val="22"/>
          <w:lang w:val="en-GB" w:eastAsia="en-GB" w:bidi="en-GB"/>
        </w:rPr>
        <w:t>ONE:</w:t>
      </w:r>
      <w:r>
        <w:rPr>
          <w:rFonts w:ascii="Arial" w:eastAsia="Calibri Light" w:hAnsi="Arial" w:cs="Arial"/>
          <w:spacing w:val="-2"/>
          <w:sz w:val="22"/>
          <w:szCs w:val="22"/>
          <w:lang w:val="en-GB" w:eastAsia="en-GB" w:bidi="en-GB"/>
        </w:rPr>
        <w:t xml:space="preserve"> </w:t>
      </w:r>
      <w:r>
        <w:rPr>
          <w:rFonts w:ascii="Arial" w:eastAsia="Calibri Light" w:hAnsi="Arial" w:cs="Arial"/>
          <w:spacing w:val="-2"/>
          <w:sz w:val="22"/>
          <w:szCs w:val="22"/>
          <w:lang w:val="en-GB" w:eastAsia="en-GB" w:bidi="en-GB"/>
        </w:rPr>
        <w:tab/>
        <w:t>1</w:t>
      </w:r>
    </w:p>
    <w:p w14:paraId="6E94DBA6" w14:textId="77777777" w:rsidR="00D97DB7" w:rsidRDefault="00D97DB7" w:rsidP="00D97DB7">
      <w:pPr>
        <w:pStyle w:val="ListParagraph"/>
        <w:tabs>
          <w:tab w:val="left" w:pos="720"/>
          <w:tab w:val="left" w:pos="8400"/>
        </w:tabs>
        <w:spacing w:before="139"/>
        <w:ind w:left="360" w:firstLine="0"/>
        <w:rPr>
          <w:rFonts w:ascii="Arial" w:hAnsi="Arial" w:cs="Arial"/>
        </w:rPr>
      </w:pPr>
      <w:r>
        <w:rPr>
          <w:rFonts w:ascii="Arial" w:hAnsi="Arial" w:cs="Arial"/>
          <w:lang w:val="en-US"/>
        </w:rPr>
        <w:t xml:space="preserve">1.0 Introduction </w:t>
      </w:r>
      <w:r>
        <w:rPr>
          <w:rFonts w:ascii="Arial" w:hAnsi="Arial" w:cs="Arial"/>
          <w:spacing w:val="-2"/>
        </w:rPr>
        <w:tab/>
        <w:t>1</w:t>
      </w:r>
    </w:p>
    <w:p w14:paraId="5FBB611F" w14:textId="77777777" w:rsidR="00D97DB7" w:rsidRDefault="00D97DB7" w:rsidP="00D97DB7">
      <w:pPr>
        <w:pStyle w:val="ListParagraph"/>
        <w:tabs>
          <w:tab w:val="left" w:pos="720"/>
          <w:tab w:val="left" w:pos="8400"/>
        </w:tabs>
        <w:spacing w:before="134" w:line="360" w:lineRule="auto"/>
        <w:ind w:left="360" w:right="5450" w:firstLine="0"/>
        <w:rPr>
          <w:rFonts w:ascii="Arial" w:hAnsi="Arial" w:cs="Arial"/>
          <w:lang w:val="en-US"/>
        </w:rPr>
      </w:pPr>
      <w:r>
        <w:rPr>
          <w:rFonts w:ascii="Arial" w:hAnsi="Arial" w:cs="Arial"/>
          <w:b/>
          <w:bCs/>
          <w:lang w:val="en-US"/>
        </w:rPr>
        <w:t>SECTION TWO</w:t>
      </w:r>
      <w:r>
        <w:rPr>
          <w:rFonts w:ascii="Arial" w:hAnsi="Arial" w:cs="Arial"/>
          <w:b/>
          <w:bCs/>
        </w:rPr>
        <w:t>:</w:t>
      </w:r>
      <w:r>
        <w:rPr>
          <w:rFonts w:ascii="Arial" w:hAnsi="Arial" w:cs="Arial"/>
          <w:spacing w:val="-15"/>
        </w:rPr>
        <w:t xml:space="preserve"> </w:t>
      </w:r>
    </w:p>
    <w:p w14:paraId="3289B8CE" w14:textId="77777777" w:rsidR="00D97DB7" w:rsidRDefault="00D97DB7" w:rsidP="00D97DB7">
      <w:pPr>
        <w:pStyle w:val="ListParagraph"/>
        <w:tabs>
          <w:tab w:val="left" w:pos="720"/>
          <w:tab w:val="left" w:pos="8400"/>
        </w:tabs>
        <w:spacing w:line="273" w:lineRule="exact"/>
        <w:ind w:left="360" w:firstLine="0"/>
        <w:rPr>
          <w:rFonts w:ascii="Arial" w:hAnsi="Arial" w:cs="Arial"/>
          <w:lang w:val="en-US"/>
        </w:rPr>
      </w:pPr>
      <w:r>
        <w:rPr>
          <w:rFonts w:ascii="Arial" w:hAnsi="Arial" w:cs="Arial"/>
          <w:lang w:val="en-US"/>
        </w:rPr>
        <w:t xml:space="preserve">2.0 WHO and Sustainable Development Goals </w:t>
      </w:r>
      <w:r>
        <w:rPr>
          <w:rFonts w:ascii="Arial" w:hAnsi="Arial" w:cs="Arial"/>
          <w:spacing w:val="-2"/>
        </w:rPr>
        <w:tab/>
      </w:r>
      <w:r>
        <w:rPr>
          <w:rFonts w:ascii="Arial" w:hAnsi="Arial" w:cs="Arial"/>
          <w:spacing w:val="-2"/>
          <w:lang w:val="en-US"/>
        </w:rPr>
        <w:t>1</w:t>
      </w:r>
    </w:p>
    <w:p w14:paraId="688388CE" w14:textId="77777777" w:rsidR="00D97DB7" w:rsidRDefault="00D97DB7" w:rsidP="00D97DB7">
      <w:pPr>
        <w:pStyle w:val="ListParagraph"/>
        <w:tabs>
          <w:tab w:val="left" w:pos="900"/>
          <w:tab w:val="left" w:pos="8400"/>
        </w:tabs>
        <w:spacing w:before="139"/>
        <w:ind w:left="0" w:firstLineChars="150" w:firstLine="327"/>
        <w:rPr>
          <w:rFonts w:ascii="Arial" w:hAnsi="Arial" w:cs="Arial"/>
          <w:lang w:val="en-US"/>
        </w:rPr>
      </w:pPr>
      <w:r>
        <w:rPr>
          <w:rFonts w:ascii="Arial" w:hAnsi="Arial" w:cs="Arial"/>
          <w:spacing w:val="-2"/>
          <w:lang w:val="en-US"/>
        </w:rPr>
        <w:t>2.1 SDG 3: Good Health and Wellbeing</w:t>
      </w:r>
      <w:r>
        <w:rPr>
          <w:rFonts w:ascii="Arial" w:hAnsi="Arial" w:cs="Arial"/>
          <w:spacing w:val="-2"/>
        </w:rPr>
        <w:tab/>
      </w:r>
      <w:r>
        <w:rPr>
          <w:rFonts w:ascii="Arial" w:hAnsi="Arial" w:cs="Arial"/>
          <w:spacing w:val="-2"/>
          <w:lang w:val="en-US"/>
        </w:rPr>
        <w:t>1</w:t>
      </w:r>
    </w:p>
    <w:p w14:paraId="19243C1A" w14:textId="77777777" w:rsidR="00D97DB7" w:rsidRDefault="00D97DB7" w:rsidP="00D97DB7">
      <w:pPr>
        <w:pStyle w:val="ListParagraph"/>
        <w:tabs>
          <w:tab w:val="left" w:pos="720"/>
          <w:tab w:val="left" w:pos="8400"/>
        </w:tabs>
        <w:spacing w:before="139"/>
        <w:ind w:left="0" w:firstLineChars="150" w:firstLine="330"/>
        <w:rPr>
          <w:rFonts w:ascii="Arial" w:hAnsi="Arial" w:cs="Arial"/>
          <w:lang w:val="en-US"/>
        </w:rPr>
      </w:pPr>
      <w:r>
        <w:rPr>
          <w:rFonts w:ascii="Arial" w:hAnsi="Arial" w:cs="Arial"/>
          <w:lang w:val="en-US"/>
        </w:rPr>
        <w:t>2.2 SDG 13: Climate Action</w:t>
      </w:r>
      <w:r>
        <w:rPr>
          <w:rFonts w:ascii="Arial" w:hAnsi="Arial" w:cs="Arial"/>
          <w:spacing w:val="-2"/>
        </w:rPr>
        <w:tab/>
      </w:r>
      <w:r>
        <w:rPr>
          <w:rFonts w:ascii="Arial" w:hAnsi="Arial" w:cs="Arial"/>
          <w:spacing w:val="-2"/>
          <w:lang w:val="en-US"/>
        </w:rPr>
        <w:t>2</w:t>
      </w:r>
    </w:p>
    <w:p w14:paraId="1E226F30" w14:textId="77777777" w:rsidR="00D97DB7" w:rsidRDefault="00D97DB7" w:rsidP="00D97DB7">
      <w:pPr>
        <w:widowControl w:val="0"/>
        <w:tabs>
          <w:tab w:val="left" w:pos="8400"/>
        </w:tabs>
        <w:autoSpaceDE w:val="0"/>
        <w:autoSpaceDN w:val="0"/>
        <w:ind w:left="360"/>
        <w:rPr>
          <w:rFonts w:ascii="Arial" w:eastAsia="Calibri Light" w:hAnsi="Arial" w:cs="Arial"/>
          <w:b/>
          <w:bCs/>
          <w:sz w:val="22"/>
          <w:szCs w:val="22"/>
          <w:lang w:val="en-GB" w:eastAsia="en-GB" w:bidi="en-GB"/>
        </w:rPr>
      </w:pPr>
    </w:p>
    <w:p w14:paraId="2A1051B1" w14:textId="77777777" w:rsidR="00D97DB7" w:rsidRDefault="00D97DB7" w:rsidP="00D97DB7">
      <w:pPr>
        <w:widowControl w:val="0"/>
        <w:tabs>
          <w:tab w:val="left" w:pos="8400"/>
        </w:tabs>
        <w:autoSpaceDE w:val="0"/>
        <w:autoSpaceDN w:val="0"/>
        <w:ind w:left="360"/>
        <w:rPr>
          <w:rFonts w:ascii="Arial" w:eastAsia="Calibri Light" w:hAnsi="Arial" w:cs="Arial"/>
          <w:sz w:val="22"/>
          <w:szCs w:val="22"/>
          <w:lang w:val="en-GB" w:eastAsia="en-GB" w:bidi="en-GB"/>
        </w:rPr>
      </w:pPr>
      <w:r>
        <w:rPr>
          <w:rFonts w:ascii="Arial" w:eastAsia="Calibri Light" w:hAnsi="Arial" w:cs="Arial"/>
          <w:b/>
          <w:bCs/>
          <w:sz w:val="22"/>
          <w:szCs w:val="22"/>
          <w:lang w:eastAsia="en-GB" w:bidi="en-GB"/>
        </w:rPr>
        <w:t xml:space="preserve">SECTION </w:t>
      </w:r>
      <w:r>
        <w:rPr>
          <w:rFonts w:ascii="Arial" w:eastAsia="Calibri Light" w:hAnsi="Arial" w:cs="Arial"/>
          <w:b/>
          <w:bCs/>
          <w:sz w:val="22"/>
          <w:szCs w:val="22"/>
          <w:lang w:val="en-GB" w:eastAsia="en-GB" w:bidi="en-GB"/>
        </w:rPr>
        <w:t>THREE:</w:t>
      </w:r>
      <w:r>
        <w:rPr>
          <w:rFonts w:ascii="Arial" w:eastAsia="Calibri Light" w:hAnsi="Arial" w:cs="Arial"/>
          <w:spacing w:val="-5"/>
          <w:sz w:val="22"/>
          <w:szCs w:val="22"/>
          <w:lang w:val="en-GB" w:eastAsia="en-GB" w:bidi="en-GB"/>
        </w:rPr>
        <w:t xml:space="preserve"> </w:t>
      </w:r>
    </w:p>
    <w:p w14:paraId="4F1AB131" w14:textId="77777777" w:rsidR="00D97DB7" w:rsidRDefault="00D97DB7" w:rsidP="00D97DB7">
      <w:pPr>
        <w:pStyle w:val="ListParagraph"/>
        <w:numPr>
          <w:ilvl w:val="1"/>
          <w:numId w:val="1"/>
        </w:numPr>
        <w:tabs>
          <w:tab w:val="left" w:pos="720"/>
          <w:tab w:val="left" w:pos="8400"/>
        </w:tabs>
        <w:spacing w:before="139"/>
        <w:ind w:left="720" w:hanging="360"/>
        <w:rPr>
          <w:rFonts w:ascii="Arial" w:hAnsi="Arial" w:cs="Arial"/>
        </w:rPr>
      </w:pPr>
      <w:r>
        <w:rPr>
          <w:rFonts w:ascii="Arial" w:hAnsi="Arial" w:cs="Arial"/>
          <w:lang w:val="en-US"/>
        </w:rPr>
        <w:t>How Climate Action Influences Health and Wellbeing</w:t>
      </w:r>
      <w:r>
        <w:rPr>
          <w:rFonts w:ascii="Arial" w:hAnsi="Arial" w:cs="Arial"/>
          <w:spacing w:val="-2"/>
        </w:rPr>
        <w:tab/>
      </w:r>
      <w:r>
        <w:rPr>
          <w:rFonts w:ascii="Arial" w:hAnsi="Arial" w:cs="Arial"/>
          <w:spacing w:val="-2"/>
          <w:lang w:val="en-US"/>
        </w:rPr>
        <w:t>2</w:t>
      </w:r>
    </w:p>
    <w:p w14:paraId="4E0C7FFD" w14:textId="77777777" w:rsidR="00D97DB7" w:rsidRDefault="00D97DB7" w:rsidP="00D97DB7">
      <w:pPr>
        <w:pStyle w:val="ListParagraph"/>
        <w:numPr>
          <w:ilvl w:val="1"/>
          <w:numId w:val="1"/>
        </w:numPr>
        <w:tabs>
          <w:tab w:val="left" w:pos="720"/>
          <w:tab w:val="left" w:pos="8400"/>
        </w:tabs>
        <w:spacing w:before="134"/>
        <w:ind w:left="720" w:hanging="360"/>
        <w:rPr>
          <w:rFonts w:ascii="Arial" w:hAnsi="Arial" w:cs="Arial"/>
        </w:rPr>
      </w:pPr>
      <w:r>
        <w:rPr>
          <w:rFonts w:ascii="Arial" w:hAnsi="Arial" w:cs="Arial"/>
          <w:lang w:val="en-US"/>
        </w:rPr>
        <w:t xml:space="preserve">Synergy and Policy Coherence </w:t>
      </w:r>
      <w:r>
        <w:rPr>
          <w:rFonts w:ascii="Arial" w:hAnsi="Arial" w:cs="Arial"/>
          <w:spacing w:val="-4"/>
        </w:rPr>
        <w:tab/>
      </w:r>
      <w:r>
        <w:rPr>
          <w:rFonts w:ascii="Arial" w:hAnsi="Arial" w:cs="Arial"/>
          <w:spacing w:val="-4"/>
          <w:lang w:val="en-US"/>
        </w:rPr>
        <w:t>2</w:t>
      </w:r>
    </w:p>
    <w:p w14:paraId="5096E8EC" w14:textId="77777777" w:rsidR="00D97DB7" w:rsidRDefault="00D97DB7" w:rsidP="00D97DB7">
      <w:pPr>
        <w:pStyle w:val="ListParagraph"/>
        <w:numPr>
          <w:ilvl w:val="1"/>
          <w:numId w:val="1"/>
        </w:numPr>
        <w:tabs>
          <w:tab w:val="left" w:pos="720"/>
          <w:tab w:val="left" w:pos="8400"/>
        </w:tabs>
        <w:spacing w:before="140"/>
        <w:ind w:left="720" w:hanging="360"/>
        <w:rPr>
          <w:rFonts w:ascii="Arial" w:hAnsi="Arial" w:cs="Arial"/>
        </w:rPr>
      </w:pPr>
      <w:r>
        <w:rPr>
          <w:rFonts w:ascii="Arial" w:hAnsi="Arial" w:cs="Arial"/>
          <w:lang w:val="en-US"/>
        </w:rPr>
        <w:t xml:space="preserve"> </w:t>
      </w:r>
      <w:r>
        <w:rPr>
          <w:rFonts w:ascii="Arial" w:hAnsi="Arial" w:cs="Arial"/>
        </w:rPr>
        <w:t>Impacts Across Diverse Economies</w:t>
      </w:r>
      <w:r>
        <w:rPr>
          <w:rFonts w:ascii="Arial" w:hAnsi="Arial" w:cs="Arial"/>
          <w:lang w:val="en-US"/>
        </w:rPr>
        <w:t xml:space="preserve"> </w:t>
      </w:r>
      <w:r>
        <w:rPr>
          <w:rFonts w:ascii="Arial" w:hAnsi="Arial" w:cs="Arial"/>
          <w:spacing w:val="-4"/>
        </w:rPr>
        <w:tab/>
      </w:r>
      <w:r>
        <w:rPr>
          <w:rFonts w:ascii="Arial" w:hAnsi="Arial" w:cs="Arial"/>
          <w:spacing w:val="-4"/>
          <w:lang w:val="en-US"/>
        </w:rPr>
        <w:t>3</w:t>
      </w:r>
    </w:p>
    <w:p w14:paraId="487281AC" w14:textId="77777777" w:rsidR="00D97DB7" w:rsidRDefault="00D97DB7" w:rsidP="00D97DB7">
      <w:pPr>
        <w:pStyle w:val="ListParagraph"/>
        <w:tabs>
          <w:tab w:val="left" w:pos="720"/>
          <w:tab w:val="left" w:pos="8400"/>
        </w:tabs>
        <w:spacing w:before="134"/>
        <w:ind w:left="360" w:firstLine="0"/>
        <w:rPr>
          <w:rFonts w:ascii="Arial" w:hAnsi="Arial" w:cs="Arial"/>
          <w:lang w:val="en-US"/>
        </w:rPr>
      </w:pPr>
      <w:r>
        <w:rPr>
          <w:rFonts w:ascii="Arial" w:hAnsi="Arial" w:cs="Arial"/>
          <w:lang w:val="en-US"/>
        </w:rPr>
        <w:t>3.3.1 Low- and Lower-Middle-Income Economies</w:t>
      </w:r>
      <w:r>
        <w:rPr>
          <w:rFonts w:ascii="Arial" w:hAnsi="Arial" w:cs="Arial"/>
          <w:spacing w:val="-2"/>
        </w:rPr>
        <w:tab/>
      </w:r>
      <w:r>
        <w:rPr>
          <w:rFonts w:ascii="Arial" w:hAnsi="Arial" w:cs="Arial"/>
          <w:spacing w:val="-2"/>
          <w:lang w:val="en-US"/>
        </w:rPr>
        <w:t>3</w:t>
      </w:r>
    </w:p>
    <w:p w14:paraId="6BE57873" w14:textId="77777777" w:rsidR="00D97DB7" w:rsidRDefault="00D97DB7" w:rsidP="00D97DB7">
      <w:pPr>
        <w:pStyle w:val="ListParagraph"/>
        <w:tabs>
          <w:tab w:val="left" w:pos="720"/>
          <w:tab w:val="left" w:pos="8400"/>
        </w:tabs>
        <w:spacing w:before="139"/>
        <w:ind w:left="360" w:firstLine="0"/>
        <w:rPr>
          <w:rFonts w:ascii="Arial" w:hAnsi="Arial" w:cs="Arial"/>
          <w:lang w:val="en-US"/>
        </w:rPr>
      </w:pPr>
      <w:r>
        <w:rPr>
          <w:rFonts w:ascii="Arial" w:hAnsi="Arial" w:cs="Arial"/>
          <w:lang w:val="en-US"/>
        </w:rPr>
        <w:t>3.3.2 Upper-Middle-Income and Emerging Economies</w:t>
      </w:r>
      <w:r>
        <w:rPr>
          <w:rFonts w:ascii="Arial" w:hAnsi="Arial" w:cs="Arial"/>
          <w:spacing w:val="-2"/>
        </w:rPr>
        <w:tab/>
      </w:r>
      <w:r>
        <w:rPr>
          <w:rFonts w:ascii="Arial" w:hAnsi="Arial" w:cs="Arial"/>
          <w:spacing w:val="-2"/>
          <w:lang w:val="en-US"/>
        </w:rPr>
        <w:t>3</w:t>
      </w:r>
    </w:p>
    <w:p w14:paraId="5D4AD33B" w14:textId="77777777" w:rsidR="00D97DB7" w:rsidRDefault="00D97DB7" w:rsidP="00D97DB7">
      <w:pPr>
        <w:pStyle w:val="ListParagraph"/>
        <w:tabs>
          <w:tab w:val="left" w:pos="720"/>
          <w:tab w:val="left" w:pos="8400"/>
        </w:tabs>
        <w:spacing w:before="134"/>
        <w:ind w:left="360" w:firstLine="0"/>
        <w:rPr>
          <w:rFonts w:ascii="Arial" w:hAnsi="Arial" w:cs="Arial"/>
          <w:lang w:val="en-US"/>
        </w:rPr>
      </w:pPr>
      <w:r>
        <w:rPr>
          <w:rFonts w:ascii="Arial" w:hAnsi="Arial" w:cs="Arial"/>
          <w:lang w:val="en-US"/>
        </w:rPr>
        <w:t xml:space="preserve">3.3.3 High-Income Economies </w:t>
      </w:r>
      <w:r>
        <w:rPr>
          <w:rFonts w:ascii="Arial" w:hAnsi="Arial" w:cs="Arial"/>
          <w:spacing w:val="-2"/>
        </w:rPr>
        <w:tab/>
      </w:r>
      <w:r>
        <w:rPr>
          <w:rFonts w:ascii="Arial" w:hAnsi="Arial" w:cs="Arial"/>
          <w:spacing w:val="-2"/>
          <w:lang w:val="en-US"/>
        </w:rPr>
        <w:t>3</w:t>
      </w:r>
    </w:p>
    <w:p w14:paraId="1A96573A" w14:textId="77777777" w:rsidR="00D97DB7" w:rsidRDefault="00D97DB7" w:rsidP="00D97DB7">
      <w:pPr>
        <w:widowControl w:val="0"/>
        <w:tabs>
          <w:tab w:val="left" w:pos="8400"/>
        </w:tabs>
        <w:autoSpaceDE w:val="0"/>
        <w:autoSpaceDN w:val="0"/>
        <w:spacing w:before="66"/>
        <w:ind w:left="360"/>
        <w:rPr>
          <w:rFonts w:ascii="Arial" w:eastAsia="Calibri Light" w:hAnsi="Arial" w:cs="Arial"/>
          <w:sz w:val="22"/>
          <w:szCs w:val="22"/>
          <w:lang w:val="en-GB" w:eastAsia="en-GB" w:bidi="en-GB"/>
        </w:rPr>
      </w:pPr>
    </w:p>
    <w:p w14:paraId="149D08EA" w14:textId="77777777" w:rsidR="00D97DB7" w:rsidRDefault="00D97DB7" w:rsidP="00D97DB7">
      <w:pPr>
        <w:widowControl w:val="0"/>
        <w:tabs>
          <w:tab w:val="left" w:pos="8400"/>
        </w:tabs>
        <w:autoSpaceDE w:val="0"/>
        <w:autoSpaceDN w:val="0"/>
        <w:ind w:left="360"/>
        <w:rPr>
          <w:rFonts w:ascii="Arial" w:eastAsia="Calibri Light" w:hAnsi="Arial" w:cs="Arial"/>
          <w:sz w:val="22"/>
          <w:szCs w:val="22"/>
          <w:lang w:val="en-GB" w:eastAsia="en-GB" w:bidi="en-GB"/>
        </w:rPr>
      </w:pPr>
      <w:r>
        <w:rPr>
          <w:rFonts w:ascii="Arial" w:eastAsia="Calibri Light" w:hAnsi="Arial" w:cs="Arial"/>
          <w:b/>
          <w:bCs/>
          <w:sz w:val="22"/>
          <w:szCs w:val="22"/>
          <w:lang w:eastAsia="en-GB" w:bidi="en-GB"/>
        </w:rPr>
        <w:t>SECTION FOUR</w:t>
      </w:r>
      <w:r>
        <w:rPr>
          <w:rFonts w:ascii="Arial" w:eastAsia="Calibri Light" w:hAnsi="Arial" w:cs="Arial"/>
          <w:b/>
          <w:bCs/>
          <w:sz w:val="22"/>
          <w:szCs w:val="22"/>
          <w:lang w:val="en-GB" w:eastAsia="en-GB" w:bidi="en-GB"/>
        </w:rPr>
        <w:t>:</w:t>
      </w:r>
      <w:r>
        <w:rPr>
          <w:rFonts w:ascii="Arial" w:eastAsia="Calibri Light" w:hAnsi="Arial" w:cs="Arial"/>
          <w:spacing w:val="-5"/>
          <w:sz w:val="22"/>
          <w:szCs w:val="22"/>
          <w:lang w:val="en-GB" w:eastAsia="en-GB" w:bidi="en-GB"/>
        </w:rPr>
        <w:t xml:space="preserve"> </w:t>
      </w:r>
    </w:p>
    <w:p w14:paraId="676BBF5D" w14:textId="77777777" w:rsidR="00D97DB7" w:rsidRDefault="00D97DB7" w:rsidP="00D97DB7">
      <w:pPr>
        <w:pStyle w:val="ListParagraph"/>
        <w:tabs>
          <w:tab w:val="left" w:pos="720"/>
          <w:tab w:val="left" w:pos="8400"/>
        </w:tabs>
        <w:spacing w:before="139"/>
        <w:ind w:left="0" w:firstLineChars="150" w:firstLine="330"/>
        <w:rPr>
          <w:rFonts w:ascii="Arial" w:hAnsi="Arial" w:cs="Arial"/>
          <w:lang w:val="en-US"/>
        </w:rPr>
      </w:pPr>
      <w:r>
        <w:rPr>
          <w:rFonts w:ascii="Arial" w:hAnsi="Arial" w:cs="Arial"/>
          <w:lang w:val="en-US"/>
        </w:rPr>
        <w:t>4.0 National Wellbeing Initiatives</w:t>
      </w:r>
      <w:r>
        <w:rPr>
          <w:rFonts w:ascii="Arial" w:hAnsi="Arial" w:cs="Arial"/>
          <w:spacing w:val="-2"/>
        </w:rPr>
        <w:tab/>
      </w:r>
      <w:r>
        <w:rPr>
          <w:rFonts w:ascii="Arial" w:hAnsi="Arial" w:cs="Arial"/>
          <w:spacing w:val="-2"/>
          <w:lang w:val="en-US"/>
        </w:rPr>
        <w:t>4</w:t>
      </w:r>
    </w:p>
    <w:p w14:paraId="2B994221" w14:textId="77777777" w:rsidR="00D97DB7" w:rsidRDefault="00D97DB7" w:rsidP="00D97DB7">
      <w:pPr>
        <w:pStyle w:val="ListParagraph"/>
        <w:tabs>
          <w:tab w:val="left" w:pos="720"/>
          <w:tab w:val="left" w:pos="8400"/>
        </w:tabs>
        <w:spacing w:before="134"/>
        <w:ind w:left="0" w:firstLineChars="150" w:firstLine="330"/>
        <w:rPr>
          <w:rFonts w:ascii="Arial" w:hAnsi="Arial" w:cs="Arial"/>
          <w:lang w:val="en-US"/>
        </w:rPr>
      </w:pPr>
      <w:r>
        <w:rPr>
          <w:rFonts w:ascii="Arial" w:hAnsi="Arial" w:cs="Arial"/>
          <w:lang w:val="en-US"/>
        </w:rPr>
        <w:t xml:space="preserve">4.1 The NHS Long Term Plan (2019) </w:t>
      </w:r>
      <w:r>
        <w:rPr>
          <w:rFonts w:ascii="Arial" w:hAnsi="Arial" w:cs="Arial"/>
          <w:spacing w:val="-4"/>
        </w:rPr>
        <w:tab/>
      </w:r>
      <w:r>
        <w:rPr>
          <w:rFonts w:ascii="Arial" w:hAnsi="Arial" w:cs="Arial"/>
          <w:spacing w:val="-4"/>
          <w:lang w:val="en-US"/>
        </w:rPr>
        <w:t>4</w:t>
      </w:r>
    </w:p>
    <w:p w14:paraId="318AC2AE" w14:textId="77777777" w:rsidR="00D97DB7" w:rsidRDefault="00D97DB7" w:rsidP="00D97DB7">
      <w:pPr>
        <w:pStyle w:val="ListParagraph"/>
        <w:tabs>
          <w:tab w:val="left" w:pos="720"/>
          <w:tab w:val="left" w:pos="8400"/>
        </w:tabs>
        <w:spacing w:before="140"/>
        <w:ind w:left="0" w:firstLineChars="150" w:firstLine="324"/>
        <w:rPr>
          <w:rFonts w:ascii="Arial" w:hAnsi="Arial" w:cs="Arial"/>
          <w:lang w:val="en-US"/>
        </w:rPr>
      </w:pPr>
      <w:r>
        <w:rPr>
          <w:rFonts w:ascii="Arial" w:hAnsi="Arial" w:cs="Arial"/>
          <w:spacing w:val="-4"/>
        </w:rPr>
        <w:t>4.2 The UK Clean Air Strategy (2019)</w:t>
      </w:r>
      <w:r>
        <w:rPr>
          <w:rFonts w:ascii="Arial" w:hAnsi="Arial" w:cs="Arial"/>
          <w:spacing w:val="-4"/>
          <w:lang w:val="en-US"/>
        </w:rPr>
        <w:t xml:space="preserve">                                                                            5</w:t>
      </w:r>
    </w:p>
    <w:p w14:paraId="335B6D1F" w14:textId="77777777" w:rsidR="00D97DB7" w:rsidRDefault="00D97DB7" w:rsidP="00D97DB7">
      <w:pPr>
        <w:pStyle w:val="ListParagraph"/>
        <w:tabs>
          <w:tab w:val="left" w:pos="720"/>
          <w:tab w:val="left" w:pos="8400"/>
        </w:tabs>
        <w:spacing w:before="134"/>
        <w:ind w:left="360" w:firstLine="0"/>
        <w:rPr>
          <w:rFonts w:ascii="Arial" w:hAnsi="Arial" w:cs="Arial"/>
          <w:lang w:val="en-US"/>
        </w:rPr>
      </w:pPr>
      <w:r>
        <w:rPr>
          <w:rFonts w:ascii="Arial" w:hAnsi="Arial" w:cs="Arial"/>
          <w:lang w:val="en-US"/>
        </w:rPr>
        <w:t>4.3 Health Inequalities Policy</w:t>
      </w:r>
      <w:r>
        <w:rPr>
          <w:rFonts w:ascii="Arial" w:hAnsi="Arial" w:cs="Arial"/>
          <w:spacing w:val="-2"/>
        </w:rPr>
        <w:tab/>
      </w:r>
      <w:r>
        <w:rPr>
          <w:rFonts w:ascii="Arial" w:hAnsi="Arial" w:cs="Arial"/>
          <w:spacing w:val="-2"/>
          <w:lang w:val="en-US"/>
        </w:rPr>
        <w:t>5</w:t>
      </w:r>
    </w:p>
    <w:p w14:paraId="557604EB" w14:textId="77777777" w:rsidR="00D97DB7" w:rsidRDefault="00D97DB7" w:rsidP="00D97DB7">
      <w:pPr>
        <w:widowControl w:val="0"/>
        <w:tabs>
          <w:tab w:val="left" w:pos="8400"/>
        </w:tabs>
        <w:autoSpaceDE w:val="0"/>
        <w:autoSpaceDN w:val="0"/>
        <w:spacing w:before="66"/>
        <w:ind w:left="360"/>
        <w:rPr>
          <w:rFonts w:ascii="Arial" w:eastAsia="Calibri Light" w:hAnsi="Arial" w:cs="Arial"/>
          <w:sz w:val="22"/>
          <w:szCs w:val="22"/>
          <w:lang w:val="en-GB" w:eastAsia="en-GB" w:bidi="en-GB"/>
        </w:rPr>
      </w:pPr>
    </w:p>
    <w:p w14:paraId="2BA7903A" w14:textId="77777777" w:rsidR="00D97DB7" w:rsidRDefault="00D97DB7" w:rsidP="00D97DB7">
      <w:pPr>
        <w:widowControl w:val="0"/>
        <w:tabs>
          <w:tab w:val="left" w:pos="8400"/>
        </w:tabs>
        <w:autoSpaceDE w:val="0"/>
        <w:autoSpaceDN w:val="0"/>
        <w:ind w:left="360"/>
        <w:rPr>
          <w:rFonts w:ascii="Arial" w:eastAsia="Calibri Light" w:hAnsi="Arial" w:cs="Arial"/>
          <w:sz w:val="22"/>
          <w:szCs w:val="22"/>
          <w:lang w:val="en-GB" w:eastAsia="en-GB" w:bidi="en-GB"/>
        </w:rPr>
      </w:pPr>
      <w:r>
        <w:rPr>
          <w:rFonts w:ascii="Arial" w:eastAsia="Calibri Light" w:hAnsi="Arial" w:cs="Arial"/>
          <w:b/>
          <w:bCs/>
          <w:sz w:val="22"/>
          <w:szCs w:val="22"/>
          <w:lang w:eastAsia="en-GB" w:bidi="en-GB"/>
        </w:rPr>
        <w:t>SECTION FIVE</w:t>
      </w:r>
      <w:r>
        <w:rPr>
          <w:rFonts w:ascii="Arial" w:eastAsia="Calibri Light" w:hAnsi="Arial" w:cs="Arial"/>
          <w:b/>
          <w:bCs/>
          <w:sz w:val="22"/>
          <w:szCs w:val="22"/>
          <w:lang w:val="en-GB" w:eastAsia="en-GB" w:bidi="en-GB"/>
        </w:rPr>
        <w:t>:</w:t>
      </w:r>
      <w:r>
        <w:rPr>
          <w:rFonts w:ascii="Arial" w:eastAsia="Calibri Light" w:hAnsi="Arial" w:cs="Arial"/>
          <w:spacing w:val="-5"/>
          <w:sz w:val="22"/>
          <w:szCs w:val="22"/>
          <w:lang w:val="en-GB" w:eastAsia="en-GB" w:bidi="en-GB"/>
        </w:rPr>
        <w:t xml:space="preserve"> </w:t>
      </w:r>
    </w:p>
    <w:p w14:paraId="5654C747" w14:textId="77777777" w:rsidR="00D97DB7" w:rsidRDefault="00D97DB7" w:rsidP="00D97DB7">
      <w:pPr>
        <w:pStyle w:val="ListParagraph"/>
        <w:tabs>
          <w:tab w:val="left" w:pos="720"/>
          <w:tab w:val="left" w:pos="8400"/>
        </w:tabs>
        <w:spacing w:before="139"/>
        <w:ind w:left="0" w:firstLineChars="150" w:firstLine="330"/>
        <w:rPr>
          <w:rFonts w:ascii="Arial" w:hAnsi="Arial" w:cs="Arial"/>
          <w:lang w:val="en-US"/>
        </w:rPr>
      </w:pPr>
      <w:r>
        <w:rPr>
          <w:rFonts w:ascii="Arial" w:hAnsi="Arial" w:cs="Arial"/>
          <w:lang w:val="en-US"/>
        </w:rPr>
        <w:t>5.0 Local Wellbeing Initiatives</w:t>
      </w:r>
      <w:r>
        <w:rPr>
          <w:rFonts w:ascii="Arial" w:hAnsi="Arial" w:cs="Arial"/>
          <w:spacing w:val="-2"/>
        </w:rPr>
        <w:tab/>
      </w:r>
      <w:r>
        <w:rPr>
          <w:rFonts w:ascii="Arial" w:hAnsi="Arial" w:cs="Arial"/>
          <w:spacing w:val="-2"/>
          <w:lang w:val="en-US"/>
        </w:rPr>
        <w:t>6</w:t>
      </w:r>
    </w:p>
    <w:p w14:paraId="0D6DD034" w14:textId="77777777" w:rsidR="00D97DB7" w:rsidRDefault="00D97DB7" w:rsidP="00D97DB7">
      <w:pPr>
        <w:pStyle w:val="ListParagraph"/>
        <w:tabs>
          <w:tab w:val="left" w:pos="720"/>
          <w:tab w:val="left" w:pos="8400"/>
        </w:tabs>
        <w:spacing w:before="134"/>
        <w:ind w:left="0" w:firstLineChars="150" w:firstLine="330"/>
        <w:rPr>
          <w:rFonts w:ascii="Arial" w:hAnsi="Arial" w:cs="Arial"/>
          <w:lang w:val="en-US"/>
        </w:rPr>
      </w:pPr>
      <w:r>
        <w:rPr>
          <w:rFonts w:ascii="Arial" w:hAnsi="Arial" w:cs="Arial"/>
          <w:lang w:val="en-US"/>
        </w:rPr>
        <w:t xml:space="preserve">5.1 The Well-being of Future Generations </w:t>
      </w:r>
      <w:r>
        <w:rPr>
          <w:rFonts w:ascii="Arial" w:hAnsi="Arial" w:cs="Arial"/>
          <w:spacing w:val="-4"/>
        </w:rPr>
        <w:tab/>
      </w:r>
      <w:r>
        <w:rPr>
          <w:rFonts w:ascii="Arial" w:hAnsi="Arial" w:cs="Arial"/>
          <w:spacing w:val="-4"/>
          <w:lang w:val="en-US"/>
        </w:rPr>
        <w:t>6</w:t>
      </w:r>
    </w:p>
    <w:p w14:paraId="48D91376" w14:textId="77777777" w:rsidR="00D97DB7" w:rsidRDefault="00D97DB7" w:rsidP="00D97DB7">
      <w:pPr>
        <w:pStyle w:val="ListParagraph"/>
        <w:tabs>
          <w:tab w:val="left" w:pos="720"/>
          <w:tab w:val="left" w:pos="8400"/>
        </w:tabs>
        <w:spacing w:before="139"/>
        <w:ind w:left="0" w:firstLineChars="150" w:firstLine="330"/>
        <w:rPr>
          <w:rFonts w:ascii="Arial" w:hAnsi="Arial" w:cs="Arial"/>
          <w:lang w:val="en-US"/>
        </w:rPr>
      </w:pPr>
      <w:r>
        <w:rPr>
          <w:rFonts w:ascii="Arial" w:hAnsi="Arial" w:cs="Arial"/>
          <w:lang w:val="en-US"/>
        </w:rPr>
        <w:t>5.2 Local-Level Policy in London</w:t>
      </w:r>
      <w:r>
        <w:rPr>
          <w:rFonts w:ascii="Arial" w:hAnsi="Arial" w:cs="Arial"/>
          <w:spacing w:val="-2"/>
        </w:rPr>
        <w:tab/>
      </w:r>
      <w:r>
        <w:rPr>
          <w:rFonts w:ascii="Arial" w:hAnsi="Arial" w:cs="Arial"/>
          <w:spacing w:val="-2"/>
          <w:lang w:val="en-US"/>
        </w:rPr>
        <w:t>6</w:t>
      </w:r>
    </w:p>
    <w:p w14:paraId="4ACC7507" w14:textId="77777777" w:rsidR="00D97DB7" w:rsidRDefault="00D97DB7" w:rsidP="00D97DB7">
      <w:pPr>
        <w:pStyle w:val="ListParagraph"/>
        <w:tabs>
          <w:tab w:val="left" w:pos="720"/>
          <w:tab w:val="left" w:pos="8400"/>
        </w:tabs>
        <w:spacing w:before="134"/>
        <w:ind w:left="0" w:firstLineChars="150" w:firstLine="330"/>
        <w:rPr>
          <w:rFonts w:ascii="Arial" w:hAnsi="Arial" w:cs="Arial"/>
          <w:spacing w:val="-4"/>
          <w:lang w:val="en-US"/>
        </w:rPr>
      </w:pPr>
      <w:r>
        <w:rPr>
          <w:rFonts w:ascii="Arial" w:hAnsi="Arial" w:cs="Arial"/>
          <w:lang w:val="en-US"/>
        </w:rPr>
        <w:t>5.2.1 The Mayor of London’s Health Inequalities Strategy (2018)</w:t>
      </w:r>
      <w:r>
        <w:rPr>
          <w:rFonts w:ascii="Arial" w:hAnsi="Arial" w:cs="Arial"/>
          <w:spacing w:val="-4"/>
        </w:rPr>
        <w:tab/>
      </w:r>
      <w:r>
        <w:rPr>
          <w:rFonts w:ascii="Arial" w:hAnsi="Arial" w:cs="Arial"/>
          <w:spacing w:val="-4"/>
          <w:lang w:val="en-US"/>
        </w:rPr>
        <w:t>6</w:t>
      </w:r>
    </w:p>
    <w:p w14:paraId="20B25B3F" w14:textId="77777777" w:rsidR="00D97DB7" w:rsidRDefault="00D97DB7" w:rsidP="00D97DB7">
      <w:pPr>
        <w:pStyle w:val="ListParagraph"/>
        <w:tabs>
          <w:tab w:val="left" w:pos="720"/>
          <w:tab w:val="left" w:pos="8400"/>
        </w:tabs>
        <w:spacing w:before="134"/>
        <w:ind w:left="0" w:firstLineChars="150" w:firstLine="324"/>
        <w:rPr>
          <w:rFonts w:ascii="Arial" w:hAnsi="Arial" w:cs="Arial"/>
          <w:spacing w:val="-4"/>
          <w:lang w:val="en-US"/>
        </w:rPr>
      </w:pPr>
      <w:r>
        <w:rPr>
          <w:rFonts w:ascii="Arial" w:hAnsi="Arial" w:cs="Arial"/>
          <w:spacing w:val="-4"/>
          <w:lang w:val="en-US"/>
        </w:rPr>
        <w:t>5.2.2 Ultra Low Emission Zone (ULEZ)                                                                               7</w:t>
      </w:r>
    </w:p>
    <w:p w14:paraId="75634139" w14:textId="77777777" w:rsidR="00D97DB7" w:rsidRDefault="00D97DB7" w:rsidP="00D97DB7">
      <w:pPr>
        <w:pStyle w:val="ListParagraph"/>
        <w:tabs>
          <w:tab w:val="left" w:pos="720"/>
          <w:tab w:val="left" w:pos="8400"/>
        </w:tabs>
        <w:spacing w:before="134"/>
        <w:ind w:left="0" w:firstLineChars="150" w:firstLine="324"/>
        <w:rPr>
          <w:rFonts w:ascii="Arial" w:hAnsi="Arial" w:cs="Arial"/>
          <w:spacing w:val="-4"/>
          <w:lang w:val="en-US"/>
        </w:rPr>
      </w:pPr>
      <w:r>
        <w:rPr>
          <w:rFonts w:ascii="Arial" w:hAnsi="Arial" w:cs="Arial"/>
          <w:spacing w:val="-4"/>
          <w:lang w:val="en-US"/>
        </w:rPr>
        <w:t>5.2.3 London Environment Strategy (2018)                                                                         7</w:t>
      </w:r>
    </w:p>
    <w:p w14:paraId="7BCA1087" w14:textId="77777777" w:rsidR="00D97DB7" w:rsidRDefault="00D97DB7" w:rsidP="00D97DB7">
      <w:pPr>
        <w:pStyle w:val="ListParagraph"/>
        <w:tabs>
          <w:tab w:val="left" w:pos="720"/>
          <w:tab w:val="left" w:pos="8400"/>
        </w:tabs>
        <w:spacing w:before="134"/>
        <w:ind w:left="0" w:firstLineChars="150" w:firstLine="324"/>
        <w:rPr>
          <w:rFonts w:ascii="Arial" w:hAnsi="Arial" w:cs="Arial"/>
          <w:spacing w:val="-4"/>
          <w:lang w:val="en-US"/>
        </w:rPr>
      </w:pPr>
      <w:r>
        <w:rPr>
          <w:rFonts w:ascii="Arial" w:hAnsi="Arial" w:cs="Arial"/>
          <w:spacing w:val="-4"/>
          <w:lang w:val="en-US"/>
        </w:rPr>
        <w:t>5.2.4 Healthy Streets Approach                                                                                           8</w:t>
      </w:r>
    </w:p>
    <w:p w14:paraId="11E90FBE" w14:textId="77777777" w:rsidR="00D97DB7" w:rsidRDefault="00D97DB7" w:rsidP="00D97DB7">
      <w:pPr>
        <w:widowControl w:val="0"/>
        <w:tabs>
          <w:tab w:val="left" w:pos="8400"/>
        </w:tabs>
        <w:autoSpaceDE w:val="0"/>
        <w:autoSpaceDN w:val="0"/>
        <w:ind w:left="360"/>
        <w:rPr>
          <w:rFonts w:ascii="Arial" w:eastAsia="Calibri Light" w:hAnsi="Arial" w:cs="Arial"/>
          <w:b/>
          <w:bCs/>
          <w:sz w:val="22"/>
          <w:szCs w:val="22"/>
          <w:lang w:eastAsia="en-GB" w:bidi="en-GB"/>
        </w:rPr>
      </w:pPr>
    </w:p>
    <w:p w14:paraId="350DB9E0" w14:textId="77777777" w:rsidR="00D97DB7" w:rsidRDefault="00D97DB7" w:rsidP="00D97DB7">
      <w:pPr>
        <w:widowControl w:val="0"/>
        <w:tabs>
          <w:tab w:val="left" w:pos="8400"/>
        </w:tabs>
        <w:autoSpaceDE w:val="0"/>
        <w:autoSpaceDN w:val="0"/>
        <w:ind w:left="360"/>
        <w:rPr>
          <w:rFonts w:ascii="Arial" w:eastAsia="Calibri Light" w:hAnsi="Arial" w:cs="Arial"/>
          <w:sz w:val="22"/>
          <w:szCs w:val="22"/>
          <w:lang w:val="en-GB" w:eastAsia="en-GB" w:bidi="en-GB"/>
        </w:rPr>
      </w:pPr>
      <w:r>
        <w:rPr>
          <w:rFonts w:ascii="Arial" w:eastAsia="Calibri Light" w:hAnsi="Arial" w:cs="Arial"/>
          <w:b/>
          <w:bCs/>
          <w:sz w:val="22"/>
          <w:szCs w:val="22"/>
          <w:lang w:eastAsia="en-GB" w:bidi="en-GB"/>
        </w:rPr>
        <w:t>SECTION SIX</w:t>
      </w:r>
      <w:r>
        <w:rPr>
          <w:rFonts w:ascii="Arial" w:eastAsia="Calibri Light" w:hAnsi="Arial" w:cs="Arial"/>
          <w:b/>
          <w:bCs/>
          <w:sz w:val="22"/>
          <w:szCs w:val="22"/>
          <w:lang w:val="en-GB" w:eastAsia="en-GB" w:bidi="en-GB"/>
        </w:rPr>
        <w:t>:</w:t>
      </w:r>
      <w:r>
        <w:rPr>
          <w:rFonts w:ascii="Arial" w:eastAsia="Calibri Light" w:hAnsi="Arial" w:cs="Arial"/>
          <w:spacing w:val="-5"/>
          <w:sz w:val="22"/>
          <w:szCs w:val="22"/>
          <w:lang w:val="en-GB" w:eastAsia="en-GB" w:bidi="en-GB"/>
        </w:rPr>
        <w:t xml:space="preserve"> </w:t>
      </w:r>
    </w:p>
    <w:p w14:paraId="6AA095A6" w14:textId="77777777" w:rsidR="00D97DB7" w:rsidRDefault="00D97DB7" w:rsidP="00D97DB7">
      <w:pPr>
        <w:pStyle w:val="ListParagraph"/>
        <w:tabs>
          <w:tab w:val="left" w:pos="720"/>
          <w:tab w:val="left" w:pos="8400"/>
        </w:tabs>
        <w:spacing w:before="134"/>
        <w:ind w:left="0" w:firstLineChars="150" w:firstLine="324"/>
        <w:rPr>
          <w:rFonts w:ascii="Arial" w:hAnsi="Arial" w:cs="Arial"/>
          <w:spacing w:val="-4"/>
          <w:lang w:val="en-US"/>
        </w:rPr>
      </w:pPr>
      <w:r>
        <w:rPr>
          <w:rFonts w:ascii="Arial" w:hAnsi="Arial" w:cs="Arial"/>
          <w:spacing w:val="-4"/>
          <w:lang w:val="en-US"/>
        </w:rPr>
        <w:t>6. Evaluation of the Effectiveness of Policy Initiatives                                                        8</w:t>
      </w:r>
    </w:p>
    <w:p w14:paraId="2D99E1E4" w14:textId="77777777" w:rsidR="00D97DB7" w:rsidRDefault="00D97DB7" w:rsidP="00D97DB7">
      <w:pPr>
        <w:widowControl w:val="0"/>
        <w:tabs>
          <w:tab w:val="left" w:pos="8400"/>
        </w:tabs>
        <w:autoSpaceDE w:val="0"/>
        <w:autoSpaceDN w:val="0"/>
        <w:ind w:left="360"/>
        <w:rPr>
          <w:rFonts w:ascii="Arial" w:eastAsia="Calibri Light" w:hAnsi="Arial" w:cs="Arial"/>
          <w:b/>
          <w:bCs/>
          <w:sz w:val="22"/>
          <w:szCs w:val="22"/>
          <w:lang w:eastAsia="en-GB" w:bidi="en-GB"/>
        </w:rPr>
      </w:pPr>
    </w:p>
    <w:p w14:paraId="037BA07A" w14:textId="77777777" w:rsidR="00D97DB7" w:rsidRDefault="00D97DB7" w:rsidP="00D97DB7">
      <w:pPr>
        <w:widowControl w:val="0"/>
        <w:tabs>
          <w:tab w:val="left" w:pos="8400"/>
        </w:tabs>
        <w:autoSpaceDE w:val="0"/>
        <w:autoSpaceDN w:val="0"/>
        <w:ind w:left="360"/>
        <w:rPr>
          <w:rFonts w:ascii="Arial" w:eastAsia="Calibri Light" w:hAnsi="Arial" w:cs="Arial"/>
          <w:sz w:val="22"/>
          <w:szCs w:val="22"/>
          <w:lang w:val="en-GB" w:eastAsia="en-GB" w:bidi="en-GB"/>
        </w:rPr>
      </w:pPr>
      <w:r>
        <w:rPr>
          <w:rFonts w:ascii="Arial" w:eastAsia="Calibri Light" w:hAnsi="Arial" w:cs="Arial"/>
          <w:b/>
          <w:bCs/>
          <w:sz w:val="22"/>
          <w:szCs w:val="22"/>
          <w:lang w:eastAsia="en-GB" w:bidi="en-GB"/>
        </w:rPr>
        <w:lastRenderedPageBreak/>
        <w:t>SECTION SEVEN</w:t>
      </w:r>
      <w:r>
        <w:rPr>
          <w:rFonts w:ascii="Arial" w:eastAsia="Calibri Light" w:hAnsi="Arial" w:cs="Arial"/>
          <w:b/>
          <w:bCs/>
          <w:sz w:val="22"/>
          <w:szCs w:val="22"/>
          <w:lang w:val="en-GB" w:eastAsia="en-GB" w:bidi="en-GB"/>
        </w:rPr>
        <w:t>:</w:t>
      </w:r>
      <w:r>
        <w:rPr>
          <w:rFonts w:ascii="Arial" w:eastAsia="Calibri Light" w:hAnsi="Arial" w:cs="Arial"/>
          <w:spacing w:val="-5"/>
          <w:sz w:val="22"/>
          <w:szCs w:val="22"/>
          <w:lang w:val="en-GB" w:eastAsia="en-GB" w:bidi="en-GB"/>
        </w:rPr>
        <w:t xml:space="preserve"> </w:t>
      </w:r>
    </w:p>
    <w:p w14:paraId="38C82816" w14:textId="77777777" w:rsidR="00D97DB7" w:rsidRDefault="00D97DB7" w:rsidP="00D97DB7">
      <w:pPr>
        <w:pStyle w:val="ListParagraph"/>
        <w:tabs>
          <w:tab w:val="left" w:pos="720"/>
          <w:tab w:val="left" w:pos="8400"/>
        </w:tabs>
        <w:spacing w:before="134"/>
        <w:ind w:left="0" w:firstLineChars="150" w:firstLine="324"/>
        <w:rPr>
          <w:rFonts w:ascii="Arial" w:hAnsi="Arial" w:cs="Arial"/>
          <w:spacing w:val="-4"/>
          <w:lang w:val="en-US"/>
        </w:rPr>
      </w:pPr>
      <w:r>
        <w:rPr>
          <w:rFonts w:ascii="Arial" w:hAnsi="Arial" w:cs="Arial"/>
          <w:spacing w:val="-4"/>
          <w:lang w:val="en-US"/>
        </w:rPr>
        <w:t>7. Recommendations for Improvement                                                                                8</w:t>
      </w:r>
    </w:p>
    <w:p w14:paraId="71B69D92" w14:textId="77777777" w:rsidR="00D97DB7" w:rsidRDefault="00D97DB7" w:rsidP="00D97DB7">
      <w:pPr>
        <w:rPr>
          <w:rFonts w:ascii="Arial" w:hAnsi="Arial" w:cs="Arial"/>
          <w:spacing w:val="-4"/>
          <w:sz w:val="22"/>
          <w:szCs w:val="22"/>
        </w:rPr>
      </w:pPr>
      <w:r>
        <w:rPr>
          <w:rFonts w:ascii="Arial" w:hAnsi="Arial" w:cs="Arial"/>
          <w:spacing w:val="-4"/>
          <w:sz w:val="22"/>
          <w:szCs w:val="22"/>
        </w:rPr>
        <w:t xml:space="preserve">     </w:t>
      </w:r>
    </w:p>
    <w:p w14:paraId="05C7D21E" w14:textId="77777777" w:rsidR="00D97DB7" w:rsidRDefault="00D97DB7" w:rsidP="00D97DB7">
      <w:pPr>
        <w:rPr>
          <w:rFonts w:ascii="Arial" w:hAnsi="Arial" w:cs="Arial"/>
          <w:spacing w:val="-4"/>
          <w:sz w:val="22"/>
          <w:szCs w:val="22"/>
        </w:rPr>
      </w:pPr>
      <w:r>
        <w:rPr>
          <w:rFonts w:ascii="Arial" w:hAnsi="Arial" w:cs="Arial"/>
          <w:spacing w:val="-4"/>
          <w:sz w:val="22"/>
          <w:szCs w:val="22"/>
        </w:rPr>
        <w:t xml:space="preserve">      </w:t>
      </w:r>
      <w:r>
        <w:rPr>
          <w:rFonts w:ascii="Arial" w:hAnsi="Arial" w:cs="Arial"/>
          <w:b/>
          <w:bCs/>
          <w:spacing w:val="-4"/>
          <w:sz w:val="22"/>
          <w:szCs w:val="22"/>
        </w:rPr>
        <w:t>CONCLUSION</w:t>
      </w:r>
      <w:r>
        <w:rPr>
          <w:rFonts w:ascii="Arial" w:hAnsi="Arial" w:cs="Arial"/>
          <w:spacing w:val="-4"/>
          <w:sz w:val="22"/>
          <w:szCs w:val="22"/>
        </w:rPr>
        <w:t xml:space="preserve">                                                                                                                      9</w:t>
      </w:r>
    </w:p>
    <w:p w14:paraId="5DD487E9" w14:textId="77777777" w:rsidR="00D97DB7" w:rsidRDefault="00D97DB7" w:rsidP="00D97DB7">
      <w:pPr>
        <w:pStyle w:val="Heading2"/>
        <w:spacing w:line="360" w:lineRule="auto"/>
        <w:jc w:val="both"/>
        <w:rPr>
          <w:rFonts w:ascii="Arial" w:hAnsi="Arial" w:cs="Arial" w:hint="default"/>
          <w:sz w:val="22"/>
          <w:szCs w:val="22"/>
        </w:rPr>
      </w:pPr>
      <w:r>
        <w:rPr>
          <w:rFonts w:ascii="Arial" w:hAnsi="Arial" w:cs="Arial" w:hint="default"/>
          <w:spacing w:val="-4"/>
          <w:sz w:val="22"/>
          <w:szCs w:val="22"/>
        </w:rPr>
        <w:t xml:space="preserve">      </w:t>
      </w:r>
      <w:r>
        <w:rPr>
          <w:rStyle w:val="Strong"/>
          <w:rFonts w:ascii="Arial" w:hAnsi="Arial" w:cs="Arial" w:hint="default"/>
          <w:sz w:val="22"/>
          <w:szCs w:val="22"/>
        </w:rPr>
        <w:t>References                                                                                                                  10</w:t>
      </w:r>
    </w:p>
    <w:p w14:paraId="3D6EECA2" w14:textId="77777777" w:rsidR="00D97DB7" w:rsidRDefault="00D97DB7" w:rsidP="00D97DB7">
      <w:pPr>
        <w:rPr>
          <w:rFonts w:ascii="Arial" w:hAnsi="Arial" w:cs="Arial"/>
          <w:spacing w:val="-4"/>
          <w:sz w:val="22"/>
          <w:szCs w:val="22"/>
        </w:rPr>
      </w:pPr>
      <w:r>
        <w:rPr>
          <w:rFonts w:ascii="Arial" w:hAnsi="Arial" w:cs="Arial"/>
          <w:spacing w:val="-4"/>
          <w:sz w:val="22"/>
          <w:szCs w:val="22"/>
        </w:rPr>
        <w:br w:type="page"/>
      </w:r>
      <w:r>
        <w:rPr>
          <w:rFonts w:ascii="Arial" w:hAnsi="Arial" w:cs="Arial"/>
          <w:spacing w:val="-4"/>
          <w:sz w:val="22"/>
          <w:szCs w:val="22"/>
        </w:rPr>
        <w:lastRenderedPageBreak/>
        <w:t xml:space="preserve"> </w:t>
      </w:r>
    </w:p>
    <w:p w14:paraId="6378C769" w14:textId="77777777" w:rsidR="00D97DB7" w:rsidRDefault="00D97DB7" w:rsidP="00D97DB7">
      <w:pPr>
        <w:pStyle w:val="Heading1"/>
        <w:spacing w:before="66"/>
        <w:ind w:left="2880" w:firstLine="720"/>
        <w:rPr>
          <w:rFonts w:ascii="Arial" w:hAnsi="Arial" w:cs="Arial" w:hint="default"/>
          <w:spacing w:val="-2"/>
          <w:sz w:val="22"/>
          <w:szCs w:val="22"/>
        </w:rPr>
      </w:pPr>
      <w:r>
        <w:rPr>
          <w:rFonts w:ascii="Arial" w:hAnsi="Arial" w:cs="Arial" w:hint="default"/>
          <w:sz w:val="22"/>
          <w:szCs w:val="22"/>
        </w:rPr>
        <w:t>LIST</w:t>
      </w:r>
      <w:r>
        <w:rPr>
          <w:rFonts w:ascii="Arial" w:hAnsi="Arial" w:cs="Arial" w:hint="default"/>
          <w:spacing w:val="-7"/>
          <w:sz w:val="22"/>
          <w:szCs w:val="22"/>
        </w:rPr>
        <w:t xml:space="preserve"> </w:t>
      </w:r>
      <w:r>
        <w:rPr>
          <w:rFonts w:ascii="Arial" w:hAnsi="Arial" w:cs="Arial" w:hint="default"/>
          <w:sz w:val="22"/>
          <w:szCs w:val="22"/>
        </w:rPr>
        <w:t>OF</w:t>
      </w:r>
      <w:r>
        <w:rPr>
          <w:rFonts w:ascii="Arial" w:hAnsi="Arial" w:cs="Arial" w:hint="default"/>
          <w:spacing w:val="-12"/>
          <w:sz w:val="22"/>
          <w:szCs w:val="22"/>
        </w:rPr>
        <w:t xml:space="preserve"> </w:t>
      </w:r>
      <w:r>
        <w:rPr>
          <w:rFonts w:ascii="Arial" w:hAnsi="Arial" w:cs="Arial" w:hint="default"/>
          <w:spacing w:val="-2"/>
          <w:sz w:val="22"/>
          <w:szCs w:val="22"/>
        </w:rPr>
        <w:t>TABLES</w:t>
      </w:r>
    </w:p>
    <w:p w14:paraId="2B86E8B4" w14:textId="77777777" w:rsidR="00D97DB7" w:rsidRDefault="00D97DB7" w:rsidP="00D97DB7">
      <w:pPr>
        <w:spacing w:line="360" w:lineRule="auto"/>
        <w:jc w:val="both"/>
        <w:rPr>
          <w:rFonts w:ascii="Arial" w:eastAsia="DengXian" w:hAnsi="Arial" w:cs="Arial"/>
          <w:color w:val="000000" w:themeColor="text1"/>
          <w:sz w:val="22"/>
          <w:szCs w:val="22"/>
        </w:rPr>
      </w:pPr>
      <w:r>
        <w:rPr>
          <w:rFonts w:ascii="Arial" w:hAnsi="Arial" w:cs="Arial"/>
          <w:spacing w:val="-2"/>
          <w:sz w:val="22"/>
          <w:szCs w:val="22"/>
        </w:rPr>
        <w:t xml:space="preserve">Table </w:t>
      </w:r>
      <w:r>
        <w:rPr>
          <w:rFonts w:cs="Arial"/>
          <w:spacing w:val="-2"/>
          <w:sz w:val="22"/>
          <w:szCs w:val="22"/>
        </w:rPr>
        <w:t>4.</w:t>
      </w:r>
      <w:r>
        <w:rPr>
          <w:rFonts w:ascii="Arial" w:hAnsi="Arial" w:cs="Arial"/>
          <w:spacing w:val="-2"/>
          <w:sz w:val="22"/>
          <w:szCs w:val="22"/>
        </w:rPr>
        <w:t xml:space="preserve">1: </w:t>
      </w:r>
      <w:r>
        <w:rPr>
          <w:rFonts w:ascii="Arial" w:eastAsia="DengXian" w:hAnsi="Arial" w:cs="Arial"/>
          <w:color w:val="000000" w:themeColor="text1"/>
          <w:sz w:val="22"/>
          <w:szCs w:val="22"/>
        </w:rPr>
        <w:t>Different types of Policy …………………………………………………….4</w:t>
      </w:r>
    </w:p>
    <w:p w14:paraId="719A07E5" w14:textId="77777777" w:rsidR="00D97DB7" w:rsidRDefault="00D97DB7" w:rsidP="00D97DB7">
      <w:pPr>
        <w:rPr>
          <w:rFonts w:ascii="Arial" w:hAnsi="Arial" w:cs="Arial"/>
          <w:sz w:val="22"/>
          <w:szCs w:val="22"/>
        </w:rPr>
        <w:sectPr w:rsidR="00D97DB7" w:rsidSect="00D97DB7">
          <w:footerReference w:type="default" r:id="rId12"/>
          <w:pgSz w:w="11906" w:h="16838"/>
          <w:pgMar w:top="1360" w:right="425" w:bottom="1300" w:left="1417" w:header="0" w:footer="1111" w:gutter="0"/>
          <w:pgNumType w:fmt="lowerRoman"/>
          <w:cols w:space="720"/>
        </w:sectPr>
      </w:pPr>
      <w:bookmarkStart w:id="4" w:name="_TOC_250000"/>
      <w:r>
        <w:rPr>
          <w:rFonts w:ascii="Arial" w:hAnsi="Arial" w:cs="Arial"/>
          <w:sz w:val="22"/>
          <w:szCs w:val="22"/>
        </w:rPr>
        <w:br w:type="page"/>
      </w:r>
    </w:p>
    <w:p w14:paraId="3D2DD979" w14:textId="77777777" w:rsidR="00D97DB7" w:rsidRDefault="00D97DB7" w:rsidP="00D97DB7">
      <w:pPr>
        <w:rPr>
          <w:rFonts w:ascii="Arial" w:hAnsi="Arial" w:cs="Arial"/>
          <w:b/>
          <w:bCs/>
          <w:sz w:val="22"/>
          <w:szCs w:val="22"/>
        </w:rPr>
      </w:pPr>
    </w:p>
    <w:p w14:paraId="22FCC569" w14:textId="77777777" w:rsidR="00D97DB7" w:rsidRDefault="00D97DB7" w:rsidP="00D97DB7">
      <w:pPr>
        <w:pStyle w:val="Heading1"/>
        <w:spacing w:before="61"/>
        <w:rPr>
          <w:rFonts w:ascii="Arial" w:hAnsi="Arial" w:cs="Arial" w:hint="default"/>
          <w:sz w:val="22"/>
          <w:szCs w:val="22"/>
        </w:rPr>
      </w:pPr>
      <w:r>
        <w:rPr>
          <w:rFonts w:ascii="Arial" w:hAnsi="Arial" w:cs="Arial" w:hint="default"/>
          <w:sz w:val="22"/>
          <w:szCs w:val="22"/>
        </w:rPr>
        <w:t>LIST</w:t>
      </w:r>
      <w:r>
        <w:rPr>
          <w:rFonts w:ascii="Arial" w:hAnsi="Arial" w:cs="Arial" w:hint="default"/>
          <w:spacing w:val="-7"/>
          <w:sz w:val="22"/>
          <w:szCs w:val="22"/>
        </w:rPr>
        <w:t xml:space="preserve"> </w:t>
      </w:r>
      <w:r>
        <w:rPr>
          <w:rFonts w:ascii="Arial" w:hAnsi="Arial" w:cs="Arial" w:hint="default"/>
          <w:sz w:val="22"/>
          <w:szCs w:val="22"/>
        </w:rPr>
        <w:t>OF</w:t>
      </w:r>
      <w:r>
        <w:rPr>
          <w:rFonts w:ascii="Arial" w:hAnsi="Arial" w:cs="Arial" w:hint="default"/>
          <w:spacing w:val="-22"/>
          <w:sz w:val="22"/>
          <w:szCs w:val="22"/>
        </w:rPr>
        <w:t xml:space="preserve"> </w:t>
      </w:r>
      <w:bookmarkEnd w:id="4"/>
      <w:r>
        <w:rPr>
          <w:rFonts w:ascii="Arial" w:hAnsi="Arial" w:cs="Arial" w:hint="default"/>
          <w:spacing w:val="-2"/>
          <w:sz w:val="22"/>
          <w:szCs w:val="22"/>
        </w:rPr>
        <w:t>ABBREVIATIONS/NOMENCLATURE</w:t>
      </w:r>
    </w:p>
    <w:p w14:paraId="562E0770" w14:textId="77777777" w:rsidR="00D97DB7" w:rsidRDefault="00D97DB7" w:rsidP="00D97DB7">
      <w:pPr>
        <w:widowControl w:val="0"/>
        <w:tabs>
          <w:tab w:val="left" w:pos="8400"/>
        </w:tabs>
        <w:autoSpaceDE w:val="0"/>
        <w:autoSpaceDN w:val="0"/>
        <w:spacing w:before="66"/>
        <w:rPr>
          <w:rFonts w:ascii="Arial" w:eastAsia="Calibri Light" w:hAnsi="Arial" w:cs="Arial"/>
          <w:sz w:val="22"/>
          <w:szCs w:val="22"/>
          <w:lang w:val="en-GB" w:eastAsia="en-GB" w:bidi="en-GB"/>
        </w:rPr>
      </w:pPr>
    </w:p>
    <w:p w14:paraId="3EE039AA" w14:textId="77777777" w:rsidR="00D97DB7" w:rsidRDefault="00D97DB7" w:rsidP="00D97DB7">
      <w:pPr>
        <w:spacing w:line="360" w:lineRule="auto"/>
        <w:ind w:firstLineChars="50" w:firstLine="110"/>
        <w:rPr>
          <w:rFonts w:ascii="Arial" w:hAnsi="Arial" w:cs="Arial"/>
          <w:sz w:val="22"/>
          <w:szCs w:val="22"/>
        </w:rPr>
      </w:pPr>
      <w:r>
        <w:rPr>
          <w:rFonts w:ascii="Arial" w:hAnsi="Arial" w:cs="Arial"/>
          <w:sz w:val="22"/>
          <w:szCs w:val="22"/>
        </w:rPr>
        <w:t>SDG – Sustainable Development Goal</w:t>
      </w:r>
    </w:p>
    <w:p w14:paraId="3B1110C4" w14:textId="77777777" w:rsidR="00D97DB7" w:rsidRDefault="00D97DB7" w:rsidP="00D97DB7">
      <w:pPr>
        <w:spacing w:line="360" w:lineRule="auto"/>
        <w:rPr>
          <w:rFonts w:ascii="Arial" w:hAnsi="Arial" w:cs="Arial"/>
          <w:sz w:val="22"/>
          <w:szCs w:val="22"/>
        </w:rPr>
      </w:pPr>
      <w:r>
        <w:rPr>
          <w:rFonts w:ascii="Arial" w:hAnsi="Arial" w:cs="Arial"/>
          <w:sz w:val="22"/>
          <w:szCs w:val="22"/>
        </w:rPr>
        <w:t xml:space="preserve"> UHC – Universal Health Coverage</w:t>
      </w:r>
    </w:p>
    <w:p w14:paraId="18BCF929" w14:textId="77777777" w:rsidR="00D97DB7" w:rsidRDefault="00D97DB7" w:rsidP="00D97DB7">
      <w:pPr>
        <w:spacing w:line="360" w:lineRule="auto"/>
        <w:rPr>
          <w:rFonts w:ascii="Arial" w:hAnsi="Arial" w:cs="Arial"/>
          <w:sz w:val="22"/>
          <w:szCs w:val="22"/>
        </w:rPr>
      </w:pPr>
      <w:r>
        <w:rPr>
          <w:rFonts w:ascii="Arial" w:hAnsi="Arial" w:cs="Arial"/>
          <w:sz w:val="22"/>
          <w:szCs w:val="22"/>
        </w:rPr>
        <w:t xml:space="preserve"> WHO – World Health Organization</w:t>
      </w:r>
    </w:p>
    <w:p w14:paraId="24AF5816" w14:textId="77777777" w:rsidR="00D97DB7" w:rsidRDefault="00D97DB7" w:rsidP="00D97DB7">
      <w:pPr>
        <w:spacing w:line="360" w:lineRule="auto"/>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HiAP</w:t>
      </w:r>
      <w:proofErr w:type="spellEnd"/>
      <w:r>
        <w:rPr>
          <w:rFonts w:ascii="Arial" w:hAnsi="Arial" w:cs="Arial"/>
          <w:sz w:val="22"/>
          <w:szCs w:val="22"/>
        </w:rPr>
        <w:t xml:space="preserve"> – Health in All Policies</w:t>
      </w:r>
    </w:p>
    <w:p w14:paraId="75D314B0" w14:textId="77777777" w:rsidR="00D97DB7" w:rsidRDefault="00D97DB7" w:rsidP="00D97DB7">
      <w:pPr>
        <w:spacing w:line="360" w:lineRule="auto"/>
        <w:rPr>
          <w:rFonts w:ascii="Arial" w:hAnsi="Arial" w:cs="Arial"/>
          <w:sz w:val="22"/>
          <w:szCs w:val="22"/>
        </w:rPr>
      </w:pPr>
      <w:r>
        <w:rPr>
          <w:rFonts w:ascii="Arial" w:hAnsi="Arial" w:cs="Arial"/>
          <w:sz w:val="22"/>
          <w:szCs w:val="22"/>
        </w:rPr>
        <w:t xml:space="preserve"> ISSA – International Social Security Association</w:t>
      </w:r>
    </w:p>
    <w:p w14:paraId="3DCD95D4" w14:textId="77777777" w:rsidR="00D97DB7" w:rsidRDefault="00D97DB7" w:rsidP="00D97DB7">
      <w:pPr>
        <w:spacing w:line="360" w:lineRule="auto"/>
        <w:rPr>
          <w:rFonts w:ascii="Arial" w:hAnsi="Arial" w:cs="Arial"/>
          <w:sz w:val="22"/>
          <w:szCs w:val="22"/>
        </w:rPr>
      </w:pPr>
      <w:r>
        <w:rPr>
          <w:rFonts w:ascii="Arial" w:hAnsi="Arial" w:cs="Arial"/>
          <w:sz w:val="22"/>
          <w:szCs w:val="22"/>
        </w:rPr>
        <w:t xml:space="preserve"> NHS – National Health Service</w:t>
      </w:r>
    </w:p>
    <w:p w14:paraId="12F9C374" w14:textId="77777777" w:rsidR="00D97DB7" w:rsidRDefault="00D97DB7" w:rsidP="00D97DB7">
      <w:pPr>
        <w:spacing w:line="360" w:lineRule="auto"/>
        <w:rPr>
          <w:rFonts w:ascii="Arial" w:hAnsi="Arial" w:cs="Arial"/>
          <w:sz w:val="22"/>
          <w:szCs w:val="22"/>
        </w:rPr>
      </w:pPr>
      <w:r>
        <w:rPr>
          <w:rFonts w:ascii="Arial" w:hAnsi="Arial" w:cs="Arial"/>
          <w:sz w:val="22"/>
          <w:szCs w:val="22"/>
        </w:rPr>
        <w:t xml:space="preserve"> ULEZ – Ultra Low Emission Zone</w:t>
      </w:r>
    </w:p>
    <w:p w14:paraId="12CC0007" w14:textId="77777777" w:rsidR="00D97DB7" w:rsidRDefault="00D97DB7" w:rsidP="00D97DB7">
      <w:pPr>
        <w:spacing w:line="360" w:lineRule="auto"/>
        <w:rPr>
          <w:rFonts w:ascii="Arial" w:hAnsi="Arial" w:cs="Arial"/>
          <w:sz w:val="22"/>
          <w:szCs w:val="22"/>
        </w:rPr>
      </w:pPr>
      <w:r>
        <w:rPr>
          <w:rFonts w:ascii="Arial" w:hAnsi="Arial" w:cs="Arial"/>
          <w:sz w:val="22"/>
          <w:szCs w:val="22"/>
        </w:rPr>
        <w:t xml:space="preserve"> NO₂ – Nitrogen Dioxide</w:t>
      </w:r>
    </w:p>
    <w:p w14:paraId="3729B993" w14:textId="77777777" w:rsidR="00D97DB7" w:rsidRDefault="00D97DB7" w:rsidP="00D97DB7">
      <w:pPr>
        <w:spacing w:line="360" w:lineRule="auto"/>
        <w:rPr>
          <w:rFonts w:ascii="Arial" w:hAnsi="Arial" w:cs="Arial"/>
          <w:sz w:val="22"/>
          <w:szCs w:val="22"/>
        </w:rPr>
      </w:pPr>
      <w:r>
        <w:rPr>
          <w:rFonts w:ascii="Arial" w:hAnsi="Arial" w:cs="Arial"/>
          <w:sz w:val="22"/>
          <w:szCs w:val="22"/>
        </w:rPr>
        <w:t xml:space="preserve">  </w:t>
      </w:r>
    </w:p>
    <w:p w14:paraId="6580083F" w14:textId="77777777" w:rsidR="00D97DB7" w:rsidRDefault="00D97DB7">
      <w:pPr>
        <w:pStyle w:val="Heading2"/>
        <w:spacing w:line="360" w:lineRule="auto"/>
        <w:jc w:val="both"/>
        <w:rPr>
          <w:rStyle w:val="Strong"/>
          <w:rFonts w:ascii="Arial" w:hAnsi="Arial" w:cs="Arial" w:hint="default"/>
          <w:b/>
          <w:bCs/>
          <w:sz w:val="22"/>
          <w:szCs w:val="22"/>
        </w:rPr>
      </w:pPr>
    </w:p>
    <w:p w14:paraId="739179E0" w14:textId="77777777" w:rsidR="00D97DB7" w:rsidRDefault="00D97DB7">
      <w:pPr>
        <w:pStyle w:val="Heading2"/>
        <w:spacing w:line="360" w:lineRule="auto"/>
        <w:jc w:val="both"/>
        <w:rPr>
          <w:rStyle w:val="Strong"/>
          <w:rFonts w:ascii="Arial" w:hAnsi="Arial" w:cs="Arial" w:hint="default"/>
          <w:b/>
          <w:bCs/>
          <w:sz w:val="22"/>
          <w:szCs w:val="22"/>
        </w:rPr>
      </w:pPr>
    </w:p>
    <w:p w14:paraId="0F1EEF8D" w14:textId="77777777" w:rsidR="00D97DB7" w:rsidRDefault="00D97DB7" w:rsidP="00D97DB7"/>
    <w:p w14:paraId="03EE00F6" w14:textId="77777777" w:rsidR="00D97DB7" w:rsidRDefault="00D97DB7" w:rsidP="00D97DB7"/>
    <w:p w14:paraId="21F11137" w14:textId="77777777" w:rsidR="00D97DB7" w:rsidRDefault="00D97DB7" w:rsidP="00D97DB7"/>
    <w:p w14:paraId="5D4A750D" w14:textId="77777777" w:rsidR="00D97DB7" w:rsidRDefault="00D97DB7" w:rsidP="00D97DB7"/>
    <w:p w14:paraId="28F12D53" w14:textId="77777777" w:rsidR="00D97DB7" w:rsidRDefault="00D97DB7" w:rsidP="00D97DB7"/>
    <w:p w14:paraId="794C8D46" w14:textId="77777777" w:rsidR="00D97DB7" w:rsidRDefault="00D97DB7" w:rsidP="00D97DB7"/>
    <w:p w14:paraId="4E7A7326" w14:textId="77777777" w:rsidR="00D97DB7" w:rsidRDefault="00D97DB7" w:rsidP="00D97DB7"/>
    <w:p w14:paraId="03EE3159" w14:textId="77777777" w:rsidR="00D97DB7" w:rsidRDefault="00D97DB7" w:rsidP="00D97DB7"/>
    <w:p w14:paraId="52B51783" w14:textId="77777777" w:rsidR="00D97DB7" w:rsidRDefault="00D97DB7" w:rsidP="00D97DB7"/>
    <w:p w14:paraId="16CE43AD" w14:textId="77777777" w:rsidR="00D97DB7" w:rsidRDefault="00D97DB7" w:rsidP="00D97DB7"/>
    <w:p w14:paraId="5F1D2A67" w14:textId="77777777" w:rsidR="00D97DB7" w:rsidRDefault="00D97DB7" w:rsidP="00D97DB7"/>
    <w:p w14:paraId="34A519EF" w14:textId="77777777" w:rsidR="00D97DB7" w:rsidRDefault="00D97DB7" w:rsidP="00D97DB7"/>
    <w:p w14:paraId="155F2BD9" w14:textId="77777777" w:rsidR="00D97DB7" w:rsidRDefault="00D97DB7" w:rsidP="00D97DB7"/>
    <w:p w14:paraId="4F620DFA" w14:textId="77777777" w:rsidR="00D97DB7" w:rsidRDefault="00D97DB7" w:rsidP="00D97DB7"/>
    <w:p w14:paraId="5DB77784" w14:textId="77777777" w:rsidR="00D97DB7" w:rsidRDefault="00D97DB7" w:rsidP="00D97DB7"/>
    <w:p w14:paraId="1FC49E8F" w14:textId="77777777" w:rsidR="00D97DB7" w:rsidRDefault="00D97DB7" w:rsidP="00D97DB7"/>
    <w:p w14:paraId="033B749A" w14:textId="77777777" w:rsidR="00D97DB7" w:rsidRDefault="00D97DB7" w:rsidP="00D97DB7"/>
    <w:p w14:paraId="40856515" w14:textId="77777777" w:rsidR="00D97DB7" w:rsidRDefault="00D97DB7" w:rsidP="00D97DB7"/>
    <w:p w14:paraId="4E6C24E5" w14:textId="77777777" w:rsidR="00D97DB7" w:rsidRDefault="00D97DB7" w:rsidP="00D97DB7"/>
    <w:p w14:paraId="42EEF1FB" w14:textId="77777777" w:rsidR="00D97DB7" w:rsidRDefault="00D97DB7" w:rsidP="00D97DB7"/>
    <w:p w14:paraId="3EDD089E" w14:textId="77777777" w:rsidR="00D97DB7" w:rsidRDefault="00D97DB7" w:rsidP="00D97DB7"/>
    <w:p w14:paraId="6795D4C9" w14:textId="77777777" w:rsidR="00D97DB7" w:rsidRDefault="00D97DB7" w:rsidP="00D97DB7"/>
    <w:p w14:paraId="7AB29F38" w14:textId="77777777" w:rsidR="00D97DB7" w:rsidRDefault="00D97DB7" w:rsidP="00D97DB7"/>
    <w:p w14:paraId="71F71EEB" w14:textId="77777777" w:rsidR="00D97DB7" w:rsidRDefault="00D97DB7" w:rsidP="00D97DB7"/>
    <w:p w14:paraId="70FD8DBB" w14:textId="77777777" w:rsidR="00D97DB7" w:rsidRDefault="00D97DB7" w:rsidP="00D97DB7"/>
    <w:p w14:paraId="2A88995C" w14:textId="77777777" w:rsidR="00D97DB7" w:rsidRDefault="00D97DB7" w:rsidP="00D97DB7"/>
    <w:p w14:paraId="487C89F1" w14:textId="77777777" w:rsidR="00D97DB7" w:rsidRPr="00D97DB7" w:rsidRDefault="00D97DB7" w:rsidP="00D97DB7"/>
    <w:p w14:paraId="4AF35D9F" w14:textId="77777777" w:rsidR="00D97DB7" w:rsidRDefault="00D97DB7">
      <w:pPr>
        <w:pStyle w:val="Heading2"/>
        <w:spacing w:line="360" w:lineRule="auto"/>
        <w:jc w:val="both"/>
        <w:rPr>
          <w:rStyle w:val="Strong"/>
          <w:rFonts w:ascii="Arial" w:hAnsi="Arial" w:cs="Arial" w:hint="default"/>
          <w:b/>
          <w:bCs/>
          <w:sz w:val="22"/>
          <w:szCs w:val="22"/>
        </w:rPr>
      </w:pPr>
    </w:p>
    <w:p w14:paraId="360B0642" w14:textId="2EFD6AB5" w:rsidR="00834A71" w:rsidRDefault="00000000">
      <w:pPr>
        <w:pStyle w:val="Heading2"/>
        <w:spacing w:line="360" w:lineRule="auto"/>
        <w:jc w:val="both"/>
        <w:rPr>
          <w:rFonts w:ascii="Arial" w:hAnsi="Arial" w:cs="Arial" w:hint="default"/>
          <w:sz w:val="22"/>
          <w:szCs w:val="22"/>
        </w:rPr>
      </w:pPr>
      <w:r>
        <w:rPr>
          <w:rStyle w:val="Strong"/>
          <w:rFonts w:ascii="Arial" w:hAnsi="Arial" w:cs="Arial" w:hint="default"/>
          <w:b/>
          <w:bCs/>
          <w:sz w:val="22"/>
          <w:szCs w:val="22"/>
        </w:rPr>
        <w:lastRenderedPageBreak/>
        <w:t>1. Introduction</w:t>
      </w:r>
    </w:p>
    <w:p w14:paraId="5FFBECB7"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Health, well-being, and sustainability are increasingly central to global development strategies, reflecting the interconnected challenges of non-communicable diseases, health inequalities, environmental risks, and demographic pressures. Coherent policies aligning health with sustainable development are essential, guided by the United Nations’ Sustainable Development Goals (SDGs) (</w:t>
      </w:r>
      <w:r>
        <w:rPr>
          <w:rFonts w:ascii="Arial" w:hAnsi="Arial" w:cs="Arial"/>
          <w:sz w:val="22"/>
          <w:szCs w:val="22"/>
          <w:lang w:bidi="ar"/>
        </w:rPr>
        <w:t>Mauti et al., 2020)</w:t>
      </w:r>
      <w:r>
        <w:rPr>
          <w:rFonts w:ascii="Arial" w:hAnsi="Arial" w:cs="Arial"/>
          <w:sz w:val="22"/>
          <w:szCs w:val="22"/>
        </w:rPr>
        <w:t>. The influence of SDGs varies across low-, middle-, and high-income countries due to differences in governance, infrastructure, financing, and social conditions. This report critically examines the impacts of SDG 3 (Good Health and Well-being) and SDG 13 (Climate Action) on citizens’ health at global, national, and local levels, evaluating selected initiatives and providing evidence-based recommendations to enhance health and sustainability outcomes.</w:t>
      </w:r>
    </w:p>
    <w:p w14:paraId="5EB5010B" w14:textId="77777777" w:rsidR="00834A71" w:rsidRDefault="00000000">
      <w:pPr>
        <w:pStyle w:val="Heading2"/>
        <w:spacing w:line="360" w:lineRule="auto"/>
        <w:jc w:val="both"/>
        <w:rPr>
          <w:rFonts w:ascii="Arial" w:hAnsi="Arial" w:cs="Arial" w:hint="default"/>
          <w:sz w:val="22"/>
          <w:szCs w:val="22"/>
        </w:rPr>
      </w:pPr>
      <w:r>
        <w:rPr>
          <w:rStyle w:val="Strong"/>
          <w:rFonts w:ascii="Arial" w:hAnsi="Arial" w:cs="Arial" w:hint="default"/>
          <w:b/>
          <w:bCs/>
          <w:sz w:val="22"/>
          <w:szCs w:val="22"/>
        </w:rPr>
        <w:t>2. Global Policy Context: Sustainable Development Goals</w:t>
      </w:r>
    </w:p>
    <w:p w14:paraId="60F5F7A8"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2.0 WHO and Sustainable Development</w:t>
      </w:r>
    </w:p>
    <w:p w14:paraId="572AE11D"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The WHO frames sustainable development as meeting present health needs without compromising the ability of future generations to meet their own, integrating environmental protection, social well-being, and health equity (</w:t>
      </w:r>
      <w:r>
        <w:rPr>
          <w:rFonts w:ascii="Arial" w:hAnsi="Arial" w:cs="Arial"/>
          <w:sz w:val="22"/>
          <w:szCs w:val="22"/>
          <w:lang w:bidi="ar"/>
        </w:rPr>
        <w:t xml:space="preserve">Spencer et al., 2019; </w:t>
      </w:r>
      <w:r>
        <w:rPr>
          <w:rFonts w:ascii="Arial" w:hAnsi="Arial" w:cs="Arial"/>
          <w:sz w:val="22"/>
          <w:szCs w:val="22"/>
        </w:rPr>
        <w:t>WHO, 2023). Policies that reduce pollution, strengthen environmental health, and improve living conditions provide immediate public-health benefits, such as reducing respiratory disease and preventing injuries (WHO, 2023).</w:t>
      </w:r>
    </w:p>
    <w:p w14:paraId="230B03C2"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2.1 SDG 3: Good Health and Wellbeing</w:t>
      </w:r>
    </w:p>
    <w:p w14:paraId="789BE45E"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SDG 3 aims to ensure healthy lives and promote well-being for all at all ages (United Nations, 2015). It includes targets related to maternal health, child mortality, universal health coverage (UHC), mental health, infectious disease control, and reductions in non-communicable diseases. Research shows that most other SDGs  such as SDG 6 (Clean Water and Sanitation), SDG 11 (Sustainable Cities), and SDG 13 (Climate Action) indirectly contribute to improved well-being (Stuckler and  Basu, 2023).</w:t>
      </w:r>
    </w:p>
    <w:p w14:paraId="0F94E183"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Globally, SDG 3 has driven increased investment in primary healthcare systems; expansion of vaccination </w:t>
      </w:r>
      <w:proofErr w:type="spellStart"/>
      <w:r>
        <w:rPr>
          <w:rFonts w:ascii="Arial" w:hAnsi="Arial" w:cs="Arial"/>
          <w:sz w:val="22"/>
          <w:szCs w:val="22"/>
        </w:rPr>
        <w:t>programmes</w:t>
      </w:r>
      <w:proofErr w:type="spellEnd"/>
      <w:r>
        <w:rPr>
          <w:rFonts w:ascii="Arial" w:hAnsi="Arial" w:cs="Arial"/>
          <w:sz w:val="22"/>
          <w:szCs w:val="22"/>
        </w:rPr>
        <w:t>; greater recognition of mental health as a development priority; and support for UHC as a global standard (</w:t>
      </w:r>
      <w:proofErr w:type="spellStart"/>
      <w:r>
        <w:rPr>
          <w:rFonts w:ascii="Arial" w:hAnsi="Arial" w:cs="Arial"/>
          <w:sz w:val="22"/>
          <w:szCs w:val="22"/>
          <w:lang w:bidi="ar"/>
        </w:rPr>
        <w:t>Chotchoungchatchai</w:t>
      </w:r>
      <w:proofErr w:type="spellEnd"/>
      <w:r>
        <w:rPr>
          <w:rFonts w:ascii="Arial" w:hAnsi="Arial" w:cs="Arial"/>
          <w:sz w:val="22"/>
          <w:szCs w:val="22"/>
          <w:lang w:bidi="ar"/>
        </w:rPr>
        <w:t xml:space="preserve"> et al., 2020).</w:t>
      </w:r>
    </w:p>
    <w:p w14:paraId="5D9C1FB3"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lastRenderedPageBreak/>
        <w:t>However, progress is uneven. Low-income countries remain disproportionately affected by preventable deaths, while high-income countries face rising lifestyle-related diseases. The COVID-19 pandemic further exposed systemic weaknesses and inequalities (WHO, 2021).</w:t>
      </w:r>
    </w:p>
    <w:p w14:paraId="4979104F"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2.2 SDG 13: Climate Action</w:t>
      </w:r>
    </w:p>
    <w:p w14:paraId="44739152"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SDG 13 focuses on strengthening resilience and adaptive capacity to climate hazards (United Nations, 2015). Climate change directly and indirectly affects health by increasing risks of heat-related illness, air pollution, vector-borne diseases, water and food insecurity, mental health impacts following environmental disasters (Watts et al., 2022). Climate action is therefore inseparable from health outcomes. Integrating SDG 13 with SDG 3 encourages policymakers to adopt sustainable, preventative public-health approaches.</w:t>
      </w:r>
    </w:p>
    <w:p w14:paraId="209AE2D7" w14:textId="77777777" w:rsidR="00834A71" w:rsidRDefault="00000000">
      <w:pPr>
        <w:pStyle w:val="Heading2"/>
        <w:spacing w:line="360" w:lineRule="auto"/>
        <w:jc w:val="both"/>
        <w:rPr>
          <w:rFonts w:ascii="Arial" w:hAnsi="Arial" w:cs="Arial" w:hint="default"/>
          <w:sz w:val="22"/>
          <w:szCs w:val="22"/>
        </w:rPr>
      </w:pPr>
      <w:r>
        <w:rPr>
          <w:rStyle w:val="Strong"/>
          <w:rFonts w:ascii="Arial" w:hAnsi="Arial" w:cs="Arial" w:hint="default"/>
          <w:b/>
          <w:bCs/>
          <w:sz w:val="22"/>
          <w:szCs w:val="22"/>
        </w:rPr>
        <w:t>3. Interrelationship Between SDG 3 and SDG 13</w:t>
      </w:r>
    </w:p>
    <w:p w14:paraId="70FD02BB"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3.1 How Climate Action Influences Health and Wellbeing</w:t>
      </w:r>
    </w:p>
    <w:p w14:paraId="355EBBB7"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Climate change intensifies health inequalities globally. Vulnerable populations children, older adults, people with chronic illnesses, and low-income communities experience higher exposure to pollution, poorer air quality, and reduced access to clean water (WHO, 2021). Heatwaves have become a major threat across Europe. In the UK, heat-related mortality is projected to triple by the 2050s without significant intervention (Public Health England, 2020). This creates additional burden on health and emergency services.</w:t>
      </w:r>
    </w:p>
    <w:p w14:paraId="0E543805"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3.2 Synergy and Policy Coherence</w:t>
      </w:r>
    </w:p>
    <w:p w14:paraId="4FF5D7CE"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Integrating SDG 3 and SDG 13 produces co-benefits including sustainable transport policies reduce emissions </w:t>
      </w:r>
      <w:r>
        <w:rPr>
          <w:rStyle w:val="Strong"/>
          <w:rFonts w:ascii="Arial" w:hAnsi="Arial" w:cs="Arial"/>
          <w:b w:val="0"/>
          <w:bCs w:val="0"/>
          <w:sz w:val="22"/>
          <w:szCs w:val="22"/>
        </w:rPr>
        <w:t>and</w:t>
      </w:r>
      <w:r>
        <w:rPr>
          <w:rFonts w:ascii="Arial" w:hAnsi="Arial" w:cs="Arial"/>
          <w:sz w:val="22"/>
          <w:szCs w:val="22"/>
        </w:rPr>
        <w:t xml:space="preserve"> encourage physical activity, green urban planning improves respiratory health and mental well-being, climate-resilient healthcare infrastructure ensures continuity of services, </w:t>
      </w:r>
      <w:proofErr w:type="spellStart"/>
      <w:r>
        <w:rPr>
          <w:rFonts w:ascii="Arial" w:hAnsi="Arial" w:cs="Arial"/>
          <w:sz w:val="22"/>
          <w:szCs w:val="22"/>
        </w:rPr>
        <w:t>behavioural</w:t>
      </w:r>
      <w:proofErr w:type="spellEnd"/>
      <w:r>
        <w:rPr>
          <w:rFonts w:ascii="Arial" w:hAnsi="Arial" w:cs="Arial"/>
          <w:sz w:val="22"/>
          <w:szCs w:val="22"/>
        </w:rPr>
        <w:t xml:space="preserve"> change campaigns (e.g., active travel, reduced meat consumption) improve both human and planetary health (IPCC, 2022). However, policy implementation often remains siloed. Health systems tend to treat climate as an environmental issue, not a public-health priority.</w:t>
      </w:r>
    </w:p>
    <w:p w14:paraId="2564D853" w14:textId="77777777" w:rsidR="00834A71" w:rsidRDefault="00834A71">
      <w:pPr>
        <w:pStyle w:val="NormalWeb"/>
        <w:spacing w:line="360" w:lineRule="auto"/>
        <w:jc w:val="both"/>
        <w:rPr>
          <w:rFonts w:ascii="Arial" w:hAnsi="Arial" w:cs="Arial"/>
          <w:b/>
          <w:bCs/>
          <w:sz w:val="22"/>
          <w:szCs w:val="22"/>
        </w:rPr>
      </w:pPr>
    </w:p>
    <w:p w14:paraId="28CB9D81" w14:textId="77777777" w:rsidR="00834A71" w:rsidRDefault="00000000">
      <w:pPr>
        <w:pStyle w:val="NormalWeb"/>
        <w:spacing w:line="360" w:lineRule="auto"/>
        <w:jc w:val="both"/>
        <w:rPr>
          <w:rFonts w:ascii="Arial" w:hAnsi="Arial" w:cs="Arial"/>
          <w:b/>
          <w:bCs/>
          <w:sz w:val="22"/>
          <w:szCs w:val="22"/>
        </w:rPr>
      </w:pPr>
      <w:r>
        <w:rPr>
          <w:rFonts w:ascii="Arial" w:hAnsi="Arial" w:cs="Arial"/>
          <w:b/>
          <w:bCs/>
          <w:sz w:val="22"/>
          <w:szCs w:val="22"/>
        </w:rPr>
        <w:lastRenderedPageBreak/>
        <w:t>3.3 Impacts Across Diverse Economies</w:t>
      </w:r>
    </w:p>
    <w:p w14:paraId="26661DEE" w14:textId="77777777" w:rsidR="00834A71" w:rsidRDefault="00000000">
      <w:pPr>
        <w:pStyle w:val="NormalWeb"/>
        <w:spacing w:line="360" w:lineRule="auto"/>
        <w:jc w:val="both"/>
        <w:rPr>
          <w:rFonts w:ascii="Arial" w:hAnsi="Arial" w:cs="Arial"/>
          <w:b/>
          <w:bCs/>
          <w:sz w:val="22"/>
          <w:szCs w:val="22"/>
        </w:rPr>
      </w:pPr>
      <w:r>
        <w:rPr>
          <w:rFonts w:ascii="Arial" w:hAnsi="Arial" w:cs="Arial"/>
          <w:b/>
          <w:bCs/>
          <w:sz w:val="22"/>
          <w:szCs w:val="22"/>
        </w:rPr>
        <w:t>3.3.1 Low- and Lower-Middle-Income Economies</w:t>
      </w:r>
    </w:p>
    <w:p w14:paraId="3696F28D"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Efforts to expand universal health coverage have increased access to care and reduced financial hardship, supported by environmental initiatives that improve water, sanitation, and infectious disease control (World Bank, 2015; WHO, 2015). Climate-resilient health systems further strengthen community adaptation to environmental risks. However, underfunded services, weak primary healthcare, and rapid, unplanned </w:t>
      </w:r>
      <w:proofErr w:type="spellStart"/>
      <w:r>
        <w:rPr>
          <w:rFonts w:ascii="Arial" w:hAnsi="Arial" w:cs="Arial"/>
          <w:sz w:val="22"/>
          <w:szCs w:val="22"/>
        </w:rPr>
        <w:t>urbanisation</w:t>
      </w:r>
      <w:proofErr w:type="spellEnd"/>
      <w:r>
        <w:rPr>
          <w:rFonts w:ascii="Arial" w:hAnsi="Arial" w:cs="Arial"/>
          <w:sz w:val="22"/>
          <w:szCs w:val="22"/>
        </w:rPr>
        <w:t xml:space="preserve"> continue to exacerbate pollution and inequalities, while limited financial and institutional capacity constrains sustainable policy implementation (Kruk et al., 2025).</w:t>
      </w:r>
    </w:p>
    <w:p w14:paraId="57E3E2D0" w14:textId="77777777" w:rsidR="00834A71" w:rsidRDefault="00000000">
      <w:pPr>
        <w:pStyle w:val="NormalWeb"/>
        <w:spacing w:line="360" w:lineRule="auto"/>
        <w:jc w:val="both"/>
        <w:rPr>
          <w:rFonts w:ascii="Arial" w:hAnsi="Arial" w:cs="Arial"/>
          <w:b/>
          <w:bCs/>
          <w:sz w:val="22"/>
          <w:szCs w:val="22"/>
        </w:rPr>
      </w:pPr>
      <w:r>
        <w:rPr>
          <w:rFonts w:ascii="Arial" w:hAnsi="Arial" w:cs="Arial"/>
          <w:b/>
          <w:bCs/>
          <w:sz w:val="22"/>
          <w:szCs w:val="22"/>
        </w:rPr>
        <w:t>3.3.2 Upper-Middle-Income and Emerging Economies</w:t>
      </w:r>
    </w:p>
    <w:p w14:paraId="5C812C5D"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Emerging economies are adopting integrated strategies that link health-insurance expansion with sustainable urban development and environmental health initiatives. China, India and Indonesia have broadened insurance coverage in line with SDG commitments, improving access to essential services (Nambiar et al., 2021). Parallel investments in clean energy, public transportation and green urban planning offer significant health co-benefits, while digital innovations such as telehealth extend service reach. However, persistent structural barriers remain. Socioeconomic inequalities continue to restrict access for rural and </w:t>
      </w:r>
      <w:proofErr w:type="spellStart"/>
      <w:r>
        <w:rPr>
          <w:rFonts w:ascii="Arial" w:hAnsi="Arial" w:cs="Arial"/>
          <w:sz w:val="22"/>
          <w:szCs w:val="22"/>
        </w:rPr>
        <w:t>marginalised</w:t>
      </w:r>
      <w:proofErr w:type="spellEnd"/>
      <w:r>
        <w:rPr>
          <w:rFonts w:ascii="Arial" w:hAnsi="Arial" w:cs="Arial"/>
          <w:sz w:val="22"/>
          <w:szCs w:val="22"/>
        </w:rPr>
        <w:t xml:space="preserve"> populations, and the escalating burden of chronic diseases places further pressure on already overstretched health systems (Rad, 2025).</w:t>
      </w:r>
    </w:p>
    <w:p w14:paraId="628FCDB7" w14:textId="77777777" w:rsidR="00834A71" w:rsidRDefault="00000000">
      <w:pPr>
        <w:pStyle w:val="NormalWeb"/>
        <w:spacing w:line="360" w:lineRule="auto"/>
        <w:jc w:val="both"/>
        <w:rPr>
          <w:rFonts w:ascii="Arial" w:hAnsi="Arial" w:cs="Arial"/>
          <w:b/>
          <w:bCs/>
          <w:sz w:val="22"/>
          <w:szCs w:val="22"/>
        </w:rPr>
      </w:pPr>
      <w:r>
        <w:rPr>
          <w:rFonts w:ascii="Arial" w:hAnsi="Arial" w:cs="Arial"/>
          <w:b/>
          <w:bCs/>
          <w:sz w:val="22"/>
          <w:szCs w:val="22"/>
        </w:rPr>
        <w:t>3.3.3 High-Income Economies</w:t>
      </w:r>
    </w:p>
    <w:p w14:paraId="41D3CED4"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High-income countries generally possess the financial and institutional capacity to embed sustainability into healthcare. Initiatives include green building standards, low-carbon procurement, and waste-management reforms (ISSA, 2023). Strong governance structures support </w:t>
      </w:r>
      <w:proofErr w:type="spellStart"/>
      <w:r>
        <w:rPr>
          <w:rFonts w:ascii="Arial" w:hAnsi="Arial" w:cs="Arial"/>
          <w:sz w:val="22"/>
          <w:szCs w:val="22"/>
        </w:rPr>
        <w:t>HiAP</w:t>
      </w:r>
      <w:proofErr w:type="spellEnd"/>
      <w:r>
        <w:rPr>
          <w:rFonts w:ascii="Arial" w:hAnsi="Arial" w:cs="Arial"/>
          <w:sz w:val="22"/>
          <w:szCs w:val="22"/>
        </w:rPr>
        <w:t xml:space="preserve"> and cross-sector collaboration; citizens benefit from cleaner environments, improved public transport, and comprehensive social protections are identified strength. </w:t>
      </w:r>
    </w:p>
    <w:p w14:paraId="75B283B0"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However, ongoing issues includes rising costs of chronic illness and ageing populations threaten long-term sustainability; </w:t>
      </w:r>
      <w:proofErr w:type="spellStart"/>
      <w:r>
        <w:rPr>
          <w:rFonts w:ascii="Arial" w:hAnsi="Arial" w:cs="Arial"/>
          <w:sz w:val="22"/>
          <w:szCs w:val="22"/>
        </w:rPr>
        <w:t>marginalised</w:t>
      </w:r>
      <w:proofErr w:type="spellEnd"/>
      <w:r>
        <w:rPr>
          <w:rFonts w:ascii="Arial" w:hAnsi="Arial" w:cs="Arial"/>
          <w:sz w:val="22"/>
          <w:szCs w:val="22"/>
        </w:rPr>
        <w:t xml:space="preserve"> groups, including migrants or low-income residents, may still face inequities.</w:t>
      </w:r>
    </w:p>
    <w:p w14:paraId="5C72ED9F" w14:textId="77777777" w:rsidR="00834A71" w:rsidRDefault="00000000">
      <w:pPr>
        <w:pStyle w:val="Heading2"/>
        <w:spacing w:line="360" w:lineRule="auto"/>
        <w:jc w:val="both"/>
        <w:rPr>
          <w:rFonts w:ascii="Arial" w:hAnsi="Arial" w:cs="Arial" w:hint="default"/>
          <w:sz w:val="22"/>
          <w:szCs w:val="22"/>
        </w:rPr>
      </w:pPr>
      <w:r>
        <w:rPr>
          <w:rStyle w:val="Strong"/>
          <w:rFonts w:ascii="Arial" w:hAnsi="Arial" w:cs="Arial" w:hint="default"/>
          <w:b/>
          <w:bCs/>
          <w:sz w:val="22"/>
          <w:szCs w:val="22"/>
        </w:rPr>
        <w:lastRenderedPageBreak/>
        <w:t>4.0 National Wellbeing Initiatives: Health and Sustainability Policy in the UK</w:t>
      </w:r>
    </w:p>
    <w:p w14:paraId="4012E22D"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4.1 The NHS Long Term Plan (2019)</w:t>
      </w:r>
    </w:p>
    <w:p w14:paraId="2F7BA407"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The NHS Long Term Plan (NHS England, 2019) presents a strategic shift towards prevention, </w:t>
      </w:r>
      <w:proofErr w:type="spellStart"/>
      <w:r>
        <w:rPr>
          <w:rFonts w:ascii="Arial" w:hAnsi="Arial" w:cs="Arial"/>
          <w:sz w:val="22"/>
          <w:szCs w:val="22"/>
        </w:rPr>
        <w:t>personalised</w:t>
      </w:r>
      <w:proofErr w:type="spellEnd"/>
      <w:r>
        <w:rPr>
          <w:rFonts w:ascii="Arial" w:hAnsi="Arial" w:cs="Arial"/>
          <w:sz w:val="22"/>
          <w:szCs w:val="22"/>
        </w:rPr>
        <w:t xml:space="preserve"> care and reducing health inequalities. Its strengths include:</w:t>
      </w:r>
    </w:p>
    <w:p w14:paraId="3550658E" w14:textId="77777777" w:rsidR="00834A71" w:rsidRDefault="00000000">
      <w:pPr>
        <w:pStyle w:val="NormalWeb"/>
        <w:spacing w:line="360" w:lineRule="auto"/>
        <w:jc w:val="both"/>
        <w:rPr>
          <w:rFonts w:ascii="Arial" w:hAnsi="Arial" w:cs="Arial"/>
          <w:sz w:val="22"/>
          <w:szCs w:val="22"/>
        </w:rPr>
      </w:pPr>
      <w:r>
        <w:rPr>
          <w:rStyle w:val="Strong"/>
          <w:rFonts w:ascii="Arial" w:hAnsi="Arial" w:cs="Arial"/>
          <w:sz w:val="22"/>
          <w:szCs w:val="22"/>
        </w:rPr>
        <w:t>Strengths</w:t>
      </w:r>
    </w:p>
    <w:p w14:paraId="6854B739"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Emphasis on early detection of diseases</w:t>
      </w:r>
    </w:p>
    <w:p w14:paraId="15060038"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Expansion of mental-health services</w:t>
      </w:r>
    </w:p>
    <w:p w14:paraId="22431726"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Promotion of integrated care systems</w:t>
      </w:r>
    </w:p>
    <w:p w14:paraId="02DBC621"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Focus on digital innovation</w:t>
      </w:r>
    </w:p>
    <w:p w14:paraId="444C91BE" w14:textId="77777777" w:rsidR="00834A71" w:rsidRDefault="00000000">
      <w:pPr>
        <w:pStyle w:val="NormalWeb"/>
        <w:spacing w:line="360" w:lineRule="auto"/>
        <w:jc w:val="both"/>
        <w:rPr>
          <w:rFonts w:ascii="Arial" w:hAnsi="Arial" w:cs="Arial"/>
          <w:sz w:val="22"/>
          <w:szCs w:val="22"/>
        </w:rPr>
      </w:pPr>
      <w:r>
        <w:rPr>
          <w:rStyle w:val="Strong"/>
          <w:rFonts w:ascii="Arial" w:hAnsi="Arial" w:cs="Arial"/>
          <w:sz w:val="22"/>
          <w:szCs w:val="22"/>
        </w:rPr>
        <w:t>Limitations</w:t>
      </w:r>
    </w:p>
    <w:p w14:paraId="487FF0E1"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Underfunding and workforce shortages restrict implementation</w:t>
      </w:r>
    </w:p>
    <w:p w14:paraId="6F48C3D3"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Inequalities persist across UK regions</w:t>
      </w:r>
    </w:p>
    <w:p w14:paraId="558D588F"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Preventative health measures remain under-</w:t>
      </w:r>
      <w:proofErr w:type="spellStart"/>
      <w:r>
        <w:rPr>
          <w:rFonts w:ascii="Arial" w:hAnsi="Arial" w:cs="Arial"/>
          <w:sz w:val="22"/>
          <w:szCs w:val="22"/>
        </w:rPr>
        <w:t>prioritised</w:t>
      </w:r>
      <w:proofErr w:type="spellEnd"/>
    </w:p>
    <w:p w14:paraId="2A8B36CC"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Although the plan aligns with SDG 3 targets, its impact is hindered by systemic pressures exacerbated by the pandemic.</w:t>
      </w:r>
    </w:p>
    <w:p w14:paraId="39C20993" w14:textId="77777777" w:rsidR="00834A71" w:rsidRDefault="00000000">
      <w:pPr>
        <w:pStyle w:val="NormalWeb"/>
        <w:spacing w:line="360" w:lineRule="auto"/>
        <w:jc w:val="both"/>
        <w:rPr>
          <w:rFonts w:ascii="Arial" w:hAnsi="Arial" w:cs="Arial"/>
          <w:b/>
          <w:bCs/>
          <w:sz w:val="22"/>
          <w:szCs w:val="22"/>
        </w:rPr>
      </w:pPr>
      <w:r>
        <w:rPr>
          <w:rFonts w:ascii="Arial" w:hAnsi="Arial" w:cs="Arial"/>
          <w:b/>
          <w:bCs/>
          <w:sz w:val="22"/>
          <w:szCs w:val="22"/>
        </w:rPr>
        <w:t xml:space="preserve">Table 4.1: Different types of Policy </w:t>
      </w:r>
    </w:p>
    <w:tbl>
      <w:tblPr>
        <w:tblStyle w:val="TableGrid"/>
        <w:tblW w:w="0" w:type="auto"/>
        <w:tblLook w:val="04A0" w:firstRow="1" w:lastRow="0" w:firstColumn="1" w:lastColumn="0" w:noHBand="0" w:noVBand="1"/>
      </w:tblPr>
      <w:tblGrid>
        <w:gridCol w:w="588"/>
        <w:gridCol w:w="2771"/>
        <w:gridCol w:w="3032"/>
        <w:gridCol w:w="2131"/>
      </w:tblGrid>
      <w:tr w:rsidR="00834A71" w14:paraId="617B304E" w14:textId="77777777">
        <w:tc>
          <w:tcPr>
            <w:tcW w:w="588" w:type="dxa"/>
          </w:tcPr>
          <w:p w14:paraId="63F62198" w14:textId="77777777" w:rsidR="00834A71" w:rsidRDefault="00000000">
            <w:pPr>
              <w:pStyle w:val="NormalWeb"/>
              <w:widowControl/>
              <w:jc w:val="both"/>
              <w:rPr>
                <w:rFonts w:ascii="Arial" w:hAnsi="Arial" w:cs="Arial"/>
                <w:sz w:val="22"/>
                <w:szCs w:val="22"/>
              </w:rPr>
            </w:pPr>
            <w:r>
              <w:rPr>
                <w:rFonts w:ascii="Arial" w:hAnsi="Arial" w:cs="Arial"/>
                <w:b/>
                <w:bCs/>
                <w:sz w:val="22"/>
                <w:szCs w:val="22"/>
              </w:rPr>
              <w:t>S/N</w:t>
            </w:r>
          </w:p>
        </w:tc>
        <w:tc>
          <w:tcPr>
            <w:tcW w:w="2771" w:type="dxa"/>
          </w:tcPr>
          <w:p w14:paraId="7473B236" w14:textId="77777777" w:rsidR="00834A71" w:rsidRDefault="00000000">
            <w:pPr>
              <w:pStyle w:val="NormalWeb"/>
              <w:widowControl/>
              <w:jc w:val="both"/>
              <w:rPr>
                <w:rFonts w:ascii="Arial" w:hAnsi="Arial" w:cs="Arial"/>
                <w:b/>
                <w:bCs/>
                <w:sz w:val="22"/>
                <w:szCs w:val="22"/>
              </w:rPr>
            </w:pPr>
            <w:r>
              <w:rPr>
                <w:rFonts w:ascii="Arial" w:hAnsi="Arial" w:cs="Arial"/>
                <w:b/>
                <w:bCs/>
                <w:sz w:val="22"/>
                <w:szCs w:val="22"/>
              </w:rPr>
              <w:t>Policy Type</w:t>
            </w:r>
          </w:p>
        </w:tc>
        <w:tc>
          <w:tcPr>
            <w:tcW w:w="3032" w:type="dxa"/>
          </w:tcPr>
          <w:p w14:paraId="1588B456" w14:textId="77777777" w:rsidR="00834A71" w:rsidRDefault="00000000">
            <w:pPr>
              <w:pStyle w:val="NormalWeb"/>
              <w:widowControl/>
              <w:jc w:val="both"/>
              <w:rPr>
                <w:rFonts w:ascii="Arial" w:hAnsi="Arial" w:cs="Arial"/>
                <w:b/>
                <w:bCs/>
                <w:sz w:val="22"/>
                <w:szCs w:val="22"/>
              </w:rPr>
            </w:pPr>
            <w:r>
              <w:rPr>
                <w:rFonts w:ascii="Arial" w:hAnsi="Arial" w:cs="Arial"/>
                <w:b/>
                <w:bCs/>
                <w:sz w:val="22"/>
                <w:szCs w:val="22"/>
              </w:rPr>
              <w:t>Description</w:t>
            </w:r>
          </w:p>
        </w:tc>
        <w:tc>
          <w:tcPr>
            <w:tcW w:w="2131" w:type="dxa"/>
          </w:tcPr>
          <w:p w14:paraId="387AFE51" w14:textId="77777777" w:rsidR="00834A71" w:rsidRDefault="00000000">
            <w:pPr>
              <w:pStyle w:val="NormalWeb"/>
              <w:widowControl/>
              <w:jc w:val="both"/>
              <w:rPr>
                <w:rFonts w:ascii="Arial" w:hAnsi="Arial" w:cs="Arial"/>
                <w:b/>
                <w:bCs/>
                <w:sz w:val="22"/>
                <w:szCs w:val="22"/>
              </w:rPr>
            </w:pPr>
            <w:r>
              <w:rPr>
                <w:rFonts w:ascii="Arial" w:hAnsi="Arial" w:cs="Arial"/>
                <w:b/>
                <w:bCs/>
                <w:sz w:val="22"/>
                <w:szCs w:val="22"/>
              </w:rPr>
              <w:t>Impact</w:t>
            </w:r>
          </w:p>
        </w:tc>
      </w:tr>
      <w:tr w:rsidR="00834A71" w14:paraId="11070BA2" w14:textId="77777777">
        <w:tc>
          <w:tcPr>
            <w:tcW w:w="588" w:type="dxa"/>
          </w:tcPr>
          <w:p w14:paraId="4DF91A18" w14:textId="77777777" w:rsidR="00834A71" w:rsidRDefault="00000000">
            <w:pPr>
              <w:pStyle w:val="NormalWeb"/>
              <w:widowControl/>
              <w:jc w:val="both"/>
              <w:rPr>
                <w:rFonts w:ascii="Arial" w:hAnsi="Arial" w:cs="Arial"/>
                <w:sz w:val="22"/>
                <w:szCs w:val="22"/>
              </w:rPr>
            </w:pPr>
            <w:r>
              <w:rPr>
                <w:rFonts w:ascii="Arial" w:hAnsi="Arial" w:cs="Arial"/>
                <w:sz w:val="22"/>
                <w:szCs w:val="22"/>
              </w:rPr>
              <w:t>1</w:t>
            </w:r>
          </w:p>
        </w:tc>
        <w:tc>
          <w:tcPr>
            <w:tcW w:w="2771" w:type="dxa"/>
            <w:vAlign w:val="center"/>
          </w:tcPr>
          <w:p w14:paraId="686AEAED" w14:textId="77777777" w:rsidR="00834A71" w:rsidRDefault="00000000">
            <w:pPr>
              <w:widowControl/>
              <w:rPr>
                <w:rFonts w:ascii="Arial" w:hAnsi="Arial" w:cs="Arial"/>
                <w:sz w:val="22"/>
                <w:szCs w:val="22"/>
              </w:rPr>
            </w:pPr>
            <w:r>
              <w:rPr>
                <w:rStyle w:val="Strong"/>
                <w:rFonts w:ascii="Arial" w:eastAsia="SimSun" w:hAnsi="Arial" w:cs="Arial"/>
                <w:b w:val="0"/>
                <w:bCs w:val="0"/>
                <w:sz w:val="22"/>
                <w:szCs w:val="22"/>
                <w:lang w:bidi="ar"/>
              </w:rPr>
              <w:t>Universal Health Coverage (UHC)</w:t>
            </w:r>
          </w:p>
        </w:tc>
        <w:tc>
          <w:tcPr>
            <w:tcW w:w="3032" w:type="dxa"/>
            <w:vAlign w:val="center"/>
          </w:tcPr>
          <w:p w14:paraId="68C368A0" w14:textId="77777777" w:rsidR="00834A71" w:rsidRDefault="00000000">
            <w:pPr>
              <w:widowControl/>
              <w:rPr>
                <w:rFonts w:ascii="Arial" w:hAnsi="Arial" w:cs="Arial"/>
                <w:sz w:val="22"/>
                <w:szCs w:val="22"/>
              </w:rPr>
            </w:pPr>
            <w:r>
              <w:rPr>
                <w:rFonts w:ascii="Arial" w:eastAsia="SimSun" w:hAnsi="Arial" w:cs="Arial"/>
                <w:sz w:val="22"/>
                <w:szCs w:val="22"/>
                <w:lang w:bidi="ar"/>
              </w:rPr>
              <w:t>Affordable access to essential health services for all</w:t>
            </w:r>
          </w:p>
        </w:tc>
        <w:tc>
          <w:tcPr>
            <w:tcW w:w="2131" w:type="dxa"/>
            <w:vAlign w:val="center"/>
          </w:tcPr>
          <w:p w14:paraId="2B91BCDC" w14:textId="77777777" w:rsidR="00834A71" w:rsidRDefault="00000000">
            <w:pPr>
              <w:widowControl/>
              <w:rPr>
                <w:rFonts w:ascii="Arial" w:hAnsi="Arial" w:cs="Arial"/>
                <w:sz w:val="22"/>
                <w:szCs w:val="22"/>
              </w:rPr>
            </w:pPr>
            <w:r>
              <w:rPr>
                <w:rFonts w:ascii="Arial" w:eastAsia="SimSun" w:hAnsi="Arial" w:cs="Arial"/>
                <w:sz w:val="22"/>
                <w:szCs w:val="22"/>
                <w:lang w:bidi="ar"/>
              </w:rPr>
              <w:t>Reduces financial hardship; improves health equity (World Bank, 2015)</w:t>
            </w:r>
          </w:p>
        </w:tc>
      </w:tr>
      <w:tr w:rsidR="00834A71" w14:paraId="27AC772D" w14:textId="77777777">
        <w:tc>
          <w:tcPr>
            <w:tcW w:w="588" w:type="dxa"/>
          </w:tcPr>
          <w:p w14:paraId="5655F2CF" w14:textId="77777777" w:rsidR="00834A71" w:rsidRDefault="00000000">
            <w:pPr>
              <w:pStyle w:val="NormalWeb"/>
              <w:widowControl/>
              <w:jc w:val="both"/>
              <w:rPr>
                <w:rFonts w:ascii="Arial" w:hAnsi="Arial" w:cs="Arial"/>
                <w:sz w:val="22"/>
                <w:szCs w:val="22"/>
              </w:rPr>
            </w:pPr>
            <w:r>
              <w:rPr>
                <w:rFonts w:ascii="Arial" w:hAnsi="Arial" w:cs="Arial"/>
                <w:sz w:val="22"/>
                <w:szCs w:val="22"/>
              </w:rPr>
              <w:t>2</w:t>
            </w:r>
          </w:p>
        </w:tc>
        <w:tc>
          <w:tcPr>
            <w:tcW w:w="2771" w:type="dxa"/>
            <w:vAlign w:val="center"/>
          </w:tcPr>
          <w:p w14:paraId="3A50C871" w14:textId="77777777" w:rsidR="00834A71" w:rsidRDefault="00000000">
            <w:pPr>
              <w:widowControl/>
              <w:rPr>
                <w:rFonts w:ascii="Arial" w:hAnsi="Arial" w:cs="Arial"/>
                <w:sz w:val="22"/>
                <w:szCs w:val="22"/>
              </w:rPr>
            </w:pPr>
            <w:r>
              <w:rPr>
                <w:rStyle w:val="Strong"/>
                <w:rFonts w:ascii="Arial" w:eastAsia="SimSun" w:hAnsi="Arial" w:cs="Arial"/>
                <w:b w:val="0"/>
                <w:bCs w:val="0"/>
                <w:sz w:val="22"/>
                <w:szCs w:val="22"/>
                <w:lang w:bidi="ar"/>
              </w:rPr>
              <w:t>Health in All Policies (</w:t>
            </w:r>
            <w:proofErr w:type="spellStart"/>
            <w:r>
              <w:rPr>
                <w:rStyle w:val="Strong"/>
                <w:rFonts w:ascii="Arial" w:eastAsia="SimSun" w:hAnsi="Arial" w:cs="Arial"/>
                <w:b w:val="0"/>
                <w:bCs w:val="0"/>
                <w:sz w:val="22"/>
                <w:szCs w:val="22"/>
                <w:lang w:bidi="ar"/>
              </w:rPr>
              <w:t>HiAP</w:t>
            </w:r>
            <w:proofErr w:type="spellEnd"/>
            <w:r>
              <w:rPr>
                <w:rStyle w:val="Strong"/>
                <w:rFonts w:ascii="Arial" w:eastAsia="SimSun" w:hAnsi="Arial" w:cs="Arial"/>
                <w:b w:val="0"/>
                <w:bCs w:val="0"/>
                <w:sz w:val="22"/>
                <w:szCs w:val="22"/>
                <w:lang w:bidi="ar"/>
              </w:rPr>
              <w:t>)</w:t>
            </w:r>
          </w:p>
        </w:tc>
        <w:tc>
          <w:tcPr>
            <w:tcW w:w="3032" w:type="dxa"/>
            <w:vAlign w:val="center"/>
          </w:tcPr>
          <w:p w14:paraId="48265757" w14:textId="77777777" w:rsidR="00834A71" w:rsidRDefault="00000000">
            <w:pPr>
              <w:widowControl/>
              <w:rPr>
                <w:rFonts w:ascii="Arial" w:hAnsi="Arial" w:cs="Arial"/>
                <w:sz w:val="22"/>
                <w:szCs w:val="22"/>
              </w:rPr>
            </w:pPr>
            <w:r>
              <w:rPr>
                <w:rFonts w:ascii="Arial" w:eastAsia="SimSun" w:hAnsi="Arial" w:cs="Arial"/>
                <w:sz w:val="22"/>
                <w:szCs w:val="22"/>
                <w:lang w:bidi="ar"/>
              </w:rPr>
              <w:t>Health integrated across various sectors</w:t>
            </w:r>
          </w:p>
        </w:tc>
        <w:tc>
          <w:tcPr>
            <w:tcW w:w="2131" w:type="dxa"/>
            <w:vAlign w:val="center"/>
          </w:tcPr>
          <w:p w14:paraId="01F1789B" w14:textId="77777777" w:rsidR="00834A71" w:rsidRDefault="00000000">
            <w:pPr>
              <w:widowControl/>
              <w:rPr>
                <w:rFonts w:ascii="Arial" w:hAnsi="Arial" w:cs="Arial"/>
                <w:sz w:val="22"/>
                <w:szCs w:val="22"/>
              </w:rPr>
            </w:pPr>
            <w:r>
              <w:rPr>
                <w:rFonts w:ascii="Arial" w:eastAsia="SimSun" w:hAnsi="Arial" w:cs="Arial"/>
                <w:sz w:val="22"/>
                <w:szCs w:val="22"/>
                <w:lang w:bidi="ar"/>
              </w:rPr>
              <w:t>Addresses social determinants; supports prevention (WHO, 2015)</w:t>
            </w:r>
          </w:p>
        </w:tc>
      </w:tr>
      <w:tr w:rsidR="00834A71" w14:paraId="1090A395" w14:textId="77777777">
        <w:trPr>
          <w:trHeight w:val="90"/>
        </w:trPr>
        <w:tc>
          <w:tcPr>
            <w:tcW w:w="588" w:type="dxa"/>
          </w:tcPr>
          <w:p w14:paraId="1E64BAEA" w14:textId="77777777" w:rsidR="00834A71" w:rsidRDefault="00000000">
            <w:pPr>
              <w:pStyle w:val="NormalWeb"/>
              <w:widowControl/>
              <w:jc w:val="both"/>
              <w:rPr>
                <w:rFonts w:ascii="Arial" w:hAnsi="Arial" w:cs="Arial"/>
                <w:sz w:val="22"/>
                <w:szCs w:val="22"/>
              </w:rPr>
            </w:pPr>
            <w:r>
              <w:rPr>
                <w:rFonts w:ascii="Arial" w:hAnsi="Arial" w:cs="Arial"/>
                <w:sz w:val="22"/>
                <w:szCs w:val="22"/>
              </w:rPr>
              <w:t>3</w:t>
            </w:r>
          </w:p>
        </w:tc>
        <w:tc>
          <w:tcPr>
            <w:tcW w:w="2771" w:type="dxa"/>
            <w:vAlign w:val="center"/>
          </w:tcPr>
          <w:p w14:paraId="19636B04" w14:textId="77777777" w:rsidR="00834A71" w:rsidRDefault="00000000">
            <w:pPr>
              <w:widowControl/>
              <w:rPr>
                <w:rFonts w:ascii="Arial" w:hAnsi="Arial" w:cs="Arial"/>
                <w:sz w:val="22"/>
                <w:szCs w:val="22"/>
              </w:rPr>
            </w:pPr>
            <w:r>
              <w:rPr>
                <w:rStyle w:val="Strong"/>
                <w:rFonts w:ascii="Arial" w:eastAsia="SimSun" w:hAnsi="Arial" w:cs="Arial"/>
                <w:b w:val="0"/>
                <w:bCs w:val="0"/>
                <w:sz w:val="22"/>
                <w:szCs w:val="22"/>
                <w:lang w:bidi="ar"/>
              </w:rPr>
              <w:t>Sustainable/Green Health Systems</w:t>
            </w:r>
          </w:p>
        </w:tc>
        <w:tc>
          <w:tcPr>
            <w:tcW w:w="3032" w:type="dxa"/>
            <w:vAlign w:val="center"/>
          </w:tcPr>
          <w:p w14:paraId="160D4149" w14:textId="77777777" w:rsidR="00834A71" w:rsidRDefault="00000000">
            <w:pPr>
              <w:widowControl/>
              <w:rPr>
                <w:rFonts w:ascii="Arial" w:hAnsi="Arial" w:cs="Arial"/>
                <w:sz w:val="22"/>
                <w:szCs w:val="22"/>
              </w:rPr>
            </w:pPr>
            <w:r>
              <w:rPr>
                <w:rFonts w:ascii="Arial" w:eastAsia="SimSun" w:hAnsi="Arial" w:cs="Arial"/>
                <w:sz w:val="22"/>
                <w:szCs w:val="22"/>
                <w:lang w:bidi="ar"/>
              </w:rPr>
              <w:t>Low-carbon, environmentally responsible healthcare infrastructure</w:t>
            </w:r>
          </w:p>
        </w:tc>
        <w:tc>
          <w:tcPr>
            <w:tcW w:w="2131" w:type="dxa"/>
            <w:vAlign w:val="center"/>
          </w:tcPr>
          <w:p w14:paraId="158E5647" w14:textId="77777777" w:rsidR="00834A71" w:rsidRDefault="00000000">
            <w:pPr>
              <w:widowControl/>
              <w:rPr>
                <w:rFonts w:ascii="Arial" w:hAnsi="Arial" w:cs="Arial"/>
                <w:sz w:val="22"/>
                <w:szCs w:val="22"/>
              </w:rPr>
            </w:pPr>
            <w:r>
              <w:rPr>
                <w:rFonts w:ascii="Arial" w:eastAsia="SimSun" w:hAnsi="Arial" w:cs="Arial"/>
                <w:sz w:val="22"/>
                <w:szCs w:val="22"/>
                <w:lang w:bidi="ar"/>
              </w:rPr>
              <w:t>Reduces emissions; supports resilience (ISSA, 2023)</w:t>
            </w:r>
          </w:p>
        </w:tc>
      </w:tr>
      <w:tr w:rsidR="00834A71" w14:paraId="5F06BD03" w14:textId="77777777">
        <w:tc>
          <w:tcPr>
            <w:tcW w:w="588" w:type="dxa"/>
          </w:tcPr>
          <w:p w14:paraId="17E0510A" w14:textId="77777777" w:rsidR="00834A71" w:rsidRDefault="00000000">
            <w:pPr>
              <w:pStyle w:val="NormalWeb"/>
              <w:widowControl/>
              <w:jc w:val="both"/>
              <w:rPr>
                <w:rFonts w:ascii="Arial" w:hAnsi="Arial" w:cs="Arial"/>
                <w:sz w:val="22"/>
                <w:szCs w:val="22"/>
              </w:rPr>
            </w:pPr>
            <w:r>
              <w:rPr>
                <w:rFonts w:ascii="Arial" w:hAnsi="Arial" w:cs="Arial"/>
                <w:sz w:val="22"/>
                <w:szCs w:val="22"/>
              </w:rPr>
              <w:t>4</w:t>
            </w:r>
          </w:p>
        </w:tc>
        <w:tc>
          <w:tcPr>
            <w:tcW w:w="2771" w:type="dxa"/>
            <w:vAlign w:val="center"/>
          </w:tcPr>
          <w:p w14:paraId="1391B22B" w14:textId="77777777" w:rsidR="00834A71" w:rsidRDefault="00000000">
            <w:pPr>
              <w:widowControl/>
              <w:rPr>
                <w:rFonts w:ascii="Arial" w:hAnsi="Arial" w:cs="Arial"/>
                <w:sz w:val="22"/>
                <w:szCs w:val="22"/>
              </w:rPr>
            </w:pPr>
            <w:r>
              <w:rPr>
                <w:rStyle w:val="Strong"/>
                <w:rFonts w:ascii="Arial" w:eastAsia="SimSun" w:hAnsi="Arial" w:cs="Arial"/>
                <w:b w:val="0"/>
                <w:bCs w:val="0"/>
                <w:sz w:val="22"/>
                <w:szCs w:val="22"/>
                <w:lang w:bidi="ar"/>
              </w:rPr>
              <w:t xml:space="preserve">Well-Being Policy </w:t>
            </w:r>
            <w:r>
              <w:rPr>
                <w:rStyle w:val="Strong"/>
                <w:rFonts w:ascii="Arial" w:eastAsia="SimSun" w:hAnsi="Arial" w:cs="Arial"/>
                <w:b w:val="0"/>
                <w:bCs w:val="0"/>
                <w:sz w:val="22"/>
                <w:szCs w:val="22"/>
                <w:lang w:bidi="ar"/>
              </w:rPr>
              <w:lastRenderedPageBreak/>
              <w:t>Frameworks</w:t>
            </w:r>
          </w:p>
        </w:tc>
        <w:tc>
          <w:tcPr>
            <w:tcW w:w="3032" w:type="dxa"/>
            <w:vAlign w:val="center"/>
          </w:tcPr>
          <w:p w14:paraId="576CE4AD" w14:textId="77777777" w:rsidR="00834A71" w:rsidRDefault="00000000">
            <w:pPr>
              <w:widowControl/>
              <w:rPr>
                <w:rFonts w:ascii="Arial" w:hAnsi="Arial" w:cs="Arial"/>
                <w:sz w:val="22"/>
                <w:szCs w:val="22"/>
              </w:rPr>
            </w:pPr>
            <w:r>
              <w:rPr>
                <w:rFonts w:ascii="Arial" w:eastAsia="SimSun" w:hAnsi="Arial" w:cs="Arial"/>
                <w:sz w:val="22"/>
                <w:szCs w:val="22"/>
                <w:lang w:bidi="ar"/>
              </w:rPr>
              <w:lastRenderedPageBreak/>
              <w:t xml:space="preserve">Social protection, reduced </w:t>
            </w:r>
            <w:r>
              <w:rPr>
                <w:rFonts w:ascii="Arial" w:eastAsia="SimSun" w:hAnsi="Arial" w:cs="Arial"/>
                <w:sz w:val="22"/>
                <w:szCs w:val="22"/>
                <w:lang w:bidi="ar"/>
              </w:rPr>
              <w:lastRenderedPageBreak/>
              <w:t>inequality, focus on life satisfaction</w:t>
            </w:r>
          </w:p>
        </w:tc>
        <w:tc>
          <w:tcPr>
            <w:tcW w:w="2131" w:type="dxa"/>
            <w:vAlign w:val="center"/>
          </w:tcPr>
          <w:p w14:paraId="078D9E83" w14:textId="77777777" w:rsidR="00834A71" w:rsidRDefault="00000000">
            <w:pPr>
              <w:widowControl/>
              <w:rPr>
                <w:rFonts w:ascii="Arial" w:hAnsi="Arial" w:cs="Arial"/>
                <w:sz w:val="22"/>
                <w:szCs w:val="22"/>
              </w:rPr>
            </w:pPr>
            <w:r>
              <w:rPr>
                <w:rFonts w:ascii="Arial" w:eastAsia="SimSun" w:hAnsi="Arial" w:cs="Arial"/>
                <w:sz w:val="22"/>
                <w:szCs w:val="22"/>
                <w:lang w:bidi="ar"/>
              </w:rPr>
              <w:lastRenderedPageBreak/>
              <w:t xml:space="preserve">Enhances mental, </w:t>
            </w:r>
            <w:r>
              <w:rPr>
                <w:rFonts w:ascii="Arial" w:eastAsia="SimSun" w:hAnsi="Arial" w:cs="Arial"/>
                <w:sz w:val="22"/>
                <w:szCs w:val="22"/>
                <w:lang w:bidi="ar"/>
              </w:rPr>
              <w:lastRenderedPageBreak/>
              <w:t>social and physical health (O’Donnell et al., 2021)</w:t>
            </w:r>
          </w:p>
        </w:tc>
      </w:tr>
      <w:tr w:rsidR="00834A71" w14:paraId="18E86B50" w14:textId="77777777">
        <w:tc>
          <w:tcPr>
            <w:tcW w:w="588" w:type="dxa"/>
          </w:tcPr>
          <w:p w14:paraId="208E097D" w14:textId="77777777" w:rsidR="00834A71" w:rsidRDefault="00000000">
            <w:pPr>
              <w:pStyle w:val="NormalWeb"/>
              <w:widowControl/>
              <w:jc w:val="both"/>
              <w:rPr>
                <w:rFonts w:ascii="Arial" w:hAnsi="Arial" w:cs="Arial"/>
                <w:sz w:val="22"/>
                <w:szCs w:val="22"/>
              </w:rPr>
            </w:pPr>
            <w:r>
              <w:rPr>
                <w:rFonts w:ascii="Arial" w:hAnsi="Arial" w:cs="Arial"/>
                <w:sz w:val="22"/>
                <w:szCs w:val="22"/>
              </w:rPr>
              <w:lastRenderedPageBreak/>
              <w:t>5</w:t>
            </w:r>
          </w:p>
        </w:tc>
        <w:tc>
          <w:tcPr>
            <w:tcW w:w="2771" w:type="dxa"/>
            <w:vAlign w:val="center"/>
          </w:tcPr>
          <w:p w14:paraId="040EBB62" w14:textId="77777777" w:rsidR="00834A71" w:rsidRDefault="00000000">
            <w:pPr>
              <w:widowControl/>
              <w:rPr>
                <w:rFonts w:ascii="Arial" w:hAnsi="Arial" w:cs="Arial"/>
                <w:sz w:val="22"/>
                <w:szCs w:val="22"/>
              </w:rPr>
            </w:pPr>
            <w:r>
              <w:rPr>
                <w:rStyle w:val="Strong"/>
                <w:rFonts w:ascii="Arial" w:eastAsia="SimSun" w:hAnsi="Arial" w:cs="Arial"/>
                <w:b w:val="0"/>
                <w:bCs w:val="0"/>
                <w:sz w:val="22"/>
                <w:szCs w:val="22"/>
                <w:lang w:bidi="ar"/>
              </w:rPr>
              <w:t>Environmental Health and Urban Sustainability</w:t>
            </w:r>
          </w:p>
        </w:tc>
        <w:tc>
          <w:tcPr>
            <w:tcW w:w="3032" w:type="dxa"/>
            <w:vAlign w:val="center"/>
          </w:tcPr>
          <w:p w14:paraId="44375034" w14:textId="77777777" w:rsidR="00834A71" w:rsidRDefault="00000000">
            <w:pPr>
              <w:widowControl/>
              <w:rPr>
                <w:rFonts w:ascii="Arial" w:hAnsi="Arial" w:cs="Arial"/>
                <w:sz w:val="22"/>
                <w:szCs w:val="22"/>
              </w:rPr>
            </w:pPr>
            <w:r>
              <w:rPr>
                <w:rFonts w:ascii="Arial" w:eastAsia="SimSun" w:hAnsi="Arial" w:cs="Arial"/>
                <w:sz w:val="22"/>
                <w:szCs w:val="22"/>
                <w:lang w:bidi="ar"/>
              </w:rPr>
              <w:t>Water, sanitation, clean air, safe transport, green spaces</w:t>
            </w:r>
          </w:p>
        </w:tc>
        <w:tc>
          <w:tcPr>
            <w:tcW w:w="2131" w:type="dxa"/>
            <w:vAlign w:val="center"/>
          </w:tcPr>
          <w:p w14:paraId="190CBE2C" w14:textId="77777777" w:rsidR="00834A71" w:rsidRDefault="00000000">
            <w:pPr>
              <w:widowControl/>
              <w:rPr>
                <w:rFonts w:ascii="Arial" w:hAnsi="Arial" w:cs="Arial"/>
                <w:sz w:val="22"/>
                <w:szCs w:val="22"/>
              </w:rPr>
            </w:pPr>
            <w:r>
              <w:rPr>
                <w:rFonts w:ascii="Arial" w:eastAsia="SimSun" w:hAnsi="Arial" w:cs="Arial"/>
                <w:sz w:val="22"/>
                <w:szCs w:val="22"/>
                <w:lang w:bidi="ar"/>
              </w:rPr>
              <w:t>Lower disease burden; healthier living environments (WHO, 2015)</w:t>
            </w:r>
          </w:p>
        </w:tc>
      </w:tr>
    </w:tbl>
    <w:p w14:paraId="2769A0EC"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4.2 The UK Clean Air Strategy (2019)</w:t>
      </w:r>
    </w:p>
    <w:p w14:paraId="1A4F54CE"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Air quality is a major determinant of national health outcomes. The Clean Air Strategy aims to reduce emissions, improve monitoring and support local authorities to implement pollution-reduction measures.</w:t>
      </w:r>
    </w:p>
    <w:p w14:paraId="707518DB" w14:textId="77777777" w:rsidR="00834A71" w:rsidRDefault="00000000">
      <w:pPr>
        <w:pStyle w:val="NormalWeb"/>
        <w:spacing w:line="360" w:lineRule="auto"/>
        <w:jc w:val="both"/>
        <w:rPr>
          <w:rFonts w:ascii="Arial" w:hAnsi="Arial" w:cs="Arial"/>
          <w:sz w:val="22"/>
          <w:szCs w:val="22"/>
        </w:rPr>
      </w:pPr>
      <w:r>
        <w:rPr>
          <w:rStyle w:val="Strong"/>
          <w:rFonts w:ascii="Arial" w:hAnsi="Arial" w:cs="Arial"/>
          <w:sz w:val="22"/>
          <w:szCs w:val="22"/>
        </w:rPr>
        <w:t>Positive impacts</w:t>
      </w:r>
    </w:p>
    <w:p w14:paraId="57478856"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Improved air quality reduces respiratory and cardiovascular diseases</w:t>
      </w:r>
    </w:p>
    <w:p w14:paraId="6E4631F7"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National targets demonstrate alignment with SDG 13</w:t>
      </w:r>
    </w:p>
    <w:p w14:paraId="15F7D20F" w14:textId="77777777" w:rsidR="00834A71" w:rsidRDefault="00000000">
      <w:pPr>
        <w:pStyle w:val="NormalWeb"/>
        <w:spacing w:line="360" w:lineRule="auto"/>
        <w:jc w:val="both"/>
        <w:rPr>
          <w:rFonts w:ascii="Arial" w:hAnsi="Arial" w:cs="Arial"/>
          <w:sz w:val="22"/>
          <w:szCs w:val="22"/>
        </w:rPr>
      </w:pPr>
      <w:r>
        <w:rPr>
          <w:rStyle w:val="Strong"/>
          <w:rFonts w:ascii="Arial" w:hAnsi="Arial" w:cs="Arial"/>
          <w:sz w:val="22"/>
          <w:szCs w:val="22"/>
        </w:rPr>
        <w:t>Challenges</w:t>
      </w:r>
    </w:p>
    <w:p w14:paraId="5F4250B4"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Slow implementation</w:t>
      </w:r>
    </w:p>
    <w:p w14:paraId="0E1EFFA1"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Reliance on local authorities without sufficient funding</w:t>
      </w:r>
    </w:p>
    <w:p w14:paraId="56418F17"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Continued breaches of air-quality limits in major cities (ClientEarth, 2021)</w:t>
      </w:r>
    </w:p>
    <w:p w14:paraId="2C1B49C3"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The strategy is progressive but requires stronger enforcement.</w:t>
      </w:r>
    </w:p>
    <w:p w14:paraId="2DE9809A"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4.3 Health Inequalities Policy: The Marmot Review (2010; 2020)</w:t>
      </w:r>
    </w:p>
    <w:p w14:paraId="71F767B6"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The Marmot Review highlights persistent health inequalities in the UK driven by socio-economic deprivation. Its 2020 update shows that inequalities have widened, with life expectancy stalling for the first time in a century (Marmot et al., 2020).</w:t>
      </w:r>
    </w:p>
    <w:p w14:paraId="3B52B42B" w14:textId="77777777" w:rsidR="00834A71" w:rsidRDefault="00000000">
      <w:pPr>
        <w:pStyle w:val="NormalWeb"/>
        <w:spacing w:line="360" w:lineRule="auto"/>
        <w:jc w:val="both"/>
        <w:rPr>
          <w:rFonts w:ascii="Arial" w:hAnsi="Arial" w:cs="Arial"/>
          <w:sz w:val="22"/>
          <w:szCs w:val="22"/>
        </w:rPr>
      </w:pPr>
      <w:r>
        <w:rPr>
          <w:rStyle w:val="Strong"/>
          <w:rFonts w:ascii="Arial" w:hAnsi="Arial" w:cs="Arial"/>
          <w:sz w:val="22"/>
          <w:szCs w:val="22"/>
        </w:rPr>
        <w:t>Key findings</w:t>
      </w:r>
    </w:p>
    <w:p w14:paraId="6ED6A39E"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Local authority funding cuts disproportionally harm deprived communities</w:t>
      </w:r>
    </w:p>
    <w:p w14:paraId="3B4FE7F9"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Social determinants (education, employment, housing) remain inadequately addressed</w:t>
      </w:r>
    </w:p>
    <w:p w14:paraId="038313CD"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lastRenderedPageBreak/>
        <w:t>This demonstrates gaps between national ambition and practical outcomes.</w:t>
      </w:r>
    </w:p>
    <w:p w14:paraId="569B58DE" w14:textId="77777777" w:rsidR="00834A71" w:rsidRDefault="00000000">
      <w:pPr>
        <w:pStyle w:val="Heading2"/>
        <w:spacing w:line="360" w:lineRule="auto"/>
        <w:jc w:val="both"/>
        <w:rPr>
          <w:rFonts w:ascii="Arial" w:hAnsi="Arial" w:cs="Arial" w:hint="default"/>
          <w:sz w:val="22"/>
          <w:szCs w:val="22"/>
        </w:rPr>
      </w:pPr>
      <w:r>
        <w:rPr>
          <w:rStyle w:val="Strong"/>
          <w:rFonts w:ascii="Arial" w:hAnsi="Arial" w:cs="Arial" w:hint="default"/>
          <w:b/>
          <w:bCs/>
          <w:sz w:val="22"/>
          <w:szCs w:val="22"/>
        </w:rPr>
        <w:t>5. Local Wellbeing Initiatives (Example: Wales and London)</w:t>
      </w:r>
    </w:p>
    <w:p w14:paraId="20AD1BBC"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5.1. The Well-being of Future Generations (Wales) Act 2015</w:t>
      </w:r>
    </w:p>
    <w:p w14:paraId="2C0DC208" w14:textId="77777777" w:rsidR="00834A71" w:rsidRDefault="00000000">
      <w:pPr>
        <w:pStyle w:val="Heading2"/>
        <w:spacing w:line="360" w:lineRule="auto"/>
        <w:jc w:val="both"/>
        <w:rPr>
          <w:rFonts w:ascii="Arial" w:hAnsi="Arial" w:cs="Arial" w:hint="default"/>
          <w:b w:val="0"/>
          <w:bCs w:val="0"/>
          <w:sz w:val="22"/>
          <w:szCs w:val="22"/>
        </w:rPr>
      </w:pPr>
      <w:proofErr w:type="spellStart"/>
      <w:r>
        <w:rPr>
          <w:rFonts w:ascii="Arial" w:hAnsi="Arial" w:cs="Arial" w:hint="default"/>
          <w:b w:val="0"/>
          <w:bCs w:val="0"/>
          <w:sz w:val="22"/>
          <w:szCs w:val="22"/>
        </w:rPr>
        <w:t>Wales’</w:t>
      </w:r>
      <w:proofErr w:type="spellEnd"/>
      <w:r>
        <w:rPr>
          <w:rFonts w:ascii="Arial" w:hAnsi="Arial" w:cs="Arial" w:hint="default"/>
          <w:b w:val="0"/>
          <w:bCs w:val="0"/>
          <w:sz w:val="22"/>
          <w:szCs w:val="22"/>
        </w:rPr>
        <w:t xml:space="preserve"> Well-being of Future Generations Act 2015 provides a globally </w:t>
      </w:r>
      <w:proofErr w:type="spellStart"/>
      <w:r>
        <w:rPr>
          <w:rFonts w:ascii="Arial" w:hAnsi="Arial" w:cs="Arial" w:hint="default"/>
          <w:b w:val="0"/>
          <w:bCs w:val="0"/>
          <w:sz w:val="22"/>
          <w:szCs w:val="22"/>
        </w:rPr>
        <w:t>recognised</w:t>
      </w:r>
      <w:proofErr w:type="spellEnd"/>
      <w:r>
        <w:rPr>
          <w:rFonts w:ascii="Arial" w:hAnsi="Arial" w:cs="Arial" w:hint="default"/>
          <w:b w:val="0"/>
          <w:bCs w:val="0"/>
          <w:sz w:val="22"/>
          <w:szCs w:val="22"/>
        </w:rPr>
        <w:t xml:space="preserve"> framework for long-term sustainable development, integrating environmental, social, and health goals and aligning with SDGs 3 and 13, while promoting collaborative public-service planning (Audit Wales, 2020). Complementary initiatives, including the Healthy and Active Wales </w:t>
      </w:r>
      <w:proofErr w:type="spellStart"/>
      <w:r>
        <w:rPr>
          <w:rFonts w:ascii="Arial" w:hAnsi="Arial" w:cs="Arial" w:hint="default"/>
          <w:b w:val="0"/>
          <w:bCs w:val="0"/>
          <w:sz w:val="22"/>
          <w:szCs w:val="22"/>
        </w:rPr>
        <w:t>Programme</w:t>
      </w:r>
      <w:proofErr w:type="spellEnd"/>
      <w:r>
        <w:rPr>
          <w:rFonts w:ascii="Arial" w:hAnsi="Arial" w:cs="Arial" w:hint="default"/>
          <w:b w:val="0"/>
          <w:bCs w:val="0"/>
          <w:sz w:val="22"/>
          <w:szCs w:val="22"/>
        </w:rPr>
        <w:t xml:space="preserve">, enhance physical activity, nutrition, and active-travel infrastructure, though rural accessibility and sustained </w:t>
      </w:r>
      <w:proofErr w:type="spellStart"/>
      <w:r>
        <w:rPr>
          <w:rFonts w:ascii="Arial" w:hAnsi="Arial" w:cs="Arial" w:hint="default"/>
          <w:b w:val="0"/>
          <w:bCs w:val="0"/>
          <w:sz w:val="22"/>
          <w:szCs w:val="22"/>
        </w:rPr>
        <w:t>behavioural</w:t>
      </w:r>
      <w:proofErr w:type="spellEnd"/>
      <w:r>
        <w:rPr>
          <w:rFonts w:ascii="Arial" w:hAnsi="Arial" w:cs="Arial" w:hint="default"/>
          <w:b w:val="0"/>
          <w:bCs w:val="0"/>
          <w:sz w:val="22"/>
          <w:szCs w:val="22"/>
        </w:rPr>
        <w:t xml:space="preserve"> change remain challenges. Local public health </w:t>
      </w:r>
      <w:proofErr w:type="spellStart"/>
      <w:r>
        <w:rPr>
          <w:rFonts w:ascii="Arial" w:hAnsi="Arial" w:cs="Arial" w:hint="default"/>
          <w:b w:val="0"/>
          <w:bCs w:val="0"/>
          <w:sz w:val="22"/>
          <w:szCs w:val="22"/>
        </w:rPr>
        <w:t>programmes</w:t>
      </w:r>
      <w:proofErr w:type="spellEnd"/>
      <w:r>
        <w:rPr>
          <w:rFonts w:ascii="Arial" w:hAnsi="Arial" w:cs="Arial" w:hint="default"/>
          <w:b w:val="0"/>
          <w:bCs w:val="0"/>
          <w:sz w:val="22"/>
          <w:szCs w:val="22"/>
        </w:rPr>
        <w:t>, such as mental-health hubs, social prescribing, and smoking-cessation schemes, demonstrate alignment with SDG 3 but often depend on short-term funding, limiting long-term sustainability and consistent impact across regions (</w:t>
      </w:r>
      <w:r>
        <w:rPr>
          <w:rFonts w:ascii="Arial" w:hAnsi="Arial" w:cs="Arial" w:hint="default"/>
          <w:b w:val="0"/>
          <w:bCs w:val="0"/>
          <w:sz w:val="22"/>
          <w:szCs w:val="22"/>
          <w:lang w:bidi="ar"/>
        </w:rPr>
        <w:t>Faizan et al., 2025)</w:t>
      </w:r>
      <w:r>
        <w:rPr>
          <w:rFonts w:ascii="Arial" w:hAnsi="Arial" w:cs="Arial" w:hint="default"/>
          <w:b w:val="0"/>
          <w:bCs w:val="0"/>
          <w:sz w:val="22"/>
          <w:szCs w:val="22"/>
        </w:rPr>
        <w:t>.</w:t>
      </w:r>
    </w:p>
    <w:p w14:paraId="26D9725E" w14:textId="77777777" w:rsidR="00834A71" w:rsidRDefault="00000000">
      <w:pPr>
        <w:pStyle w:val="Heading2"/>
        <w:spacing w:line="360" w:lineRule="auto"/>
        <w:jc w:val="both"/>
        <w:rPr>
          <w:rStyle w:val="Strong"/>
          <w:rFonts w:ascii="Arial" w:hAnsi="Arial" w:cs="Arial" w:hint="default"/>
          <w:sz w:val="22"/>
          <w:szCs w:val="22"/>
        </w:rPr>
      </w:pPr>
      <w:r>
        <w:rPr>
          <w:rStyle w:val="Strong"/>
          <w:rFonts w:ascii="Arial" w:hAnsi="Arial" w:cs="Arial" w:hint="default"/>
          <w:sz w:val="22"/>
          <w:szCs w:val="22"/>
        </w:rPr>
        <w:t>Carter and MacKillop (2023) opinion that the Wales Act 2015 legally mandates public bodies to pursue seven wellbeing goals, integrating health, environmental, and social objectives in line with SDGs 3 and 13. It fosters strategic collaboration and long-term planning, yet inconsistent regional implementation, limited enforcement, and challenges in measuring progress constrain its effectiveness.</w:t>
      </w:r>
    </w:p>
    <w:p w14:paraId="7F05423B" w14:textId="77777777" w:rsidR="00834A71" w:rsidRDefault="00000000">
      <w:pPr>
        <w:pStyle w:val="Heading2"/>
        <w:spacing w:line="360" w:lineRule="auto"/>
        <w:jc w:val="both"/>
        <w:rPr>
          <w:rFonts w:ascii="Arial" w:hAnsi="Arial" w:cs="Arial" w:hint="default"/>
          <w:sz w:val="22"/>
          <w:szCs w:val="22"/>
        </w:rPr>
      </w:pPr>
      <w:r>
        <w:rPr>
          <w:rStyle w:val="Strong"/>
          <w:rFonts w:ascii="Arial" w:hAnsi="Arial" w:cs="Arial" w:hint="default"/>
          <w:b/>
          <w:bCs/>
          <w:sz w:val="22"/>
          <w:szCs w:val="22"/>
        </w:rPr>
        <w:t>5.2. Local-Level Policy in London</w:t>
      </w:r>
    </w:p>
    <w:p w14:paraId="07CAD995"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As one of the world’s largest metropolitan areas, London faces significant public-health challenges air pollution, health inequalities, urban heat, and access to green space (</w:t>
      </w:r>
      <w:r>
        <w:rPr>
          <w:rFonts w:ascii="Arial" w:hAnsi="Arial" w:cs="Arial"/>
          <w:sz w:val="22"/>
          <w:szCs w:val="22"/>
          <w:lang w:bidi="ar"/>
        </w:rPr>
        <w:t>Krenz and Amann, 2025)</w:t>
      </w:r>
      <w:r>
        <w:rPr>
          <w:rFonts w:ascii="Arial" w:hAnsi="Arial" w:cs="Arial"/>
          <w:sz w:val="22"/>
          <w:szCs w:val="22"/>
        </w:rPr>
        <w:t>. Several London-wide policies directly address SDG 3 (Good Health and Wellbeing) and SDG 13 (Climate Action), making London a relevant case study for local-level analysis.</w:t>
      </w:r>
    </w:p>
    <w:p w14:paraId="0C09DE42"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5.2.1 The Mayor of London’s Health Inequalities Strategy (2018)</w:t>
      </w:r>
    </w:p>
    <w:p w14:paraId="71A03522"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This strategy outlines five key aims: healthy children, healthy minds, healthy places, healthy communities, and healthy habits. It explicitly </w:t>
      </w:r>
      <w:proofErr w:type="spellStart"/>
      <w:r>
        <w:rPr>
          <w:rFonts w:ascii="Arial" w:hAnsi="Arial" w:cs="Arial"/>
          <w:sz w:val="22"/>
          <w:szCs w:val="22"/>
        </w:rPr>
        <w:t>recognises</w:t>
      </w:r>
      <w:proofErr w:type="spellEnd"/>
      <w:r>
        <w:rPr>
          <w:rFonts w:ascii="Arial" w:hAnsi="Arial" w:cs="Arial"/>
          <w:sz w:val="22"/>
          <w:szCs w:val="22"/>
        </w:rPr>
        <w:t xml:space="preserve"> that structural inequalities poor housing, low income, and limited access to services drive poor health outcomes in London (Greater London Authority,2018). Strong focus on social determinants of health, practical priorities such as mental-health support, healthy food access, and active travel including collaboration with borough councils and </w:t>
      </w:r>
      <w:r>
        <w:rPr>
          <w:rFonts w:ascii="Arial" w:hAnsi="Arial" w:cs="Arial"/>
          <w:sz w:val="22"/>
          <w:szCs w:val="22"/>
        </w:rPr>
        <w:lastRenderedPageBreak/>
        <w:t>community groups are huge benefits (</w:t>
      </w:r>
      <w:r>
        <w:rPr>
          <w:rFonts w:ascii="Arial" w:hAnsi="Arial" w:cs="Arial"/>
          <w:sz w:val="22"/>
          <w:szCs w:val="22"/>
          <w:lang w:bidi="ar"/>
        </w:rPr>
        <w:t>Whitman et al., 2022)</w:t>
      </w:r>
      <w:r>
        <w:rPr>
          <w:rFonts w:ascii="Arial" w:hAnsi="Arial" w:cs="Arial"/>
          <w:sz w:val="22"/>
          <w:szCs w:val="22"/>
        </w:rPr>
        <w:t>. However, funding constraints, over-reliance on voluntary measures and inequalities across London boroughs remain some of the widest in the UK.</w:t>
      </w:r>
    </w:p>
    <w:p w14:paraId="2A234B2B" w14:textId="77777777" w:rsidR="00834A71" w:rsidRDefault="00000000">
      <w:pPr>
        <w:pStyle w:val="NormalWeb"/>
        <w:spacing w:line="360" w:lineRule="auto"/>
        <w:jc w:val="both"/>
        <w:rPr>
          <w:rFonts w:ascii="Arial" w:hAnsi="Arial" w:cs="Arial"/>
          <w:b/>
          <w:bCs/>
          <w:sz w:val="22"/>
          <w:szCs w:val="22"/>
        </w:rPr>
      </w:pPr>
      <w:r>
        <w:rPr>
          <w:rFonts w:ascii="Arial" w:hAnsi="Arial" w:cs="Arial"/>
          <w:b/>
          <w:bCs/>
          <w:sz w:val="22"/>
          <w:szCs w:val="22"/>
        </w:rPr>
        <w:t>Social Determinants of Health</w:t>
      </w:r>
    </w:p>
    <w:p w14:paraId="2707872A"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Social determinants of health refer to the non-medical factors that shape health outcomes, including socioeconomic status, education, housing, employment, and access to resources. These structural conditions influence exposure to risks, opportunities for healthy living, and the distribution of illness across populations. Evidence shows that inequalities in income, </w:t>
      </w:r>
      <w:proofErr w:type="spellStart"/>
      <w:r>
        <w:rPr>
          <w:rFonts w:ascii="Arial" w:hAnsi="Arial" w:cs="Arial"/>
          <w:sz w:val="22"/>
          <w:szCs w:val="22"/>
        </w:rPr>
        <w:t>neighbourhood</w:t>
      </w:r>
      <w:proofErr w:type="spellEnd"/>
      <w:r>
        <w:rPr>
          <w:rFonts w:ascii="Arial" w:hAnsi="Arial" w:cs="Arial"/>
          <w:sz w:val="22"/>
          <w:szCs w:val="22"/>
        </w:rPr>
        <w:t xml:space="preserve"> environments, and social support strongly predict disparities in morbidity and mortality. Addressing social determinants requires multisectoral action that tackles the root causes of disadvantage, promotes equitable access to services, and enhances community resilience. Such approaches are essential for reducing preventable health inequalities and improving population wellbeing.</w:t>
      </w:r>
    </w:p>
    <w:p w14:paraId="66D9283A"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5.2.2 Ultra Low Emission Zone (ULEZ)</w:t>
      </w:r>
    </w:p>
    <w:p w14:paraId="33E92E56"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The Ultra Low Emission Zone (ULEZ) is one of London’s most significant climate and health interventions reduces nitrogen dioxide (NO₂) emissions by restricting high-polluting vehicles, improving respiratory health and lowering asthma rates, particularly in children (</w:t>
      </w:r>
      <w:proofErr w:type="spellStart"/>
      <w:r>
        <w:rPr>
          <w:rFonts w:ascii="Arial" w:hAnsi="Arial" w:cs="Arial"/>
          <w:sz w:val="22"/>
          <w:szCs w:val="22"/>
          <w:lang w:bidi="ar"/>
        </w:rPr>
        <w:t>Tsocheva</w:t>
      </w:r>
      <w:proofErr w:type="spellEnd"/>
      <w:r>
        <w:rPr>
          <w:rFonts w:ascii="Arial" w:hAnsi="Arial" w:cs="Arial"/>
          <w:sz w:val="22"/>
          <w:szCs w:val="22"/>
          <w:lang w:bidi="ar"/>
        </w:rPr>
        <w:t xml:space="preserve"> et al., 2023)</w:t>
      </w:r>
      <w:r>
        <w:rPr>
          <w:rFonts w:ascii="Arial" w:hAnsi="Arial" w:cs="Arial"/>
          <w:sz w:val="22"/>
          <w:szCs w:val="22"/>
        </w:rPr>
        <w:t xml:space="preserve">. Air pollution contributes to an estimated 4,000 premature deaths annually in London. According to </w:t>
      </w:r>
      <w:r>
        <w:rPr>
          <w:rFonts w:ascii="Arial" w:hAnsi="Arial" w:cs="Arial"/>
          <w:sz w:val="22"/>
          <w:szCs w:val="22"/>
          <w:lang w:bidi="ar"/>
        </w:rPr>
        <w:t>Rodrigues (2025) a</w:t>
      </w:r>
      <w:r>
        <w:rPr>
          <w:rFonts w:ascii="Arial" w:hAnsi="Arial" w:cs="Arial"/>
          <w:sz w:val="22"/>
          <w:szCs w:val="22"/>
        </w:rPr>
        <w:t>ligning with SDG 13 (reducing emissions) and SDG 3 (reducing pollution-related disease), ULEZ demonstrates measurable air-quality benefits. Limitations include financial burdens on low-income drivers and the need for wider regional action to sustain long-term air-quality improvements.</w:t>
      </w:r>
    </w:p>
    <w:p w14:paraId="13A356FC"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t>5.2.3 London Environment Strategy (2018)</w:t>
      </w:r>
    </w:p>
    <w:p w14:paraId="7C4CCECB" w14:textId="77777777" w:rsidR="00834A71" w:rsidRDefault="00000000">
      <w:pPr>
        <w:pStyle w:val="Heading3"/>
        <w:spacing w:line="360" w:lineRule="auto"/>
        <w:jc w:val="both"/>
        <w:rPr>
          <w:rFonts w:ascii="Arial" w:hAnsi="Arial" w:cs="Arial" w:hint="default"/>
          <w:b w:val="0"/>
          <w:bCs w:val="0"/>
          <w:sz w:val="22"/>
          <w:szCs w:val="22"/>
        </w:rPr>
      </w:pPr>
      <w:r>
        <w:rPr>
          <w:rFonts w:ascii="Arial" w:hAnsi="Arial" w:cs="Arial" w:hint="default"/>
          <w:b w:val="0"/>
          <w:bCs w:val="0"/>
          <w:sz w:val="22"/>
          <w:szCs w:val="22"/>
        </w:rPr>
        <w:t>The London Environment Strategy unifies climate mitigation, green infrastructure, waste, and air-quality policies, promoting health through heat-risk management, flood protection, biodiversity, and green spaces (</w:t>
      </w:r>
      <w:r>
        <w:rPr>
          <w:rFonts w:ascii="Arial" w:hAnsi="Arial" w:cs="Arial" w:hint="default"/>
          <w:b w:val="0"/>
          <w:bCs w:val="0"/>
          <w:sz w:val="22"/>
          <w:szCs w:val="22"/>
          <w:lang w:bidi="ar"/>
        </w:rPr>
        <w:t>Chauhan et al., 2025)</w:t>
      </w:r>
      <w:r>
        <w:rPr>
          <w:rFonts w:ascii="Arial" w:hAnsi="Arial" w:cs="Arial" w:hint="default"/>
          <w:b w:val="0"/>
          <w:bCs w:val="0"/>
          <w:sz w:val="22"/>
          <w:szCs w:val="22"/>
        </w:rPr>
        <w:t>. Its effectiveness is constrained by borough cooperation, uneven implementation, and reliance on sustained long-term investment.</w:t>
      </w:r>
    </w:p>
    <w:p w14:paraId="29A64C5D" w14:textId="77777777" w:rsidR="00834A71" w:rsidRDefault="00834A71"/>
    <w:p w14:paraId="6BCC671F" w14:textId="77777777" w:rsidR="00834A71" w:rsidRDefault="00000000">
      <w:pPr>
        <w:pStyle w:val="Heading3"/>
        <w:spacing w:line="360" w:lineRule="auto"/>
        <w:jc w:val="both"/>
        <w:rPr>
          <w:rFonts w:ascii="Arial" w:hAnsi="Arial" w:cs="Arial" w:hint="default"/>
          <w:sz w:val="22"/>
          <w:szCs w:val="22"/>
        </w:rPr>
      </w:pPr>
      <w:r>
        <w:rPr>
          <w:rStyle w:val="Strong"/>
          <w:rFonts w:ascii="Arial" w:hAnsi="Arial" w:cs="Arial" w:hint="default"/>
          <w:b/>
          <w:bCs/>
          <w:sz w:val="22"/>
          <w:szCs w:val="22"/>
        </w:rPr>
        <w:lastRenderedPageBreak/>
        <w:t>5.2.4 Healthy Streets Approach</w:t>
      </w:r>
    </w:p>
    <w:p w14:paraId="1B9CFA36" w14:textId="77777777" w:rsidR="00834A71" w:rsidRDefault="00000000">
      <w:pPr>
        <w:pStyle w:val="Heading2"/>
        <w:spacing w:line="360" w:lineRule="auto"/>
        <w:jc w:val="both"/>
        <w:rPr>
          <w:rFonts w:ascii="Arial" w:hAnsi="Arial" w:cs="Arial" w:hint="default"/>
          <w:b w:val="0"/>
          <w:bCs w:val="0"/>
          <w:sz w:val="22"/>
          <w:szCs w:val="22"/>
        </w:rPr>
      </w:pPr>
      <w:r>
        <w:rPr>
          <w:rFonts w:ascii="Arial" w:hAnsi="Arial" w:cs="Arial" w:hint="default"/>
          <w:b w:val="0"/>
          <w:bCs w:val="0"/>
          <w:sz w:val="22"/>
          <w:szCs w:val="22"/>
        </w:rPr>
        <w:t>The Healthy Streets Approach promotes active travel and improved public spaces, enhancing physical activity, mental well-being, and community cohesion while reducing noise pollution (</w:t>
      </w:r>
      <w:r>
        <w:rPr>
          <w:rFonts w:ascii="Arial" w:hAnsi="Arial" w:cs="Arial" w:hint="default"/>
          <w:b w:val="0"/>
          <w:bCs w:val="0"/>
          <w:sz w:val="22"/>
          <w:szCs w:val="22"/>
          <w:lang w:bidi="ar"/>
        </w:rPr>
        <w:t>Taccone and Sinicropi, 2025)</w:t>
      </w:r>
      <w:r>
        <w:rPr>
          <w:rFonts w:ascii="Arial" w:hAnsi="Arial" w:cs="Arial" w:hint="default"/>
          <w:b w:val="0"/>
          <w:bCs w:val="0"/>
          <w:sz w:val="22"/>
          <w:szCs w:val="22"/>
        </w:rPr>
        <w:t>. However, traffic-related resistance and persistent social inequalities in access to quality public spaces limit its effectiveness.</w:t>
      </w:r>
    </w:p>
    <w:p w14:paraId="7037BD76" w14:textId="77777777" w:rsidR="00834A71" w:rsidRDefault="00000000">
      <w:pPr>
        <w:pStyle w:val="Heading2"/>
        <w:spacing w:line="360" w:lineRule="auto"/>
        <w:jc w:val="both"/>
        <w:rPr>
          <w:rStyle w:val="Strong"/>
          <w:rFonts w:ascii="Arial" w:hAnsi="Arial" w:cs="Arial" w:hint="default"/>
          <w:b/>
          <w:bCs/>
          <w:sz w:val="22"/>
          <w:szCs w:val="22"/>
        </w:rPr>
      </w:pPr>
      <w:r>
        <w:rPr>
          <w:rStyle w:val="Strong"/>
          <w:rFonts w:ascii="Arial" w:hAnsi="Arial" w:cs="Arial" w:hint="default"/>
          <w:b/>
          <w:bCs/>
          <w:sz w:val="22"/>
          <w:szCs w:val="22"/>
        </w:rPr>
        <w:t>6. Evaluation of the Effectiveness of Policy Initiatives</w:t>
      </w:r>
    </w:p>
    <w:p w14:paraId="256C3B86" w14:textId="77777777" w:rsidR="00834A71" w:rsidRDefault="00000000">
      <w:pPr>
        <w:pStyle w:val="Heading2"/>
        <w:spacing w:line="360" w:lineRule="auto"/>
        <w:jc w:val="both"/>
        <w:rPr>
          <w:rStyle w:val="Strong"/>
          <w:rFonts w:ascii="Arial" w:hAnsi="Arial" w:cs="Arial" w:hint="default"/>
          <w:sz w:val="22"/>
          <w:szCs w:val="22"/>
        </w:rPr>
      </w:pPr>
      <w:r>
        <w:rPr>
          <w:rStyle w:val="Strong"/>
          <w:rFonts w:ascii="Arial" w:hAnsi="Arial" w:cs="Arial" w:hint="default"/>
          <w:sz w:val="22"/>
          <w:szCs w:val="22"/>
        </w:rPr>
        <w:t xml:space="preserve">Current health and sustainability policies benefit from strong global frameworks, national strategies like the NHS Long Term Plan and Clean Air Strategy, and innovative local initiatives such as those in Wales, increasingly </w:t>
      </w:r>
      <w:proofErr w:type="spellStart"/>
      <w:r>
        <w:rPr>
          <w:rStyle w:val="Strong"/>
          <w:rFonts w:ascii="Arial" w:hAnsi="Arial" w:cs="Arial" w:hint="default"/>
          <w:sz w:val="22"/>
          <w:szCs w:val="22"/>
        </w:rPr>
        <w:t>recognising</w:t>
      </w:r>
      <w:proofErr w:type="spellEnd"/>
      <w:r>
        <w:rPr>
          <w:rStyle w:val="Strong"/>
          <w:rFonts w:ascii="Arial" w:hAnsi="Arial" w:cs="Arial" w:hint="default"/>
          <w:sz w:val="22"/>
          <w:szCs w:val="22"/>
        </w:rPr>
        <w:t xml:space="preserve"> climate–health linkages (WHO, 2025). However, underfunding, workforce constraints, and socio-economic inequalities limit effectiveness. Integration between health and environmental policies is often weak, evaluation metrics are unclear, and climate-resilient infrastructure remains underdeveloped (</w:t>
      </w:r>
      <w:r>
        <w:rPr>
          <w:rFonts w:ascii="Arial" w:hAnsi="Arial" w:cs="Arial" w:hint="default"/>
          <w:b w:val="0"/>
          <w:bCs w:val="0"/>
          <w:sz w:val="22"/>
          <w:szCs w:val="22"/>
          <w:lang w:bidi="ar"/>
        </w:rPr>
        <w:t>Sparkes and Werners, 2023)</w:t>
      </w:r>
      <w:r>
        <w:rPr>
          <w:rStyle w:val="Strong"/>
          <w:rFonts w:ascii="Arial" w:hAnsi="Arial" w:cs="Arial" w:hint="default"/>
          <w:sz w:val="22"/>
          <w:szCs w:val="22"/>
        </w:rPr>
        <w:t>. Community engagement is inconsistent, leaving structural health determinants insufficiently addressed. Overall, policies are robust conceptually but unevenly implemented in practice.</w:t>
      </w:r>
    </w:p>
    <w:p w14:paraId="44344DA2" w14:textId="77777777" w:rsidR="00834A71" w:rsidRDefault="00000000">
      <w:pPr>
        <w:pStyle w:val="Heading2"/>
        <w:spacing w:line="360" w:lineRule="auto"/>
        <w:jc w:val="both"/>
        <w:rPr>
          <w:rFonts w:ascii="Arial" w:hAnsi="Arial" w:cs="Arial" w:hint="default"/>
          <w:sz w:val="22"/>
          <w:szCs w:val="22"/>
        </w:rPr>
      </w:pPr>
      <w:r>
        <w:rPr>
          <w:rStyle w:val="Strong"/>
          <w:rFonts w:ascii="Arial" w:hAnsi="Arial" w:cs="Arial" w:hint="default"/>
          <w:b/>
          <w:bCs/>
          <w:sz w:val="22"/>
          <w:szCs w:val="22"/>
        </w:rPr>
        <w:t>7. Recommendations for Improvement</w:t>
      </w:r>
    </w:p>
    <w:p w14:paraId="25932468" w14:textId="77777777" w:rsidR="00834A71" w:rsidRDefault="00000000">
      <w:pPr>
        <w:pStyle w:val="Heading2"/>
        <w:spacing w:line="360" w:lineRule="auto"/>
        <w:jc w:val="both"/>
        <w:rPr>
          <w:rStyle w:val="Strong"/>
          <w:rFonts w:ascii="Arial" w:hAnsi="Arial" w:cs="Arial" w:hint="default"/>
          <w:sz w:val="22"/>
          <w:szCs w:val="22"/>
        </w:rPr>
      </w:pPr>
      <w:r>
        <w:rPr>
          <w:rStyle w:val="Strong"/>
          <w:rFonts w:ascii="Arial" w:hAnsi="Arial" w:cs="Arial" w:hint="default"/>
          <w:sz w:val="22"/>
          <w:szCs w:val="22"/>
        </w:rPr>
        <w:t>Emerging economies increasingly employ integrated approaches that link health-insurance expansion with sustainable urban development and environmental health initiatives, as demonstrated in China, India, and Indonesia. Investments in clean energy, green infrastructure, and digital health yield notable health co-benefits, though persistent structural inequalities and rising chronic disease burdens continue to strain health systems (Nambiar et al., 2021). Strengthening climate–health integration, scaling preventive public health measures, and targeting support to disadvantaged groups are essential to reducing inequities. Ensuring stable local funding, improving monitoring systems, and fostering community participation are further required to advance effective, equitable, and sustainable progress toward SDG-aligned health outcomes (WHO, 2020).</w:t>
      </w:r>
    </w:p>
    <w:p w14:paraId="18E87A7B" w14:textId="77777777" w:rsidR="00834A71" w:rsidRDefault="00834A71">
      <w:pPr>
        <w:rPr>
          <w:rStyle w:val="Strong"/>
          <w:rFonts w:ascii="Arial" w:hAnsi="Arial" w:cs="Arial"/>
          <w:b w:val="0"/>
          <w:bCs w:val="0"/>
          <w:sz w:val="22"/>
          <w:szCs w:val="22"/>
        </w:rPr>
      </w:pPr>
    </w:p>
    <w:p w14:paraId="29AF8C37" w14:textId="77777777" w:rsidR="00834A71" w:rsidRDefault="00834A71">
      <w:pPr>
        <w:rPr>
          <w:rStyle w:val="Strong"/>
          <w:rFonts w:ascii="Arial" w:hAnsi="Arial" w:cs="Arial"/>
          <w:b w:val="0"/>
          <w:bCs w:val="0"/>
          <w:sz w:val="22"/>
          <w:szCs w:val="22"/>
        </w:rPr>
      </w:pPr>
    </w:p>
    <w:p w14:paraId="4EA2D10D" w14:textId="77777777" w:rsidR="00834A71" w:rsidRDefault="00834A71">
      <w:pPr>
        <w:rPr>
          <w:rStyle w:val="Strong"/>
          <w:rFonts w:ascii="Arial" w:hAnsi="Arial" w:cs="Arial"/>
          <w:b w:val="0"/>
          <w:bCs w:val="0"/>
          <w:sz w:val="22"/>
          <w:szCs w:val="22"/>
        </w:rPr>
      </w:pPr>
    </w:p>
    <w:p w14:paraId="573ACCF8" w14:textId="77777777" w:rsidR="00834A71" w:rsidRDefault="00000000">
      <w:pPr>
        <w:pStyle w:val="Heading2"/>
        <w:spacing w:line="360" w:lineRule="auto"/>
        <w:jc w:val="both"/>
        <w:rPr>
          <w:rFonts w:ascii="Arial" w:hAnsi="Arial" w:cs="Arial" w:hint="default"/>
          <w:sz w:val="22"/>
          <w:szCs w:val="22"/>
        </w:rPr>
      </w:pPr>
      <w:r>
        <w:rPr>
          <w:rStyle w:val="Strong"/>
          <w:rFonts w:ascii="Arial" w:hAnsi="Arial" w:cs="Arial" w:hint="default"/>
          <w:b/>
          <w:bCs/>
          <w:sz w:val="22"/>
          <w:szCs w:val="22"/>
        </w:rPr>
        <w:lastRenderedPageBreak/>
        <w:t>8. Conclusion</w:t>
      </w:r>
    </w:p>
    <w:p w14:paraId="05D6197E" w14:textId="77777777" w:rsidR="00834A71" w:rsidRDefault="00000000">
      <w:pPr>
        <w:pStyle w:val="NormalWeb"/>
        <w:spacing w:line="360" w:lineRule="auto"/>
        <w:jc w:val="both"/>
        <w:rPr>
          <w:rFonts w:ascii="Arial" w:hAnsi="Arial" w:cs="Arial"/>
          <w:sz w:val="22"/>
          <w:szCs w:val="22"/>
        </w:rPr>
      </w:pPr>
      <w:r>
        <w:rPr>
          <w:rFonts w:ascii="Arial" w:hAnsi="Arial" w:cs="Arial"/>
          <w:sz w:val="22"/>
          <w:szCs w:val="22"/>
        </w:rPr>
        <w:t xml:space="preserve">SDG 3 and SDG 13 provide a comprehensive global framework for advancing health, well-being and sustainability, </w:t>
      </w:r>
      <w:proofErr w:type="spellStart"/>
      <w:r>
        <w:rPr>
          <w:rFonts w:ascii="Arial" w:hAnsi="Arial" w:cs="Arial"/>
          <w:sz w:val="22"/>
          <w:szCs w:val="22"/>
        </w:rPr>
        <w:t>recognising</w:t>
      </w:r>
      <w:proofErr w:type="spellEnd"/>
      <w:r>
        <w:rPr>
          <w:rFonts w:ascii="Arial" w:hAnsi="Arial" w:cs="Arial"/>
          <w:sz w:val="22"/>
          <w:szCs w:val="22"/>
        </w:rPr>
        <w:t xml:space="preserve"> their interdependence. While the UK and Wales demonstrate significant strengths in policy design particularly through the NHS Long Term Plan, Clean Air Strategy and Well-being of Future Generations Act challenges persist in implementation, resource allocation and reducing inequalities. To enhance the health and well-being of citizens, future policies must strengthen integration between health and climate agendas, </w:t>
      </w:r>
      <w:proofErr w:type="spellStart"/>
      <w:r>
        <w:rPr>
          <w:rFonts w:ascii="Arial" w:hAnsi="Arial" w:cs="Arial"/>
          <w:sz w:val="22"/>
          <w:szCs w:val="22"/>
        </w:rPr>
        <w:t>prioritise</w:t>
      </w:r>
      <w:proofErr w:type="spellEnd"/>
      <w:r>
        <w:rPr>
          <w:rFonts w:ascii="Arial" w:hAnsi="Arial" w:cs="Arial"/>
          <w:sz w:val="22"/>
          <w:szCs w:val="22"/>
        </w:rPr>
        <w:t xml:space="preserve"> prevention, and empower local authorities with sustainable funding (WHO, 2020). Achieving these goals will require coordinated action across global, national and local levels.</w:t>
      </w:r>
    </w:p>
    <w:p w14:paraId="019CB09F" w14:textId="77777777" w:rsidR="00834A71" w:rsidRDefault="00834A71">
      <w:pPr>
        <w:spacing w:line="360" w:lineRule="auto"/>
        <w:jc w:val="both"/>
        <w:rPr>
          <w:rFonts w:ascii="Arial" w:hAnsi="Arial" w:cs="Arial"/>
          <w:sz w:val="22"/>
          <w:szCs w:val="22"/>
        </w:rPr>
      </w:pPr>
    </w:p>
    <w:p w14:paraId="73307FED" w14:textId="77777777" w:rsidR="00834A71" w:rsidRDefault="00834A71">
      <w:pPr>
        <w:spacing w:line="360" w:lineRule="auto"/>
        <w:jc w:val="both"/>
        <w:rPr>
          <w:rFonts w:ascii="Arial" w:hAnsi="Arial" w:cs="Arial"/>
          <w:sz w:val="22"/>
          <w:szCs w:val="22"/>
        </w:rPr>
      </w:pPr>
    </w:p>
    <w:p w14:paraId="26A8A1D5" w14:textId="77777777" w:rsidR="00834A71" w:rsidRDefault="00834A71">
      <w:pPr>
        <w:pStyle w:val="Heading2"/>
        <w:spacing w:line="360" w:lineRule="auto"/>
        <w:jc w:val="both"/>
        <w:rPr>
          <w:rStyle w:val="Strong"/>
          <w:rFonts w:ascii="Arial" w:hAnsi="Arial" w:cs="Arial" w:hint="default"/>
          <w:b/>
          <w:bCs/>
          <w:sz w:val="22"/>
          <w:szCs w:val="22"/>
        </w:rPr>
      </w:pPr>
    </w:p>
    <w:p w14:paraId="2E553BA0" w14:textId="77777777" w:rsidR="00834A71" w:rsidRDefault="00834A71">
      <w:pPr>
        <w:jc w:val="both"/>
        <w:rPr>
          <w:rStyle w:val="Strong"/>
          <w:rFonts w:ascii="Arial" w:hAnsi="Arial" w:cs="Arial"/>
          <w:sz w:val="22"/>
          <w:szCs w:val="22"/>
        </w:rPr>
      </w:pPr>
    </w:p>
    <w:p w14:paraId="16DD3B66" w14:textId="77777777" w:rsidR="00834A71" w:rsidRDefault="00834A71">
      <w:pPr>
        <w:jc w:val="both"/>
        <w:rPr>
          <w:rStyle w:val="Strong"/>
          <w:rFonts w:ascii="Arial" w:hAnsi="Arial" w:cs="Arial"/>
          <w:sz w:val="22"/>
          <w:szCs w:val="22"/>
        </w:rPr>
      </w:pPr>
    </w:p>
    <w:p w14:paraId="403C7C77" w14:textId="77777777" w:rsidR="00834A71" w:rsidRDefault="00834A71">
      <w:pPr>
        <w:jc w:val="both"/>
        <w:rPr>
          <w:rStyle w:val="Strong"/>
          <w:rFonts w:ascii="Arial" w:hAnsi="Arial" w:cs="Arial"/>
          <w:sz w:val="22"/>
          <w:szCs w:val="22"/>
        </w:rPr>
      </w:pPr>
    </w:p>
    <w:p w14:paraId="6B7FB4D9" w14:textId="77777777" w:rsidR="00834A71" w:rsidRDefault="00834A71">
      <w:pPr>
        <w:jc w:val="both"/>
        <w:rPr>
          <w:rStyle w:val="Strong"/>
          <w:rFonts w:ascii="Arial" w:hAnsi="Arial" w:cs="Arial"/>
          <w:sz w:val="22"/>
          <w:szCs w:val="22"/>
        </w:rPr>
      </w:pPr>
    </w:p>
    <w:p w14:paraId="1D49DDF3" w14:textId="77777777" w:rsidR="00834A71" w:rsidRDefault="00834A71">
      <w:pPr>
        <w:jc w:val="both"/>
        <w:rPr>
          <w:rStyle w:val="Strong"/>
          <w:rFonts w:ascii="Arial" w:hAnsi="Arial" w:cs="Arial"/>
          <w:sz w:val="22"/>
          <w:szCs w:val="22"/>
        </w:rPr>
      </w:pPr>
    </w:p>
    <w:p w14:paraId="35D46328" w14:textId="77777777" w:rsidR="00834A71" w:rsidRDefault="00000000">
      <w:pPr>
        <w:jc w:val="both"/>
        <w:rPr>
          <w:rStyle w:val="Strong"/>
          <w:rFonts w:ascii="Arial" w:hAnsi="Arial" w:cs="Arial"/>
          <w:sz w:val="22"/>
          <w:szCs w:val="22"/>
        </w:rPr>
      </w:pPr>
      <w:r>
        <w:rPr>
          <w:rStyle w:val="Strong"/>
          <w:rFonts w:ascii="Arial" w:hAnsi="Arial" w:cs="Arial"/>
          <w:sz w:val="22"/>
          <w:szCs w:val="22"/>
        </w:rPr>
        <w:br w:type="page"/>
      </w:r>
    </w:p>
    <w:p w14:paraId="2FECD1FE" w14:textId="77777777" w:rsidR="00834A71" w:rsidRDefault="00000000">
      <w:pPr>
        <w:pStyle w:val="Heading2"/>
        <w:spacing w:line="360" w:lineRule="auto"/>
        <w:jc w:val="both"/>
        <w:rPr>
          <w:rFonts w:ascii="Arial" w:hAnsi="Arial" w:cs="Arial" w:hint="default"/>
          <w:sz w:val="22"/>
          <w:szCs w:val="22"/>
        </w:rPr>
      </w:pPr>
      <w:r>
        <w:rPr>
          <w:rStyle w:val="Strong"/>
          <w:rFonts w:ascii="Arial" w:hAnsi="Arial" w:cs="Arial" w:hint="default"/>
          <w:b/>
          <w:bCs/>
          <w:sz w:val="22"/>
          <w:szCs w:val="22"/>
        </w:rPr>
        <w:lastRenderedPageBreak/>
        <w:t xml:space="preserve">References </w:t>
      </w:r>
    </w:p>
    <w:p w14:paraId="2B40DCA9" w14:textId="77777777" w:rsidR="00834A71" w:rsidRDefault="00000000">
      <w:pPr>
        <w:jc w:val="both"/>
        <w:rPr>
          <w:rFonts w:ascii="Arial" w:eastAsia="SimSun" w:hAnsi="Arial" w:cs="Arial"/>
          <w:sz w:val="22"/>
          <w:szCs w:val="22"/>
        </w:rPr>
      </w:pPr>
      <w:r>
        <w:rPr>
          <w:rFonts w:ascii="Arial" w:eastAsia="SimSun" w:hAnsi="Arial" w:cs="Arial"/>
          <w:sz w:val="22"/>
          <w:szCs w:val="22"/>
        </w:rPr>
        <w:t xml:space="preserve">Audit Wales (2020). </w:t>
      </w:r>
      <w:r>
        <w:rPr>
          <w:rStyle w:val="Emphasis"/>
          <w:rFonts w:ascii="Arial" w:eastAsia="SimSun" w:hAnsi="Arial" w:cs="Arial"/>
          <w:sz w:val="22"/>
          <w:szCs w:val="22"/>
        </w:rPr>
        <w:t>Annual Report and Accounts 2019</w:t>
      </w:r>
      <w:r>
        <w:rPr>
          <w:rStyle w:val="Emphasis"/>
          <w:rFonts w:ascii="Arial" w:eastAsia="SimSun" w:hAnsi="Arial" w:cs="Arial"/>
          <w:sz w:val="22"/>
          <w:szCs w:val="22"/>
        </w:rPr>
        <w:noBreakHyphen/>
        <w:t>20</w:t>
      </w:r>
      <w:r>
        <w:rPr>
          <w:rFonts w:ascii="Arial" w:eastAsia="SimSun" w:hAnsi="Arial" w:cs="Arial"/>
          <w:sz w:val="22"/>
          <w:szCs w:val="22"/>
        </w:rPr>
        <w:t xml:space="preserve">. Cardiff: Audit Wales. </w:t>
      </w:r>
    </w:p>
    <w:p w14:paraId="725DFBA2" w14:textId="77777777" w:rsidR="00834A71" w:rsidRDefault="00000000">
      <w:pPr>
        <w:pStyle w:val="NormalWeb"/>
        <w:jc w:val="both"/>
        <w:rPr>
          <w:rFonts w:ascii="Arial" w:hAnsi="Arial" w:cs="Arial"/>
          <w:sz w:val="22"/>
          <w:szCs w:val="22"/>
        </w:rPr>
      </w:pPr>
      <w:r>
        <w:rPr>
          <w:rFonts w:ascii="Arial" w:hAnsi="Arial" w:cs="Arial"/>
          <w:sz w:val="22"/>
          <w:szCs w:val="22"/>
        </w:rPr>
        <w:t xml:space="preserve">Audit Wales (2020). </w:t>
      </w:r>
      <w:r>
        <w:rPr>
          <w:rStyle w:val="Emphasis"/>
          <w:rFonts w:ascii="Arial" w:hAnsi="Arial" w:cs="Arial"/>
          <w:sz w:val="22"/>
          <w:szCs w:val="22"/>
        </w:rPr>
        <w:t>Well-being of Future Generations: An examination of how public bodies are implementing the Act.</w:t>
      </w:r>
      <w:r>
        <w:rPr>
          <w:rFonts w:ascii="Arial" w:hAnsi="Arial" w:cs="Arial"/>
          <w:sz w:val="22"/>
          <w:szCs w:val="22"/>
        </w:rPr>
        <w:t xml:space="preserve"> Cardiff: Audit Wales.</w:t>
      </w:r>
    </w:p>
    <w:p w14:paraId="1A8B778E" w14:textId="77777777" w:rsidR="00834A71" w:rsidRDefault="00000000">
      <w:pPr>
        <w:jc w:val="both"/>
        <w:rPr>
          <w:rFonts w:ascii="Arial" w:eastAsia="SimSun" w:hAnsi="Arial" w:cs="Arial"/>
          <w:sz w:val="22"/>
          <w:szCs w:val="22"/>
          <w:lang w:bidi="ar"/>
        </w:rPr>
      </w:pPr>
      <w:r>
        <w:rPr>
          <w:rFonts w:ascii="Arial" w:eastAsia="SimSun" w:hAnsi="Arial" w:cs="Arial"/>
          <w:sz w:val="22"/>
          <w:szCs w:val="22"/>
          <w:lang w:bidi="ar"/>
        </w:rPr>
        <w:t xml:space="preserve">Carter, I. and MacKillop, E. (2023). Can we promote plural local pathways to sustainable development? Insights from the implementation of Wales’s Future Generations Act. </w:t>
      </w:r>
      <w:r>
        <w:rPr>
          <w:rFonts w:ascii="Arial" w:eastAsia="SimSun" w:hAnsi="Arial" w:cs="Arial"/>
          <w:i/>
          <w:iCs/>
          <w:sz w:val="22"/>
          <w:szCs w:val="22"/>
          <w:lang w:bidi="ar"/>
        </w:rPr>
        <w:t>Journal of Environmental Policy and  Planning</w:t>
      </w:r>
      <w:r>
        <w:rPr>
          <w:rFonts w:ascii="Arial" w:eastAsia="SimSun" w:hAnsi="Arial" w:cs="Arial"/>
          <w:sz w:val="22"/>
          <w:szCs w:val="22"/>
          <w:lang w:bidi="ar"/>
        </w:rPr>
        <w:t xml:space="preserve">, </w:t>
      </w:r>
      <w:r>
        <w:rPr>
          <w:rFonts w:ascii="Arial" w:eastAsia="SimSun" w:hAnsi="Arial" w:cs="Arial"/>
          <w:i/>
          <w:iCs/>
          <w:sz w:val="22"/>
          <w:szCs w:val="22"/>
          <w:lang w:bidi="ar"/>
        </w:rPr>
        <w:t>25</w:t>
      </w:r>
      <w:r>
        <w:rPr>
          <w:rFonts w:ascii="Arial" w:eastAsia="SimSun" w:hAnsi="Arial" w:cs="Arial"/>
          <w:sz w:val="22"/>
          <w:szCs w:val="22"/>
          <w:lang w:bidi="ar"/>
        </w:rPr>
        <w:t>(5), pp.554-569.</w:t>
      </w:r>
    </w:p>
    <w:p w14:paraId="7376463E" w14:textId="77777777" w:rsidR="00834A71" w:rsidRDefault="00834A71">
      <w:pPr>
        <w:jc w:val="both"/>
        <w:rPr>
          <w:rFonts w:ascii="Arial" w:eastAsia="SimSun" w:hAnsi="Arial" w:cs="Arial"/>
          <w:sz w:val="22"/>
          <w:szCs w:val="22"/>
          <w:lang w:bidi="ar"/>
        </w:rPr>
      </w:pPr>
    </w:p>
    <w:p w14:paraId="1B71B98D"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Chauhan, S., Walsh, C.L., Eckersley, P., </w:t>
      </w:r>
      <w:proofErr w:type="spellStart"/>
      <w:r>
        <w:rPr>
          <w:rFonts w:ascii="Arial" w:eastAsia="SimSun" w:hAnsi="Arial" w:cs="Arial"/>
          <w:sz w:val="22"/>
          <w:szCs w:val="22"/>
          <w:lang w:bidi="ar"/>
        </w:rPr>
        <w:t>Mohareb</w:t>
      </w:r>
      <w:proofErr w:type="spellEnd"/>
      <w:r>
        <w:rPr>
          <w:rFonts w:ascii="Arial" w:eastAsia="SimSun" w:hAnsi="Arial" w:cs="Arial"/>
          <w:sz w:val="22"/>
          <w:szCs w:val="22"/>
          <w:lang w:bidi="ar"/>
        </w:rPr>
        <w:t xml:space="preserve">, E. and Heidrich, O. (2025). Urban heat stress, air quality and climate change adaptation strategies in UK cities. </w:t>
      </w:r>
      <w:r>
        <w:rPr>
          <w:rFonts w:ascii="Arial" w:eastAsia="SimSun" w:hAnsi="Arial" w:cs="Arial"/>
          <w:i/>
          <w:iCs/>
          <w:sz w:val="22"/>
          <w:szCs w:val="22"/>
          <w:lang w:bidi="ar"/>
        </w:rPr>
        <w:t>Frontiers of Engineering Management</w:t>
      </w:r>
      <w:r>
        <w:rPr>
          <w:rFonts w:ascii="Arial" w:eastAsia="SimSun" w:hAnsi="Arial" w:cs="Arial"/>
          <w:sz w:val="22"/>
          <w:szCs w:val="22"/>
          <w:lang w:bidi="ar"/>
        </w:rPr>
        <w:t xml:space="preserve">, </w:t>
      </w:r>
      <w:r>
        <w:rPr>
          <w:rFonts w:ascii="Arial" w:eastAsia="SimSun" w:hAnsi="Arial" w:cs="Arial"/>
          <w:i/>
          <w:iCs/>
          <w:sz w:val="22"/>
          <w:szCs w:val="22"/>
          <w:lang w:bidi="ar"/>
        </w:rPr>
        <w:t>12</w:t>
      </w:r>
      <w:r>
        <w:rPr>
          <w:rFonts w:ascii="Arial" w:eastAsia="SimSun" w:hAnsi="Arial" w:cs="Arial"/>
          <w:sz w:val="22"/>
          <w:szCs w:val="22"/>
          <w:lang w:bidi="ar"/>
        </w:rPr>
        <w:t>(2), pp.255-271.</w:t>
      </w:r>
    </w:p>
    <w:p w14:paraId="74E827F7" w14:textId="77777777" w:rsidR="00834A71" w:rsidRDefault="00834A71">
      <w:pPr>
        <w:jc w:val="both"/>
        <w:rPr>
          <w:rFonts w:ascii="Arial" w:eastAsia="SimSun" w:hAnsi="Arial" w:cs="Arial"/>
          <w:sz w:val="22"/>
          <w:szCs w:val="22"/>
          <w:lang w:bidi="ar"/>
        </w:rPr>
      </w:pPr>
    </w:p>
    <w:p w14:paraId="09523575" w14:textId="77777777" w:rsidR="00834A71" w:rsidRDefault="00000000">
      <w:pPr>
        <w:jc w:val="both"/>
        <w:rPr>
          <w:rFonts w:ascii="Arial" w:hAnsi="Arial" w:cs="Arial"/>
          <w:sz w:val="22"/>
          <w:szCs w:val="22"/>
        </w:rPr>
      </w:pPr>
      <w:proofErr w:type="spellStart"/>
      <w:r>
        <w:rPr>
          <w:rFonts w:ascii="Arial" w:eastAsia="SimSun" w:hAnsi="Arial" w:cs="Arial"/>
          <w:sz w:val="22"/>
          <w:szCs w:val="22"/>
          <w:lang w:bidi="ar"/>
        </w:rPr>
        <w:t>Chotchoungchatchai</w:t>
      </w:r>
      <w:proofErr w:type="spellEnd"/>
      <w:r>
        <w:rPr>
          <w:rFonts w:ascii="Arial" w:eastAsia="SimSun" w:hAnsi="Arial" w:cs="Arial"/>
          <w:sz w:val="22"/>
          <w:szCs w:val="22"/>
          <w:lang w:bidi="ar"/>
        </w:rPr>
        <w:t xml:space="preserve">, S., Marshall, A.I., </w:t>
      </w:r>
      <w:proofErr w:type="spellStart"/>
      <w:r>
        <w:rPr>
          <w:rFonts w:ascii="Arial" w:eastAsia="SimSun" w:hAnsi="Arial" w:cs="Arial"/>
          <w:sz w:val="22"/>
          <w:szCs w:val="22"/>
          <w:lang w:bidi="ar"/>
        </w:rPr>
        <w:t>Witthayapipopsakul</w:t>
      </w:r>
      <w:proofErr w:type="spellEnd"/>
      <w:r>
        <w:rPr>
          <w:rFonts w:ascii="Arial" w:eastAsia="SimSun" w:hAnsi="Arial" w:cs="Arial"/>
          <w:sz w:val="22"/>
          <w:szCs w:val="22"/>
          <w:lang w:bidi="ar"/>
        </w:rPr>
        <w:t xml:space="preserve">, W., </w:t>
      </w:r>
      <w:proofErr w:type="spellStart"/>
      <w:r>
        <w:rPr>
          <w:rFonts w:ascii="Arial" w:eastAsia="SimSun" w:hAnsi="Arial" w:cs="Arial"/>
          <w:sz w:val="22"/>
          <w:szCs w:val="22"/>
          <w:lang w:bidi="ar"/>
        </w:rPr>
        <w:t>Panichkriangkrai</w:t>
      </w:r>
      <w:proofErr w:type="spellEnd"/>
      <w:r>
        <w:rPr>
          <w:rFonts w:ascii="Arial" w:eastAsia="SimSun" w:hAnsi="Arial" w:cs="Arial"/>
          <w:sz w:val="22"/>
          <w:szCs w:val="22"/>
          <w:lang w:bidi="ar"/>
        </w:rPr>
        <w:t xml:space="preserve">, W., </w:t>
      </w:r>
      <w:proofErr w:type="spellStart"/>
      <w:r>
        <w:rPr>
          <w:rFonts w:ascii="Arial" w:eastAsia="SimSun" w:hAnsi="Arial" w:cs="Arial"/>
          <w:sz w:val="22"/>
          <w:szCs w:val="22"/>
          <w:lang w:bidi="ar"/>
        </w:rPr>
        <w:t>Patcharanarumol</w:t>
      </w:r>
      <w:proofErr w:type="spellEnd"/>
      <w:r>
        <w:rPr>
          <w:rFonts w:ascii="Arial" w:eastAsia="SimSun" w:hAnsi="Arial" w:cs="Arial"/>
          <w:sz w:val="22"/>
          <w:szCs w:val="22"/>
          <w:lang w:bidi="ar"/>
        </w:rPr>
        <w:t xml:space="preserve">, W. and </w:t>
      </w:r>
      <w:proofErr w:type="spellStart"/>
      <w:r>
        <w:rPr>
          <w:rFonts w:ascii="Arial" w:eastAsia="SimSun" w:hAnsi="Arial" w:cs="Arial"/>
          <w:sz w:val="22"/>
          <w:szCs w:val="22"/>
          <w:lang w:bidi="ar"/>
        </w:rPr>
        <w:t>Tangcharoensathien</w:t>
      </w:r>
      <w:proofErr w:type="spellEnd"/>
      <w:r>
        <w:rPr>
          <w:rFonts w:ascii="Arial" w:eastAsia="SimSun" w:hAnsi="Arial" w:cs="Arial"/>
          <w:sz w:val="22"/>
          <w:szCs w:val="22"/>
          <w:lang w:bidi="ar"/>
        </w:rPr>
        <w:t xml:space="preserve">, V. (2020). Primary health care and sustainable development goals. </w:t>
      </w:r>
      <w:r>
        <w:rPr>
          <w:rFonts w:ascii="Arial" w:eastAsia="SimSun" w:hAnsi="Arial" w:cs="Arial"/>
          <w:i/>
          <w:iCs/>
          <w:sz w:val="22"/>
          <w:szCs w:val="22"/>
          <w:lang w:bidi="ar"/>
        </w:rPr>
        <w:t>Bulletin of the World Health Organization</w:t>
      </w:r>
      <w:r>
        <w:rPr>
          <w:rFonts w:ascii="Arial" w:eastAsia="SimSun" w:hAnsi="Arial" w:cs="Arial"/>
          <w:sz w:val="22"/>
          <w:szCs w:val="22"/>
          <w:lang w:bidi="ar"/>
        </w:rPr>
        <w:t xml:space="preserve">, </w:t>
      </w:r>
      <w:r>
        <w:rPr>
          <w:rFonts w:ascii="Arial" w:eastAsia="SimSun" w:hAnsi="Arial" w:cs="Arial"/>
          <w:i/>
          <w:iCs/>
          <w:sz w:val="22"/>
          <w:szCs w:val="22"/>
          <w:lang w:bidi="ar"/>
        </w:rPr>
        <w:t>98</w:t>
      </w:r>
      <w:r>
        <w:rPr>
          <w:rFonts w:ascii="Arial" w:eastAsia="SimSun" w:hAnsi="Arial" w:cs="Arial"/>
          <w:sz w:val="22"/>
          <w:szCs w:val="22"/>
          <w:lang w:bidi="ar"/>
        </w:rPr>
        <w:t>(11), p.792.</w:t>
      </w:r>
    </w:p>
    <w:p w14:paraId="31D96D65" w14:textId="77777777" w:rsidR="00834A71" w:rsidRDefault="00000000">
      <w:pPr>
        <w:pStyle w:val="NormalWeb"/>
        <w:jc w:val="both"/>
        <w:rPr>
          <w:rFonts w:ascii="Arial" w:hAnsi="Arial" w:cs="Arial"/>
          <w:sz w:val="22"/>
          <w:szCs w:val="22"/>
        </w:rPr>
      </w:pPr>
      <w:r>
        <w:rPr>
          <w:rFonts w:ascii="Arial" w:hAnsi="Arial" w:cs="Arial"/>
          <w:sz w:val="22"/>
          <w:szCs w:val="22"/>
        </w:rPr>
        <w:t xml:space="preserve">Client Earth (2021). </w:t>
      </w:r>
      <w:r>
        <w:rPr>
          <w:rStyle w:val="Emphasis"/>
          <w:rFonts w:ascii="Arial" w:hAnsi="Arial" w:cs="Arial"/>
          <w:sz w:val="22"/>
          <w:szCs w:val="22"/>
        </w:rPr>
        <w:t>Air pollution in the UK: Legal compliance update.</w:t>
      </w:r>
      <w:r>
        <w:rPr>
          <w:rFonts w:ascii="Arial" w:hAnsi="Arial" w:cs="Arial"/>
          <w:sz w:val="22"/>
          <w:szCs w:val="22"/>
        </w:rPr>
        <w:t xml:space="preserve"> London: Client Earth.</w:t>
      </w:r>
    </w:p>
    <w:p w14:paraId="7D4695C0" w14:textId="77777777" w:rsidR="00834A71" w:rsidRDefault="00000000">
      <w:pPr>
        <w:jc w:val="both"/>
        <w:rPr>
          <w:rFonts w:ascii="Arial" w:hAnsi="Arial" w:cs="Arial"/>
          <w:sz w:val="22"/>
          <w:szCs w:val="22"/>
        </w:rPr>
      </w:pPr>
      <w:r>
        <w:rPr>
          <w:rFonts w:ascii="Arial" w:eastAsia="SimSun" w:hAnsi="Arial" w:cs="Arial"/>
          <w:sz w:val="22"/>
          <w:szCs w:val="22"/>
        </w:rPr>
        <w:t>Council, Reading Borough</w:t>
      </w:r>
      <w:r>
        <w:rPr>
          <w:rFonts w:ascii="Arial" w:eastAsia="SimSun" w:hAnsi="Arial" w:cs="Arial"/>
          <w:sz w:val="22"/>
          <w:szCs w:val="22"/>
          <w:lang w:bidi="ar"/>
        </w:rPr>
        <w:t>, Annual Public Health Report (2024).</w:t>
      </w:r>
    </w:p>
    <w:p w14:paraId="17EBF3B1" w14:textId="77777777" w:rsidR="00834A71" w:rsidRDefault="00834A71">
      <w:pPr>
        <w:jc w:val="both"/>
        <w:rPr>
          <w:rFonts w:ascii="Arial" w:eastAsia="SimSun" w:hAnsi="Arial" w:cs="Arial"/>
          <w:sz w:val="22"/>
          <w:szCs w:val="22"/>
          <w:lang w:bidi="ar"/>
        </w:rPr>
      </w:pPr>
    </w:p>
    <w:p w14:paraId="51F09A67"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Faizan, M., Han, C. and Lee, S.W. (2025, September). Policy-Driven Digital Health Interventions for Health Promotion and Disease Prevention: A Systematic Review of Clinical and Environmental Outcomes. In </w:t>
      </w:r>
      <w:r>
        <w:rPr>
          <w:rFonts w:ascii="Arial" w:eastAsia="SimSun" w:hAnsi="Arial" w:cs="Arial"/>
          <w:i/>
          <w:iCs/>
          <w:sz w:val="22"/>
          <w:szCs w:val="22"/>
          <w:lang w:bidi="ar"/>
        </w:rPr>
        <w:t>Healthcare</w:t>
      </w:r>
      <w:r>
        <w:rPr>
          <w:rFonts w:ascii="Arial" w:eastAsia="SimSun" w:hAnsi="Arial" w:cs="Arial"/>
          <w:sz w:val="22"/>
          <w:szCs w:val="22"/>
          <w:lang w:bidi="ar"/>
        </w:rPr>
        <w:t xml:space="preserve"> (Vol. 13, No. 18, p. 2319). MDPI.</w:t>
      </w:r>
    </w:p>
    <w:p w14:paraId="166037BD" w14:textId="77777777" w:rsidR="00834A71" w:rsidRDefault="00834A71">
      <w:pPr>
        <w:jc w:val="both"/>
        <w:rPr>
          <w:rFonts w:ascii="Arial" w:eastAsia="SimSun" w:hAnsi="Arial" w:cs="Arial"/>
          <w:sz w:val="22"/>
          <w:szCs w:val="22"/>
        </w:rPr>
      </w:pPr>
    </w:p>
    <w:p w14:paraId="04470ABB" w14:textId="77777777" w:rsidR="00834A71" w:rsidRDefault="00000000">
      <w:pPr>
        <w:jc w:val="both"/>
        <w:rPr>
          <w:rFonts w:ascii="Arial" w:eastAsia="SimSun" w:hAnsi="Arial" w:cs="Arial"/>
          <w:sz w:val="22"/>
          <w:szCs w:val="22"/>
        </w:rPr>
      </w:pPr>
      <w:r>
        <w:rPr>
          <w:rFonts w:ascii="Arial" w:eastAsia="SimSun" w:hAnsi="Arial" w:cs="Arial"/>
          <w:sz w:val="22"/>
          <w:szCs w:val="22"/>
        </w:rPr>
        <w:t xml:space="preserve">Greater London Authority (2018). </w:t>
      </w:r>
      <w:r>
        <w:rPr>
          <w:rStyle w:val="Emphasis"/>
          <w:rFonts w:ascii="Arial" w:eastAsia="SimSun" w:hAnsi="Arial" w:cs="Arial"/>
          <w:sz w:val="22"/>
          <w:szCs w:val="22"/>
        </w:rPr>
        <w:t>The London Health Inequalities Strategy</w:t>
      </w:r>
      <w:r>
        <w:rPr>
          <w:rFonts w:ascii="Arial" w:eastAsia="SimSun" w:hAnsi="Arial" w:cs="Arial"/>
          <w:sz w:val="22"/>
          <w:szCs w:val="22"/>
        </w:rPr>
        <w:t>. London: Greater London Authority. ISBN: 978</w:t>
      </w:r>
      <w:r>
        <w:rPr>
          <w:rFonts w:ascii="Arial" w:eastAsia="SimSun" w:hAnsi="Arial" w:cs="Arial"/>
          <w:sz w:val="22"/>
          <w:szCs w:val="22"/>
        </w:rPr>
        <w:noBreakHyphen/>
        <w:t>1</w:t>
      </w:r>
      <w:r>
        <w:rPr>
          <w:rFonts w:ascii="Arial" w:eastAsia="SimSun" w:hAnsi="Arial" w:cs="Arial"/>
          <w:sz w:val="22"/>
          <w:szCs w:val="22"/>
        </w:rPr>
        <w:noBreakHyphen/>
        <w:t>84781</w:t>
      </w:r>
      <w:r>
        <w:rPr>
          <w:rFonts w:ascii="Arial" w:eastAsia="SimSun" w:hAnsi="Arial" w:cs="Arial"/>
          <w:sz w:val="22"/>
          <w:szCs w:val="22"/>
        </w:rPr>
        <w:noBreakHyphen/>
        <w:t>703</w:t>
      </w:r>
      <w:r>
        <w:rPr>
          <w:rFonts w:ascii="Arial" w:eastAsia="SimSun" w:hAnsi="Arial" w:cs="Arial"/>
          <w:sz w:val="22"/>
          <w:szCs w:val="22"/>
        </w:rPr>
        <w:noBreakHyphen/>
        <w:t xml:space="preserve">7. </w:t>
      </w:r>
    </w:p>
    <w:p w14:paraId="34735CD6" w14:textId="77777777" w:rsidR="00834A71" w:rsidRDefault="00834A71">
      <w:pPr>
        <w:jc w:val="both"/>
        <w:rPr>
          <w:rFonts w:ascii="Arial" w:eastAsia="SimSun" w:hAnsi="Arial" w:cs="Arial"/>
          <w:sz w:val="22"/>
          <w:szCs w:val="22"/>
        </w:rPr>
      </w:pPr>
    </w:p>
    <w:p w14:paraId="48BD3A5C" w14:textId="77777777" w:rsidR="00834A71" w:rsidRDefault="00000000">
      <w:pPr>
        <w:jc w:val="both"/>
        <w:rPr>
          <w:rFonts w:ascii="Arial" w:eastAsia="SimSun" w:hAnsi="Arial" w:cs="Arial"/>
          <w:sz w:val="22"/>
          <w:szCs w:val="22"/>
        </w:rPr>
      </w:pPr>
      <w:r>
        <w:rPr>
          <w:rFonts w:ascii="Arial" w:eastAsia="SimSun" w:hAnsi="Arial" w:cs="Arial"/>
          <w:sz w:val="22"/>
          <w:szCs w:val="22"/>
        </w:rPr>
        <w:t xml:space="preserve">Intergovernmental Panel on Climate Change (2022). </w:t>
      </w:r>
      <w:r>
        <w:rPr>
          <w:rStyle w:val="Emphasis"/>
          <w:rFonts w:ascii="Arial" w:eastAsia="SimSun" w:hAnsi="Arial" w:cs="Arial"/>
          <w:sz w:val="22"/>
          <w:szCs w:val="22"/>
        </w:rPr>
        <w:t>Climate Change 2022: Impacts, Adaptation and Vulnerability. Contribution of Working Group II to the Sixth Assessment Report of the Intergovernmental Panel on Climate Change</w:t>
      </w:r>
      <w:r>
        <w:rPr>
          <w:rFonts w:ascii="Arial" w:eastAsia="SimSun" w:hAnsi="Arial" w:cs="Arial"/>
          <w:sz w:val="22"/>
          <w:szCs w:val="22"/>
        </w:rPr>
        <w:t xml:space="preserve">. Cambridge: Cambridge University Press. doi:10.1017/9781009325844 </w:t>
      </w:r>
    </w:p>
    <w:p w14:paraId="1E74B33D" w14:textId="77777777" w:rsidR="00834A71" w:rsidRDefault="00834A71">
      <w:pPr>
        <w:jc w:val="both"/>
        <w:rPr>
          <w:rFonts w:ascii="Arial" w:eastAsia="SimSun" w:hAnsi="Arial" w:cs="Arial"/>
          <w:sz w:val="22"/>
          <w:szCs w:val="22"/>
        </w:rPr>
      </w:pPr>
    </w:p>
    <w:p w14:paraId="7E0D0080" w14:textId="77777777" w:rsidR="00834A71" w:rsidRDefault="00000000">
      <w:pPr>
        <w:jc w:val="both"/>
        <w:rPr>
          <w:rFonts w:ascii="Arial" w:eastAsia="SimSun" w:hAnsi="Arial" w:cs="Arial"/>
          <w:sz w:val="22"/>
          <w:szCs w:val="22"/>
        </w:rPr>
      </w:pPr>
      <w:r>
        <w:rPr>
          <w:rFonts w:ascii="Arial" w:eastAsia="SimSun" w:hAnsi="Arial" w:cs="Arial"/>
          <w:sz w:val="22"/>
          <w:szCs w:val="22"/>
        </w:rPr>
        <w:t xml:space="preserve">International Social Security Association (2023). </w:t>
      </w:r>
      <w:r>
        <w:rPr>
          <w:rStyle w:val="Emphasis"/>
          <w:rFonts w:ascii="Arial" w:eastAsia="SimSun" w:hAnsi="Arial" w:cs="Arial"/>
          <w:sz w:val="22"/>
          <w:szCs w:val="22"/>
        </w:rPr>
        <w:t>Annual Review 2022/23</w:t>
      </w:r>
      <w:r>
        <w:rPr>
          <w:rFonts w:ascii="Arial" w:eastAsia="SimSun" w:hAnsi="Arial" w:cs="Arial"/>
          <w:sz w:val="22"/>
          <w:szCs w:val="22"/>
        </w:rPr>
        <w:t>. Geneva: ISSA.</w:t>
      </w:r>
    </w:p>
    <w:p w14:paraId="53D92A6E" w14:textId="77777777" w:rsidR="00834A71" w:rsidRDefault="00000000">
      <w:pPr>
        <w:pStyle w:val="NormalWeb"/>
        <w:jc w:val="both"/>
        <w:rPr>
          <w:rFonts w:ascii="Arial" w:hAnsi="Arial" w:cs="Arial"/>
          <w:sz w:val="22"/>
          <w:szCs w:val="22"/>
        </w:rPr>
      </w:pPr>
      <w:r>
        <w:rPr>
          <w:rFonts w:ascii="Arial" w:hAnsi="Arial" w:cs="Arial"/>
          <w:sz w:val="22"/>
          <w:szCs w:val="22"/>
        </w:rPr>
        <w:t xml:space="preserve">IPCC (2022). </w:t>
      </w:r>
      <w:r>
        <w:rPr>
          <w:rStyle w:val="Emphasis"/>
          <w:rFonts w:ascii="Arial" w:hAnsi="Arial" w:cs="Arial"/>
          <w:sz w:val="22"/>
          <w:szCs w:val="22"/>
        </w:rPr>
        <w:t>Climate Change 2022: Impacts, Adaptation and Vulnerability.</w:t>
      </w:r>
      <w:r>
        <w:rPr>
          <w:rFonts w:ascii="Arial" w:hAnsi="Arial" w:cs="Arial"/>
          <w:sz w:val="22"/>
          <w:szCs w:val="22"/>
        </w:rPr>
        <w:t xml:space="preserve"> Geneva: Intergovernmental Panel on Climate Change.</w:t>
      </w:r>
    </w:p>
    <w:p w14:paraId="4D3DA895" w14:textId="77777777" w:rsidR="00834A71" w:rsidRDefault="00000000">
      <w:pPr>
        <w:pStyle w:val="NormalWeb"/>
        <w:jc w:val="both"/>
        <w:rPr>
          <w:rFonts w:ascii="Arial" w:hAnsi="Arial" w:cs="Arial"/>
          <w:sz w:val="22"/>
          <w:szCs w:val="22"/>
        </w:rPr>
      </w:pPr>
      <w:r>
        <w:rPr>
          <w:rFonts w:ascii="Arial" w:hAnsi="Arial" w:cs="Arial"/>
          <w:sz w:val="22"/>
          <w:szCs w:val="22"/>
        </w:rPr>
        <w:t xml:space="preserve">ISSA (2023). Greening health care: Social security and environmental preservation. International Social Security Association. Available at: </w:t>
      </w:r>
      <w:hyperlink r:id="rId13" w:tgtFrame="_new" w:history="1">
        <w:r>
          <w:rPr>
            <w:rFonts w:ascii="Arial" w:hAnsi="Arial" w:cs="Arial"/>
            <w:sz w:val="22"/>
            <w:szCs w:val="22"/>
          </w:rPr>
          <w:t>https://www.issa.int/analysis/greening-health-care-social-security-and-environmental-preservation</w:t>
        </w:r>
      </w:hyperlink>
      <w:r>
        <w:rPr>
          <w:rFonts w:ascii="Arial" w:hAnsi="Arial" w:cs="Arial"/>
          <w:sz w:val="22"/>
          <w:szCs w:val="22"/>
        </w:rPr>
        <w:t xml:space="preserve"> (Accessed: 27 November 2025).</w:t>
      </w:r>
    </w:p>
    <w:p w14:paraId="5179482D"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Krenz, K. and Amann, L. (2025). Urban heat island effect: examining spatial patterns of socio-demographic inequalities in Greater London. </w:t>
      </w:r>
      <w:r>
        <w:rPr>
          <w:rFonts w:ascii="Arial" w:eastAsia="SimSun" w:hAnsi="Arial" w:cs="Arial"/>
          <w:i/>
          <w:iCs/>
          <w:sz w:val="22"/>
          <w:szCs w:val="22"/>
          <w:lang w:bidi="ar"/>
        </w:rPr>
        <w:t>Cities and  Health</w:t>
      </w:r>
      <w:r>
        <w:rPr>
          <w:rFonts w:ascii="Arial" w:eastAsia="SimSun" w:hAnsi="Arial" w:cs="Arial"/>
          <w:sz w:val="22"/>
          <w:szCs w:val="22"/>
          <w:lang w:bidi="ar"/>
        </w:rPr>
        <w:t>, pp.1-25.</w:t>
      </w:r>
    </w:p>
    <w:p w14:paraId="34D2BD57" w14:textId="77777777" w:rsidR="00834A71" w:rsidRDefault="00000000">
      <w:pPr>
        <w:pStyle w:val="NormalWeb"/>
        <w:jc w:val="both"/>
        <w:rPr>
          <w:rFonts w:ascii="Arial" w:hAnsi="Arial" w:cs="Arial"/>
          <w:sz w:val="22"/>
          <w:szCs w:val="22"/>
        </w:rPr>
      </w:pPr>
      <w:r>
        <w:rPr>
          <w:rFonts w:ascii="Arial" w:hAnsi="Arial" w:cs="Arial"/>
          <w:sz w:val="22"/>
          <w:szCs w:val="22"/>
        </w:rPr>
        <w:t xml:space="preserve">Kruk, M.E. et al. (2025) ‘Progress towards SDG 3: Global health system performance and remaining gaps’, Health Policy and Planning. Available at: </w:t>
      </w:r>
      <w:hyperlink r:id="rId14" w:tgtFrame="_new" w:history="1">
        <w:r>
          <w:rPr>
            <w:rFonts w:ascii="Arial" w:hAnsi="Arial" w:cs="Arial"/>
            <w:sz w:val="22"/>
            <w:szCs w:val="22"/>
          </w:rPr>
          <w:t>https://link.springer.com/article/10.1186/s12982-025-01045-z</w:t>
        </w:r>
      </w:hyperlink>
      <w:r>
        <w:rPr>
          <w:rFonts w:ascii="Arial" w:hAnsi="Arial" w:cs="Arial"/>
          <w:sz w:val="22"/>
          <w:szCs w:val="22"/>
        </w:rPr>
        <w:t xml:space="preserve"> (Accessed: 27 November 2025).</w:t>
      </w:r>
    </w:p>
    <w:p w14:paraId="13B68807" w14:textId="77777777" w:rsidR="00834A71" w:rsidRDefault="00000000">
      <w:pPr>
        <w:pStyle w:val="NormalWeb"/>
        <w:jc w:val="both"/>
        <w:rPr>
          <w:rFonts w:ascii="Arial" w:hAnsi="Arial" w:cs="Arial"/>
          <w:sz w:val="22"/>
          <w:szCs w:val="22"/>
        </w:rPr>
      </w:pPr>
      <w:r>
        <w:rPr>
          <w:rFonts w:ascii="Arial" w:hAnsi="Arial" w:cs="Arial"/>
          <w:sz w:val="22"/>
          <w:szCs w:val="22"/>
        </w:rPr>
        <w:t xml:space="preserve">Marmot, M., Allen, J., Boyce, T., Goldblatt, P. and Morrison, J. (2020). </w:t>
      </w:r>
      <w:r>
        <w:rPr>
          <w:rStyle w:val="Emphasis"/>
          <w:rFonts w:ascii="Arial" w:hAnsi="Arial" w:cs="Arial"/>
          <w:sz w:val="22"/>
          <w:szCs w:val="22"/>
        </w:rPr>
        <w:t>Health Equity in England: The Marmot Review 10 Years On.</w:t>
      </w:r>
      <w:r>
        <w:rPr>
          <w:rFonts w:ascii="Arial" w:hAnsi="Arial" w:cs="Arial"/>
          <w:sz w:val="22"/>
          <w:szCs w:val="22"/>
        </w:rPr>
        <w:t xml:space="preserve"> London: Institute of Health Equity.</w:t>
      </w:r>
    </w:p>
    <w:p w14:paraId="5C8D2AB7"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Mauti, J., Gautier, L., </w:t>
      </w:r>
      <w:proofErr w:type="spellStart"/>
      <w:r>
        <w:rPr>
          <w:rFonts w:ascii="Arial" w:eastAsia="SimSun" w:hAnsi="Arial" w:cs="Arial"/>
          <w:sz w:val="22"/>
          <w:szCs w:val="22"/>
          <w:lang w:bidi="ar"/>
        </w:rPr>
        <w:t>Agbozo</w:t>
      </w:r>
      <w:proofErr w:type="spellEnd"/>
      <w:r>
        <w:rPr>
          <w:rFonts w:ascii="Arial" w:eastAsia="SimSun" w:hAnsi="Arial" w:cs="Arial"/>
          <w:sz w:val="22"/>
          <w:szCs w:val="22"/>
          <w:lang w:bidi="ar"/>
        </w:rPr>
        <w:t xml:space="preserve">, F., </w:t>
      </w:r>
      <w:proofErr w:type="spellStart"/>
      <w:r>
        <w:rPr>
          <w:rFonts w:ascii="Arial" w:eastAsia="SimSun" w:hAnsi="Arial" w:cs="Arial"/>
          <w:sz w:val="22"/>
          <w:szCs w:val="22"/>
          <w:lang w:bidi="ar"/>
        </w:rPr>
        <w:t>Shiroya</w:t>
      </w:r>
      <w:proofErr w:type="spellEnd"/>
      <w:r>
        <w:rPr>
          <w:rFonts w:ascii="Arial" w:eastAsia="SimSun" w:hAnsi="Arial" w:cs="Arial"/>
          <w:sz w:val="22"/>
          <w:szCs w:val="22"/>
          <w:lang w:bidi="ar"/>
        </w:rPr>
        <w:t xml:space="preserve">, V., </w:t>
      </w:r>
      <w:proofErr w:type="spellStart"/>
      <w:r>
        <w:rPr>
          <w:rFonts w:ascii="Arial" w:eastAsia="SimSun" w:hAnsi="Arial" w:cs="Arial"/>
          <w:sz w:val="22"/>
          <w:szCs w:val="22"/>
          <w:lang w:bidi="ar"/>
        </w:rPr>
        <w:t>Jessani</w:t>
      </w:r>
      <w:proofErr w:type="spellEnd"/>
      <w:r>
        <w:rPr>
          <w:rFonts w:ascii="Arial" w:eastAsia="SimSun" w:hAnsi="Arial" w:cs="Arial"/>
          <w:sz w:val="22"/>
          <w:szCs w:val="22"/>
          <w:lang w:bidi="ar"/>
        </w:rPr>
        <w:t xml:space="preserve">, N.S., Tosun, J. and Jahn, A.(2020). Addressing policy coherence between health in all policies approach and the sustainable development goals implementation: Insights from Kenya. </w:t>
      </w:r>
      <w:r>
        <w:rPr>
          <w:rFonts w:ascii="Arial" w:eastAsia="SimSun" w:hAnsi="Arial" w:cs="Arial"/>
          <w:i/>
          <w:iCs/>
          <w:sz w:val="22"/>
          <w:szCs w:val="22"/>
          <w:lang w:bidi="ar"/>
        </w:rPr>
        <w:t>International journal of health policy and management</w:t>
      </w:r>
      <w:r>
        <w:rPr>
          <w:rFonts w:ascii="Arial" w:eastAsia="SimSun" w:hAnsi="Arial" w:cs="Arial"/>
          <w:sz w:val="22"/>
          <w:szCs w:val="22"/>
          <w:lang w:bidi="ar"/>
        </w:rPr>
        <w:t xml:space="preserve">, </w:t>
      </w:r>
      <w:r>
        <w:rPr>
          <w:rFonts w:ascii="Arial" w:eastAsia="SimSun" w:hAnsi="Arial" w:cs="Arial"/>
          <w:i/>
          <w:iCs/>
          <w:sz w:val="22"/>
          <w:szCs w:val="22"/>
          <w:lang w:bidi="ar"/>
        </w:rPr>
        <w:t>11</w:t>
      </w:r>
      <w:r>
        <w:rPr>
          <w:rFonts w:ascii="Arial" w:eastAsia="SimSun" w:hAnsi="Arial" w:cs="Arial"/>
          <w:sz w:val="22"/>
          <w:szCs w:val="22"/>
          <w:lang w:bidi="ar"/>
        </w:rPr>
        <w:t>(6), p.757.</w:t>
      </w:r>
    </w:p>
    <w:p w14:paraId="2EAC94D5" w14:textId="77777777" w:rsidR="00834A71" w:rsidRDefault="00000000">
      <w:pPr>
        <w:pStyle w:val="NormalWeb"/>
        <w:jc w:val="both"/>
        <w:rPr>
          <w:rFonts w:ascii="Arial" w:hAnsi="Arial" w:cs="Arial"/>
          <w:sz w:val="22"/>
          <w:szCs w:val="22"/>
        </w:rPr>
      </w:pPr>
      <w:r>
        <w:rPr>
          <w:rFonts w:ascii="Arial" w:hAnsi="Arial" w:cs="Arial"/>
          <w:sz w:val="22"/>
          <w:szCs w:val="22"/>
        </w:rPr>
        <w:t xml:space="preserve">Nambiar, D., et al. (2021). ‘Universal Health Coverage reforms in Asia: Progress and challenges’, Globalization and Health. Available at: </w:t>
      </w:r>
      <w:hyperlink r:id="rId15" w:tgtFrame="_new" w:history="1">
        <w:r>
          <w:rPr>
            <w:rFonts w:ascii="Arial" w:hAnsi="Arial" w:cs="Arial"/>
            <w:sz w:val="22"/>
            <w:szCs w:val="22"/>
          </w:rPr>
          <w:t>https://globalizationandhealth.biomedcentral.com/articles/10.1186/s12992-021-00703-6</w:t>
        </w:r>
      </w:hyperlink>
      <w:r>
        <w:rPr>
          <w:rFonts w:ascii="Arial" w:hAnsi="Arial" w:cs="Arial"/>
          <w:sz w:val="22"/>
          <w:szCs w:val="22"/>
        </w:rPr>
        <w:t xml:space="preserve"> (Accessed: 27 November 2025).</w:t>
      </w:r>
    </w:p>
    <w:p w14:paraId="2DD68DDD" w14:textId="77777777" w:rsidR="00834A71" w:rsidRDefault="00000000">
      <w:pPr>
        <w:pStyle w:val="NormalWeb"/>
        <w:jc w:val="both"/>
        <w:rPr>
          <w:rFonts w:ascii="Arial" w:hAnsi="Arial" w:cs="Arial"/>
          <w:sz w:val="22"/>
          <w:szCs w:val="22"/>
        </w:rPr>
      </w:pPr>
      <w:r>
        <w:rPr>
          <w:rFonts w:ascii="Arial" w:hAnsi="Arial" w:cs="Arial"/>
          <w:sz w:val="22"/>
          <w:szCs w:val="22"/>
        </w:rPr>
        <w:t xml:space="preserve">NHS England (2019). </w:t>
      </w:r>
      <w:r>
        <w:rPr>
          <w:rStyle w:val="Emphasis"/>
          <w:rFonts w:ascii="Arial" w:hAnsi="Arial" w:cs="Arial"/>
          <w:sz w:val="22"/>
          <w:szCs w:val="22"/>
        </w:rPr>
        <w:t>The NHS Long Term Plan.</w:t>
      </w:r>
      <w:r>
        <w:rPr>
          <w:rFonts w:ascii="Arial" w:hAnsi="Arial" w:cs="Arial"/>
          <w:sz w:val="22"/>
          <w:szCs w:val="22"/>
        </w:rPr>
        <w:t xml:space="preserve"> London: NHS England.</w:t>
      </w:r>
    </w:p>
    <w:p w14:paraId="1B0D3300" w14:textId="77777777" w:rsidR="00834A71" w:rsidRDefault="00000000">
      <w:pPr>
        <w:pStyle w:val="NormalWeb"/>
        <w:jc w:val="both"/>
        <w:rPr>
          <w:rFonts w:ascii="Arial" w:hAnsi="Arial" w:cs="Arial"/>
          <w:sz w:val="22"/>
          <w:szCs w:val="22"/>
        </w:rPr>
      </w:pPr>
      <w:r>
        <w:rPr>
          <w:rFonts w:ascii="Arial" w:hAnsi="Arial" w:cs="Arial"/>
          <w:sz w:val="22"/>
          <w:szCs w:val="22"/>
        </w:rPr>
        <w:t xml:space="preserve">O’Donnell, G., De Neve, J.E. and Oswald, A.J. (2021). ‘Well-being and public policy: A review’, Journal of Public Economics. Available at: </w:t>
      </w:r>
      <w:hyperlink r:id="rId16" w:tgtFrame="_new" w:history="1">
        <w:r>
          <w:rPr>
            <w:rFonts w:ascii="Arial" w:hAnsi="Arial" w:cs="Arial"/>
            <w:sz w:val="22"/>
            <w:szCs w:val="22"/>
          </w:rPr>
          <w:t>https://pmc.ncbi.nlm.nih.gov/articles/PMC8667546/</w:t>
        </w:r>
      </w:hyperlink>
      <w:r>
        <w:rPr>
          <w:rFonts w:ascii="Arial" w:hAnsi="Arial" w:cs="Arial"/>
          <w:sz w:val="22"/>
          <w:szCs w:val="22"/>
        </w:rPr>
        <w:t xml:space="preserve"> (Accessed: 27 November 2025).</w:t>
      </w:r>
    </w:p>
    <w:p w14:paraId="646A4710" w14:textId="77777777" w:rsidR="00834A71" w:rsidRDefault="00000000">
      <w:pPr>
        <w:pStyle w:val="NormalWeb"/>
        <w:jc w:val="both"/>
        <w:rPr>
          <w:rFonts w:ascii="Arial" w:hAnsi="Arial" w:cs="Arial"/>
          <w:sz w:val="22"/>
          <w:szCs w:val="22"/>
        </w:rPr>
      </w:pPr>
      <w:r>
        <w:rPr>
          <w:rFonts w:ascii="Arial" w:hAnsi="Arial" w:cs="Arial"/>
          <w:sz w:val="22"/>
          <w:szCs w:val="22"/>
        </w:rPr>
        <w:t xml:space="preserve">Public Health England (2020). </w:t>
      </w:r>
      <w:r>
        <w:rPr>
          <w:rStyle w:val="Emphasis"/>
          <w:rFonts w:ascii="Arial" w:hAnsi="Arial" w:cs="Arial"/>
          <w:sz w:val="22"/>
          <w:szCs w:val="22"/>
        </w:rPr>
        <w:t>Heatwave Mortality Monitoring Report.</w:t>
      </w:r>
      <w:r>
        <w:rPr>
          <w:rFonts w:ascii="Arial" w:hAnsi="Arial" w:cs="Arial"/>
          <w:sz w:val="22"/>
          <w:szCs w:val="22"/>
        </w:rPr>
        <w:t xml:space="preserve"> London: PHE.</w:t>
      </w:r>
    </w:p>
    <w:p w14:paraId="5C351644"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Rad, J. (2025). Health inequities: a persistent global challenge from past to future. </w:t>
      </w:r>
      <w:r>
        <w:rPr>
          <w:rFonts w:ascii="Arial" w:eastAsia="SimSun" w:hAnsi="Arial" w:cs="Arial"/>
          <w:i/>
          <w:iCs/>
          <w:sz w:val="22"/>
          <w:szCs w:val="22"/>
          <w:lang w:bidi="ar"/>
        </w:rPr>
        <w:t>International Journal for Equity in Health</w:t>
      </w:r>
      <w:r>
        <w:rPr>
          <w:rFonts w:ascii="Arial" w:eastAsia="SimSun" w:hAnsi="Arial" w:cs="Arial"/>
          <w:sz w:val="22"/>
          <w:szCs w:val="22"/>
          <w:lang w:bidi="ar"/>
        </w:rPr>
        <w:t xml:space="preserve">, </w:t>
      </w:r>
      <w:r>
        <w:rPr>
          <w:rFonts w:ascii="Arial" w:eastAsia="SimSun" w:hAnsi="Arial" w:cs="Arial"/>
          <w:i/>
          <w:iCs/>
          <w:sz w:val="22"/>
          <w:szCs w:val="22"/>
          <w:lang w:bidi="ar"/>
        </w:rPr>
        <w:t>24</w:t>
      </w:r>
      <w:r>
        <w:rPr>
          <w:rFonts w:ascii="Arial" w:eastAsia="SimSun" w:hAnsi="Arial" w:cs="Arial"/>
          <w:sz w:val="22"/>
          <w:szCs w:val="22"/>
          <w:lang w:bidi="ar"/>
        </w:rPr>
        <w:t>(1), p.148.</w:t>
      </w:r>
    </w:p>
    <w:p w14:paraId="7BA4064A" w14:textId="77777777" w:rsidR="00834A71" w:rsidRDefault="00834A71">
      <w:pPr>
        <w:jc w:val="both"/>
        <w:rPr>
          <w:rFonts w:ascii="Arial" w:eastAsia="SimSun" w:hAnsi="Arial" w:cs="Arial"/>
          <w:sz w:val="22"/>
          <w:szCs w:val="22"/>
          <w:lang w:bidi="ar"/>
        </w:rPr>
      </w:pPr>
    </w:p>
    <w:p w14:paraId="5E92520C"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Rodrigues, S. (2025). London’s Ultra Low Emission Zone: A Transformative Initiative for Public Health and Urban Sustainability. </w:t>
      </w:r>
      <w:r>
        <w:rPr>
          <w:rFonts w:ascii="Arial" w:eastAsia="SimSun" w:hAnsi="Arial" w:cs="Arial"/>
          <w:i/>
          <w:iCs/>
          <w:sz w:val="22"/>
          <w:szCs w:val="22"/>
          <w:lang w:bidi="ar"/>
        </w:rPr>
        <w:t>Journal of City Climate Policy and Economy</w:t>
      </w:r>
      <w:r>
        <w:rPr>
          <w:rFonts w:ascii="Arial" w:eastAsia="SimSun" w:hAnsi="Arial" w:cs="Arial"/>
          <w:sz w:val="22"/>
          <w:szCs w:val="22"/>
          <w:lang w:bidi="ar"/>
        </w:rPr>
        <w:t xml:space="preserve">, </w:t>
      </w:r>
      <w:r>
        <w:rPr>
          <w:rFonts w:ascii="Arial" w:eastAsia="SimSun" w:hAnsi="Arial" w:cs="Arial"/>
          <w:i/>
          <w:iCs/>
          <w:sz w:val="22"/>
          <w:szCs w:val="22"/>
          <w:lang w:bidi="ar"/>
        </w:rPr>
        <w:t>3</w:t>
      </w:r>
      <w:r>
        <w:rPr>
          <w:rFonts w:ascii="Arial" w:eastAsia="SimSun" w:hAnsi="Arial" w:cs="Arial"/>
          <w:sz w:val="22"/>
          <w:szCs w:val="22"/>
          <w:lang w:bidi="ar"/>
        </w:rPr>
        <w:t>(2/3), pp.199-203.</w:t>
      </w:r>
    </w:p>
    <w:p w14:paraId="2E62784B" w14:textId="77777777" w:rsidR="00834A71" w:rsidRDefault="00834A71">
      <w:pPr>
        <w:jc w:val="both"/>
        <w:rPr>
          <w:rFonts w:ascii="Arial" w:eastAsia="SimSun" w:hAnsi="Arial" w:cs="Arial"/>
          <w:sz w:val="22"/>
          <w:szCs w:val="22"/>
          <w:lang w:bidi="ar"/>
        </w:rPr>
      </w:pPr>
    </w:p>
    <w:p w14:paraId="12AD983C"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Sparkes, E. and Werners, S.E. (2023). Monitoring, evaluation and learning requirements for climate-resilient development pathways. </w:t>
      </w:r>
      <w:r>
        <w:rPr>
          <w:rFonts w:ascii="Arial" w:eastAsia="SimSun" w:hAnsi="Arial" w:cs="Arial"/>
          <w:i/>
          <w:iCs/>
          <w:sz w:val="22"/>
          <w:szCs w:val="22"/>
          <w:lang w:bidi="ar"/>
        </w:rPr>
        <w:t>Current Opinion in Environmental Sustainability</w:t>
      </w:r>
      <w:r>
        <w:rPr>
          <w:rFonts w:ascii="Arial" w:eastAsia="SimSun" w:hAnsi="Arial" w:cs="Arial"/>
          <w:sz w:val="22"/>
          <w:szCs w:val="22"/>
          <w:lang w:bidi="ar"/>
        </w:rPr>
        <w:t xml:space="preserve">, </w:t>
      </w:r>
      <w:r>
        <w:rPr>
          <w:rFonts w:ascii="Arial" w:eastAsia="SimSun" w:hAnsi="Arial" w:cs="Arial"/>
          <w:i/>
          <w:iCs/>
          <w:sz w:val="22"/>
          <w:szCs w:val="22"/>
          <w:lang w:bidi="ar"/>
        </w:rPr>
        <w:t>64</w:t>
      </w:r>
      <w:r>
        <w:rPr>
          <w:rFonts w:ascii="Arial" w:eastAsia="SimSun" w:hAnsi="Arial" w:cs="Arial"/>
          <w:sz w:val="22"/>
          <w:szCs w:val="22"/>
          <w:lang w:bidi="ar"/>
        </w:rPr>
        <w:t>, p.101329.</w:t>
      </w:r>
    </w:p>
    <w:p w14:paraId="28B5F81C" w14:textId="77777777" w:rsidR="00834A71" w:rsidRDefault="00834A71">
      <w:pPr>
        <w:jc w:val="both"/>
        <w:rPr>
          <w:rFonts w:ascii="Arial" w:eastAsia="SimSun" w:hAnsi="Arial" w:cs="Arial"/>
          <w:sz w:val="22"/>
          <w:szCs w:val="22"/>
          <w:lang w:bidi="ar"/>
        </w:rPr>
      </w:pPr>
    </w:p>
    <w:p w14:paraId="67FC1A7E"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Spencer, G., Corbin, J.H. and Miedema, E.(2019). Sustainable development goals for health promotion: a critical frame analysis. </w:t>
      </w:r>
      <w:r>
        <w:rPr>
          <w:rFonts w:ascii="Arial" w:eastAsia="SimSun" w:hAnsi="Arial" w:cs="Arial"/>
          <w:i/>
          <w:iCs/>
          <w:sz w:val="22"/>
          <w:szCs w:val="22"/>
          <w:lang w:bidi="ar"/>
        </w:rPr>
        <w:t>Health Promotion International</w:t>
      </w:r>
      <w:r>
        <w:rPr>
          <w:rFonts w:ascii="Arial" w:eastAsia="SimSun" w:hAnsi="Arial" w:cs="Arial"/>
          <w:sz w:val="22"/>
          <w:szCs w:val="22"/>
          <w:lang w:bidi="ar"/>
        </w:rPr>
        <w:t xml:space="preserve">, </w:t>
      </w:r>
      <w:r>
        <w:rPr>
          <w:rFonts w:ascii="Arial" w:eastAsia="SimSun" w:hAnsi="Arial" w:cs="Arial"/>
          <w:i/>
          <w:iCs/>
          <w:sz w:val="22"/>
          <w:szCs w:val="22"/>
          <w:lang w:bidi="ar"/>
        </w:rPr>
        <w:t>34</w:t>
      </w:r>
      <w:r>
        <w:rPr>
          <w:rFonts w:ascii="Arial" w:eastAsia="SimSun" w:hAnsi="Arial" w:cs="Arial"/>
          <w:sz w:val="22"/>
          <w:szCs w:val="22"/>
          <w:lang w:bidi="ar"/>
        </w:rPr>
        <w:t>(4), pp.847-858.</w:t>
      </w:r>
    </w:p>
    <w:p w14:paraId="4D914930" w14:textId="77777777" w:rsidR="00834A71" w:rsidRDefault="00000000">
      <w:pPr>
        <w:pStyle w:val="NormalWeb"/>
        <w:jc w:val="both"/>
        <w:rPr>
          <w:rFonts w:ascii="Arial" w:hAnsi="Arial" w:cs="Arial"/>
          <w:sz w:val="22"/>
          <w:szCs w:val="22"/>
        </w:rPr>
      </w:pPr>
      <w:r>
        <w:rPr>
          <w:rFonts w:ascii="Arial" w:hAnsi="Arial" w:cs="Arial"/>
          <w:sz w:val="22"/>
          <w:szCs w:val="22"/>
        </w:rPr>
        <w:t xml:space="preserve">Stuckler, D. and Basu, S. (2023). ‘Interconnections between SDGs and public health outcomes’, International Journal of Public Health. Available at: </w:t>
      </w:r>
      <w:hyperlink r:id="rId17" w:tgtFrame="_new" w:history="1">
        <w:r>
          <w:rPr>
            <w:rFonts w:ascii="Arial" w:hAnsi="Arial" w:cs="Arial"/>
            <w:sz w:val="22"/>
            <w:szCs w:val="22"/>
          </w:rPr>
          <w:t>https://www.ssph-journal.org/articles/10.3389/ijph.2023.1606901/full</w:t>
        </w:r>
      </w:hyperlink>
      <w:r>
        <w:rPr>
          <w:rFonts w:ascii="Arial" w:hAnsi="Arial" w:cs="Arial"/>
          <w:sz w:val="22"/>
          <w:szCs w:val="22"/>
        </w:rPr>
        <w:t>(Accessed: 27 November 2025).</w:t>
      </w:r>
    </w:p>
    <w:p w14:paraId="59B1821D"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Taccone, A. and Sinicropi, A. (2022), May. Healthy Cities with Healthy Streets, Towards a New Normal of Urban Health and Well-Being. In </w:t>
      </w:r>
      <w:r>
        <w:rPr>
          <w:rFonts w:ascii="Arial" w:eastAsia="SimSun" w:hAnsi="Arial" w:cs="Arial"/>
          <w:i/>
          <w:iCs/>
          <w:sz w:val="22"/>
          <w:szCs w:val="22"/>
          <w:lang w:bidi="ar"/>
        </w:rPr>
        <w:t>INTERNATIONAL SYMPOSIUM: New Metropolitan Perspectives</w:t>
      </w:r>
      <w:r>
        <w:rPr>
          <w:rFonts w:ascii="Arial" w:eastAsia="SimSun" w:hAnsi="Arial" w:cs="Arial"/>
          <w:sz w:val="22"/>
          <w:szCs w:val="22"/>
          <w:lang w:bidi="ar"/>
        </w:rPr>
        <w:t xml:space="preserve"> (pp. 612-621). Cham: Springer International Publishing.</w:t>
      </w:r>
    </w:p>
    <w:p w14:paraId="09D97DE9" w14:textId="77777777" w:rsidR="00834A71" w:rsidRDefault="00834A71">
      <w:pPr>
        <w:jc w:val="both"/>
        <w:rPr>
          <w:rFonts w:ascii="Arial" w:eastAsia="SimSun" w:hAnsi="Arial" w:cs="Arial"/>
          <w:sz w:val="22"/>
          <w:szCs w:val="22"/>
          <w:lang w:bidi="ar"/>
        </w:rPr>
      </w:pPr>
    </w:p>
    <w:p w14:paraId="77C01248"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Tsocheva, I., Scales, J., Dove, R., Chavda, J., Kalsi, H., Wood, H.E., Colligan, G., Cross, L., Newby, C., Hall, A. and Keating, M. (2023). Investigating the impact of London’s </w:t>
      </w:r>
      <w:proofErr w:type="spellStart"/>
      <w:r>
        <w:rPr>
          <w:rFonts w:ascii="Arial" w:eastAsia="SimSun" w:hAnsi="Arial" w:cs="Arial"/>
          <w:sz w:val="22"/>
          <w:szCs w:val="22"/>
          <w:lang w:bidi="ar"/>
        </w:rPr>
        <w:t>ultra low</w:t>
      </w:r>
      <w:proofErr w:type="spellEnd"/>
      <w:r>
        <w:rPr>
          <w:rFonts w:ascii="Arial" w:eastAsia="SimSun" w:hAnsi="Arial" w:cs="Arial"/>
          <w:sz w:val="22"/>
          <w:szCs w:val="22"/>
          <w:lang w:bidi="ar"/>
        </w:rPr>
        <w:t xml:space="preserve"> emission zone on children’s health: children’s health in London and Luton (CHILL) protocol for a prospective parallel cohort study. </w:t>
      </w:r>
      <w:r>
        <w:rPr>
          <w:rFonts w:ascii="Arial" w:eastAsia="SimSun" w:hAnsi="Arial" w:cs="Arial"/>
          <w:i/>
          <w:iCs/>
          <w:sz w:val="22"/>
          <w:szCs w:val="22"/>
          <w:lang w:bidi="ar"/>
        </w:rPr>
        <w:t>BMC pediatrics</w:t>
      </w:r>
      <w:r>
        <w:rPr>
          <w:rFonts w:ascii="Arial" w:eastAsia="SimSun" w:hAnsi="Arial" w:cs="Arial"/>
          <w:sz w:val="22"/>
          <w:szCs w:val="22"/>
          <w:lang w:bidi="ar"/>
        </w:rPr>
        <w:t xml:space="preserve">, </w:t>
      </w:r>
      <w:r>
        <w:rPr>
          <w:rFonts w:ascii="Arial" w:eastAsia="SimSun" w:hAnsi="Arial" w:cs="Arial"/>
          <w:i/>
          <w:iCs/>
          <w:sz w:val="22"/>
          <w:szCs w:val="22"/>
          <w:lang w:bidi="ar"/>
        </w:rPr>
        <w:t>23</w:t>
      </w:r>
      <w:r>
        <w:rPr>
          <w:rFonts w:ascii="Arial" w:eastAsia="SimSun" w:hAnsi="Arial" w:cs="Arial"/>
          <w:sz w:val="22"/>
          <w:szCs w:val="22"/>
          <w:lang w:bidi="ar"/>
        </w:rPr>
        <w:t>(1), p.556.</w:t>
      </w:r>
    </w:p>
    <w:p w14:paraId="1E8A4EAB" w14:textId="77777777" w:rsidR="00834A71" w:rsidRDefault="00000000">
      <w:pPr>
        <w:pStyle w:val="NormalWeb"/>
        <w:jc w:val="both"/>
        <w:rPr>
          <w:rFonts w:ascii="Arial" w:hAnsi="Arial" w:cs="Arial"/>
          <w:sz w:val="22"/>
          <w:szCs w:val="22"/>
        </w:rPr>
      </w:pPr>
      <w:r>
        <w:rPr>
          <w:rFonts w:ascii="Arial" w:hAnsi="Arial" w:cs="Arial"/>
          <w:sz w:val="22"/>
          <w:szCs w:val="22"/>
        </w:rPr>
        <w:lastRenderedPageBreak/>
        <w:t xml:space="preserve">UN (2015). Sustainable Development Goal 3: Ensure healthy lives and promote well-being for all at all ages. United Nations. Available at: </w:t>
      </w:r>
      <w:hyperlink r:id="rId18" w:tgtFrame="_new" w:history="1">
        <w:r>
          <w:rPr>
            <w:rFonts w:ascii="Arial" w:hAnsi="Arial" w:cs="Arial"/>
            <w:sz w:val="22"/>
            <w:szCs w:val="22"/>
          </w:rPr>
          <w:t>https://www.un.org/sustainabledevelopment/health/</w:t>
        </w:r>
      </w:hyperlink>
      <w:r>
        <w:rPr>
          <w:rFonts w:ascii="Arial" w:hAnsi="Arial" w:cs="Arial"/>
          <w:sz w:val="22"/>
          <w:szCs w:val="22"/>
        </w:rPr>
        <w:t xml:space="preserve"> (Accessed: 27 November 2025).</w:t>
      </w:r>
    </w:p>
    <w:p w14:paraId="3AF8A8FF" w14:textId="77777777" w:rsidR="00834A71" w:rsidRDefault="00000000">
      <w:pPr>
        <w:pStyle w:val="NormalWeb"/>
        <w:jc w:val="both"/>
        <w:rPr>
          <w:rFonts w:ascii="Arial" w:hAnsi="Arial" w:cs="Arial"/>
          <w:sz w:val="22"/>
          <w:szCs w:val="22"/>
        </w:rPr>
      </w:pPr>
      <w:r>
        <w:rPr>
          <w:rFonts w:ascii="Arial" w:hAnsi="Arial" w:cs="Arial"/>
          <w:sz w:val="22"/>
          <w:szCs w:val="22"/>
        </w:rPr>
        <w:t xml:space="preserve">United Nations (2015) </w:t>
      </w:r>
      <w:r>
        <w:rPr>
          <w:rStyle w:val="Emphasis"/>
          <w:rFonts w:ascii="Arial" w:hAnsi="Arial" w:cs="Arial"/>
          <w:sz w:val="22"/>
          <w:szCs w:val="22"/>
        </w:rPr>
        <w:t>Transforming our world: The 2030 Agenda for Sustainable Development.</w:t>
      </w:r>
      <w:r>
        <w:rPr>
          <w:rFonts w:ascii="Arial" w:hAnsi="Arial" w:cs="Arial"/>
          <w:sz w:val="22"/>
          <w:szCs w:val="22"/>
        </w:rPr>
        <w:t xml:space="preserve"> New York: United Nations.</w:t>
      </w:r>
    </w:p>
    <w:p w14:paraId="70782549" w14:textId="77777777" w:rsidR="00834A71" w:rsidRDefault="00000000">
      <w:pPr>
        <w:pStyle w:val="NormalWeb"/>
        <w:jc w:val="both"/>
        <w:rPr>
          <w:rFonts w:ascii="Arial" w:hAnsi="Arial" w:cs="Arial"/>
          <w:sz w:val="22"/>
          <w:szCs w:val="22"/>
        </w:rPr>
      </w:pPr>
      <w:r>
        <w:rPr>
          <w:rFonts w:ascii="Arial" w:hAnsi="Arial" w:cs="Arial"/>
          <w:sz w:val="22"/>
          <w:szCs w:val="22"/>
        </w:rPr>
        <w:t xml:space="preserve">Watts, N. et al. (2022) ‘The 2022 report of the Lancet Countdown on health and climate change’, </w:t>
      </w:r>
      <w:r>
        <w:rPr>
          <w:rStyle w:val="Emphasis"/>
          <w:rFonts w:ascii="Arial" w:hAnsi="Arial" w:cs="Arial"/>
          <w:sz w:val="22"/>
          <w:szCs w:val="22"/>
        </w:rPr>
        <w:t>The Lancet</w:t>
      </w:r>
      <w:r>
        <w:rPr>
          <w:rFonts w:ascii="Arial" w:hAnsi="Arial" w:cs="Arial"/>
          <w:sz w:val="22"/>
          <w:szCs w:val="22"/>
        </w:rPr>
        <w:t>, 400(10363), pp. 1619–1654.</w:t>
      </w:r>
    </w:p>
    <w:p w14:paraId="4C3B5BE1"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Whitman, A., De Lew, N., Chappel, A., </w:t>
      </w:r>
      <w:proofErr w:type="spellStart"/>
      <w:r>
        <w:rPr>
          <w:rFonts w:ascii="Arial" w:eastAsia="SimSun" w:hAnsi="Arial" w:cs="Arial"/>
          <w:sz w:val="22"/>
          <w:szCs w:val="22"/>
          <w:lang w:bidi="ar"/>
        </w:rPr>
        <w:t>Aysola</w:t>
      </w:r>
      <w:proofErr w:type="spellEnd"/>
      <w:r>
        <w:rPr>
          <w:rFonts w:ascii="Arial" w:eastAsia="SimSun" w:hAnsi="Arial" w:cs="Arial"/>
          <w:sz w:val="22"/>
          <w:szCs w:val="22"/>
          <w:lang w:bidi="ar"/>
        </w:rPr>
        <w:t xml:space="preserve">, V., Zuckerman, R. and Sommers, B.D. (2022). Addressing social determinants of health: Examples of successful evidence-based strategies and current federal efforts. </w:t>
      </w:r>
      <w:r>
        <w:rPr>
          <w:rFonts w:ascii="Arial" w:eastAsia="SimSun" w:hAnsi="Arial" w:cs="Arial"/>
          <w:i/>
          <w:iCs/>
          <w:sz w:val="22"/>
          <w:szCs w:val="22"/>
          <w:lang w:bidi="ar"/>
        </w:rPr>
        <w:t>Off Heal Policy</w:t>
      </w:r>
      <w:r>
        <w:rPr>
          <w:rFonts w:ascii="Arial" w:eastAsia="SimSun" w:hAnsi="Arial" w:cs="Arial"/>
          <w:sz w:val="22"/>
          <w:szCs w:val="22"/>
          <w:lang w:bidi="ar"/>
        </w:rPr>
        <w:t xml:space="preserve">, </w:t>
      </w:r>
      <w:r>
        <w:rPr>
          <w:rFonts w:ascii="Arial" w:eastAsia="SimSun" w:hAnsi="Arial" w:cs="Arial"/>
          <w:i/>
          <w:iCs/>
          <w:sz w:val="22"/>
          <w:szCs w:val="22"/>
          <w:lang w:bidi="ar"/>
        </w:rPr>
        <w:t>1</w:t>
      </w:r>
      <w:r>
        <w:rPr>
          <w:rFonts w:ascii="Arial" w:eastAsia="SimSun" w:hAnsi="Arial" w:cs="Arial"/>
          <w:sz w:val="22"/>
          <w:szCs w:val="22"/>
          <w:lang w:bidi="ar"/>
        </w:rPr>
        <w:t>, pp.1-30.</w:t>
      </w:r>
    </w:p>
    <w:p w14:paraId="1C40920B" w14:textId="77777777" w:rsidR="00834A71" w:rsidRDefault="00834A71">
      <w:pPr>
        <w:jc w:val="both"/>
        <w:rPr>
          <w:rFonts w:ascii="Arial" w:eastAsia="SimSun" w:hAnsi="Arial" w:cs="Arial"/>
          <w:sz w:val="22"/>
          <w:szCs w:val="22"/>
          <w:lang w:bidi="ar"/>
        </w:rPr>
      </w:pPr>
    </w:p>
    <w:p w14:paraId="742F7886"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World Health Organization (2015). </w:t>
      </w:r>
      <w:r>
        <w:rPr>
          <w:rFonts w:ascii="Arial" w:eastAsia="SimSun" w:hAnsi="Arial" w:cs="Arial"/>
          <w:i/>
          <w:iCs/>
          <w:sz w:val="22"/>
          <w:szCs w:val="22"/>
          <w:lang w:bidi="ar"/>
        </w:rPr>
        <w:t>Tracking universal health coverage: first global monitoring report</w:t>
      </w:r>
      <w:r>
        <w:rPr>
          <w:rFonts w:ascii="Arial" w:eastAsia="SimSun" w:hAnsi="Arial" w:cs="Arial"/>
          <w:sz w:val="22"/>
          <w:szCs w:val="22"/>
          <w:lang w:bidi="ar"/>
        </w:rPr>
        <w:t>. World Health Organization.</w:t>
      </w:r>
    </w:p>
    <w:p w14:paraId="5C2FA649" w14:textId="77777777" w:rsidR="00834A71" w:rsidRDefault="00834A71">
      <w:pPr>
        <w:jc w:val="both"/>
        <w:rPr>
          <w:rFonts w:ascii="Arial" w:eastAsia="SimSun" w:hAnsi="Arial" w:cs="Arial"/>
          <w:sz w:val="22"/>
          <w:szCs w:val="22"/>
          <w:lang w:bidi="ar"/>
        </w:rPr>
      </w:pPr>
    </w:p>
    <w:p w14:paraId="2B0B373B" w14:textId="77777777" w:rsidR="00834A71" w:rsidRDefault="00000000">
      <w:pPr>
        <w:jc w:val="both"/>
        <w:rPr>
          <w:rFonts w:ascii="Arial" w:hAnsi="Arial" w:cs="Arial"/>
          <w:sz w:val="22"/>
          <w:szCs w:val="22"/>
        </w:rPr>
      </w:pPr>
      <w:r>
        <w:rPr>
          <w:rFonts w:ascii="Arial" w:eastAsia="SimSun" w:hAnsi="Arial" w:cs="Arial"/>
          <w:sz w:val="22"/>
          <w:szCs w:val="22"/>
          <w:lang w:bidi="ar"/>
        </w:rPr>
        <w:t xml:space="preserve">World Health Organization (2020). </w:t>
      </w:r>
      <w:r>
        <w:rPr>
          <w:rFonts w:ascii="Arial" w:eastAsia="SimSun" w:hAnsi="Arial" w:cs="Arial"/>
          <w:i/>
          <w:iCs/>
          <w:sz w:val="22"/>
          <w:szCs w:val="22"/>
          <w:lang w:bidi="ar"/>
        </w:rPr>
        <w:t xml:space="preserve">WHO global strategy on health, environment and climate change: the transformation needed to improve lives and </w:t>
      </w:r>
      <w:proofErr w:type="spellStart"/>
      <w:r>
        <w:rPr>
          <w:rFonts w:ascii="Arial" w:eastAsia="SimSun" w:hAnsi="Arial" w:cs="Arial"/>
          <w:i/>
          <w:iCs/>
          <w:sz w:val="22"/>
          <w:szCs w:val="22"/>
          <w:lang w:bidi="ar"/>
        </w:rPr>
        <w:t>well being</w:t>
      </w:r>
      <w:proofErr w:type="spellEnd"/>
      <w:r>
        <w:rPr>
          <w:rFonts w:ascii="Arial" w:eastAsia="SimSun" w:hAnsi="Arial" w:cs="Arial"/>
          <w:i/>
          <w:iCs/>
          <w:sz w:val="22"/>
          <w:szCs w:val="22"/>
          <w:lang w:bidi="ar"/>
        </w:rPr>
        <w:t xml:space="preserve"> sustainably through healthy environments</w:t>
      </w:r>
      <w:r>
        <w:rPr>
          <w:rFonts w:ascii="Arial" w:eastAsia="SimSun" w:hAnsi="Arial" w:cs="Arial"/>
          <w:sz w:val="22"/>
          <w:szCs w:val="22"/>
          <w:lang w:bidi="ar"/>
        </w:rPr>
        <w:t>. World Health Organization.</w:t>
      </w:r>
    </w:p>
    <w:p w14:paraId="68529DCF" w14:textId="77777777" w:rsidR="00834A71" w:rsidRDefault="00000000">
      <w:pPr>
        <w:pStyle w:val="NormalWeb"/>
        <w:jc w:val="both"/>
        <w:rPr>
          <w:rFonts w:ascii="Arial" w:hAnsi="Arial" w:cs="Arial"/>
          <w:sz w:val="22"/>
          <w:szCs w:val="22"/>
        </w:rPr>
      </w:pPr>
      <w:r>
        <w:rPr>
          <w:rFonts w:ascii="Arial" w:hAnsi="Arial" w:cs="Arial"/>
          <w:sz w:val="22"/>
          <w:szCs w:val="22"/>
        </w:rPr>
        <w:t xml:space="preserve">World Health Organization (2021). </w:t>
      </w:r>
      <w:r>
        <w:rPr>
          <w:rStyle w:val="Emphasis"/>
          <w:rFonts w:ascii="Arial" w:hAnsi="Arial" w:cs="Arial"/>
          <w:sz w:val="22"/>
          <w:szCs w:val="22"/>
        </w:rPr>
        <w:t>World Health Statistics 2021.</w:t>
      </w:r>
      <w:r>
        <w:rPr>
          <w:rFonts w:ascii="Arial" w:hAnsi="Arial" w:cs="Arial"/>
          <w:sz w:val="22"/>
          <w:szCs w:val="22"/>
        </w:rPr>
        <w:t xml:space="preserve"> Geneva: WHO.</w:t>
      </w:r>
    </w:p>
    <w:p w14:paraId="447D0410" w14:textId="77777777" w:rsidR="00834A71" w:rsidRDefault="00834A71">
      <w:pPr>
        <w:spacing w:line="360" w:lineRule="auto"/>
        <w:jc w:val="both"/>
        <w:rPr>
          <w:rFonts w:ascii="Arial" w:hAnsi="Arial" w:cs="Arial"/>
          <w:sz w:val="22"/>
          <w:szCs w:val="22"/>
        </w:rPr>
      </w:pPr>
    </w:p>
    <w:sectPr w:rsidR="00834A71">
      <w:footerReference w:type="default" r:id="rId19"/>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F4E2C" w14:textId="77777777" w:rsidR="004A0017" w:rsidRDefault="004A0017">
      <w:r>
        <w:separator/>
      </w:r>
    </w:p>
  </w:endnote>
  <w:endnote w:type="continuationSeparator" w:id="0">
    <w:p w14:paraId="36BAF552" w14:textId="77777777" w:rsidR="004A0017" w:rsidRDefault="004A0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E2B52" w14:textId="77777777" w:rsidR="00D97DB7" w:rsidRDefault="00D97DB7">
    <w:pPr>
      <w:pStyle w:val="Footer"/>
      <w:jc w:val="center"/>
    </w:pPr>
    <w:r>
      <w:rPr>
        <w:noProof/>
        <w:sz w:val="22"/>
      </w:rPr>
      <mc:AlternateContent>
        <mc:Choice Requires="wps">
          <w:drawing>
            <wp:anchor distT="0" distB="0" distL="114300" distR="114300" simplePos="0" relativeHeight="251661312" behindDoc="0" locked="0" layoutInCell="1" allowOverlap="1" wp14:anchorId="4345359A" wp14:editId="51262844">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1649"/>
                          </w:sdtPr>
                          <w:sdtContent>
                            <w:p w14:paraId="6C7DF242" w14:textId="77777777" w:rsidR="00D97DB7" w:rsidRDefault="00D97DB7">
                              <w:pPr>
                                <w:pStyle w:val="Emphasis"/>
                                <w:jc w:val="center"/>
                              </w:pPr>
                              <w:r>
                                <w:fldChar w:fldCharType="begin"/>
                              </w:r>
                              <w:r>
                                <w:instrText xml:space="preserve"> PAGE   \* MERGEFORMAT </w:instrText>
                              </w:r>
                              <w:r>
                                <w:fldChar w:fldCharType="separate"/>
                              </w:r>
                              <w:r>
                                <w:t>2</w:t>
                              </w:r>
                              <w:r>
                                <w:fldChar w:fldCharType="end"/>
                              </w:r>
                            </w:p>
                          </w:sdtContent>
                        </w:sdt>
                        <w:p w14:paraId="36C3BC0C" w14:textId="77777777" w:rsidR="00D97DB7" w:rsidRDefault="00D97DB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345359A" id="_x0000_t202" coordsize="21600,21600" o:spt="202" path="m,l,21600r21600,l21600,xe">
              <v:stroke joinstyle="miter"/>
              <v:path gradientshapeok="t" o:connecttype="rect"/>
            </v:shapetype>
            <v:shape id="Text Box 2"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147451649"/>
                    </w:sdtPr>
                    <w:sdtContent>
                      <w:p w14:paraId="6C7DF242" w14:textId="77777777" w:rsidR="00D97DB7" w:rsidRDefault="00D97DB7">
                        <w:pPr>
                          <w:pStyle w:val="Emphasis"/>
                          <w:jc w:val="center"/>
                        </w:pPr>
                        <w:r>
                          <w:fldChar w:fldCharType="begin"/>
                        </w:r>
                        <w:r>
                          <w:instrText xml:space="preserve"> PAGE   \* MERGEFORMAT </w:instrText>
                        </w:r>
                        <w:r>
                          <w:fldChar w:fldCharType="separate"/>
                        </w:r>
                        <w:r>
                          <w:t>2</w:t>
                        </w:r>
                        <w:r>
                          <w:fldChar w:fldCharType="end"/>
                        </w:r>
                      </w:p>
                    </w:sdtContent>
                  </w:sdt>
                  <w:p w14:paraId="36C3BC0C" w14:textId="77777777" w:rsidR="00D97DB7" w:rsidRDefault="00D97DB7"/>
                </w:txbxContent>
              </v:textbox>
              <w10:wrap anchorx="margin"/>
            </v:shape>
          </w:pict>
        </mc:Fallback>
      </mc:AlternateContent>
    </w:r>
  </w:p>
  <w:p w14:paraId="4920CB52" w14:textId="77777777" w:rsidR="00D97DB7" w:rsidRDefault="00D97DB7">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3FD3C" w14:textId="77777777" w:rsidR="00834A71" w:rsidRDefault="00000000">
    <w:pPr>
      <w:pStyle w:val="Footer"/>
    </w:pPr>
    <w:r>
      <w:rPr>
        <w:noProof/>
      </w:rPr>
      <mc:AlternateContent>
        <mc:Choice Requires="wps">
          <w:drawing>
            <wp:anchor distT="0" distB="0" distL="114300" distR="114300" simplePos="0" relativeHeight="251659264" behindDoc="0" locked="0" layoutInCell="1" allowOverlap="1" wp14:anchorId="2CDEC7E8" wp14:editId="79A7D93B">
              <wp:simplePos x="0" y="0"/>
              <wp:positionH relativeFrom="margin">
                <wp:align>left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745B75A" w14:textId="77777777" w:rsidR="00834A71"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CDEC7E8" id="_x0000_t202" coordsize="21600,21600" o:spt="202" path="m,l,21600r21600,l21600,xe">
              <v:stroke joinstyle="miter"/>
              <v:path gradientshapeok="t" o:connecttype="rect"/>
            </v:shapetype>
            <v:shape id="Text Box 1" o:spid="_x0000_s1027" type="#_x0000_t202" style="position:absolute;margin-left:0;margin-top:0;width:2in;height:2in;z-index:25165926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" filled="f" fillcolor="white [3201]" stroked="f" strokeweight=".5pt">
              <v:textbox style="mso-fit-shape-to-text:t" inset="0,0,0,0">
                <w:txbxContent>
                  <w:p w14:paraId="3745B75A" w14:textId="77777777" w:rsidR="00834A71"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3A9D7" w14:textId="77777777" w:rsidR="004A0017" w:rsidRDefault="004A0017">
      <w:r>
        <w:separator/>
      </w:r>
    </w:p>
  </w:footnote>
  <w:footnote w:type="continuationSeparator" w:id="0">
    <w:p w14:paraId="7D0210BD" w14:textId="77777777" w:rsidR="004A0017" w:rsidRDefault="004A0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FC0228"/>
    <w:multiLevelType w:val="multilevel"/>
    <w:tmpl w:val="5CFC0228"/>
    <w:lvl w:ilvl="0">
      <w:start w:val="3"/>
      <w:numFmt w:val="decimal"/>
      <w:lvlText w:val="%1"/>
      <w:lvlJc w:val="left"/>
      <w:pPr>
        <w:ind w:left="705" w:hanging="345"/>
      </w:pPr>
      <w:rPr>
        <w:rFonts w:hint="default"/>
        <w:lang w:val="en-US" w:eastAsia="en-US" w:bidi="ar-SA"/>
      </w:rPr>
    </w:lvl>
    <w:lvl w:ilvl="1">
      <w:start w:val="1"/>
      <w:numFmt w:val="decimal"/>
      <w:lvlText w:val="%1.%2"/>
      <w:lvlJc w:val="left"/>
      <w:pPr>
        <w:ind w:left="705" w:hanging="345"/>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576" w:hanging="345"/>
      </w:pPr>
      <w:rPr>
        <w:rFonts w:hint="default"/>
        <w:lang w:val="en-US" w:eastAsia="en-US" w:bidi="ar-SA"/>
      </w:rPr>
    </w:lvl>
    <w:lvl w:ilvl="3">
      <w:numFmt w:val="bullet"/>
      <w:lvlText w:val="•"/>
      <w:lvlJc w:val="left"/>
      <w:pPr>
        <w:ind w:left="3514" w:hanging="345"/>
      </w:pPr>
      <w:rPr>
        <w:rFonts w:hint="default"/>
        <w:lang w:val="en-US" w:eastAsia="en-US" w:bidi="ar-SA"/>
      </w:rPr>
    </w:lvl>
    <w:lvl w:ilvl="4">
      <w:numFmt w:val="bullet"/>
      <w:lvlText w:val="•"/>
      <w:lvlJc w:val="left"/>
      <w:pPr>
        <w:ind w:left="4452" w:hanging="345"/>
      </w:pPr>
      <w:rPr>
        <w:rFonts w:hint="default"/>
        <w:lang w:val="en-US" w:eastAsia="en-US" w:bidi="ar-SA"/>
      </w:rPr>
    </w:lvl>
    <w:lvl w:ilvl="5">
      <w:numFmt w:val="bullet"/>
      <w:lvlText w:val="•"/>
      <w:lvlJc w:val="left"/>
      <w:pPr>
        <w:ind w:left="5390" w:hanging="345"/>
      </w:pPr>
      <w:rPr>
        <w:rFonts w:hint="default"/>
        <w:lang w:val="en-US" w:eastAsia="en-US" w:bidi="ar-SA"/>
      </w:rPr>
    </w:lvl>
    <w:lvl w:ilvl="6">
      <w:numFmt w:val="bullet"/>
      <w:lvlText w:val="•"/>
      <w:lvlJc w:val="left"/>
      <w:pPr>
        <w:ind w:left="6328" w:hanging="345"/>
      </w:pPr>
      <w:rPr>
        <w:rFonts w:hint="default"/>
        <w:lang w:val="en-US" w:eastAsia="en-US" w:bidi="ar-SA"/>
      </w:rPr>
    </w:lvl>
    <w:lvl w:ilvl="7">
      <w:numFmt w:val="bullet"/>
      <w:lvlText w:val="•"/>
      <w:lvlJc w:val="left"/>
      <w:pPr>
        <w:ind w:left="7266" w:hanging="345"/>
      </w:pPr>
      <w:rPr>
        <w:rFonts w:hint="default"/>
        <w:lang w:val="en-US" w:eastAsia="en-US" w:bidi="ar-SA"/>
      </w:rPr>
    </w:lvl>
    <w:lvl w:ilvl="8">
      <w:numFmt w:val="bullet"/>
      <w:lvlText w:val="•"/>
      <w:lvlJc w:val="left"/>
      <w:pPr>
        <w:ind w:left="8204" w:hanging="345"/>
      </w:pPr>
      <w:rPr>
        <w:rFonts w:hint="default"/>
        <w:lang w:val="en-US" w:eastAsia="en-US" w:bidi="ar-SA"/>
      </w:rPr>
    </w:lvl>
  </w:abstractNum>
  <w:num w:numId="1" w16cid:durableId="856970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172A27"/>
    <w:rsid w:val="002B4422"/>
    <w:rsid w:val="004A0017"/>
    <w:rsid w:val="00834A71"/>
    <w:rsid w:val="00D32E63"/>
    <w:rsid w:val="00D97DB7"/>
    <w:rsid w:val="00DC5BD5"/>
    <w:rsid w:val="01686D9B"/>
    <w:rsid w:val="0B3E26EE"/>
    <w:rsid w:val="0B5A4B75"/>
    <w:rsid w:val="0FC30147"/>
    <w:rsid w:val="133621DF"/>
    <w:rsid w:val="139075B6"/>
    <w:rsid w:val="15FE0523"/>
    <w:rsid w:val="31E72A67"/>
    <w:rsid w:val="56CC4D76"/>
    <w:rsid w:val="647A4261"/>
    <w:rsid w:val="749D0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FCC2F2"/>
  <w15:docId w15:val="{C58BC488-251D-4DFC-A073-F0CA74A6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footer" w:uiPriority="99"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val="en-US" w:eastAsia="zh-CN"/>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character" w:styleId="Emphasis">
    <w:name w:val="Emphasis"/>
    <w:basedOn w:val="DefaultParagraphFont"/>
    <w:qFormat/>
    <w:rPr>
      <w:i/>
      <w:iCs/>
    </w:rPr>
  </w:style>
  <w:style w:type="paragraph" w:styleId="Footer">
    <w:name w:val="footer"/>
    <w:basedOn w:val="Normal"/>
    <w:uiPriority w:val="99"/>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uiPriority w:val="39"/>
    <w:qFormat/>
    <w:pPr>
      <w:widowControl w:val="0"/>
      <w:autoSpaceDE w:val="0"/>
      <w:autoSpaceDN w:val="0"/>
      <w:spacing w:before="169"/>
      <w:ind w:left="360"/>
    </w:pPr>
    <w:rPr>
      <w:rFonts w:ascii="Calibri Light" w:eastAsia="Calibri Light" w:hAnsi="Calibri Light" w:cs="Calibri Light"/>
      <w:sz w:val="24"/>
      <w:szCs w:val="24"/>
      <w:lang w:bidi="en-GB"/>
    </w:rPr>
  </w:style>
  <w:style w:type="paragraph" w:styleId="ListParagraph">
    <w:name w:val="List Paragraph"/>
    <w:uiPriority w:val="1"/>
    <w:qFormat/>
    <w:pPr>
      <w:widowControl w:val="0"/>
      <w:autoSpaceDE w:val="0"/>
      <w:autoSpaceDN w:val="0"/>
      <w:ind w:left="383" w:hanging="360"/>
    </w:pPr>
    <w:rPr>
      <w:rFonts w:ascii="Calibri Light" w:eastAsia="Calibri Light" w:hAnsi="Calibri Light" w:cs="Calibri Light"/>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ssa.int/analysis/greening-health-care-social-security-and-environmental-preservation?utm_source=chatgpt.com" TargetMode="External"/><Relationship Id="rId18" Type="http://schemas.openxmlformats.org/officeDocument/2006/relationships/hyperlink" Target="https://www.un.org/sustainabledevelopment/health/"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ssph-journal.org/articles/10.3389/ijph.2023.1606901/full?utm_source=chatgpt.com" TargetMode="External"/><Relationship Id="rId2" Type="http://schemas.openxmlformats.org/officeDocument/2006/relationships/customXml" Target="../customXml/item2.xml"/><Relationship Id="rId16" Type="http://schemas.openxmlformats.org/officeDocument/2006/relationships/hyperlink" Target="https://pmc.ncbi.nlm.nih.gov/articles/PMC8667546/?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globalizationandhealth.biomedcentral.com/articles/10.1186/s12992-021-00703-6?utm_source=chatgpt.com"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article/10.1186/s12982-025-01045-z?utm_source=chatgpt.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13" ma:contentTypeDescription="Create a new document." ma:contentTypeScope="" ma:versionID="ab4edda7d5ca1cdd97b1b2a23eeec312">
  <xsd:schema xmlns:xsd="http://www.w3.org/2001/XMLSchema" xmlns:xs="http://www.w3.org/2001/XMLSchema" xmlns:p="http://schemas.microsoft.com/office/2006/metadata/properties" xmlns:ns3="0d4f6ffa-9f28-4e2a-a23f-4264c91c95c3" xmlns:ns4="a5bd8bae-d77b-4579-b242-1f3afbf66184" targetNamespace="http://schemas.microsoft.com/office/2006/metadata/properties" ma:root="true" ma:fieldsID="58444de86db8d19bc20b32d1fcca2d72" ns3:_="" ns4:_="">
    <xsd:import namespace="0d4f6ffa-9f28-4e2a-a23f-4264c91c95c3"/>
    <xsd:import namespace="a5bd8bae-d77b-4579-b242-1f3afbf6618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bd8bae-d77b-4579-b242-1f3afbf661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d4f6ffa-9f28-4e2a-a23f-4264c91c95c3"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27CDAE-BF3E-47BF-AFAF-874A0EE8E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a5bd8bae-d77b-4579-b242-1f3afbf661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EBEE6E-408B-42B1-8D07-B2950ACD5747}">
  <ds:schemaRefs>
    <ds:schemaRef ds:uri="http://schemas.microsoft.com/sharepoint/v3/contenttype/forms"/>
  </ds:schemaRefs>
</ds:datastoreItem>
</file>

<file path=customXml/itemProps4.xml><?xml version="1.0" encoding="utf-8"?>
<ds:datastoreItem xmlns:ds="http://schemas.openxmlformats.org/officeDocument/2006/customXml" ds:itemID="{7C3B8793-1FEF-4240-B12F-1861F5CA08FF}">
  <ds:schemaRefs>
    <ds:schemaRef ds:uri="http://schemas.microsoft.com/office/2006/metadata/properties"/>
    <ds:schemaRef ds:uri="http://schemas.microsoft.com/office/infopath/2007/PartnerControls"/>
    <ds:schemaRef ds:uri="0d4f6ffa-9f28-4e2a-a23f-4264c91c95c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3935</Words>
  <Characters>22435</Characters>
  <Application>Microsoft Office Word</Application>
  <DocSecurity>0</DocSecurity>
  <Lines>186</Lines>
  <Paragraphs>52</Paragraphs>
  <ScaleCrop>false</ScaleCrop>
  <Company/>
  <LinksUpToDate>false</LinksUpToDate>
  <CharactersWithSpaces>26318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ADEGOKE Omofolasaye Omobolanle</dc:creator>
  <cp:lastModifiedBy>Molloy Montaque (2235978)</cp:lastModifiedBy>
  <cp:revision>4</cp:revision>
  <dcterms:created xsi:type="dcterms:W3CDTF">2025-12-13T22:06:00Z</dcterms:created>
  <dcterms:modified xsi:type="dcterms:W3CDTF">2025-12-13T22:11:00Z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1E17B2202602408C875EC06CD6163780_11</vt:lpwstr>
  </property>
  <property fmtid="{D5CDD505-2E9C-101B-9397-08002B2CF9AE}" pid="4" name="ContentTypeId">
    <vt:lpwstr>0x01010098FB5106338644429E3BDE2B2F67710C</vt:lpwstr>
  </property>
</Properties>
</file>