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60FDE" w14:textId="6C872EA0" w:rsidR="00894346" w:rsidRDefault="005B64F8" w:rsidP="00517BE2">
      <w:pPr>
        <w:spacing w:line="360" w:lineRule="auto"/>
      </w:pPr>
      <w:r>
        <w:rPr>
          <w:noProof/>
        </w:rPr>
        <w:drawing>
          <wp:inline distT="0" distB="0" distL="0" distR="0" wp14:anchorId="19149C2D" wp14:editId="46B81B20">
            <wp:extent cx="4171950" cy="1590675"/>
            <wp:effectExtent l="0" t="0" r="0" b="0"/>
            <wp:docPr id="1969032322" name="Picture 196903232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032322" name="Picture 1969032322" descr="A black background with a black squar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171950" cy="1590675"/>
                    </a:xfrm>
                    <a:prstGeom prst="rect">
                      <a:avLst/>
                    </a:prstGeom>
                  </pic:spPr>
                </pic:pic>
              </a:graphicData>
            </a:graphic>
          </wp:inline>
        </w:drawing>
      </w:r>
    </w:p>
    <w:p w14:paraId="397BEA31" w14:textId="61D431D7" w:rsidR="00894346" w:rsidRDefault="00894346" w:rsidP="00517BE2">
      <w:pPr>
        <w:spacing w:line="360" w:lineRule="auto"/>
      </w:pPr>
    </w:p>
    <w:p w14:paraId="2488EF5B" w14:textId="34533F44" w:rsidR="00894346" w:rsidRDefault="00894346" w:rsidP="00517BE2">
      <w:pPr>
        <w:spacing w:line="360" w:lineRule="auto"/>
      </w:pPr>
    </w:p>
    <w:p w14:paraId="4F1342F3" w14:textId="77777777" w:rsidR="005B64F8" w:rsidRDefault="005B64F8" w:rsidP="005B64F8">
      <w:pPr>
        <w:rPr>
          <w:rFonts w:eastAsia="Arial"/>
          <w:color w:val="000000" w:themeColor="text1"/>
        </w:rPr>
      </w:pPr>
      <w:r w:rsidRPr="11F355B4">
        <w:rPr>
          <w:rFonts w:eastAsia="Arial"/>
          <w:color w:val="000000" w:themeColor="text1"/>
        </w:rPr>
        <w:t xml:space="preserve">Name: </w:t>
      </w:r>
      <w:r>
        <w:rPr>
          <w:rFonts w:eastAsia="Arial"/>
          <w:color w:val="000000" w:themeColor="text1"/>
        </w:rPr>
        <w:t>Refat Parveen</w:t>
      </w:r>
    </w:p>
    <w:p w14:paraId="30FC3F64" w14:textId="77777777" w:rsidR="005B64F8" w:rsidRDefault="005B64F8" w:rsidP="005B64F8">
      <w:pPr>
        <w:rPr>
          <w:rFonts w:eastAsia="Arial"/>
          <w:color w:val="000000" w:themeColor="text1"/>
        </w:rPr>
      </w:pPr>
      <w:r w:rsidRPr="11F355B4">
        <w:rPr>
          <w:rFonts w:eastAsia="Arial"/>
          <w:color w:val="000000" w:themeColor="text1"/>
        </w:rPr>
        <w:t xml:space="preserve">Student no: </w:t>
      </w:r>
      <w:r>
        <w:rPr>
          <w:rFonts w:eastAsia="Arial"/>
          <w:color w:val="000000" w:themeColor="text1"/>
        </w:rPr>
        <w:t>2314745</w:t>
      </w:r>
    </w:p>
    <w:p w14:paraId="5818B45F" w14:textId="00174793" w:rsidR="005B64F8" w:rsidRDefault="005B64F8" w:rsidP="005B64F8">
      <w:pPr>
        <w:rPr>
          <w:rFonts w:eastAsia="Arial"/>
          <w:color w:val="000000" w:themeColor="text1"/>
        </w:rPr>
      </w:pPr>
      <w:r w:rsidRPr="11F355B4">
        <w:rPr>
          <w:rFonts w:eastAsia="Arial"/>
          <w:color w:val="000000" w:themeColor="text1"/>
        </w:rPr>
        <w:t xml:space="preserve">Module: </w:t>
      </w:r>
      <w:r>
        <w:rPr>
          <w:rFonts w:eastAsia="Arial"/>
          <w:color w:val="000000" w:themeColor="text1"/>
        </w:rPr>
        <w:t xml:space="preserve">Digital Transformation in the Health </w:t>
      </w:r>
      <w:proofErr w:type="spellStart"/>
      <w:r>
        <w:rPr>
          <w:rFonts w:eastAsia="Arial"/>
          <w:color w:val="000000" w:themeColor="text1"/>
        </w:rPr>
        <w:t>nd</w:t>
      </w:r>
      <w:proofErr w:type="spellEnd"/>
      <w:r>
        <w:rPr>
          <w:rFonts w:eastAsia="Arial"/>
          <w:color w:val="000000" w:themeColor="text1"/>
        </w:rPr>
        <w:t xml:space="preserve"> Care Professions: The Case </w:t>
      </w:r>
      <w:proofErr w:type="gramStart"/>
      <w:r>
        <w:rPr>
          <w:rFonts w:eastAsia="Arial"/>
          <w:color w:val="000000" w:themeColor="text1"/>
        </w:rPr>
        <w:t>Of</w:t>
      </w:r>
      <w:proofErr w:type="gramEnd"/>
      <w:r>
        <w:rPr>
          <w:rFonts w:eastAsia="Arial"/>
          <w:color w:val="000000" w:themeColor="text1"/>
        </w:rPr>
        <w:t xml:space="preserve"> </w:t>
      </w:r>
      <w:proofErr w:type="spellStart"/>
      <w:r>
        <w:rPr>
          <w:rFonts w:eastAsia="Arial"/>
          <w:color w:val="000000" w:themeColor="text1"/>
        </w:rPr>
        <w:t>Electroni</w:t>
      </w:r>
      <w:proofErr w:type="spellEnd"/>
      <w:r>
        <w:rPr>
          <w:rFonts w:eastAsia="Arial"/>
          <w:color w:val="000000" w:themeColor="text1"/>
        </w:rPr>
        <w:t xml:space="preserve"> Patient Records (EPR)</w:t>
      </w:r>
    </w:p>
    <w:p w14:paraId="46CC8092" w14:textId="6686EE94" w:rsidR="005B64F8" w:rsidRDefault="005B64F8" w:rsidP="005B64F8">
      <w:pPr>
        <w:rPr>
          <w:rFonts w:eastAsia="Arial"/>
          <w:color w:val="000000" w:themeColor="text1"/>
        </w:rPr>
      </w:pPr>
      <w:r w:rsidRPr="11F355B4">
        <w:rPr>
          <w:rFonts w:eastAsia="Arial"/>
          <w:color w:val="000000" w:themeColor="text1"/>
        </w:rPr>
        <w:t>Module Code: BMHP</w:t>
      </w:r>
      <w:r>
        <w:rPr>
          <w:rFonts w:eastAsia="Arial"/>
          <w:color w:val="000000" w:themeColor="text1"/>
        </w:rPr>
        <w:t>6</w:t>
      </w:r>
      <w:r>
        <w:rPr>
          <w:rFonts w:eastAsia="Arial"/>
          <w:color w:val="000000" w:themeColor="text1"/>
        </w:rPr>
        <w:t>026</w:t>
      </w:r>
    </w:p>
    <w:p w14:paraId="2E6D35A2" w14:textId="677BB1DF" w:rsidR="005B64F8" w:rsidRDefault="005B64F8" w:rsidP="005B64F8">
      <w:pPr>
        <w:rPr>
          <w:rFonts w:eastAsia="Arial"/>
          <w:color w:val="000000" w:themeColor="text1"/>
        </w:rPr>
      </w:pPr>
      <w:r>
        <w:rPr>
          <w:rFonts w:eastAsia="Arial"/>
          <w:color w:val="000000" w:themeColor="text1"/>
        </w:rPr>
        <w:t xml:space="preserve">Component </w:t>
      </w:r>
      <w:proofErr w:type="gramStart"/>
      <w:r>
        <w:rPr>
          <w:rFonts w:eastAsia="Arial"/>
          <w:color w:val="000000" w:themeColor="text1"/>
        </w:rPr>
        <w:t>2 :</w:t>
      </w:r>
      <w:proofErr w:type="gramEnd"/>
      <w:r>
        <w:rPr>
          <w:rFonts w:eastAsia="Arial"/>
          <w:color w:val="000000" w:themeColor="text1"/>
        </w:rPr>
        <w:t xml:space="preserve"> Written </w:t>
      </w:r>
      <w:r>
        <w:rPr>
          <w:rFonts w:eastAsia="Arial"/>
          <w:color w:val="000000" w:themeColor="text1"/>
        </w:rPr>
        <w:t>Report</w:t>
      </w:r>
    </w:p>
    <w:p w14:paraId="7D5A41C6" w14:textId="77777777" w:rsidR="005B64F8" w:rsidRDefault="005B64F8" w:rsidP="005B64F8">
      <w:pPr>
        <w:rPr>
          <w:rFonts w:eastAsia="Arial"/>
          <w:color w:val="000000" w:themeColor="text1"/>
        </w:rPr>
      </w:pPr>
    </w:p>
    <w:p w14:paraId="5A2883CA" w14:textId="77777777" w:rsidR="005B64F8" w:rsidRDefault="005B64F8" w:rsidP="005B64F8">
      <w:pPr>
        <w:rPr>
          <w:rFonts w:eastAsia="Arial"/>
          <w:color w:val="000000" w:themeColor="text1"/>
        </w:rPr>
      </w:pPr>
    </w:p>
    <w:p w14:paraId="51ED82B6" w14:textId="77777777" w:rsidR="005B64F8" w:rsidRDefault="005B64F8" w:rsidP="005B64F8">
      <w:pPr>
        <w:rPr>
          <w:rFonts w:eastAsia="Arial"/>
          <w:color w:val="000000" w:themeColor="text1"/>
        </w:rPr>
      </w:pPr>
    </w:p>
    <w:p w14:paraId="19B9A7D3" w14:textId="77777777" w:rsidR="005B64F8" w:rsidRDefault="005B64F8" w:rsidP="005B64F8">
      <w:pPr>
        <w:rPr>
          <w:rFonts w:eastAsia="Arial"/>
          <w:color w:val="000000" w:themeColor="text1"/>
        </w:rPr>
      </w:pPr>
    </w:p>
    <w:p w14:paraId="697257A7" w14:textId="77777777" w:rsidR="005B64F8" w:rsidRDefault="005B64F8" w:rsidP="005B64F8">
      <w:pPr>
        <w:rPr>
          <w:rFonts w:eastAsia="Arial"/>
          <w:color w:val="000000" w:themeColor="text1"/>
        </w:rPr>
      </w:pPr>
    </w:p>
    <w:p w14:paraId="35D36B03" w14:textId="77777777" w:rsidR="005B64F8" w:rsidRDefault="005B64F8" w:rsidP="005B64F8">
      <w:pPr>
        <w:rPr>
          <w:rFonts w:eastAsia="Arial"/>
          <w:color w:val="000000" w:themeColor="text1"/>
        </w:rPr>
      </w:pPr>
    </w:p>
    <w:p w14:paraId="17704DF2" w14:textId="77777777" w:rsidR="005B64F8" w:rsidRDefault="005B64F8" w:rsidP="005B64F8">
      <w:pPr>
        <w:rPr>
          <w:rFonts w:eastAsia="Arial"/>
          <w:color w:val="000000" w:themeColor="text1"/>
        </w:rPr>
      </w:pPr>
    </w:p>
    <w:p w14:paraId="03C2FBEF" w14:textId="77777777" w:rsidR="005B64F8" w:rsidRDefault="005B64F8" w:rsidP="005B64F8">
      <w:pPr>
        <w:rPr>
          <w:rFonts w:eastAsia="Arial"/>
          <w:color w:val="000000" w:themeColor="text1"/>
        </w:rPr>
      </w:pPr>
    </w:p>
    <w:p w14:paraId="5D4310CC" w14:textId="77777777" w:rsidR="005B64F8" w:rsidRDefault="005B64F8" w:rsidP="005B64F8">
      <w:pPr>
        <w:rPr>
          <w:rFonts w:eastAsia="Arial"/>
          <w:color w:val="000000" w:themeColor="text1"/>
        </w:rPr>
      </w:pPr>
    </w:p>
    <w:p w14:paraId="19422017" w14:textId="77777777" w:rsidR="005B64F8" w:rsidRDefault="005B64F8" w:rsidP="005B64F8">
      <w:pPr>
        <w:rPr>
          <w:rFonts w:eastAsia="Arial"/>
          <w:color w:val="000000" w:themeColor="text1"/>
        </w:rPr>
      </w:pPr>
    </w:p>
    <w:p w14:paraId="5BE5501E" w14:textId="77777777" w:rsidR="005B64F8" w:rsidRDefault="005B64F8" w:rsidP="005B64F8">
      <w:pPr>
        <w:rPr>
          <w:rFonts w:eastAsia="Arial"/>
          <w:color w:val="000000" w:themeColor="text1"/>
        </w:rPr>
      </w:pPr>
    </w:p>
    <w:p w14:paraId="2AB27D85" w14:textId="77777777" w:rsidR="005B64F8" w:rsidRDefault="005B64F8" w:rsidP="005B64F8">
      <w:pPr>
        <w:rPr>
          <w:rFonts w:eastAsia="Arial"/>
          <w:color w:val="000000" w:themeColor="text1"/>
        </w:rPr>
      </w:pPr>
    </w:p>
    <w:p w14:paraId="5DEE58B1" w14:textId="77777777" w:rsidR="005B64F8" w:rsidRDefault="005B64F8" w:rsidP="005B64F8">
      <w:pPr>
        <w:rPr>
          <w:rFonts w:eastAsia="Arial"/>
          <w:color w:val="000000" w:themeColor="text1"/>
        </w:rPr>
      </w:pPr>
    </w:p>
    <w:p w14:paraId="320B541C" w14:textId="77777777" w:rsidR="005B64F8" w:rsidRDefault="005B64F8" w:rsidP="005B64F8">
      <w:pPr>
        <w:rPr>
          <w:rFonts w:eastAsia="Arial"/>
          <w:color w:val="000000" w:themeColor="text1"/>
        </w:rPr>
      </w:pPr>
    </w:p>
    <w:p w14:paraId="4B209E13" w14:textId="77777777" w:rsidR="005B64F8" w:rsidRDefault="005B64F8" w:rsidP="005B64F8">
      <w:pPr>
        <w:rPr>
          <w:rFonts w:eastAsia="Arial"/>
          <w:color w:val="000000" w:themeColor="text1"/>
        </w:rPr>
      </w:pPr>
    </w:p>
    <w:p w14:paraId="78AED8EF" w14:textId="66C542BB" w:rsidR="00894346" w:rsidRDefault="00894346" w:rsidP="00517BE2">
      <w:pPr>
        <w:spacing w:line="360" w:lineRule="auto"/>
      </w:pPr>
    </w:p>
    <w:p w14:paraId="389DEE27" w14:textId="77777777" w:rsidR="00894346" w:rsidRDefault="00894346" w:rsidP="00517BE2">
      <w:pPr>
        <w:spacing w:line="360" w:lineRule="auto"/>
      </w:pPr>
    </w:p>
    <w:sdt>
      <w:sdtPr>
        <w:rPr>
          <w:rFonts w:ascii="Arial" w:eastAsiaTheme="minorHAnsi" w:hAnsi="Arial" w:cstheme="minorBidi"/>
          <w:color w:val="auto"/>
          <w:sz w:val="22"/>
          <w:szCs w:val="22"/>
        </w:rPr>
        <w:id w:val="-1491097839"/>
        <w:docPartObj>
          <w:docPartGallery w:val="Table of Contents"/>
          <w:docPartUnique/>
        </w:docPartObj>
      </w:sdtPr>
      <w:sdtEndPr>
        <w:rPr>
          <w:b/>
          <w:bCs/>
          <w:noProof/>
        </w:rPr>
      </w:sdtEndPr>
      <w:sdtContent>
        <w:p w14:paraId="6E1160B8" w14:textId="45F3DD77" w:rsidR="00F24E90" w:rsidRPr="00AC1276" w:rsidRDefault="00F24E90" w:rsidP="00517BE2">
          <w:pPr>
            <w:pStyle w:val="TOCHeading"/>
            <w:spacing w:line="360" w:lineRule="auto"/>
            <w:jc w:val="center"/>
            <w:rPr>
              <w:rFonts w:ascii="Arial" w:hAnsi="Arial" w:cs="Arial"/>
              <w:b/>
              <w:bCs/>
              <w:color w:val="auto"/>
              <w:szCs w:val="22"/>
            </w:rPr>
          </w:pPr>
          <w:r w:rsidRPr="00AC1276">
            <w:rPr>
              <w:rFonts w:ascii="Arial" w:hAnsi="Arial" w:cs="Arial"/>
              <w:b/>
              <w:bCs/>
              <w:color w:val="auto"/>
              <w:szCs w:val="22"/>
            </w:rPr>
            <w:t>Contents</w:t>
          </w:r>
        </w:p>
        <w:p w14:paraId="186D6613" w14:textId="44720B81" w:rsidR="00644EBF" w:rsidRDefault="00F24E90" w:rsidP="00517BE2">
          <w:pPr>
            <w:pStyle w:val="TOC1"/>
            <w:tabs>
              <w:tab w:val="left" w:pos="440"/>
              <w:tab w:val="right" w:leader="dot" w:pos="9016"/>
            </w:tabs>
            <w:spacing w:line="360" w:lineRule="auto"/>
            <w:rPr>
              <w:rFonts w:asciiTheme="minorHAnsi" w:eastAsiaTheme="minorEastAsia" w:hAnsiTheme="minorHAnsi"/>
              <w:noProof/>
            </w:rPr>
          </w:pPr>
          <w:r>
            <w:fldChar w:fldCharType="begin"/>
          </w:r>
          <w:r>
            <w:instrText xml:space="preserve"> TOC \o "1-3" \h \z \u </w:instrText>
          </w:r>
          <w:r>
            <w:fldChar w:fldCharType="separate"/>
          </w:r>
          <w:hyperlink w:anchor="_Toc211083613" w:history="1">
            <w:r w:rsidR="00644EBF" w:rsidRPr="005A65FA">
              <w:rPr>
                <w:rStyle w:val="Hyperlink"/>
                <w:noProof/>
                <w:lang w:val="en-GB"/>
              </w:rPr>
              <w:t>1</w:t>
            </w:r>
            <w:r w:rsidR="00644EBF">
              <w:rPr>
                <w:rFonts w:asciiTheme="minorHAnsi" w:eastAsiaTheme="minorEastAsia" w:hAnsiTheme="minorHAnsi"/>
                <w:noProof/>
              </w:rPr>
              <w:tab/>
            </w:r>
            <w:r w:rsidR="00644EBF" w:rsidRPr="005A65FA">
              <w:rPr>
                <w:rStyle w:val="Hyperlink"/>
                <w:noProof/>
                <w:lang w:val="en-GB"/>
              </w:rPr>
              <w:t>Introduction</w:t>
            </w:r>
            <w:r w:rsidR="00644EBF">
              <w:rPr>
                <w:noProof/>
                <w:webHidden/>
              </w:rPr>
              <w:tab/>
            </w:r>
            <w:r w:rsidR="00644EBF">
              <w:rPr>
                <w:noProof/>
                <w:webHidden/>
              </w:rPr>
              <w:fldChar w:fldCharType="begin"/>
            </w:r>
            <w:r w:rsidR="00644EBF">
              <w:rPr>
                <w:noProof/>
                <w:webHidden/>
              </w:rPr>
              <w:instrText xml:space="preserve"> PAGEREF _Toc211083613 \h </w:instrText>
            </w:r>
            <w:r w:rsidR="00644EBF">
              <w:rPr>
                <w:noProof/>
                <w:webHidden/>
              </w:rPr>
            </w:r>
            <w:r w:rsidR="00644EBF">
              <w:rPr>
                <w:noProof/>
                <w:webHidden/>
              </w:rPr>
              <w:fldChar w:fldCharType="separate"/>
            </w:r>
            <w:r w:rsidR="00644EBF">
              <w:rPr>
                <w:noProof/>
                <w:webHidden/>
              </w:rPr>
              <w:t>3</w:t>
            </w:r>
            <w:r w:rsidR="00644EBF">
              <w:rPr>
                <w:noProof/>
                <w:webHidden/>
              </w:rPr>
              <w:fldChar w:fldCharType="end"/>
            </w:r>
          </w:hyperlink>
        </w:p>
        <w:p w14:paraId="37F19E6D" w14:textId="387B280E"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14" w:history="1">
            <w:r w:rsidRPr="005A65FA">
              <w:rPr>
                <w:rStyle w:val="Hyperlink"/>
                <w:noProof/>
                <w:lang w:val="en-GB"/>
              </w:rPr>
              <w:t>1.1</w:t>
            </w:r>
            <w:r>
              <w:rPr>
                <w:rFonts w:asciiTheme="minorHAnsi" w:eastAsiaTheme="minorEastAsia" w:hAnsiTheme="minorHAnsi"/>
                <w:noProof/>
              </w:rPr>
              <w:tab/>
            </w:r>
            <w:r w:rsidRPr="005A65FA">
              <w:rPr>
                <w:rStyle w:val="Hyperlink"/>
                <w:noProof/>
                <w:lang w:val="en-GB"/>
              </w:rPr>
              <w:t>Overview of Electronic Patient Records in the UK</w:t>
            </w:r>
            <w:r>
              <w:rPr>
                <w:noProof/>
                <w:webHidden/>
              </w:rPr>
              <w:tab/>
            </w:r>
            <w:r>
              <w:rPr>
                <w:noProof/>
                <w:webHidden/>
              </w:rPr>
              <w:fldChar w:fldCharType="begin"/>
            </w:r>
            <w:r>
              <w:rPr>
                <w:noProof/>
                <w:webHidden/>
              </w:rPr>
              <w:instrText xml:space="preserve"> PAGEREF _Toc211083614 \h </w:instrText>
            </w:r>
            <w:r>
              <w:rPr>
                <w:noProof/>
                <w:webHidden/>
              </w:rPr>
            </w:r>
            <w:r>
              <w:rPr>
                <w:noProof/>
                <w:webHidden/>
              </w:rPr>
              <w:fldChar w:fldCharType="separate"/>
            </w:r>
            <w:r>
              <w:rPr>
                <w:noProof/>
                <w:webHidden/>
              </w:rPr>
              <w:t>3</w:t>
            </w:r>
            <w:r>
              <w:rPr>
                <w:noProof/>
                <w:webHidden/>
              </w:rPr>
              <w:fldChar w:fldCharType="end"/>
            </w:r>
          </w:hyperlink>
        </w:p>
        <w:p w14:paraId="4B5785ED" w14:textId="51DE360B" w:rsidR="00644EBF" w:rsidRDefault="00644EBF" w:rsidP="00517BE2">
          <w:pPr>
            <w:pStyle w:val="TOC1"/>
            <w:tabs>
              <w:tab w:val="left" w:pos="440"/>
              <w:tab w:val="right" w:leader="dot" w:pos="9016"/>
            </w:tabs>
            <w:spacing w:line="360" w:lineRule="auto"/>
            <w:rPr>
              <w:rFonts w:asciiTheme="minorHAnsi" w:eastAsiaTheme="minorEastAsia" w:hAnsiTheme="minorHAnsi"/>
              <w:noProof/>
            </w:rPr>
          </w:pPr>
          <w:hyperlink w:anchor="_Toc211083615" w:history="1">
            <w:r w:rsidRPr="005A65FA">
              <w:rPr>
                <w:rStyle w:val="Hyperlink"/>
                <w:noProof/>
                <w:lang w:val="en-GB"/>
              </w:rPr>
              <w:t>2</w:t>
            </w:r>
            <w:r>
              <w:rPr>
                <w:rFonts w:asciiTheme="minorHAnsi" w:eastAsiaTheme="minorEastAsia" w:hAnsiTheme="minorHAnsi"/>
                <w:noProof/>
              </w:rPr>
              <w:tab/>
            </w:r>
            <w:r w:rsidRPr="005A65FA">
              <w:rPr>
                <w:rStyle w:val="Hyperlink"/>
                <w:noProof/>
                <w:lang w:val="en-GB"/>
              </w:rPr>
              <w:t>Impact on the Workforce</w:t>
            </w:r>
            <w:r>
              <w:rPr>
                <w:noProof/>
                <w:webHidden/>
              </w:rPr>
              <w:tab/>
            </w:r>
            <w:r>
              <w:rPr>
                <w:noProof/>
                <w:webHidden/>
              </w:rPr>
              <w:fldChar w:fldCharType="begin"/>
            </w:r>
            <w:r>
              <w:rPr>
                <w:noProof/>
                <w:webHidden/>
              </w:rPr>
              <w:instrText xml:space="preserve"> PAGEREF _Toc211083615 \h </w:instrText>
            </w:r>
            <w:r>
              <w:rPr>
                <w:noProof/>
                <w:webHidden/>
              </w:rPr>
            </w:r>
            <w:r>
              <w:rPr>
                <w:noProof/>
                <w:webHidden/>
              </w:rPr>
              <w:fldChar w:fldCharType="separate"/>
            </w:r>
            <w:r>
              <w:rPr>
                <w:noProof/>
                <w:webHidden/>
              </w:rPr>
              <w:t>4</w:t>
            </w:r>
            <w:r>
              <w:rPr>
                <w:noProof/>
                <w:webHidden/>
              </w:rPr>
              <w:fldChar w:fldCharType="end"/>
            </w:r>
          </w:hyperlink>
        </w:p>
        <w:p w14:paraId="77B9B620" w14:textId="59AD3DE2"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16" w:history="1">
            <w:r w:rsidRPr="005A65FA">
              <w:rPr>
                <w:rStyle w:val="Hyperlink"/>
                <w:noProof/>
                <w:lang w:val="en-GB"/>
              </w:rPr>
              <w:t>2.1</w:t>
            </w:r>
            <w:r>
              <w:rPr>
                <w:rFonts w:asciiTheme="minorHAnsi" w:eastAsiaTheme="minorEastAsia" w:hAnsiTheme="minorHAnsi"/>
                <w:noProof/>
              </w:rPr>
              <w:tab/>
            </w:r>
            <w:r w:rsidRPr="005A65FA">
              <w:rPr>
                <w:rStyle w:val="Hyperlink"/>
                <w:noProof/>
                <w:lang w:val="en-GB"/>
              </w:rPr>
              <w:t>Competency and Role Change</w:t>
            </w:r>
            <w:r>
              <w:rPr>
                <w:noProof/>
                <w:webHidden/>
              </w:rPr>
              <w:tab/>
            </w:r>
            <w:r>
              <w:rPr>
                <w:noProof/>
                <w:webHidden/>
              </w:rPr>
              <w:fldChar w:fldCharType="begin"/>
            </w:r>
            <w:r>
              <w:rPr>
                <w:noProof/>
                <w:webHidden/>
              </w:rPr>
              <w:instrText xml:space="preserve"> PAGEREF _Toc211083616 \h </w:instrText>
            </w:r>
            <w:r>
              <w:rPr>
                <w:noProof/>
                <w:webHidden/>
              </w:rPr>
            </w:r>
            <w:r>
              <w:rPr>
                <w:noProof/>
                <w:webHidden/>
              </w:rPr>
              <w:fldChar w:fldCharType="separate"/>
            </w:r>
            <w:r>
              <w:rPr>
                <w:noProof/>
                <w:webHidden/>
              </w:rPr>
              <w:t>4</w:t>
            </w:r>
            <w:r>
              <w:rPr>
                <w:noProof/>
                <w:webHidden/>
              </w:rPr>
              <w:fldChar w:fldCharType="end"/>
            </w:r>
          </w:hyperlink>
        </w:p>
        <w:p w14:paraId="2A8CF272" w14:textId="5377071D"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17" w:history="1">
            <w:r w:rsidRPr="005A65FA">
              <w:rPr>
                <w:rStyle w:val="Hyperlink"/>
                <w:noProof/>
                <w:lang w:val="en-GB"/>
              </w:rPr>
              <w:t>2.2</w:t>
            </w:r>
            <w:r>
              <w:rPr>
                <w:rFonts w:asciiTheme="minorHAnsi" w:eastAsiaTheme="minorEastAsia" w:hAnsiTheme="minorHAnsi"/>
                <w:noProof/>
              </w:rPr>
              <w:tab/>
            </w:r>
            <w:r w:rsidRPr="005A65FA">
              <w:rPr>
                <w:rStyle w:val="Hyperlink"/>
                <w:noProof/>
                <w:lang w:val="en-GB"/>
              </w:rPr>
              <w:t>Resistance and Adaptation to the Workforce</w:t>
            </w:r>
            <w:r>
              <w:rPr>
                <w:noProof/>
                <w:webHidden/>
              </w:rPr>
              <w:tab/>
            </w:r>
            <w:r>
              <w:rPr>
                <w:noProof/>
                <w:webHidden/>
              </w:rPr>
              <w:fldChar w:fldCharType="begin"/>
            </w:r>
            <w:r>
              <w:rPr>
                <w:noProof/>
                <w:webHidden/>
              </w:rPr>
              <w:instrText xml:space="preserve"> PAGEREF _Toc211083617 \h </w:instrText>
            </w:r>
            <w:r>
              <w:rPr>
                <w:noProof/>
                <w:webHidden/>
              </w:rPr>
            </w:r>
            <w:r>
              <w:rPr>
                <w:noProof/>
                <w:webHidden/>
              </w:rPr>
              <w:fldChar w:fldCharType="separate"/>
            </w:r>
            <w:r>
              <w:rPr>
                <w:noProof/>
                <w:webHidden/>
              </w:rPr>
              <w:t>4</w:t>
            </w:r>
            <w:r>
              <w:rPr>
                <w:noProof/>
                <w:webHidden/>
              </w:rPr>
              <w:fldChar w:fldCharType="end"/>
            </w:r>
          </w:hyperlink>
        </w:p>
        <w:p w14:paraId="7C3DCCF6" w14:textId="7F49FCF9" w:rsidR="00644EBF" w:rsidRDefault="00644EBF" w:rsidP="00517BE2">
          <w:pPr>
            <w:pStyle w:val="TOC1"/>
            <w:tabs>
              <w:tab w:val="left" w:pos="440"/>
              <w:tab w:val="right" w:leader="dot" w:pos="9016"/>
            </w:tabs>
            <w:spacing w:line="360" w:lineRule="auto"/>
            <w:rPr>
              <w:rFonts w:asciiTheme="minorHAnsi" w:eastAsiaTheme="minorEastAsia" w:hAnsiTheme="minorHAnsi"/>
              <w:noProof/>
            </w:rPr>
          </w:pPr>
          <w:hyperlink w:anchor="_Toc211083618" w:history="1">
            <w:r w:rsidRPr="005A65FA">
              <w:rPr>
                <w:rStyle w:val="Hyperlink"/>
                <w:noProof/>
                <w:lang w:val="en-GB"/>
              </w:rPr>
              <w:t>3</w:t>
            </w:r>
            <w:r>
              <w:rPr>
                <w:rFonts w:asciiTheme="minorHAnsi" w:eastAsiaTheme="minorEastAsia" w:hAnsiTheme="minorHAnsi"/>
                <w:noProof/>
              </w:rPr>
              <w:tab/>
            </w:r>
            <w:r w:rsidRPr="005A65FA">
              <w:rPr>
                <w:rStyle w:val="Hyperlink"/>
                <w:noProof/>
                <w:lang w:val="en-GB"/>
              </w:rPr>
              <w:t>Impact on Service Delivery</w:t>
            </w:r>
            <w:r>
              <w:rPr>
                <w:noProof/>
                <w:webHidden/>
              </w:rPr>
              <w:tab/>
            </w:r>
            <w:r>
              <w:rPr>
                <w:noProof/>
                <w:webHidden/>
              </w:rPr>
              <w:fldChar w:fldCharType="begin"/>
            </w:r>
            <w:r>
              <w:rPr>
                <w:noProof/>
                <w:webHidden/>
              </w:rPr>
              <w:instrText xml:space="preserve"> PAGEREF _Toc211083618 \h </w:instrText>
            </w:r>
            <w:r>
              <w:rPr>
                <w:noProof/>
                <w:webHidden/>
              </w:rPr>
            </w:r>
            <w:r>
              <w:rPr>
                <w:noProof/>
                <w:webHidden/>
              </w:rPr>
              <w:fldChar w:fldCharType="separate"/>
            </w:r>
            <w:r>
              <w:rPr>
                <w:noProof/>
                <w:webHidden/>
              </w:rPr>
              <w:t>4</w:t>
            </w:r>
            <w:r>
              <w:rPr>
                <w:noProof/>
                <w:webHidden/>
              </w:rPr>
              <w:fldChar w:fldCharType="end"/>
            </w:r>
          </w:hyperlink>
        </w:p>
        <w:p w14:paraId="69ECF97E" w14:textId="10FC07F0"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19" w:history="1">
            <w:r w:rsidRPr="005A65FA">
              <w:rPr>
                <w:rStyle w:val="Hyperlink"/>
                <w:noProof/>
                <w:lang w:val="en-GB"/>
              </w:rPr>
              <w:t>3.1</w:t>
            </w:r>
            <w:r>
              <w:rPr>
                <w:rFonts w:asciiTheme="minorHAnsi" w:eastAsiaTheme="minorEastAsia" w:hAnsiTheme="minorHAnsi"/>
                <w:noProof/>
              </w:rPr>
              <w:tab/>
            </w:r>
            <w:r w:rsidRPr="005A65FA">
              <w:rPr>
                <w:rStyle w:val="Hyperlink"/>
                <w:noProof/>
                <w:lang w:val="en-GB"/>
              </w:rPr>
              <w:t>Operational Efficiency and Safety</w:t>
            </w:r>
            <w:r>
              <w:rPr>
                <w:noProof/>
                <w:webHidden/>
              </w:rPr>
              <w:tab/>
            </w:r>
            <w:r>
              <w:rPr>
                <w:noProof/>
                <w:webHidden/>
              </w:rPr>
              <w:fldChar w:fldCharType="begin"/>
            </w:r>
            <w:r>
              <w:rPr>
                <w:noProof/>
                <w:webHidden/>
              </w:rPr>
              <w:instrText xml:space="preserve"> PAGEREF _Toc211083619 \h </w:instrText>
            </w:r>
            <w:r>
              <w:rPr>
                <w:noProof/>
                <w:webHidden/>
              </w:rPr>
            </w:r>
            <w:r>
              <w:rPr>
                <w:noProof/>
                <w:webHidden/>
              </w:rPr>
              <w:fldChar w:fldCharType="separate"/>
            </w:r>
            <w:r>
              <w:rPr>
                <w:noProof/>
                <w:webHidden/>
              </w:rPr>
              <w:t>4</w:t>
            </w:r>
            <w:r>
              <w:rPr>
                <w:noProof/>
                <w:webHidden/>
              </w:rPr>
              <w:fldChar w:fldCharType="end"/>
            </w:r>
          </w:hyperlink>
        </w:p>
        <w:p w14:paraId="432C47FD" w14:textId="2944A563"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20" w:history="1">
            <w:r w:rsidRPr="005A65FA">
              <w:rPr>
                <w:rStyle w:val="Hyperlink"/>
                <w:noProof/>
                <w:lang w:val="en-GB"/>
              </w:rPr>
              <w:t>3.2</w:t>
            </w:r>
            <w:r>
              <w:rPr>
                <w:rFonts w:asciiTheme="minorHAnsi" w:eastAsiaTheme="minorEastAsia" w:hAnsiTheme="minorHAnsi"/>
                <w:noProof/>
              </w:rPr>
              <w:tab/>
            </w:r>
            <w:r w:rsidRPr="005A65FA">
              <w:rPr>
                <w:rStyle w:val="Hyperlink"/>
                <w:noProof/>
                <w:lang w:val="en-GB"/>
              </w:rPr>
              <w:t>Implementation and Integration Problems</w:t>
            </w:r>
            <w:r>
              <w:rPr>
                <w:noProof/>
                <w:webHidden/>
              </w:rPr>
              <w:tab/>
            </w:r>
            <w:r>
              <w:rPr>
                <w:noProof/>
                <w:webHidden/>
              </w:rPr>
              <w:fldChar w:fldCharType="begin"/>
            </w:r>
            <w:r>
              <w:rPr>
                <w:noProof/>
                <w:webHidden/>
              </w:rPr>
              <w:instrText xml:space="preserve"> PAGEREF _Toc211083620 \h </w:instrText>
            </w:r>
            <w:r>
              <w:rPr>
                <w:noProof/>
                <w:webHidden/>
              </w:rPr>
            </w:r>
            <w:r>
              <w:rPr>
                <w:noProof/>
                <w:webHidden/>
              </w:rPr>
              <w:fldChar w:fldCharType="separate"/>
            </w:r>
            <w:r>
              <w:rPr>
                <w:noProof/>
                <w:webHidden/>
              </w:rPr>
              <w:t>5</w:t>
            </w:r>
            <w:r>
              <w:rPr>
                <w:noProof/>
                <w:webHidden/>
              </w:rPr>
              <w:fldChar w:fldCharType="end"/>
            </w:r>
          </w:hyperlink>
        </w:p>
        <w:p w14:paraId="14D2A05C" w14:textId="6B852F97" w:rsidR="00644EBF" w:rsidRDefault="00644EBF" w:rsidP="00517BE2">
          <w:pPr>
            <w:pStyle w:val="TOC1"/>
            <w:tabs>
              <w:tab w:val="left" w:pos="440"/>
              <w:tab w:val="right" w:leader="dot" w:pos="9016"/>
            </w:tabs>
            <w:spacing w:line="360" w:lineRule="auto"/>
            <w:rPr>
              <w:rFonts w:asciiTheme="minorHAnsi" w:eastAsiaTheme="minorEastAsia" w:hAnsiTheme="minorHAnsi"/>
              <w:noProof/>
            </w:rPr>
          </w:pPr>
          <w:hyperlink w:anchor="_Toc211083621" w:history="1">
            <w:r w:rsidRPr="005A65FA">
              <w:rPr>
                <w:rStyle w:val="Hyperlink"/>
                <w:noProof/>
                <w:lang w:val="en-GB"/>
              </w:rPr>
              <w:t>4</w:t>
            </w:r>
            <w:r>
              <w:rPr>
                <w:rFonts w:asciiTheme="minorHAnsi" w:eastAsiaTheme="minorEastAsia" w:hAnsiTheme="minorHAnsi"/>
                <w:noProof/>
              </w:rPr>
              <w:tab/>
            </w:r>
            <w:r w:rsidRPr="005A65FA">
              <w:rPr>
                <w:rStyle w:val="Hyperlink"/>
                <w:noProof/>
                <w:lang w:val="en-GB"/>
              </w:rPr>
              <w:t>Impact on Patients and Service Users</w:t>
            </w:r>
            <w:r>
              <w:rPr>
                <w:noProof/>
                <w:webHidden/>
              </w:rPr>
              <w:tab/>
            </w:r>
            <w:r>
              <w:rPr>
                <w:noProof/>
                <w:webHidden/>
              </w:rPr>
              <w:fldChar w:fldCharType="begin"/>
            </w:r>
            <w:r>
              <w:rPr>
                <w:noProof/>
                <w:webHidden/>
              </w:rPr>
              <w:instrText xml:space="preserve"> PAGEREF _Toc211083621 \h </w:instrText>
            </w:r>
            <w:r>
              <w:rPr>
                <w:noProof/>
                <w:webHidden/>
              </w:rPr>
            </w:r>
            <w:r>
              <w:rPr>
                <w:noProof/>
                <w:webHidden/>
              </w:rPr>
              <w:fldChar w:fldCharType="separate"/>
            </w:r>
            <w:r>
              <w:rPr>
                <w:noProof/>
                <w:webHidden/>
              </w:rPr>
              <w:t>5</w:t>
            </w:r>
            <w:r>
              <w:rPr>
                <w:noProof/>
                <w:webHidden/>
              </w:rPr>
              <w:fldChar w:fldCharType="end"/>
            </w:r>
          </w:hyperlink>
        </w:p>
        <w:p w14:paraId="6F5EAF07" w14:textId="191C7272"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22" w:history="1">
            <w:r w:rsidRPr="005A65FA">
              <w:rPr>
                <w:rStyle w:val="Hyperlink"/>
                <w:noProof/>
                <w:lang w:val="en-GB"/>
              </w:rPr>
              <w:t>4.1</w:t>
            </w:r>
            <w:r>
              <w:rPr>
                <w:rFonts w:asciiTheme="minorHAnsi" w:eastAsiaTheme="minorEastAsia" w:hAnsiTheme="minorHAnsi"/>
                <w:noProof/>
              </w:rPr>
              <w:tab/>
            </w:r>
            <w:r w:rsidRPr="005A65FA">
              <w:rPr>
                <w:rStyle w:val="Hyperlink"/>
                <w:noProof/>
                <w:lang w:val="en-GB"/>
              </w:rPr>
              <w:t>Enhanced Patient Engagement and Experience</w:t>
            </w:r>
            <w:r>
              <w:rPr>
                <w:noProof/>
                <w:webHidden/>
              </w:rPr>
              <w:tab/>
            </w:r>
            <w:r>
              <w:rPr>
                <w:noProof/>
                <w:webHidden/>
              </w:rPr>
              <w:fldChar w:fldCharType="begin"/>
            </w:r>
            <w:r>
              <w:rPr>
                <w:noProof/>
                <w:webHidden/>
              </w:rPr>
              <w:instrText xml:space="preserve"> PAGEREF _Toc211083622 \h </w:instrText>
            </w:r>
            <w:r>
              <w:rPr>
                <w:noProof/>
                <w:webHidden/>
              </w:rPr>
            </w:r>
            <w:r>
              <w:rPr>
                <w:noProof/>
                <w:webHidden/>
              </w:rPr>
              <w:fldChar w:fldCharType="separate"/>
            </w:r>
            <w:r>
              <w:rPr>
                <w:noProof/>
                <w:webHidden/>
              </w:rPr>
              <w:t>5</w:t>
            </w:r>
            <w:r>
              <w:rPr>
                <w:noProof/>
                <w:webHidden/>
              </w:rPr>
              <w:fldChar w:fldCharType="end"/>
            </w:r>
          </w:hyperlink>
        </w:p>
        <w:p w14:paraId="1E6D95EF" w14:textId="292DA83B"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23" w:history="1">
            <w:r w:rsidRPr="005A65FA">
              <w:rPr>
                <w:rStyle w:val="Hyperlink"/>
                <w:noProof/>
                <w:lang w:val="en-GB"/>
              </w:rPr>
              <w:t>4.2</w:t>
            </w:r>
            <w:r>
              <w:rPr>
                <w:rFonts w:asciiTheme="minorHAnsi" w:eastAsiaTheme="minorEastAsia" w:hAnsiTheme="minorHAnsi"/>
                <w:noProof/>
              </w:rPr>
              <w:tab/>
            </w:r>
            <w:r w:rsidRPr="005A65FA">
              <w:rPr>
                <w:rStyle w:val="Hyperlink"/>
                <w:noProof/>
                <w:lang w:val="en-GB"/>
              </w:rPr>
              <w:t>Privacy, Trust, and the Digital Divide</w:t>
            </w:r>
            <w:r>
              <w:rPr>
                <w:noProof/>
                <w:webHidden/>
              </w:rPr>
              <w:tab/>
            </w:r>
            <w:r>
              <w:rPr>
                <w:noProof/>
                <w:webHidden/>
              </w:rPr>
              <w:fldChar w:fldCharType="begin"/>
            </w:r>
            <w:r>
              <w:rPr>
                <w:noProof/>
                <w:webHidden/>
              </w:rPr>
              <w:instrText xml:space="preserve"> PAGEREF _Toc211083623 \h </w:instrText>
            </w:r>
            <w:r>
              <w:rPr>
                <w:noProof/>
                <w:webHidden/>
              </w:rPr>
            </w:r>
            <w:r>
              <w:rPr>
                <w:noProof/>
                <w:webHidden/>
              </w:rPr>
              <w:fldChar w:fldCharType="separate"/>
            </w:r>
            <w:r>
              <w:rPr>
                <w:noProof/>
                <w:webHidden/>
              </w:rPr>
              <w:t>6</w:t>
            </w:r>
            <w:r>
              <w:rPr>
                <w:noProof/>
                <w:webHidden/>
              </w:rPr>
              <w:fldChar w:fldCharType="end"/>
            </w:r>
          </w:hyperlink>
        </w:p>
        <w:p w14:paraId="6D1DA4FF" w14:textId="074B23CD" w:rsidR="00644EBF" w:rsidRDefault="00644EBF" w:rsidP="00517BE2">
          <w:pPr>
            <w:pStyle w:val="TOC1"/>
            <w:tabs>
              <w:tab w:val="left" w:pos="440"/>
              <w:tab w:val="right" w:leader="dot" w:pos="9016"/>
            </w:tabs>
            <w:spacing w:line="360" w:lineRule="auto"/>
            <w:rPr>
              <w:rFonts w:asciiTheme="minorHAnsi" w:eastAsiaTheme="minorEastAsia" w:hAnsiTheme="minorHAnsi"/>
              <w:noProof/>
            </w:rPr>
          </w:pPr>
          <w:hyperlink w:anchor="_Toc211083624" w:history="1">
            <w:r w:rsidRPr="005A65FA">
              <w:rPr>
                <w:rStyle w:val="Hyperlink"/>
                <w:noProof/>
                <w:lang w:val="en-GB"/>
              </w:rPr>
              <w:t>5</w:t>
            </w:r>
            <w:r>
              <w:rPr>
                <w:rFonts w:asciiTheme="minorHAnsi" w:eastAsiaTheme="minorEastAsia" w:hAnsiTheme="minorHAnsi"/>
                <w:noProof/>
              </w:rPr>
              <w:tab/>
            </w:r>
            <w:r w:rsidRPr="005A65FA">
              <w:rPr>
                <w:rStyle w:val="Hyperlink"/>
                <w:noProof/>
                <w:lang w:val="en-GB"/>
              </w:rPr>
              <w:t>Impact on the Wider Community</w:t>
            </w:r>
            <w:r>
              <w:rPr>
                <w:noProof/>
                <w:webHidden/>
              </w:rPr>
              <w:tab/>
            </w:r>
            <w:r>
              <w:rPr>
                <w:noProof/>
                <w:webHidden/>
              </w:rPr>
              <w:fldChar w:fldCharType="begin"/>
            </w:r>
            <w:r>
              <w:rPr>
                <w:noProof/>
                <w:webHidden/>
              </w:rPr>
              <w:instrText xml:space="preserve"> PAGEREF _Toc211083624 \h </w:instrText>
            </w:r>
            <w:r>
              <w:rPr>
                <w:noProof/>
                <w:webHidden/>
              </w:rPr>
            </w:r>
            <w:r>
              <w:rPr>
                <w:noProof/>
                <w:webHidden/>
              </w:rPr>
              <w:fldChar w:fldCharType="separate"/>
            </w:r>
            <w:r>
              <w:rPr>
                <w:noProof/>
                <w:webHidden/>
              </w:rPr>
              <w:t>6</w:t>
            </w:r>
            <w:r>
              <w:rPr>
                <w:noProof/>
                <w:webHidden/>
              </w:rPr>
              <w:fldChar w:fldCharType="end"/>
            </w:r>
          </w:hyperlink>
        </w:p>
        <w:p w14:paraId="254FCD2A" w14:textId="58FB62C1"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25" w:history="1">
            <w:r w:rsidRPr="005A65FA">
              <w:rPr>
                <w:rStyle w:val="Hyperlink"/>
                <w:noProof/>
                <w:lang w:val="en-GB"/>
              </w:rPr>
              <w:t>5.1</w:t>
            </w:r>
            <w:r>
              <w:rPr>
                <w:rFonts w:asciiTheme="minorHAnsi" w:eastAsiaTheme="minorEastAsia" w:hAnsiTheme="minorHAnsi"/>
                <w:noProof/>
              </w:rPr>
              <w:tab/>
            </w:r>
            <w:r w:rsidRPr="005A65FA">
              <w:rPr>
                <w:rStyle w:val="Hyperlink"/>
                <w:noProof/>
                <w:lang w:val="en-GB"/>
              </w:rPr>
              <w:t>Community Health and Public Health Outcomes</w:t>
            </w:r>
            <w:r>
              <w:rPr>
                <w:noProof/>
                <w:webHidden/>
              </w:rPr>
              <w:tab/>
            </w:r>
            <w:r>
              <w:rPr>
                <w:noProof/>
                <w:webHidden/>
              </w:rPr>
              <w:fldChar w:fldCharType="begin"/>
            </w:r>
            <w:r>
              <w:rPr>
                <w:noProof/>
                <w:webHidden/>
              </w:rPr>
              <w:instrText xml:space="preserve"> PAGEREF _Toc211083625 \h </w:instrText>
            </w:r>
            <w:r>
              <w:rPr>
                <w:noProof/>
                <w:webHidden/>
              </w:rPr>
            </w:r>
            <w:r>
              <w:rPr>
                <w:noProof/>
                <w:webHidden/>
              </w:rPr>
              <w:fldChar w:fldCharType="separate"/>
            </w:r>
            <w:r>
              <w:rPr>
                <w:noProof/>
                <w:webHidden/>
              </w:rPr>
              <w:t>6</w:t>
            </w:r>
            <w:r>
              <w:rPr>
                <w:noProof/>
                <w:webHidden/>
              </w:rPr>
              <w:fldChar w:fldCharType="end"/>
            </w:r>
          </w:hyperlink>
        </w:p>
        <w:p w14:paraId="017E87EC" w14:textId="56FC3815" w:rsidR="00644EBF" w:rsidRDefault="00644EBF" w:rsidP="00517BE2">
          <w:pPr>
            <w:pStyle w:val="TOC2"/>
            <w:tabs>
              <w:tab w:val="left" w:pos="880"/>
              <w:tab w:val="right" w:leader="dot" w:pos="9016"/>
            </w:tabs>
            <w:spacing w:line="360" w:lineRule="auto"/>
            <w:rPr>
              <w:rFonts w:asciiTheme="minorHAnsi" w:eastAsiaTheme="minorEastAsia" w:hAnsiTheme="minorHAnsi"/>
              <w:noProof/>
            </w:rPr>
          </w:pPr>
          <w:hyperlink w:anchor="_Toc211083626" w:history="1">
            <w:r w:rsidRPr="005A65FA">
              <w:rPr>
                <w:rStyle w:val="Hyperlink"/>
                <w:noProof/>
                <w:lang w:val="en-GB"/>
              </w:rPr>
              <w:t>5.2</w:t>
            </w:r>
            <w:r>
              <w:rPr>
                <w:rFonts w:asciiTheme="minorHAnsi" w:eastAsiaTheme="minorEastAsia" w:hAnsiTheme="minorHAnsi"/>
                <w:noProof/>
              </w:rPr>
              <w:tab/>
            </w:r>
            <w:r w:rsidRPr="005A65FA">
              <w:rPr>
                <w:rStyle w:val="Hyperlink"/>
                <w:noProof/>
                <w:lang w:val="en-GB"/>
              </w:rPr>
              <w:t>Economic and Social Implications</w:t>
            </w:r>
            <w:r>
              <w:rPr>
                <w:noProof/>
                <w:webHidden/>
              </w:rPr>
              <w:tab/>
            </w:r>
            <w:r>
              <w:rPr>
                <w:noProof/>
                <w:webHidden/>
              </w:rPr>
              <w:fldChar w:fldCharType="begin"/>
            </w:r>
            <w:r>
              <w:rPr>
                <w:noProof/>
                <w:webHidden/>
              </w:rPr>
              <w:instrText xml:space="preserve"> PAGEREF _Toc211083626 \h </w:instrText>
            </w:r>
            <w:r>
              <w:rPr>
                <w:noProof/>
                <w:webHidden/>
              </w:rPr>
            </w:r>
            <w:r>
              <w:rPr>
                <w:noProof/>
                <w:webHidden/>
              </w:rPr>
              <w:fldChar w:fldCharType="separate"/>
            </w:r>
            <w:r>
              <w:rPr>
                <w:noProof/>
                <w:webHidden/>
              </w:rPr>
              <w:t>6</w:t>
            </w:r>
            <w:r>
              <w:rPr>
                <w:noProof/>
                <w:webHidden/>
              </w:rPr>
              <w:fldChar w:fldCharType="end"/>
            </w:r>
          </w:hyperlink>
        </w:p>
        <w:p w14:paraId="6E311D08" w14:textId="5B1C2475" w:rsidR="00644EBF" w:rsidRDefault="00644EBF" w:rsidP="00517BE2">
          <w:pPr>
            <w:pStyle w:val="TOC1"/>
            <w:tabs>
              <w:tab w:val="left" w:pos="440"/>
              <w:tab w:val="right" w:leader="dot" w:pos="9016"/>
            </w:tabs>
            <w:spacing w:line="360" w:lineRule="auto"/>
            <w:rPr>
              <w:rFonts w:asciiTheme="minorHAnsi" w:eastAsiaTheme="minorEastAsia" w:hAnsiTheme="minorHAnsi"/>
              <w:noProof/>
            </w:rPr>
          </w:pPr>
          <w:hyperlink w:anchor="_Toc211083627" w:history="1">
            <w:r w:rsidRPr="005A65FA">
              <w:rPr>
                <w:rStyle w:val="Hyperlink"/>
                <w:noProof/>
                <w:lang w:val="en-GB"/>
              </w:rPr>
              <w:t>6</w:t>
            </w:r>
            <w:r>
              <w:rPr>
                <w:rFonts w:asciiTheme="minorHAnsi" w:eastAsiaTheme="minorEastAsia" w:hAnsiTheme="minorHAnsi"/>
                <w:noProof/>
              </w:rPr>
              <w:tab/>
            </w:r>
            <w:r w:rsidRPr="005A65FA">
              <w:rPr>
                <w:rStyle w:val="Hyperlink"/>
                <w:noProof/>
                <w:lang w:val="en-GB"/>
              </w:rPr>
              <w:t>Conclusion</w:t>
            </w:r>
            <w:r>
              <w:rPr>
                <w:noProof/>
                <w:webHidden/>
              </w:rPr>
              <w:tab/>
            </w:r>
            <w:r>
              <w:rPr>
                <w:noProof/>
                <w:webHidden/>
              </w:rPr>
              <w:fldChar w:fldCharType="begin"/>
            </w:r>
            <w:r>
              <w:rPr>
                <w:noProof/>
                <w:webHidden/>
              </w:rPr>
              <w:instrText xml:space="preserve"> PAGEREF _Toc211083627 \h </w:instrText>
            </w:r>
            <w:r>
              <w:rPr>
                <w:noProof/>
                <w:webHidden/>
              </w:rPr>
            </w:r>
            <w:r>
              <w:rPr>
                <w:noProof/>
                <w:webHidden/>
              </w:rPr>
              <w:fldChar w:fldCharType="separate"/>
            </w:r>
            <w:r>
              <w:rPr>
                <w:noProof/>
                <w:webHidden/>
              </w:rPr>
              <w:t>7</w:t>
            </w:r>
            <w:r>
              <w:rPr>
                <w:noProof/>
                <w:webHidden/>
              </w:rPr>
              <w:fldChar w:fldCharType="end"/>
            </w:r>
          </w:hyperlink>
        </w:p>
        <w:p w14:paraId="6D33B3DD" w14:textId="1DA130A4" w:rsidR="00644EBF" w:rsidRDefault="00644EBF" w:rsidP="00517BE2">
          <w:pPr>
            <w:pStyle w:val="TOC1"/>
            <w:tabs>
              <w:tab w:val="right" w:leader="dot" w:pos="9016"/>
            </w:tabs>
            <w:spacing w:line="360" w:lineRule="auto"/>
            <w:rPr>
              <w:rFonts w:asciiTheme="minorHAnsi" w:eastAsiaTheme="minorEastAsia" w:hAnsiTheme="minorHAnsi"/>
              <w:noProof/>
            </w:rPr>
          </w:pPr>
          <w:hyperlink w:anchor="_Toc211083628" w:history="1">
            <w:r w:rsidRPr="005A65FA">
              <w:rPr>
                <w:rStyle w:val="Hyperlink"/>
                <w:rFonts w:cs="Arial"/>
                <w:noProof/>
                <w:lang w:val="en-GB"/>
              </w:rPr>
              <w:t>References</w:t>
            </w:r>
            <w:r>
              <w:rPr>
                <w:noProof/>
                <w:webHidden/>
              </w:rPr>
              <w:tab/>
            </w:r>
            <w:r>
              <w:rPr>
                <w:noProof/>
                <w:webHidden/>
              </w:rPr>
              <w:fldChar w:fldCharType="begin"/>
            </w:r>
            <w:r>
              <w:rPr>
                <w:noProof/>
                <w:webHidden/>
              </w:rPr>
              <w:instrText xml:space="preserve"> PAGEREF _Toc211083628 \h </w:instrText>
            </w:r>
            <w:r>
              <w:rPr>
                <w:noProof/>
                <w:webHidden/>
              </w:rPr>
            </w:r>
            <w:r>
              <w:rPr>
                <w:noProof/>
                <w:webHidden/>
              </w:rPr>
              <w:fldChar w:fldCharType="separate"/>
            </w:r>
            <w:r>
              <w:rPr>
                <w:noProof/>
                <w:webHidden/>
              </w:rPr>
              <w:t>8</w:t>
            </w:r>
            <w:r>
              <w:rPr>
                <w:noProof/>
                <w:webHidden/>
              </w:rPr>
              <w:fldChar w:fldCharType="end"/>
            </w:r>
          </w:hyperlink>
        </w:p>
        <w:p w14:paraId="2BB8530E" w14:textId="1B048BA1" w:rsidR="00F24E90" w:rsidRDefault="00F24E90" w:rsidP="00517BE2">
          <w:pPr>
            <w:spacing w:line="360" w:lineRule="auto"/>
          </w:pPr>
          <w:r>
            <w:rPr>
              <w:b/>
              <w:bCs/>
              <w:noProof/>
            </w:rPr>
            <w:fldChar w:fldCharType="end"/>
          </w:r>
        </w:p>
      </w:sdtContent>
    </w:sdt>
    <w:p w14:paraId="252DCB4D" w14:textId="501113D6" w:rsidR="00F24E90" w:rsidRDefault="00F24E90" w:rsidP="00517BE2">
      <w:pPr>
        <w:spacing w:after="0" w:line="360" w:lineRule="auto"/>
        <w:rPr>
          <w:lang w:val="en-GB"/>
        </w:rPr>
      </w:pPr>
      <w:r>
        <w:rPr>
          <w:lang w:val="en-GB"/>
        </w:rPr>
        <w:br w:type="page"/>
      </w:r>
    </w:p>
    <w:p w14:paraId="6096FB9A" w14:textId="77777777" w:rsidR="00F24E90" w:rsidRPr="00F24E90" w:rsidRDefault="00F24E90" w:rsidP="00517BE2">
      <w:pPr>
        <w:pStyle w:val="Heading1"/>
        <w:spacing w:line="360" w:lineRule="auto"/>
        <w:rPr>
          <w:lang w:val="en-GB"/>
        </w:rPr>
      </w:pPr>
      <w:bookmarkStart w:id="0" w:name="_Toc211083613"/>
      <w:r w:rsidRPr="00F24E90">
        <w:rPr>
          <w:lang w:val="en-GB"/>
        </w:rPr>
        <w:lastRenderedPageBreak/>
        <w:t>Introduction</w:t>
      </w:r>
      <w:bookmarkEnd w:id="0"/>
    </w:p>
    <w:p w14:paraId="266A6BAF" w14:textId="0BE27C23" w:rsidR="003130DC" w:rsidRPr="003130DC" w:rsidRDefault="003130DC" w:rsidP="00517BE2">
      <w:pPr>
        <w:spacing w:line="360" w:lineRule="auto"/>
        <w:ind w:firstLine="720"/>
        <w:rPr>
          <w:lang w:val="en-GB"/>
        </w:rPr>
      </w:pPr>
      <w:r w:rsidRPr="003130DC">
        <w:rPr>
          <w:lang w:val="en-GB"/>
        </w:rPr>
        <w:t>In the past few years, the healthcare industry in the United Kingdom has been under a very high rate of digital transformation because of technological growth, rising patient needs and governmental policies and measures to improve efficiency and patient safety (NHS England, 2023). One of the most disruptive changes has been in the implementation of Electronic Patient Records (EPR) systems in the NHS. EPRs are electronic health information systems where patient data is stored and processed electronically, rather than on paper, and where data can be accessed instantly through the system by certified health practitioners (Waterson, 2021).</w:t>
      </w:r>
    </w:p>
    <w:p w14:paraId="5F9EF86C" w14:textId="1294D03B" w:rsidR="00F24E90" w:rsidRPr="00F24E90" w:rsidRDefault="003130DC" w:rsidP="00517BE2">
      <w:pPr>
        <w:spacing w:line="360" w:lineRule="auto"/>
        <w:ind w:firstLine="720"/>
        <w:rPr>
          <w:lang w:val="en-GB"/>
        </w:rPr>
      </w:pPr>
      <w:r w:rsidRPr="003130DC">
        <w:rPr>
          <w:lang w:val="en-GB"/>
        </w:rPr>
        <w:t>This report is geared towards critically evaluating how the adoption of EPR systems has transformed healthcare delivery in UK over the past decade. It considers the impact of this innovation on the workforce, service delivery, patients and the community as a whole in regard to the both the good and bad consequences of this change. The report relies on some of the recent academic literature, state reports, and policy papers to provide an equitable analysis according to the learning outcomes of the Digital Transformation in Health and Care Professions module.</w:t>
      </w:r>
    </w:p>
    <w:p w14:paraId="70AD3214" w14:textId="6E8B9F3D" w:rsidR="00F24E90" w:rsidRPr="00F24E90" w:rsidRDefault="00F24E90" w:rsidP="00517BE2">
      <w:pPr>
        <w:pStyle w:val="Heading2"/>
        <w:spacing w:line="360" w:lineRule="auto"/>
        <w:rPr>
          <w:lang w:val="en-GB"/>
        </w:rPr>
      </w:pPr>
      <w:bookmarkStart w:id="1" w:name="_Toc211083614"/>
      <w:r w:rsidRPr="00F24E90">
        <w:rPr>
          <w:lang w:val="en-GB"/>
        </w:rPr>
        <w:t>Overview of Electronic Patient Records in the UK</w:t>
      </w:r>
      <w:bookmarkEnd w:id="1"/>
    </w:p>
    <w:p w14:paraId="3F672A38" w14:textId="32537251" w:rsidR="00F24E90" w:rsidRPr="00F24E90" w:rsidRDefault="00F24E90" w:rsidP="00517BE2">
      <w:pPr>
        <w:spacing w:line="360" w:lineRule="auto"/>
        <w:ind w:firstLine="720"/>
        <w:rPr>
          <w:lang w:val="en-GB"/>
        </w:rPr>
      </w:pPr>
      <w:r w:rsidRPr="00F24E90">
        <w:rPr>
          <w:lang w:val="en-GB"/>
        </w:rPr>
        <w:t xml:space="preserve">Use of EPRs in the NHS was among the core issues discussed in the governmental digital health strategy since the early 2010s. EPR systems combine such patient information as medical history, diagnostics, prescriptions, and treatment plans into a single digital interface that can be accessed by healthcare teams </w:t>
      </w:r>
      <w:r w:rsidR="00DE0A34" w:rsidRPr="00DE0A34">
        <w:rPr>
          <w:rFonts w:cs="Arial"/>
        </w:rPr>
        <w:t>(Hansen and Baroody, 2023)</w:t>
      </w:r>
      <w:r w:rsidRPr="00F24E90">
        <w:rPr>
          <w:lang w:val="en-GB"/>
        </w:rPr>
        <w:t xml:space="preserve">. It is intended to improve the coordination of care, decrease medical error rates, and facilitate evidence-based decision-making </w:t>
      </w:r>
      <w:r w:rsidR="00B66128" w:rsidRPr="00B66128">
        <w:rPr>
          <w:rFonts w:cs="Arial"/>
        </w:rPr>
        <w:t>(</w:t>
      </w:r>
      <w:proofErr w:type="spellStart"/>
      <w:r w:rsidR="00B66128" w:rsidRPr="00B66128">
        <w:rPr>
          <w:rFonts w:cs="Arial"/>
        </w:rPr>
        <w:t>Tayefi</w:t>
      </w:r>
      <w:proofErr w:type="spellEnd"/>
      <w:r w:rsidR="00B66128" w:rsidRPr="00B66128">
        <w:rPr>
          <w:rFonts w:cs="Arial"/>
        </w:rPr>
        <w:t xml:space="preserve"> </w:t>
      </w:r>
      <w:r w:rsidR="00B66128" w:rsidRPr="00B66128">
        <w:rPr>
          <w:rFonts w:cs="Arial"/>
          <w:i/>
          <w:iCs/>
        </w:rPr>
        <w:t>et al.</w:t>
      </w:r>
      <w:r w:rsidR="00B66128" w:rsidRPr="00B66128">
        <w:rPr>
          <w:rFonts w:cs="Arial"/>
        </w:rPr>
        <w:t>, 2021)</w:t>
      </w:r>
      <w:r w:rsidRPr="00F24E90">
        <w:rPr>
          <w:lang w:val="en-GB"/>
        </w:rPr>
        <w:t>.</w:t>
      </w:r>
    </w:p>
    <w:p w14:paraId="73CB710B" w14:textId="77777777" w:rsidR="00F24E90" w:rsidRPr="00F24E90" w:rsidRDefault="00F24E90" w:rsidP="00517BE2">
      <w:pPr>
        <w:spacing w:line="360" w:lineRule="auto"/>
        <w:ind w:firstLine="720"/>
        <w:rPr>
          <w:lang w:val="en-GB"/>
        </w:rPr>
      </w:pPr>
      <w:r w:rsidRPr="00F24E90">
        <w:rPr>
          <w:lang w:val="en-GB"/>
        </w:rPr>
        <w:t>The digitisation push was given another impetus by the NHS Long Term Plan (2019) that promised to provide all patients in England with digital access to their health records by 2024 (NHS England, 2019). The NHS Transformation Directorate and Integrated Care System (ICS) have funded initiatives to support the implementation of EPRs in hospitals and primary care environments (Department of Health and Social Care, 2022).</w:t>
      </w:r>
    </w:p>
    <w:p w14:paraId="5EBCB6DE" w14:textId="77777777" w:rsidR="00F24E90" w:rsidRPr="00F24E90" w:rsidRDefault="00F24E90" w:rsidP="00517BE2">
      <w:pPr>
        <w:spacing w:line="360" w:lineRule="auto"/>
        <w:ind w:firstLine="720"/>
        <w:rPr>
          <w:lang w:val="en-GB"/>
        </w:rPr>
      </w:pPr>
      <w:r w:rsidRPr="00F24E90">
        <w:rPr>
          <w:lang w:val="en-GB"/>
        </w:rPr>
        <w:t>The process has been complicated and disproportionate despite the ambition. Whereas certain trusts, including Cambridge University Hospitals NHS Foundation Trust and University College London Hospitals (UCLH), have gone near-paperless, other trusts are struggling with system integration, interoperability, and staff involvement (The King’s Fund, 2023). These issues can have a critical impact on the workforce, service delivery, and patient experiences, as discussed below.</w:t>
      </w:r>
    </w:p>
    <w:p w14:paraId="08C056DE" w14:textId="39047108" w:rsidR="00F24E90" w:rsidRPr="00F24E90" w:rsidRDefault="00F24E90" w:rsidP="00517BE2">
      <w:pPr>
        <w:pStyle w:val="Heading1"/>
        <w:spacing w:line="360" w:lineRule="auto"/>
        <w:rPr>
          <w:lang w:val="en-GB"/>
        </w:rPr>
      </w:pPr>
      <w:bookmarkStart w:id="2" w:name="_Toc211083615"/>
      <w:r w:rsidRPr="00F24E90">
        <w:rPr>
          <w:lang w:val="en-GB"/>
        </w:rPr>
        <w:lastRenderedPageBreak/>
        <w:t>Impact on the Workforce</w:t>
      </w:r>
      <w:bookmarkEnd w:id="2"/>
    </w:p>
    <w:p w14:paraId="55D12B8F" w14:textId="5BFD2336" w:rsidR="00F24E90" w:rsidRPr="00F24E90" w:rsidRDefault="00F24E90" w:rsidP="00517BE2">
      <w:pPr>
        <w:pStyle w:val="Heading2"/>
        <w:spacing w:line="360" w:lineRule="auto"/>
        <w:rPr>
          <w:lang w:val="en-GB"/>
        </w:rPr>
      </w:pPr>
      <w:bookmarkStart w:id="3" w:name="_Toc211083616"/>
      <w:r w:rsidRPr="00F24E90">
        <w:rPr>
          <w:lang w:val="en-GB"/>
        </w:rPr>
        <w:t>Competency and Role Change</w:t>
      </w:r>
      <w:bookmarkEnd w:id="3"/>
    </w:p>
    <w:p w14:paraId="5480ED88" w14:textId="77777777" w:rsidR="00F24E90" w:rsidRPr="00F24E90" w:rsidRDefault="00F24E90" w:rsidP="00517BE2">
      <w:pPr>
        <w:spacing w:line="360" w:lineRule="auto"/>
        <w:ind w:firstLine="720"/>
        <w:rPr>
          <w:lang w:val="en-GB"/>
        </w:rPr>
      </w:pPr>
      <w:r w:rsidRPr="00F24E90">
        <w:rPr>
          <w:lang w:val="en-GB"/>
        </w:rPr>
        <w:t>The establishment of EPR systems has led to a revolutionary change in the professional roles of the NHS workforce. New digital skills are needed by clinicians, nurses, and administrative personnel because they must now use digital records to store and analyse data instead of paper (Topol, 2019). Digital literacy is now part of the set of core skills, and NHS Digital has launched workforce development programmes, including the Digital Academy, to educate clinicians on informatics and system optimisation (NHS Digital, 2022).</w:t>
      </w:r>
    </w:p>
    <w:p w14:paraId="7125596A" w14:textId="4B2E68B3" w:rsidR="00F24E90" w:rsidRPr="00F24E90" w:rsidRDefault="00F24E90" w:rsidP="00517BE2">
      <w:pPr>
        <w:spacing w:line="360" w:lineRule="auto"/>
        <w:ind w:firstLine="720"/>
        <w:rPr>
          <w:lang w:val="en-GB"/>
        </w:rPr>
      </w:pPr>
      <w:r w:rsidRPr="00F24E90">
        <w:rPr>
          <w:lang w:val="en-GB"/>
        </w:rPr>
        <w:t xml:space="preserve">The EPR has facilitated much closer working, where multidisciplinary teams can access and discuss patient information in real time </w:t>
      </w:r>
      <w:r w:rsidR="00DE0A34" w:rsidRPr="00DE0A34">
        <w:rPr>
          <w:rFonts w:cs="Arial"/>
        </w:rPr>
        <w:t>(Hansen and Baroody, 2023)</w:t>
      </w:r>
      <w:r w:rsidRPr="00F24E90">
        <w:rPr>
          <w:lang w:val="en-GB"/>
        </w:rPr>
        <w:t xml:space="preserve">. Nevertheless, this transition has also resulted in changes to workloads, and in the transition period, most of the professionals had reported more time on documentation and workflow interference </w:t>
      </w:r>
      <w:r w:rsidR="00DE0A34" w:rsidRPr="00DE0A34">
        <w:rPr>
          <w:rFonts w:cs="Arial"/>
        </w:rPr>
        <w:t xml:space="preserve">(Fleming </w:t>
      </w:r>
      <w:r w:rsidR="00DE0A34" w:rsidRPr="00DE0A34">
        <w:rPr>
          <w:rFonts w:cs="Arial"/>
          <w:i/>
          <w:iCs/>
        </w:rPr>
        <w:t>et al.</w:t>
      </w:r>
      <w:r w:rsidR="00DE0A34" w:rsidRPr="00DE0A34">
        <w:rPr>
          <w:rFonts w:cs="Arial"/>
        </w:rPr>
        <w:t>, 2014)</w:t>
      </w:r>
      <w:r w:rsidRPr="00F24E90">
        <w:rPr>
          <w:lang w:val="en-GB"/>
        </w:rPr>
        <w:t>.</w:t>
      </w:r>
    </w:p>
    <w:p w14:paraId="40E41DA3" w14:textId="4362B5D5" w:rsidR="00F24E90" w:rsidRPr="00F24E90" w:rsidRDefault="00F24E90" w:rsidP="00517BE2">
      <w:pPr>
        <w:pStyle w:val="Heading2"/>
        <w:spacing w:line="360" w:lineRule="auto"/>
        <w:rPr>
          <w:lang w:val="en-GB"/>
        </w:rPr>
      </w:pPr>
      <w:bookmarkStart w:id="4" w:name="_Toc211083617"/>
      <w:r w:rsidRPr="00F24E90">
        <w:rPr>
          <w:lang w:val="en-GB"/>
        </w:rPr>
        <w:t>Resistance and Adaptation to the Workforce</w:t>
      </w:r>
      <w:bookmarkEnd w:id="4"/>
    </w:p>
    <w:p w14:paraId="0A51BFDF" w14:textId="25C751DF" w:rsidR="00F24E90" w:rsidRPr="00F24E90" w:rsidRDefault="00F24E90" w:rsidP="00517BE2">
      <w:pPr>
        <w:spacing w:line="360" w:lineRule="auto"/>
        <w:ind w:firstLine="720"/>
        <w:rPr>
          <w:lang w:val="en-GB"/>
        </w:rPr>
      </w:pPr>
      <w:r w:rsidRPr="00F24E90">
        <w:rPr>
          <w:lang w:val="en-GB"/>
        </w:rPr>
        <w:t xml:space="preserve">The resistance towards EPR implementation has been reported in clinicians in fear of an increase in data entry, less interaction with patients, and usability of the systems </w:t>
      </w:r>
      <w:r w:rsidR="00DE0A34" w:rsidRPr="00DE0A34">
        <w:rPr>
          <w:rFonts w:cs="Arial"/>
        </w:rPr>
        <w:t xml:space="preserve">(Cresswell </w:t>
      </w:r>
      <w:r w:rsidR="00DE0A34" w:rsidRPr="00DE0A34">
        <w:rPr>
          <w:rFonts w:cs="Arial"/>
          <w:i/>
          <w:iCs/>
        </w:rPr>
        <w:t>et al.</w:t>
      </w:r>
      <w:r w:rsidR="00DE0A34" w:rsidRPr="00DE0A34">
        <w:rPr>
          <w:rFonts w:cs="Arial"/>
        </w:rPr>
        <w:t>, 2024)</w:t>
      </w:r>
      <w:r w:rsidRPr="00F24E90">
        <w:rPr>
          <w:lang w:val="en-GB"/>
        </w:rPr>
        <w:t>. Provision of proper training and support and engaging the clinicians in the design and rollout process have become major considerations in the successful adoption</w:t>
      </w:r>
      <w:r w:rsidR="00355F4F">
        <w:rPr>
          <w:lang w:val="en-GB"/>
        </w:rPr>
        <w:t xml:space="preserve"> </w:t>
      </w:r>
      <w:r w:rsidR="007B02DD" w:rsidRPr="007B02DD">
        <w:rPr>
          <w:rFonts w:cs="Arial"/>
        </w:rPr>
        <w:t xml:space="preserve">(Janett and </w:t>
      </w:r>
      <w:proofErr w:type="spellStart"/>
      <w:r w:rsidR="007B02DD" w:rsidRPr="007B02DD">
        <w:rPr>
          <w:rFonts w:cs="Arial"/>
        </w:rPr>
        <w:t>Yeracaris</w:t>
      </w:r>
      <w:proofErr w:type="spellEnd"/>
      <w:r w:rsidR="007B02DD" w:rsidRPr="007B02DD">
        <w:rPr>
          <w:rFonts w:cs="Arial"/>
        </w:rPr>
        <w:t>, 2020)</w:t>
      </w:r>
      <w:r w:rsidRPr="00F24E90">
        <w:rPr>
          <w:lang w:val="en-GB"/>
        </w:rPr>
        <w:t>.</w:t>
      </w:r>
    </w:p>
    <w:p w14:paraId="7D3A96B0" w14:textId="5B762BB9" w:rsidR="00F24E90" w:rsidRPr="00F24E90" w:rsidRDefault="00F24E90" w:rsidP="00517BE2">
      <w:pPr>
        <w:spacing w:line="360" w:lineRule="auto"/>
        <w:ind w:firstLine="720"/>
        <w:rPr>
          <w:lang w:val="en-GB"/>
        </w:rPr>
      </w:pPr>
      <w:r w:rsidRPr="00F24E90">
        <w:rPr>
          <w:lang w:val="en-GB"/>
        </w:rPr>
        <w:t xml:space="preserve">On the other hand, EPR systems have enhanced the efficiency of the workforce through minimisation of duplication, increased accuracy of information, and safe prescribing once embedded </w:t>
      </w:r>
      <w:r w:rsidRPr="00F24E90">
        <w:rPr>
          <w:rFonts w:cs="Arial"/>
        </w:rPr>
        <w:t xml:space="preserve">(Girardi </w:t>
      </w:r>
      <w:r w:rsidRPr="00F24E90">
        <w:rPr>
          <w:rFonts w:cs="Arial"/>
          <w:i/>
          <w:iCs/>
        </w:rPr>
        <w:t>et al.</w:t>
      </w:r>
      <w:r w:rsidRPr="00F24E90">
        <w:rPr>
          <w:rFonts w:cs="Arial"/>
        </w:rPr>
        <w:t>, 2020)</w:t>
      </w:r>
      <w:r w:rsidRPr="00F24E90">
        <w:rPr>
          <w:lang w:val="en-GB"/>
        </w:rPr>
        <w:t>. Research shows that professionals in the healthcare system who received continuous help on digital matters displayed higher job satisfaction and confidence levels in the use of technology (NHS England, 2023). Therefore, although there are difficulties with initial adaptation, in the long term, it will result in better coordination, data-driven practice, and improved communication between teams.</w:t>
      </w:r>
    </w:p>
    <w:p w14:paraId="4BB3E57B" w14:textId="62A8C1A9" w:rsidR="00F24E90" w:rsidRPr="00F24E90" w:rsidRDefault="00F24E90" w:rsidP="00517BE2">
      <w:pPr>
        <w:pStyle w:val="Heading1"/>
        <w:spacing w:line="360" w:lineRule="auto"/>
        <w:rPr>
          <w:lang w:val="en-GB"/>
        </w:rPr>
      </w:pPr>
      <w:bookmarkStart w:id="5" w:name="_Toc211083618"/>
      <w:r w:rsidRPr="00F24E90">
        <w:rPr>
          <w:lang w:val="en-GB"/>
        </w:rPr>
        <w:t>Impact on Service Delivery</w:t>
      </w:r>
      <w:bookmarkEnd w:id="5"/>
    </w:p>
    <w:p w14:paraId="4F779026" w14:textId="3245EEB5" w:rsidR="00F24E90" w:rsidRPr="00F24E90" w:rsidRDefault="00F24E90" w:rsidP="00517BE2">
      <w:pPr>
        <w:pStyle w:val="Heading2"/>
        <w:spacing w:line="360" w:lineRule="auto"/>
        <w:rPr>
          <w:lang w:val="en-GB"/>
        </w:rPr>
      </w:pPr>
      <w:bookmarkStart w:id="6" w:name="_Toc211083619"/>
      <w:r w:rsidRPr="00F24E90">
        <w:rPr>
          <w:lang w:val="en-GB"/>
        </w:rPr>
        <w:t>Operational Efficiency and Safety</w:t>
      </w:r>
      <w:bookmarkEnd w:id="6"/>
    </w:p>
    <w:p w14:paraId="38E1F44C" w14:textId="4FCF4D53" w:rsidR="00F24E90" w:rsidRPr="00F24E90" w:rsidRDefault="00F24E90" w:rsidP="00517BE2">
      <w:pPr>
        <w:spacing w:line="360" w:lineRule="auto"/>
        <w:ind w:firstLine="720"/>
        <w:rPr>
          <w:lang w:val="en-GB"/>
        </w:rPr>
      </w:pPr>
      <w:r w:rsidRPr="00F24E90">
        <w:rPr>
          <w:lang w:val="en-GB"/>
        </w:rPr>
        <w:t xml:space="preserve">The EPR systems have greatly revolutionised service provision through enhanced efficiency in operations and patient safety. Online records give clinicians real-time access to current information, causing fewer delays in diagnosis and treatment </w:t>
      </w:r>
      <w:r w:rsidR="007B02DD" w:rsidRPr="007B02DD">
        <w:rPr>
          <w:rFonts w:cs="Arial"/>
        </w:rPr>
        <w:t xml:space="preserve">(Hein </w:t>
      </w:r>
      <w:r w:rsidR="007B02DD" w:rsidRPr="007B02DD">
        <w:rPr>
          <w:rFonts w:cs="Arial"/>
          <w:i/>
          <w:iCs/>
        </w:rPr>
        <w:t>et al.</w:t>
      </w:r>
      <w:r w:rsidR="007B02DD" w:rsidRPr="007B02DD">
        <w:rPr>
          <w:rFonts w:cs="Arial"/>
        </w:rPr>
        <w:t>, 2020)</w:t>
      </w:r>
      <w:r w:rsidRPr="00F24E90">
        <w:rPr>
          <w:lang w:val="en-GB"/>
        </w:rPr>
        <w:t xml:space="preserve">. To use the example of the Epic EPR system, which is deployed at Cambridge University </w:t>
      </w:r>
      <w:r w:rsidRPr="00F24E90">
        <w:rPr>
          <w:lang w:val="en-GB"/>
        </w:rPr>
        <w:lastRenderedPageBreak/>
        <w:t>Hospitals, it has been credited with preventing prescription errors and enhancing the level of accuracy in discharge documentation (Maguire et al., 2021).</w:t>
      </w:r>
    </w:p>
    <w:p w14:paraId="4F65D010" w14:textId="66723698" w:rsidR="00F24E90" w:rsidRPr="00F24E90" w:rsidRDefault="00F24E90" w:rsidP="00517BE2">
      <w:pPr>
        <w:spacing w:line="360" w:lineRule="auto"/>
        <w:ind w:firstLine="720"/>
        <w:rPr>
          <w:lang w:val="en-GB"/>
        </w:rPr>
      </w:pPr>
      <w:r w:rsidRPr="00F24E90">
        <w:rPr>
          <w:lang w:val="en-GB"/>
        </w:rPr>
        <w:t xml:space="preserve">EPRs share automated warnings and decision support software that improve patient safety by detecting possible drug interactions and warning of abnormal test results </w:t>
      </w:r>
      <w:r w:rsidR="00DE0A34" w:rsidRPr="00DE0A34">
        <w:rPr>
          <w:rFonts w:cs="Arial"/>
        </w:rPr>
        <w:t xml:space="preserve">(Cresswell </w:t>
      </w:r>
      <w:r w:rsidR="00DE0A34" w:rsidRPr="00DE0A34">
        <w:rPr>
          <w:rFonts w:cs="Arial"/>
          <w:i/>
          <w:iCs/>
        </w:rPr>
        <w:t>et al.</w:t>
      </w:r>
      <w:r w:rsidR="00DE0A34" w:rsidRPr="00DE0A34">
        <w:rPr>
          <w:rFonts w:cs="Arial"/>
        </w:rPr>
        <w:t>, 2024)</w:t>
      </w:r>
      <w:r w:rsidRPr="00F24E90">
        <w:rPr>
          <w:lang w:val="en-GB"/>
        </w:rPr>
        <w:t>. Moreover, electronic scheduling and patient flow systems have streamlined resource use, especially in emergency departments and outpatient services (The King’s Fund, 2023).</w:t>
      </w:r>
    </w:p>
    <w:p w14:paraId="0FEBE875" w14:textId="1046E875" w:rsidR="00F24E90" w:rsidRPr="00F24E90" w:rsidRDefault="00F24E90" w:rsidP="00517BE2">
      <w:pPr>
        <w:pStyle w:val="Heading2"/>
        <w:spacing w:line="360" w:lineRule="auto"/>
        <w:rPr>
          <w:lang w:val="en-GB"/>
        </w:rPr>
      </w:pPr>
      <w:bookmarkStart w:id="7" w:name="_Toc211083620"/>
      <w:r w:rsidRPr="00F24E90">
        <w:rPr>
          <w:lang w:val="en-GB"/>
        </w:rPr>
        <w:t>Implementation and Integration Problems</w:t>
      </w:r>
      <w:bookmarkEnd w:id="7"/>
    </w:p>
    <w:p w14:paraId="68418088" w14:textId="77777777" w:rsidR="00F24E90" w:rsidRPr="00F24E90" w:rsidRDefault="00F24E90" w:rsidP="00517BE2">
      <w:pPr>
        <w:spacing w:line="360" w:lineRule="auto"/>
        <w:ind w:firstLine="720"/>
        <w:rPr>
          <w:lang w:val="en-GB"/>
        </w:rPr>
      </w:pPr>
      <w:r w:rsidRPr="00F24E90">
        <w:rPr>
          <w:lang w:val="en-GB"/>
        </w:rPr>
        <w:t>Although these have been improved, there are still issues of integration. The existence of legacy systems in many NHS organisations, which are incompatible with newer EPR systems, impedes a flow of information between the settings of care (Robertson et al., 2022). Fragmentation and data silos have also been caused by the absence of standardised formats of data.</w:t>
      </w:r>
    </w:p>
    <w:p w14:paraId="33ECCBCE" w14:textId="3B84FE1E" w:rsidR="00F24E90" w:rsidRPr="00F24E90" w:rsidRDefault="00355F4F" w:rsidP="00517BE2">
      <w:pPr>
        <w:spacing w:line="360" w:lineRule="auto"/>
        <w:ind w:firstLine="720"/>
        <w:rPr>
          <w:lang w:val="en-GB"/>
        </w:rPr>
      </w:pPr>
      <w:r>
        <w:rPr>
          <w:lang w:val="en-GB"/>
        </w:rPr>
        <w:t>Furthermore</w:t>
      </w:r>
      <w:r w:rsidR="00F24E90" w:rsidRPr="00F24E90">
        <w:rPr>
          <w:lang w:val="en-GB"/>
        </w:rPr>
        <w:t>, the process of implementation can be very costly in terms of funds and time. A complete EPR implementation in a large NHS trust is estimated to cost over 200 million pounds and puts economic pressure on already stretched budgets (NHS Confederation, 2022). The complexity of the issue of digital transformation at scale has been proven by occasional disruption of clinical workflows due to technical downtime, data migration errors, and software glitches.</w:t>
      </w:r>
    </w:p>
    <w:p w14:paraId="1E5374FB" w14:textId="419E4E13" w:rsidR="00F24E90" w:rsidRPr="00F24E90" w:rsidRDefault="00F24E90" w:rsidP="00517BE2">
      <w:pPr>
        <w:pStyle w:val="Heading1"/>
        <w:spacing w:line="360" w:lineRule="auto"/>
        <w:rPr>
          <w:lang w:val="en-GB"/>
        </w:rPr>
      </w:pPr>
      <w:bookmarkStart w:id="8" w:name="_Toc211083621"/>
      <w:r w:rsidRPr="00F24E90">
        <w:rPr>
          <w:lang w:val="en-GB"/>
        </w:rPr>
        <w:t>Impact on Patients and Service Users</w:t>
      </w:r>
      <w:bookmarkEnd w:id="8"/>
    </w:p>
    <w:p w14:paraId="02BB7E2E" w14:textId="349A0257" w:rsidR="00F24E90" w:rsidRPr="00F24E90" w:rsidRDefault="00F24E90" w:rsidP="00517BE2">
      <w:pPr>
        <w:pStyle w:val="Heading2"/>
        <w:spacing w:line="360" w:lineRule="auto"/>
        <w:rPr>
          <w:lang w:val="en-GB"/>
        </w:rPr>
      </w:pPr>
      <w:bookmarkStart w:id="9" w:name="_Toc211083622"/>
      <w:r w:rsidRPr="00F24E90">
        <w:rPr>
          <w:lang w:val="en-GB"/>
        </w:rPr>
        <w:t>Enhanced Patient Engagement and Experience</w:t>
      </w:r>
      <w:bookmarkEnd w:id="9"/>
    </w:p>
    <w:p w14:paraId="6DE458A4" w14:textId="509B451D" w:rsidR="00F24E90" w:rsidRPr="00F24E90" w:rsidRDefault="00F24E90" w:rsidP="00517BE2">
      <w:pPr>
        <w:spacing w:line="360" w:lineRule="auto"/>
        <w:ind w:firstLine="720"/>
        <w:rPr>
          <w:lang w:val="en-GB"/>
        </w:rPr>
      </w:pPr>
      <w:r w:rsidRPr="00F24E90">
        <w:rPr>
          <w:lang w:val="en-GB"/>
        </w:rPr>
        <w:t xml:space="preserve">The EPRs have also enabled the patients, as they have enhanced the flow of information (transparency) on personal health. Patients can access test results, book appointments, and contact healthcare professionals through the NHS App platform (NHS England, 2023). It is consistent with the overall trend in favour of patient-centred care and shared decision-making, which allows individuals to have a more active role in the management of their health </w:t>
      </w:r>
      <w:r w:rsidR="00DE0A34" w:rsidRPr="00DE0A34">
        <w:rPr>
          <w:rFonts w:cs="Arial"/>
        </w:rPr>
        <w:t>(Hansen and Baroody, 2023)</w:t>
      </w:r>
      <w:r w:rsidRPr="00F24E90">
        <w:rPr>
          <w:lang w:val="en-GB"/>
        </w:rPr>
        <w:t>.</w:t>
      </w:r>
    </w:p>
    <w:p w14:paraId="6C2972AE" w14:textId="77777777" w:rsidR="00F24E90" w:rsidRPr="00F24E90" w:rsidRDefault="00F24E90" w:rsidP="00517BE2">
      <w:pPr>
        <w:spacing w:line="360" w:lineRule="auto"/>
        <w:ind w:firstLine="720"/>
        <w:rPr>
          <w:lang w:val="en-GB"/>
        </w:rPr>
      </w:pPr>
      <w:r w:rsidRPr="00F24E90">
        <w:rPr>
          <w:lang w:val="en-GB"/>
        </w:rPr>
        <w:t>In addition, electronic medical records have also enabled continuity of care, particularly in patients with chronic conditions that need multi-speciality involvement. The tendency of providing disorganised or repeated care is minimised by making sure that clinicians in primary, secondary, and community care have the same version of the patient record (Robertson et al., 2022).</w:t>
      </w:r>
    </w:p>
    <w:p w14:paraId="0D216BBC" w14:textId="0A1722AD" w:rsidR="00F24E90" w:rsidRPr="00F24E90" w:rsidRDefault="00F24E90" w:rsidP="00517BE2">
      <w:pPr>
        <w:pStyle w:val="Heading2"/>
        <w:spacing w:line="360" w:lineRule="auto"/>
        <w:rPr>
          <w:lang w:val="en-GB"/>
        </w:rPr>
      </w:pPr>
      <w:bookmarkStart w:id="10" w:name="_Toc211083623"/>
      <w:r w:rsidRPr="00F24E90">
        <w:rPr>
          <w:lang w:val="en-GB"/>
        </w:rPr>
        <w:lastRenderedPageBreak/>
        <w:t>Privacy, Trust, and the Digital Divide</w:t>
      </w:r>
      <w:bookmarkEnd w:id="10"/>
    </w:p>
    <w:p w14:paraId="562EBBC6" w14:textId="77777777" w:rsidR="00F24E90" w:rsidRPr="00F24E90" w:rsidRDefault="00F24E90" w:rsidP="00517BE2">
      <w:pPr>
        <w:spacing w:line="360" w:lineRule="auto"/>
        <w:ind w:firstLine="720"/>
        <w:rPr>
          <w:lang w:val="en-GB"/>
        </w:rPr>
      </w:pPr>
      <w:r w:rsidRPr="00F24E90">
        <w:rPr>
          <w:lang w:val="en-GB"/>
        </w:rPr>
        <w:t>Nonetheless, the shift to EPRs has also brought up valid issues related to data privacy and security. The cyberattacks of high profile, like the WannaCry ransomware attack of 2017, revealed the vulnerability of the NHS digital infrastructure and increased patient anxiety about information breaches (House of Commons, 2018). It is important to keep the trust of the population, thus ensuring that there are strong data governance systems and that there is clear communication on how the patient information is utilised (ICO, 2022).</w:t>
      </w:r>
    </w:p>
    <w:p w14:paraId="7C19F8B4" w14:textId="726FDB3F" w:rsidR="00F24E90" w:rsidRPr="00F24E90" w:rsidRDefault="00F24E90" w:rsidP="00517BE2">
      <w:pPr>
        <w:spacing w:line="360" w:lineRule="auto"/>
        <w:ind w:firstLine="720"/>
        <w:rPr>
          <w:lang w:val="en-GB"/>
        </w:rPr>
      </w:pPr>
      <w:r w:rsidRPr="00F24E90">
        <w:rPr>
          <w:lang w:val="en-GB"/>
        </w:rPr>
        <w:t>The other problem is the digital divide, where not every patient is digitally literate or has access to technology to interact with electronic health systems (Waterson, 2021). Older adults, socioeconomically disadvantaged groups, and those with disabilities might have difficulties in navigating online records, which will unintentionally increase health inequalities unless properly managed (ONS, 2022).</w:t>
      </w:r>
    </w:p>
    <w:p w14:paraId="0B671D5C" w14:textId="6759C5D1" w:rsidR="00F24E90" w:rsidRPr="00F24E90" w:rsidRDefault="00F24E90" w:rsidP="00517BE2">
      <w:pPr>
        <w:pStyle w:val="Heading1"/>
        <w:spacing w:line="360" w:lineRule="auto"/>
        <w:rPr>
          <w:lang w:val="en-GB"/>
        </w:rPr>
      </w:pPr>
      <w:bookmarkStart w:id="11" w:name="_Toc211083624"/>
      <w:r w:rsidRPr="00F24E90">
        <w:rPr>
          <w:lang w:val="en-GB"/>
        </w:rPr>
        <w:t>Impact on the Wider Community</w:t>
      </w:r>
      <w:bookmarkEnd w:id="11"/>
    </w:p>
    <w:p w14:paraId="0DDE1197" w14:textId="56292ED9" w:rsidR="00F24E90" w:rsidRPr="00F24E90" w:rsidRDefault="00F24E90" w:rsidP="00517BE2">
      <w:pPr>
        <w:pStyle w:val="Heading2"/>
        <w:spacing w:line="360" w:lineRule="auto"/>
        <w:rPr>
          <w:lang w:val="en-GB"/>
        </w:rPr>
      </w:pPr>
      <w:bookmarkStart w:id="12" w:name="_Toc211083625"/>
      <w:r w:rsidRPr="00F24E90">
        <w:rPr>
          <w:lang w:val="en-GB"/>
        </w:rPr>
        <w:t>Community Health and Public Health Outcomes</w:t>
      </w:r>
      <w:bookmarkEnd w:id="12"/>
    </w:p>
    <w:p w14:paraId="1B55860E" w14:textId="77777777" w:rsidR="00F24E90" w:rsidRPr="00F24E90" w:rsidRDefault="00F24E90" w:rsidP="00517BE2">
      <w:pPr>
        <w:spacing w:line="360" w:lineRule="auto"/>
        <w:ind w:firstLine="720"/>
        <w:rPr>
          <w:lang w:val="en-GB"/>
        </w:rPr>
      </w:pPr>
      <w:r w:rsidRPr="00F24E90">
        <w:rPr>
          <w:lang w:val="en-GB"/>
        </w:rPr>
        <w:t>EPR data has emerged as a useful tool at the community level to manage population health and in the planning of public health. Aggregation of anonymised patient data allows NHS organisations to track disease outbreaks and epidemiological trends and target preventive interventions (Public Health England, 2020). As an example, EPR data can be used to conduct quick contact tracing, vaccine tracking, and outcome analysis during the COVID-19 pandemic (NHS England, 2023).</w:t>
      </w:r>
    </w:p>
    <w:p w14:paraId="3B048367" w14:textId="0E3D7C3F" w:rsidR="00F24E90" w:rsidRPr="00F24E90" w:rsidRDefault="00F24E90" w:rsidP="00517BE2">
      <w:pPr>
        <w:spacing w:line="360" w:lineRule="auto"/>
        <w:ind w:firstLine="720"/>
        <w:rPr>
          <w:lang w:val="en-GB"/>
        </w:rPr>
      </w:pPr>
      <w:r w:rsidRPr="00F24E90">
        <w:rPr>
          <w:lang w:val="en-GB"/>
        </w:rPr>
        <w:t xml:space="preserve">Co-production of care as patients, families, and healthcare professionals make decisions with the help of EPRs is also supported. It is especially necessary in the case of community-based services that take care of long-term conditions like diabetes or heart disease </w:t>
      </w:r>
      <w:r w:rsidR="00DE0A34" w:rsidRPr="00DE0A34">
        <w:rPr>
          <w:rFonts w:cs="Arial"/>
        </w:rPr>
        <w:t>(Hansen and Baroody, 2023)</w:t>
      </w:r>
      <w:r w:rsidRPr="00F24E90">
        <w:rPr>
          <w:lang w:val="en-GB"/>
        </w:rPr>
        <w:t>.</w:t>
      </w:r>
    </w:p>
    <w:p w14:paraId="3731E8BA" w14:textId="0046AE67" w:rsidR="00F24E90" w:rsidRPr="00F24E90" w:rsidRDefault="00F24E90" w:rsidP="00517BE2">
      <w:pPr>
        <w:pStyle w:val="Heading2"/>
        <w:spacing w:line="360" w:lineRule="auto"/>
        <w:rPr>
          <w:lang w:val="en-GB"/>
        </w:rPr>
      </w:pPr>
      <w:bookmarkStart w:id="13" w:name="_Toc211083626"/>
      <w:r w:rsidRPr="00F24E90">
        <w:rPr>
          <w:lang w:val="en-GB"/>
        </w:rPr>
        <w:t>Economic and Social Implications</w:t>
      </w:r>
      <w:bookmarkEnd w:id="13"/>
    </w:p>
    <w:p w14:paraId="10B9E70A" w14:textId="10FA73D1" w:rsidR="00F24E90" w:rsidRPr="00F24E90" w:rsidRDefault="00F24E90" w:rsidP="00517BE2">
      <w:pPr>
        <w:spacing w:line="360" w:lineRule="auto"/>
        <w:ind w:firstLine="720"/>
        <w:rPr>
          <w:lang w:val="en-GB"/>
        </w:rPr>
      </w:pPr>
      <w:r w:rsidRPr="00F24E90">
        <w:rPr>
          <w:lang w:val="en-GB"/>
        </w:rPr>
        <w:t>Economically, EPRs have the long-term potential to save costs due to efficiency and decreased duplication of tests</w:t>
      </w:r>
      <w:r w:rsidR="007B02DD">
        <w:rPr>
          <w:lang w:val="en-GB"/>
        </w:rPr>
        <w:t xml:space="preserve"> </w:t>
      </w:r>
      <w:r w:rsidR="007B02DD" w:rsidRPr="007B02DD">
        <w:rPr>
          <w:rFonts w:cs="Arial"/>
        </w:rPr>
        <w:t xml:space="preserve">(Hein </w:t>
      </w:r>
      <w:r w:rsidR="007B02DD" w:rsidRPr="007B02DD">
        <w:rPr>
          <w:rFonts w:cs="Arial"/>
          <w:i/>
          <w:iCs/>
        </w:rPr>
        <w:t>et al.</w:t>
      </w:r>
      <w:r w:rsidR="007B02DD" w:rsidRPr="007B02DD">
        <w:rPr>
          <w:rFonts w:cs="Arial"/>
        </w:rPr>
        <w:t>, 2020)</w:t>
      </w:r>
      <w:r w:rsidRPr="00F24E90">
        <w:rPr>
          <w:lang w:val="en-GB"/>
        </w:rPr>
        <w:t>. Nonetheless, the initial financial cost and maintenance fees can put a strain on local NHS trusts, particularly in underfunded areas (NHS Confederation, 2022).</w:t>
      </w:r>
    </w:p>
    <w:p w14:paraId="46E11857" w14:textId="77777777" w:rsidR="00F24E90" w:rsidRPr="00F24E90" w:rsidRDefault="00F24E90" w:rsidP="00517BE2">
      <w:pPr>
        <w:spacing w:line="360" w:lineRule="auto"/>
        <w:ind w:firstLine="720"/>
        <w:rPr>
          <w:lang w:val="en-GB"/>
        </w:rPr>
      </w:pPr>
      <w:r w:rsidRPr="00F24E90">
        <w:rPr>
          <w:lang w:val="en-GB"/>
        </w:rPr>
        <w:t xml:space="preserve">Digitally, digital records also support the process of health and social care integration by allowing local authorities and other healthcare providers to coordinate the support of vulnerable populations, such as the elderly or those with mental health needs (The King’s </w:t>
      </w:r>
      <w:r w:rsidRPr="00F24E90">
        <w:rPr>
          <w:lang w:val="en-GB"/>
        </w:rPr>
        <w:lastRenderedPageBreak/>
        <w:t>Fund, 2023). However, equitable access and the avoidance of misuse of data are still present issues that are a part of the balance between innovation and ethical responsibility.</w:t>
      </w:r>
    </w:p>
    <w:p w14:paraId="1A274522" w14:textId="6BA98BDE" w:rsidR="00F24E90" w:rsidRDefault="00F24E90" w:rsidP="00517BE2">
      <w:pPr>
        <w:pStyle w:val="Heading1"/>
        <w:spacing w:line="360" w:lineRule="auto"/>
        <w:rPr>
          <w:lang w:val="en-GB"/>
        </w:rPr>
      </w:pPr>
      <w:bookmarkStart w:id="14" w:name="_Toc211083627"/>
      <w:r w:rsidRPr="00F24E90">
        <w:rPr>
          <w:lang w:val="en-GB"/>
        </w:rPr>
        <w:t>Conclusion</w:t>
      </w:r>
      <w:bookmarkEnd w:id="14"/>
    </w:p>
    <w:p w14:paraId="195EF913" w14:textId="77777777" w:rsidR="00F24E90" w:rsidRPr="00F24E90" w:rsidRDefault="00F24E90" w:rsidP="00517BE2">
      <w:pPr>
        <w:spacing w:line="360" w:lineRule="auto"/>
        <w:ind w:firstLine="720"/>
        <w:rPr>
          <w:lang w:val="en-GB"/>
        </w:rPr>
      </w:pPr>
      <w:r w:rsidRPr="00F24E90">
        <w:rPr>
          <w:lang w:val="en-GB"/>
        </w:rPr>
        <w:t>The adoption of EPR systems is a good example of the potential and the challenge of digital transformation in health and care. Although the technology will improve efficiency, patient safety, and the use of data to make decisions, it will also reveal weaknesses in infrastructure, interoperability, and workforce preparedness.</w:t>
      </w:r>
    </w:p>
    <w:p w14:paraId="6B8603C6" w14:textId="613C6956" w:rsidR="00F24E90" w:rsidRPr="00F24E90" w:rsidRDefault="00F24E90" w:rsidP="00517BE2">
      <w:pPr>
        <w:spacing w:line="360" w:lineRule="auto"/>
        <w:ind w:firstLine="720"/>
        <w:rPr>
          <w:lang w:val="en-GB"/>
        </w:rPr>
      </w:pPr>
      <w:r w:rsidRPr="00F24E90">
        <w:rPr>
          <w:lang w:val="en-GB"/>
        </w:rPr>
        <w:t xml:space="preserve">These outcomes can be analysed through the prism of the socio-technical systems theory, which emphasises the necessity of the correspondence between the technological design and the human processes </w:t>
      </w:r>
      <w:r w:rsidR="00DE0A34" w:rsidRPr="00DE0A34">
        <w:rPr>
          <w:rFonts w:cs="Arial"/>
        </w:rPr>
        <w:t xml:space="preserve">(Das, Rani and </w:t>
      </w:r>
      <w:proofErr w:type="spellStart"/>
      <w:r w:rsidR="00DE0A34" w:rsidRPr="00DE0A34">
        <w:rPr>
          <w:rFonts w:cs="Arial"/>
        </w:rPr>
        <w:t>Vaddavalli</w:t>
      </w:r>
      <w:proofErr w:type="spellEnd"/>
      <w:r w:rsidR="00DE0A34" w:rsidRPr="00DE0A34">
        <w:rPr>
          <w:rFonts w:cs="Arial"/>
        </w:rPr>
        <w:t>, 2020)</w:t>
      </w:r>
      <w:r w:rsidRPr="00F24E90">
        <w:rPr>
          <w:lang w:val="en-GB"/>
        </w:rPr>
        <w:t xml:space="preserve">. The issues related to the adoption of EPR are not caused by the technology itself but rather by the organisational and cultural factors, including resistance to change, the lack of training, and weak communication between developers and end users </w:t>
      </w:r>
      <w:r w:rsidR="00DE0A34" w:rsidRPr="00DE0A34">
        <w:rPr>
          <w:rFonts w:cs="Arial"/>
        </w:rPr>
        <w:t xml:space="preserve">(Cresswell </w:t>
      </w:r>
      <w:r w:rsidR="00DE0A34" w:rsidRPr="00DE0A34">
        <w:rPr>
          <w:rFonts w:cs="Arial"/>
          <w:i/>
          <w:iCs/>
        </w:rPr>
        <w:t>et al.</w:t>
      </w:r>
      <w:r w:rsidR="00DE0A34" w:rsidRPr="00DE0A34">
        <w:rPr>
          <w:rFonts w:cs="Arial"/>
        </w:rPr>
        <w:t>, 2024)</w:t>
      </w:r>
      <w:r w:rsidRPr="00F24E90">
        <w:rPr>
          <w:lang w:val="en-GB"/>
        </w:rPr>
        <w:t>.</w:t>
      </w:r>
    </w:p>
    <w:p w14:paraId="605C0704" w14:textId="0F4BB3C6" w:rsidR="00F24E90" w:rsidRPr="00F24E90" w:rsidRDefault="00F24E90" w:rsidP="00517BE2">
      <w:pPr>
        <w:spacing w:line="360" w:lineRule="auto"/>
        <w:ind w:firstLine="720"/>
        <w:rPr>
          <w:lang w:val="en-GB"/>
        </w:rPr>
      </w:pPr>
      <w:r w:rsidRPr="00F24E90">
        <w:rPr>
          <w:lang w:val="en-GB"/>
        </w:rPr>
        <w:t>In the transformational leadership paradigm, effective implementation of an EPR is evident when the leader has a vision, effectively communicates, and engages clinicians and patients (Topol, 2019). Digital transformation is not necessarily an update in the technical and must be treated as a comprehensive change process that transforms care delivery and professional practice.</w:t>
      </w:r>
    </w:p>
    <w:p w14:paraId="297509B2" w14:textId="77777777" w:rsidR="00BB6F04" w:rsidRPr="00BB6F04" w:rsidRDefault="00BB6F04" w:rsidP="00517BE2">
      <w:pPr>
        <w:spacing w:line="360" w:lineRule="auto"/>
        <w:ind w:firstLine="720"/>
        <w:rPr>
          <w:lang w:val="en-GB"/>
        </w:rPr>
      </w:pPr>
      <w:r w:rsidRPr="00BB6F04">
        <w:rPr>
          <w:lang w:val="en-GB"/>
        </w:rPr>
        <w:t>One of the best achievements of electronic development of the NHS is the implementation of Electronic Patient Records. EPR systems have transformed how healthcare information is stored, accessed and utilised and have produced measurable benefits in patient safety, efficiency and the coordination of care over the past decade. However, the experience has also shown the challenges of a digital scale implementation in a complex public health system.</w:t>
      </w:r>
    </w:p>
    <w:p w14:paraId="18FB46A0" w14:textId="0E9BDED7" w:rsidR="00F24E90" w:rsidRPr="00F24E90" w:rsidRDefault="00BB6F04" w:rsidP="00517BE2">
      <w:pPr>
        <w:spacing w:line="360" w:lineRule="auto"/>
        <w:ind w:firstLine="720"/>
        <w:rPr>
          <w:lang w:val="en-GB"/>
        </w:rPr>
      </w:pPr>
      <w:r w:rsidRPr="00BB6F04">
        <w:rPr>
          <w:lang w:val="en-GB"/>
        </w:rPr>
        <w:t>Additional funding in interoperability, cybersecurity, and digital literacy is needed to guarantee maximum use of the EPRs. The same will also ensure that the growth of a culture of co-production and inclusivity will ensure that digital transformation contributes positively rather than adversely to equitable access to healthcare in the UK.</w:t>
      </w:r>
      <w:r>
        <w:rPr>
          <w:lang w:val="en-GB"/>
        </w:rPr>
        <w:t xml:space="preserve"> </w:t>
      </w:r>
      <w:r w:rsidR="00F24E90" w:rsidRPr="00F24E90">
        <w:rPr>
          <w:lang w:val="en-GB"/>
        </w:rPr>
        <w:t>Finally, the EPR project highlights that digital innovation is not merely about technology but about reconstructing health and care in a more interconnected, effective and patient-centred future.</w:t>
      </w:r>
    </w:p>
    <w:p w14:paraId="3A32DCD9" w14:textId="1EF2043F" w:rsidR="00F24E90" w:rsidRDefault="00F24E90" w:rsidP="00517BE2">
      <w:pPr>
        <w:spacing w:after="0" w:line="360" w:lineRule="auto"/>
        <w:rPr>
          <w:lang w:val="en-GB"/>
        </w:rPr>
      </w:pPr>
      <w:r>
        <w:rPr>
          <w:lang w:val="en-GB"/>
        </w:rPr>
        <w:br w:type="page"/>
      </w:r>
    </w:p>
    <w:p w14:paraId="4599B643" w14:textId="10B4B4B7" w:rsidR="00F24E90" w:rsidRPr="0076613C" w:rsidRDefault="00F24E90" w:rsidP="00517BE2">
      <w:pPr>
        <w:pStyle w:val="Heading1"/>
        <w:numPr>
          <w:ilvl w:val="0"/>
          <w:numId w:val="0"/>
        </w:numPr>
        <w:spacing w:line="360" w:lineRule="auto"/>
        <w:rPr>
          <w:rFonts w:cs="Arial"/>
          <w:sz w:val="22"/>
          <w:szCs w:val="36"/>
          <w:lang w:val="en-GB"/>
        </w:rPr>
      </w:pPr>
      <w:bookmarkStart w:id="15" w:name="_Toc211083628"/>
      <w:r w:rsidRPr="0076613C">
        <w:rPr>
          <w:rFonts w:cs="Arial"/>
          <w:sz w:val="22"/>
          <w:szCs w:val="36"/>
          <w:lang w:val="en-GB"/>
        </w:rPr>
        <w:lastRenderedPageBreak/>
        <w:t>References</w:t>
      </w:r>
      <w:bookmarkEnd w:id="15"/>
    </w:p>
    <w:p w14:paraId="08609FD5"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Cresswell, K. et al. (2024) 'Opportunities and challenges of promoting integrated care through digitalisation–Learning lessons from large-scale national programmes in England', </w:t>
      </w:r>
      <w:r w:rsidRPr="0076613C">
        <w:rPr>
          <w:rStyle w:val="Emphasis"/>
          <w:rFonts w:ascii="Arial" w:eastAsiaTheme="majorEastAsia" w:hAnsi="Arial" w:cs="Arial"/>
          <w:sz w:val="22"/>
          <w:szCs w:val="22"/>
        </w:rPr>
        <w:t>Health Policy and Technology</w:t>
      </w:r>
      <w:r w:rsidRPr="0076613C">
        <w:rPr>
          <w:rFonts w:ascii="Arial" w:hAnsi="Arial" w:cs="Arial"/>
          <w:sz w:val="22"/>
          <w:szCs w:val="22"/>
        </w:rPr>
        <w:t xml:space="preserve">, 13(2), p. 100838. Available at: </w:t>
      </w:r>
      <w:hyperlink r:id="rId7" w:tgtFrame="_blank" w:history="1">
        <w:r w:rsidRPr="0076613C">
          <w:rPr>
            <w:rStyle w:val="Hyperlink"/>
            <w:rFonts w:ascii="Arial" w:hAnsi="Arial" w:cs="Arial"/>
            <w:color w:val="auto"/>
            <w:sz w:val="22"/>
            <w:szCs w:val="22"/>
            <w:u w:val="none"/>
          </w:rPr>
          <w:t>https://doi.org/10.1016/j.hlpt.2024.100838</w:t>
        </w:r>
      </w:hyperlink>
      <w:r w:rsidRPr="0076613C">
        <w:rPr>
          <w:rFonts w:ascii="Arial" w:hAnsi="Arial" w:cs="Arial"/>
          <w:sz w:val="22"/>
          <w:szCs w:val="22"/>
        </w:rPr>
        <w:t>.</w:t>
      </w:r>
    </w:p>
    <w:p w14:paraId="7DE05976"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Das, A.V., Rani, P.K. and </w:t>
      </w:r>
      <w:proofErr w:type="spellStart"/>
      <w:r w:rsidRPr="0076613C">
        <w:rPr>
          <w:rFonts w:ascii="Arial" w:hAnsi="Arial" w:cs="Arial"/>
          <w:sz w:val="22"/>
          <w:szCs w:val="22"/>
        </w:rPr>
        <w:t>Vaddavalli</w:t>
      </w:r>
      <w:proofErr w:type="spellEnd"/>
      <w:r w:rsidRPr="0076613C">
        <w:rPr>
          <w:rFonts w:ascii="Arial" w:hAnsi="Arial" w:cs="Arial"/>
          <w:sz w:val="22"/>
          <w:szCs w:val="22"/>
        </w:rPr>
        <w:t xml:space="preserve">, P.K. (2020) 'Tele-consultations and electronic medical records driven remote patient care: Responding to the COVID-19 lockdown in India', </w:t>
      </w:r>
      <w:r w:rsidRPr="0076613C">
        <w:rPr>
          <w:rStyle w:val="Emphasis"/>
          <w:rFonts w:ascii="Arial" w:eastAsiaTheme="majorEastAsia" w:hAnsi="Arial" w:cs="Arial"/>
          <w:sz w:val="22"/>
          <w:szCs w:val="22"/>
        </w:rPr>
        <w:t>Indian Journal of Ophthalmology</w:t>
      </w:r>
      <w:r w:rsidRPr="0076613C">
        <w:rPr>
          <w:rFonts w:ascii="Arial" w:hAnsi="Arial" w:cs="Arial"/>
          <w:sz w:val="22"/>
          <w:szCs w:val="22"/>
        </w:rPr>
        <w:t xml:space="preserve">, 68(6), pp. 1007–1012. Available at: </w:t>
      </w:r>
      <w:hyperlink r:id="rId8" w:tgtFrame="_blank" w:history="1">
        <w:r w:rsidRPr="0076613C">
          <w:rPr>
            <w:rStyle w:val="Hyperlink"/>
            <w:rFonts w:ascii="Arial" w:hAnsi="Arial" w:cs="Arial"/>
            <w:color w:val="auto"/>
            <w:sz w:val="22"/>
            <w:szCs w:val="22"/>
            <w:u w:val="none"/>
          </w:rPr>
          <w:t>https://doi.org/10.4103/ijo.IJO_1089_20</w:t>
        </w:r>
      </w:hyperlink>
      <w:r w:rsidRPr="0076613C">
        <w:rPr>
          <w:rFonts w:ascii="Arial" w:hAnsi="Arial" w:cs="Arial"/>
          <w:sz w:val="22"/>
          <w:szCs w:val="22"/>
        </w:rPr>
        <w:t>.</w:t>
      </w:r>
    </w:p>
    <w:p w14:paraId="22D4EEB8"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Department of Health and Social Care. (2022). </w:t>
      </w:r>
      <w:r w:rsidRPr="0076613C">
        <w:rPr>
          <w:rStyle w:val="Emphasis"/>
          <w:rFonts w:ascii="Arial" w:eastAsiaTheme="majorEastAsia" w:hAnsi="Arial" w:cs="Arial"/>
          <w:sz w:val="22"/>
          <w:szCs w:val="22"/>
        </w:rPr>
        <w:t>Data saves lives: reshaping health and social care with data</w:t>
      </w:r>
      <w:r w:rsidRPr="0076613C">
        <w:rPr>
          <w:rFonts w:ascii="Arial" w:hAnsi="Arial" w:cs="Arial"/>
          <w:sz w:val="22"/>
          <w:szCs w:val="22"/>
        </w:rPr>
        <w:t>. London: DHSC.</w:t>
      </w:r>
    </w:p>
    <w:p w14:paraId="5DD6BD38"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Fleming, N.S. et al. (2014) ‘The Impact of Electronic Health Records on Workflow and Financial Measures in Primary Care Practices’, </w:t>
      </w:r>
      <w:r w:rsidRPr="0076613C">
        <w:rPr>
          <w:rStyle w:val="Emphasis"/>
          <w:rFonts w:ascii="Arial" w:eastAsiaTheme="majorEastAsia" w:hAnsi="Arial" w:cs="Arial"/>
          <w:sz w:val="22"/>
          <w:szCs w:val="22"/>
        </w:rPr>
        <w:t>Health Services Research</w:t>
      </w:r>
      <w:r w:rsidRPr="0076613C">
        <w:rPr>
          <w:rFonts w:ascii="Arial" w:hAnsi="Arial" w:cs="Arial"/>
          <w:sz w:val="22"/>
          <w:szCs w:val="22"/>
        </w:rPr>
        <w:t xml:space="preserve">, 49(1 Pt 2), pp. 405–420. Available at: </w:t>
      </w:r>
      <w:hyperlink r:id="rId9" w:tgtFrame="_blank" w:history="1">
        <w:r w:rsidRPr="0076613C">
          <w:rPr>
            <w:rStyle w:val="Hyperlink"/>
            <w:rFonts w:ascii="Arial" w:hAnsi="Arial" w:cs="Arial"/>
            <w:color w:val="auto"/>
            <w:sz w:val="22"/>
            <w:szCs w:val="22"/>
            <w:u w:val="none"/>
          </w:rPr>
          <w:t>https://doi.org/10.1111/1475-6773.12133</w:t>
        </w:r>
      </w:hyperlink>
      <w:r w:rsidRPr="0076613C">
        <w:rPr>
          <w:rFonts w:ascii="Arial" w:hAnsi="Arial" w:cs="Arial"/>
          <w:sz w:val="22"/>
          <w:szCs w:val="22"/>
        </w:rPr>
        <w:t>.</w:t>
      </w:r>
    </w:p>
    <w:p w14:paraId="1225E5EA"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Girardi, F. et al. (2020) ‘Improving the Healthcare Effectiveness: The Possible Role of EHR, IoMT and Blockchain’, </w:t>
      </w:r>
      <w:r w:rsidRPr="0076613C">
        <w:rPr>
          <w:rStyle w:val="Emphasis"/>
          <w:rFonts w:ascii="Arial" w:eastAsiaTheme="majorEastAsia" w:hAnsi="Arial" w:cs="Arial"/>
          <w:sz w:val="22"/>
          <w:szCs w:val="22"/>
        </w:rPr>
        <w:t>Electronics</w:t>
      </w:r>
      <w:r w:rsidRPr="0076613C">
        <w:rPr>
          <w:rFonts w:ascii="Arial" w:hAnsi="Arial" w:cs="Arial"/>
          <w:sz w:val="22"/>
          <w:szCs w:val="22"/>
        </w:rPr>
        <w:t xml:space="preserve">, 9(6), p. 884. Available at: </w:t>
      </w:r>
      <w:hyperlink r:id="rId10" w:tgtFrame="_blank" w:history="1">
        <w:r w:rsidRPr="0076613C">
          <w:rPr>
            <w:rStyle w:val="Hyperlink"/>
            <w:rFonts w:ascii="Arial" w:hAnsi="Arial" w:cs="Arial"/>
            <w:color w:val="auto"/>
            <w:sz w:val="22"/>
            <w:szCs w:val="22"/>
            <w:u w:val="none"/>
          </w:rPr>
          <w:t>https://doi.org/10.3390/electronics9060884</w:t>
        </w:r>
      </w:hyperlink>
      <w:r w:rsidRPr="0076613C">
        <w:rPr>
          <w:rFonts w:ascii="Arial" w:hAnsi="Arial" w:cs="Arial"/>
          <w:sz w:val="22"/>
          <w:szCs w:val="22"/>
        </w:rPr>
        <w:t>.</w:t>
      </w:r>
    </w:p>
    <w:p w14:paraId="52F1E9F2"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Hansen, S. and Baroody, A.J. (2023) ‘Beyond the boundaries of care: Electronic health records and the changing practices of healthcare’, </w:t>
      </w:r>
      <w:r w:rsidRPr="0076613C">
        <w:rPr>
          <w:rStyle w:val="Emphasis"/>
          <w:rFonts w:ascii="Arial" w:eastAsiaTheme="majorEastAsia" w:hAnsi="Arial" w:cs="Arial"/>
          <w:sz w:val="22"/>
          <w:szCs w:val="22"/>
        </w:rPr>
        <w:t>Information and Organization</w:t>
      </w:r>
      <w:r w:rsidRPr="0076613C">
        <w:rPr>
          <w:rFonts w:ascii="Arial" w:hAnsi="Arial" w:cs="Arial"/>
          <w:sz w:val="22"/>
          <w:szCs w:val="22"/>
        </w:rPr>
        <w:t xml:space="preserve">, 33(3), p. 100477. Available at: </w:t>
      </w:r>
      <w:hyperlink r:id="rId11" w:tgtFrame="_blank" w:history="1">
        <w:r w:rsidRPr="0076613C">
          <w:rPr>
            <w:rStyle w:val="Hyperlink"/>
            <w:rFonts w:ascii="Arial" w:hAnsi="Arial" w:cs="Arial"/>
            <w:color w:val="auto"/>
            <w:sz w:val="22"/>
            <w:szCs w:val="22"/>
            <w:u w:val="none"/>
          </w:rPr>
          <w:t>https://doi.org/10.1016/j.infoandorg.2023.100477</w:t>
        </w:r>
      </w:hyperlink>
      <w:r w:rsidRPr="0076613C">
        <w:rPr>
          <w:rFonts w:ascii="Arial" w:hAnsi="Arial" w:cs="Arial"/>
          <w:sz w:val="22"/>
          <w:szCs w:val="22"/>
        </w:rPr>
        <w:t>.</w:t>
      </w:r>
    </w:p>
    <w:p w14:paraId="25A8BBA3"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Hein, A. et al. (2020) ‘Digital platform ecosystems’, </w:t>
      </w:r>
      <w:r w:rsidRPr="0076613C">
        <w:rPr>
          <w:rStyle w:val="Emphasis"/>
          <w:rFonts w:ascii="Arial" w:eastAsiaTheme="majorEastAsia" w:hAnsi="Arial" w:cs="Arial"/>
          <w:sz w:val="22"/>
          <w:szCs w:val="22"/>
        </w:rPr>
        <w:t>Electronic Markets</w:t>
      </w:r>
      <w:r w:rsidRPr="0076613C">
        <w:rPr>
          <w:rFonts w:ascii="Arial" w:hAnsi="Arial" w:cs="Arial"/>
          <w:sz w:val="22"/>
          <w:szCs w:val="22"/>
        </w:rPr>
        <w:t xml:space="preserve">, 30(1), pp. 87–98. Available at: </w:t>
      </w:r>
      <w:hyperlink r:id="rId12" w:tgtFrame="_blank" w:history="1">
        <w:r w:rsidRPr="0076613C">
          <w:rPr>
            <w:rStyle w:val="Hyperlink"/>
            <w:rFonts w:ascii="Arial" w:hAnsi="Arial" w:cs="Arial"/>
            <w:color w:val="auto"/>
            <w:sz w:val="22"/>
            <w:szCs w:val="22"/>
            <w:u w:val="none"/>
          </w:rPr>
          <w:t>https://doi.org/10.1007/s12525-019-00377-4</w:t>
        </w:r>
      </w:hyperlink>
      <w:r w:rsidRPr="0076613C">
        <w:rPr>
          <w:rFonts w:ascii="Arial" w:hAnsi="Arial" w:cs="Arial"/>
          <w:sz w:val="22"/>
          <w:szCs w:val="22"/>
        </w:rPr>
        <w:t>.</w:t>
      </w:r>
    </w:p>
    <w:p w14:paraId="55332412"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House of Commons. (2018). </w:t>
      </w:r>
      <w:r w:rsidRPr="0076613C">
        <w:rPr>
          <w:rStyle w:val="Emphasis"/>
          <w:rFonts w:ascii="Arial" w:eastAsiaTheme="majorEastAsia" w:hAnsi="Arial" w:cs="Arial"/>
          <w:sz w:val="22"/>
          <w:szCs w:val="22"/>
        </w:rPr>
        <w:t>Cyber security in the NHS</w:t>
      </w:r>
      <w:r w:rsidRPr="0076613C">
        <w:rPr>
          <w:rFonts w:ascii="Arial" w:hAnsi="Arial" w:cs="Arial"/>
          <w:sz w:val="22"/>
          <w:szCs w:val="22"/>
        </w:rPr>
        <w:t>. Public Accounts Committee, London: UK Parliament.</w:t>
      </w:r>
    </w:p>
    <w:p w14:paraId="25FBA7CC"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ICO (Information Commissioner’s Office). (2022). </w:t>
      </w:r>
      <w:r w:rsidRPr="0076613C">
        <w:rPr>
          <w:rStyle w:val="Emphasis"/>
          <w:rFonts w:ascii="Arial" w:eastAsiaTheme="majorEastAsia" w:hAnsi="Arial" w:cs="Arial"/>
          <w:sz w:val="22"/>
          <w:szCs w:val="22"/>
        </w:rPr>
        <w:t>Data protection and patient confidentiality in healthcare</w:t>
      </w:r>
      <w:r w:rsidRPr="0076613C">
        <w:rPr>
          <w:rFonts w:ascii="Arial" w:hAnsi="Arial" w:cs="Arial"/>
          <w:sz w:val="22"/>
          <w:szCs w:val="22"/>
        </w:rPr>
        <w:t xml:space="preserve">. [online] Available at: </w:t>
      </w:r>
      <w:hyperlink r:id="rId13" w:tgtFrame="_blank" w:history="1">
        <w:r w:rsidRPr="0076613C">
          <w:rPr>
            <w:rStyle w:val="Hyperlink"/>
            <w:rFonts w:ascii="Arial" w:hAnsi="Arial" w:cs="Arial"/>
            <w:color w:val="auto"/>
            <w:sz w:val="22"/>
            <w:szCs w:val="22"/>
            <w:u w:val="none"/>
          </w:rPr>
          <w:t>https://ico.org.uk</w:t>
        </w:r>
      </w:hyperlink>
      <w:r w:rsidRPr="0076613C">
        <w:rPr>
          <w:rFonts w:ascii="Arial" w:hAnsi="Arial" w:cs="Arial"/>
          <w:sz w:val="22"/>
          <w:szCs w:val="22"/>
        </w:rPr>
        <w:t xml:space="preserve"> [Accessed 8 Oct 2025].</w:t>
      </w:r>
    </w:p>
    <w:p w14:paraId="42610E1B"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Janett, R.S. and </w:t>
      </w:r>
      <w:proofErr w:type="spellStart"/>
      <w:r w:rsidRPr="0076613C">
        <w:rPr>
          <w:rFonts w:ascii="Arial" w:hAnsi="Arial" w:cs="Arial"/>
          <w:sz w:val="22"/>
          <w:szCs w:val="22"/>
        </w:rPr>
        <w:t>Yeracaris</w:t>
      </w:r>
      <w:proofErr w:type="spellEnd"/>
      <w:r w:rsidRPr="0076613C">
        <w:rPr>
          <w:rFonts w:ascii="Arial" w:hAnsi="Arial" w:cs="Arial"/>
          <w:sz w:val="22"/>
          <w:szCs w:val="22"/>
        </w:rPr>
        <w:t xml:space="preserve">, P.P. (2020) ‘Electronic Medical Records in the American Health System: challenges and lessons learned’, </w:t>
      </w:r>
      <w:proofErr w:type="spellStart"/>
      <w:r w:rsidRPr="0076613C">
        <w:rPr>
          <w:rStyle w:val="Emphasis"/>
          <w:rFonts w:ascii="Arial" w:eastAsiaTheme="majorEastAsia" w:hAnsi="Arial" w:cs="Arial"/>
          <w:sz w:val="22"/>
          <w:szCs w:val="22"/>
        </w:rPr>
        <w:t>Ciência</w:t>
      </w:r>
      <w:proofErr w:type="spellEnd"/>
      <w:r w:rsidRPr="0076613C">
        <w:rPr>
          <w:rStyle w:val="Emphasis"/>
          <w:rFonts w:ascii="Arial" w:eastAsiaTheme="majorEastAsia" w:hAnsi="Arial" w:cs="Arial"/>
          <w:sz w:val="22"/>
          <w:szCs w:val="22"/>
        </w:rPr>
        <w:t xml:space="preserve"> &amp; </w:t>
      </w:r>
      <w:proofErr w:type="spellStart"/>
      <w:r w:rsidRPr="0076613C">
        <w:rPr>
          <w:rStyle w:val="Emphasis"/>
          <w:rFonts w:ascii="Arial" w:eastAsiaTheme="majorEastAsia" w:hAnsi="Arial" w:cs="Arial"/>
          <w:sz w:val="22"/>
          <w:szCs w:val="22"/>
        </w:rPr>
        <w:t>Saúde</w:t>
      </w:r>
      <w:proofErr w:type="spellEnd"/>
      <w:r w:rsidRPr="0076613C">
        <w:rPr>
          <w:rStyle w:val="Emphasis"/>
          <w:rFonts w:ascii="Arial" w:eastAsiaTheme="majorEastAsia" w:hAnsi="Arial" w:cs="Arial"/>
          <w:sz w:val="22"/>
          <w:szCs w:val="22"/>
        </w:rPr>
        <w:t xml:space="preserve"> </w:t>
      </w:r>
      <w:proofErr w:type="spellStart"/>
      <w:r w:rsidRPr="0076613C">
        <w:rPr>
          <w:rStyle w:val="Emphasis"/>
          <w:rFonts w:ascii="Arial" w:eastAsiaTheme="majorEastAsia" w:hAnsi="Arial" w:cs="Arial"/>
          <w:sz w:val="22"/>
          <w:szCs w:val="22"/>
        </w:rPr>
        <w:t>Coletiva</w:t>
      </w:r>
      <w:proofErr w:type="spellEnd"/>
      <w:r w:rsidRPr="0076613C">
        <w:rPr>
          <w:rFonts w:ascii="Arial" w:hAnsi="Arial" w:cs="Arial"/>
          <w:sz w:val="22"/>
          <w:szCs w:val="22"/>
        </w:rPr>
        <w:t xml:space="preserve">, 25, pp. 1293–1304. Available at: </w:t>
      </w:r>
      <w:hyperlink r:id="rId14" w:tgtFrame="_blank" w:history="1">
        <w:r w:rsidRPr="0076613C">
          <w:rPr>
            <w:rStyle w:val="Hyperlink"/>
            <w:rFonts w:ascii="Arial" w:hAnsi="Arial" w:cs="Arial"/>
            <w:color w:val="auto"/>
            <w:sz w:val="22"/>
            <w:szCs w:val="22"/>
            <w:u w:val="none"/>
          </w:rPr>
          <w:t>https://doi.org/10.1590/1413-81232020254.28922019</w:t>
        </w:r>
      </w:hyperlink>
      <w:r w:rsidRPr="0076613C">
        <w:rPr>
          <w:rFonts w:ascii="Arial" w:hAnsi="Arial" w:cs="Arial"/>
          <w:sz w:val="22"/>
          <w:szCs w:val="22"/>
        </w:rPr>
        <w:t>.</w:t>
      </w:r>
    </w:p>
    <w:p w14:paraId="20670936"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lastRenderedPageBreak/>
        <w:t xml:space="preserve">Kellermann, A.L. &amp; Jones, S.S. (2013). What it will take to achieve the as-yet-unfulfilled promises of health information technology. </w:t>
      </w:r>
      <w:r w:rsidRPr="0076613C">
        <w:rPr>
          <w:rStyle w:val="Emphasis"/>
          <w:rFonts w:ascii="Arial" w:eastAsiaTheme="majorEastAsia" w:hAnsi="Arial" w:cs="Arial"/>
          <w:sz w:val="22"/>
          <w:szCs w:val="22"/>
        </w:rPr>
        <w:t>Health Affairs</w:t>
      </w:r>
      <w:r w:rsidRPr="0076613C">
        <w:rPr>
          <w:rFonts w:ascii="Arial" w:hAnsi="Arial" w:cs="Arial"/>
          <w:sz w:val="22"/>
          <w:szCs w:val="22"/>
        </w:rPr>
        <w:t>, 32(1), pp.63–68.</w:t>
      </w:r>
    </w:p>
    <w:p w14:paraId="2BD92992"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Maguire, D., Dunn, P. &amp; McKenna, H. (2021). </w:t>
      </w:r>
      <w:r w:rsidRPr="0076613C">
        <w:rPr>
          <w:rStyle w:val="Emphasis"/>
          <w:rFonts w:ascii="Arial" w:eastAsiaTheme="majorEastAsia" w:hAnsi="Arial" w:cs="Arial"/>
          <w:sz w:val="22"/>
          <w:szCs w:val="22"/>
        </w:rPr>
        <w:t>Shaping the future of digital technology in health and social care</w:t>
      </w:r>
      <w:r w:rsidRPr="0076613C">
        <w:rPr>
          <w:rFonts w:ascii="Arial" w:hAnsi="Arial" w:cs="Arial"/>
          <w:sz w:val="22"/>
          <w:szCs w:val="22"/>
        </w:rPr>
        <w:t>. The King’s Fund.</w:t>
      </w:r>
    </w:p>
    <w:p w14:paraId="451C8E6B"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NHS Confederation. (2022). </w:t>
      </w:r>
      <w:r w:rsidRPr="0076613C">
        <w:rPr>
          <w:rStyle w:val="Emphasis"/>
          <w:rFonts w:ascii="Arial" w:eastAsiaTheme="majorEastAsia" w:hAnsi="Arial" w:cs="Arial"/>
          <w:sz w:val="22"/>
          <w:szCs w:val="22"/>
        </w:rPr>
        <w:t>Funding the digital transformation of the NHS</w:t>
      </w:r>
      <w:r w:rsidRPr="0076613C">
        <w:rPr>
          <w:rFonts w:ascii="Arial" w:hAnsi="Arial" w:cs="Arial"/>
          <w:sz w:val="22"/>
          <w:szCs w:val="22"/>
        </w:rPr>
        <w:t>. London: NHS Confederation.</w:t>
      </w:r>
    </w:p>
    <w:p w14:paraId="73908A8A"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NHS Digital. (2022). </w:t>
      </w:r>
      <w:r w:rsidRPr="0076613C">
        <w:rPr>
          <w:rStyle w:val="Emphasis"/>
          <w:rFonts w:ascii="Arial" w:eastAsiaTheme="majorEastAsia" w:hAnsi="Arial" w:cs="Arial"/>
          <w:sz w:val="22"/>
          <w:szCs w:val="22"/>
        </w:rPr>
        <w:t>The NHS Digital Academy: Building digital leadership capacity</w:t>
      </w:r>
      <w:r w:rsidRPr="0076613C">
        <w:rPr>
          <w:rFonts w:ascii="Arial" w:hAnsi="Arial" w:cs="Arial"/>
          <w:sz w:val="22"/>
          <w:szCs w:val="22"/>
        </w:rPr>
        <w:t xml:space="preserve">. [online] Available at: </w:t>
      </w:r>
      <w:hyperlink r:id="rId15" w:tgtFrame="_blank" w:history="1">
        <w:r w:rsidRPr="0076613C">
          <w:rPr>
            <w:rStyle w:val="Hyperlink"/>
            <w:rFonts w:ascii="Arial" w:hAnsi="Arial" w:cs="Arial"/>
            <w:color w:val="auto"/>
            <w:sz w:val="22"/>
            <w:szCs w:val="22"/>
            <w:u w:val="none"/>
          </w:rPr>
          <w:t>https://digital.nhs.uk</w:t>
        </w:r>
      </w:hyperlink>
    </w:p>
    <w:p w14:paraId="0B1FD103"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NHS England. (2019). </w:t>
      </w:r>
      <w:r w:rsidRPr="0076613C">
        <w:rPr>
          <w:rStyle w:val="Emphasis"/>
          <w:rFonts w:ascii="Arial" w:eastAsiaTheme="majorEastAsia" w:hAnsi="Arial" w:cs="Arial"/>
          <w:sz w:val="22"/>
          <w:szCs w:val="22"/>
        </w:rPr>
        <w:t>The NHS Long Term Plan</w:t>
      </w:r>
      <w:r w:rsidRPr="0076613C">
        <w:rPr>
          <w:rFonts w:ascii="Arial" w:hAnsi="Arial" w:cs="Arial"/>
          <w:sz w:val="22"/>
          <w:szCs w:val="22"/>
        </w:rPr>
        <w:t>. London: NHS England.</w:t>
      </w:r>
    </w:p>
    <w:p w14:paraId="5EA223C0" w14:textId="77777777"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NHS England. (2023). </w:t>
      </w:r>
      <w:r w:rsidRPr="0076613C">
        <w:rPr>
          <w:rStyle w:val="Emphasis"/>
          <w:rFonts w:ascii="Arial" w:eastAsiaTheme="majorEastAsia" w:hAnsi="Arial" w:cs="Arial"/>
          <w:sz w:val="22"/>
          <w:szCs w:val="22"/>
        </w:rPr>
        <w:t>What we do: Digital transformation in the NHS</w:t>
      </w:r>
      <w:r w:rsidRPr="0076613C">
        <w:rPr>
          <w:rFonts w:ascii="Arial" w:hAnsi="Arial" w:cs="Arial"/>
          <w:sz w:val="22"/>
          <w:szCs w:val="22"/>
        </w:rPr>
        <w:t xml:space="preserve">. [online] Available at: </w:t>
      </w:r>
      <w:hyperlink r:id="rId16" w:tgtFrame="_blank" w:history="1">
        <w:r w:rsidRPr="0076613C">
          <w:rPr>
            <w:rStyle w:val="Hyperlink"/>
            <w:rFonts w:ascii="Arial" w:hAnsi="Arial" w:cs="Arial"/>
            <w:color w:val="auto"/>
            <w:sz w:val="22"/>
            <w:szCs w:val="22"/>
            <w:u w:val="none"/>
          </w:rPr>
          <w:t>https://www.england.nhs.uk/digitaltechnology/</w:t>
        </w:r>
      </w:hyperlink>
    </w:p>
    <w:p w14:paraId="0D42576B" w14:textId="2C8BFF41"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ONS (Office for National Statistics). (2022). </w:t>
      </w:r>
      <w:r w:rsidRPr="0076613C">
        <w:rPr>
          <w:rStyle w:val="Emphasis"/>
          <w:rFonts w:ascii="Arial" w:eastAsiaTheme="majorEastAsia" w:hAnsi="Arial" w:cs="Arial"/>
          <w:sz w:val="22"/>
          <w:szCs w:val="22"/>
        </w:rPr>
        <w:t>Internet access and digital skills in the UK</w:t>
      </w:r>
      <w:r w:rsidRPr="0076613C">
        <w:rPr>
          <w:rFonts w:ascii="Arial" w:hAnsi="Arial" w:cs="Arial"/>
          <w:sz w:val="22"/>
          <w:szCs w:val="22"/>
        </w:rPr>
        <w:t xml:space="preserve">. [online] Available at: </w:t>
      </w:r>
      <w:hyperlink r:id="rId17" w:tgtFrame="_blank" w:history="1">
        <w:r w:rsidRPr="0076613C">
          <w:rPr>
            <w:rStyle w:val="Hyperlink"/>
            <w:rFonts w:ascii="Arial" w:hAnsi="Arial" w:cs="Arial"/>
            <w:color w:val="auto"/>
            <w:sz w:val="22"/>
            <w:szCs w:val="22"/>
            <w:u w:val="none"/>
          </w:rPr>
          <w:t>https://www.ons.gov.uk</w:t>
        </w:r>
      </w:hyperlink>
      <w:r w:rsidR="005566D8">
        <w:rPr>
          <w:rStyle w:val="Hyperlink"/>
          <w:rFonts w:ascii="Arial" w:hAnsi="Arial" w:cs="Arial"/>
          <w:color w:val="auto"/>
          <w:sz w:val="22"/>
          <w:szCs w:val="22"/>
          <w:u w:val="none"/>
        </w:rPr>
        <w:t xml:space="preserve"> </w:t>
      </w:r>
    </w:p>
    <w:p w14:paraId="45204F1B" w14:textId="11CC288C"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Public Health England. (2020). </w:t>
      </w:r>
      <w:r w:rsidRPr="0076613C">
        <w:rPr>
          <w:rStyle w:val="Emphasis"/>
          <w:rFonts w:ascii="Arial" w:eastAsiaTheme="majorEastAsia" w:hAnsi="Arial" w:cs="Arial"/>
          <w:sz w:val="22"/>
          <w:szCs w:val="22"/>
        </w:rPr>
        <w:t>Using health data to improve population health</w:t>
      </w:r>
      <w:r w:rsidRPr="0076613C">
        <w:rPr>
          <w:rFonts w:ascii="Arial" w:hAnsi="Arial" w:cs="Arial"/>
          <w:sz w:val="22"/>
          <w:szCs w:val="22"/>
        </w:rPr>
        <w:t>. London: Public Health England.</w:t>
      </w:r>
      <w:r w:rsidR="005566D8">
        <w:rPr>
          <w:rFonts w:ascii="Arial" w:hAnsi="Arial" w:cs="Arial"/>
          <w:sz w:val="22"/>
          <w:szCs w:val="22"/>
        </w:rPr>
        <w:t xml:space="preserve"> </w:t>
      </w:r>
    </w:p>
    <w:p w14:paraId="0387913C" w14:textId="603C44B8" w:rsidR="00F4026D" w:rsidRPr="0076613C" w:rsidRDefault="00F4026D" w:rsidP="00517BE2">
      <w:pPr>
        <w:pStyle w:val="NormalWeb"/>
        <w:spacing w:line="360" w:lineRule="auto"/>
        <w:ind w:left="720" w:hanging="720"/>
        <w:rPr>
          <w:rFonts w:ascii="Arial" w:hAnsi="Arial" w:cs="Arial"/>
          <w:sz w:val="22"/>
          <w:szCs w:val="22"/>
        </w:rPr>
      </w:pPr>
      <w:r w:rsidRPr="0076613C">
        <w:rPr>
          <w:rFonts w:ascii="Arial" w:hAnsi="Arial" w:cs="Arial"/>
          <w:sz w:val="22"/>
          <w:szCs w:val="22"/>
        </w:rPr>
        <w:t xml:space="preserve">Robertson, R., Maguire, D. &amp; Dunn, P. (2022). </w:t>
      </w:r>
      <w:r w:rsidRPr="0076613C">
        <w:rPr>
          <w:rStyle w:val="Emphasis"/>
          <w:rFonts w:ascii="Arial" w:eastAsiaTheme="majorEastAsia" w:hAnsi="Arial" w:cs="Arial"/>
          <w:sz w:val="22"/>
          <w:szCs w:val="22"/>
        </w:rPr>
        <w:t>Integrating digital systems across the NHS</w:t>
      </w:r>
      <w:r w:rsidRPr="0076613C">
        <w:rPr>
          <w:rFonts w:ascii="Arial" w:hAnsi="Arial" w:cs="Arial"/>
          <w:sz w:val="22"/>
          <w:szCs w:val="22"/>
        </w:rPr>
        <w:t>. The King’s Fund.</w:t>
      </w:r>
      <w:r w:rsidR="005566D8">
        <w:rPr>
          <w:rFonts w:ascii="Arial" w:hAnsi="Arial" w:cs="Arial"/>
          <w:sz w:val="22"/>
          <w:szCs w:val="22"/>
        </w:rPr>
        <w:t xml:space="preserve"> </w:t>
      </w:r>
    </w:p>
    <w:p w14:paraId="7FD9C143" w14:textId="07B79C23" w:rsidR="00DE0A34" w:rsidRPr="007B02DD" w:rsidRDefault="00F4026D" w:rsidP="00517BE2">
      <w:pPr>
        <w:pStyle w:val="NormalWeb"/>
        <w:spacing w:line="360" w:lineRule="auto"/>
        <w:ind w:left="720" w:hanging="720"/>
      </w:pPr>
      <w:r w:rsidRPr="0076613C">
        <w:rPr>
          <w:rFonts w:ascii="Arial" w:hAnsi="Arial" w:cs="Arial"/>
          <w:sz w:val="22"/>
          <w:szCs w:val="22"/>
        </w:rPr>
        <w:t xml:space="preserve">Topol, E. (2019). </w:t>
      </w:r>
      <w:r w:rsidRPr="0076613C">
        <w:rPr>
          <w:rStyle w:val="Emphasis"/>
          <w:rFonts w:ascii="Arial" w:eastAsiaTheme="majorEastAsia" w:hAnsi="Arial" w:cs="Arial"/>
          <w:sz w:val="22"/>
          <w:szCs w:val="22"/>
        </w:rPr>
        <w:t>The Topol Review: Preparing the healthcare workforce to deliver the digital future</w:t>
      </w:r>
      <w:r w:rsidRPr="0076613C">
        <w:rPr>
          <w:rFonts w:ascii="Arial" w:hAnsi="Arial" w:cs="Arial"/>
          <w:sz w:val="22"/>
          <w:szCs w:val="22"/>
        </w:rPr>
        <w:t>. London: Health Education England.</w:t>
      </w:r>
      <w:r w:rsidR="005566D8">
        <w:rPr>
          <w:rFonts w:ascii="Arial" w:hAnsi="Arial" w:cs="Arial"/>
          <w:sz w:val="22"/>
          <w:szCs w:val="22"/>
        </w:rPr>
        <w:t xml:space="preserve"> </w:t>
      </w:r>
    </w:p>
    <w:sectPr w:rsidR="00DE0A34" w:rsidRPr="007B02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1C7BEF"/>
    <w:multiLevelType w:val="multilevel"/>
    <w:tmpl w:val="0BFAEE5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207449773">
    <w:abstractNumId w:val="0"/>
  </w:num>
  <w:num w:numId="2" w16cid:durableId="766268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EzMTU2tTSxsDQysTBX0lEKTi0uzszPAykwrAUATjzvAywAAAA="/>
  </w:docVars>
  <w:rsids>
    <w:rsidRoot w:val="00F24E90"/>
    <w:rsid w:val="00027119"/>
    <w:rsid w:val="0008080A"/>
    <w:rsid w:val="0014703A"/>
    <w:rsid w:val="001852AF"/>
    <w:rsid w:val="00221AD2"/>
    <w:rsid w:val="002E74E6"/>
    <w:rsid w:val="003130DC"/>
    <w:rsid w:val="00343030"/>
    <w:rsid w:val="00355F4F"/>
    <w:rsid w:val="003A1B1D"/>
    <w:rsid w:val="0042509D"/>
    <w:rsid w:val="00517BE2"/>
    <w:rsid w:val="005566D8"/>
    <w:rsid w:val="005B64F8"/>
    <w:rsid w:val="005C02DB"/>
    <w:rsid w:val="005D5296"/>
    <w:rsid w:val="00644EBF"/>
    <w:rsid w:val="0064745D"/>
    <w:rsid w:val="006B34AC"/>
    <w:rsid w:val="00720CC5"/>
    <w:rsid w:val="00743D50"/>
    <w:rsid w:val="0074423A"/>
    <w:rsid w:val="0076613C"/>
    <w:rsid w:val="007B02DD"/>
    <w:rsid w:val="00836868"/>
    <w:rsid w:val="008602CF"/>
    <w:rsid w:val="00894346"/>
    <w:rsid w:val="008948C6"/>
    <w:rsid w:val="00AC1276"/>
    <w:rsid w:val="00AD327C"/>
    <w:rsid w:val="00B1069A"/>
    <w:rsid w:val="00B66128"/>
    <w:rsid w:val="00BA4199"/>
    <w:rsid w:val="00BB6F04"/>
    <w:rsid w:val="00BE67A3"/>
    <w:rsid w:val="00CF38D2"/>
    <w:rsid w:val="00D318D1"/>
    <w:rsid w:val="00DE0A34"/>
    <w:rsid w:val="00DE585F"/>
    <w:rsid w:val="00EE279B"/>
    <w:rsid w:val="00F24E90"/>
    <w:rsid w:val="00F4026D"/>
    <w:rsid w:val="00F5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14456"/>
  <w15:chartTrackingRefBased/>
  <w15:docId w15:val="{DDEB6FBB-FA78-453E-B132-9A3D7ACD8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CC5"/>
    <w:pPr>
      <w:spacing w:after="160" w:line="259" w:lineRule="auto"/>
    </w:pPr>
    <w:rPr>
      <w:rFonts w:ascii="Arial" w:hAnsi="Arial"/>
      <w:lang w:val="en-US"/>
    </w:rPr>
  </w:style>
  <w:style w:type="paragraph" w:styleId="Heading1">
    <w:name w:val="heading 1"/>
    <w:basedOn w:val="Normal"/>
    <w:next w:val="Normal"/>
    <w:link w:val="Heading1Char"/>
    <w:autoRedefine/>
    <w:uiPriority w:val="9"/>
    <w:qFormat/>
    <w:rsid w:val="00027119"/>
    <w:pPr>
      <w:keepNext/>
      <w:keepLines/>
      <w:numPr>
        <w:numId w:val="2"/>
      </w:numPr>
      <w:spacing w:before="360" w:after="80"/>
      <w:outlineLvl w:val="0"/>
    </w:pPr>
    <w:rPr>
      <w:rFonts w:eastAsiaTheme="majorEastAsia" w:cstheme="majorBidi"/>
      <w:b/>
      <w:sz w:val="24"/>
      <w:szCs w:val="40"/>
    </w:rPr>
  </w:style>
  <w:style w:type="paragraph" w:styleId="Heading2">
    <w:name w:val="heading 2"/>
    <w:basedOn w:val="Normal"/>
    <w:next w:val="Normal"/>
    <w:link w:val="Heading2Char"/>
    <w:autoRedefine/>
    <w:uiPriority w:val="9"/>
    <w:unhideWhenUsed/>
    <w:qFormat/>
    <w:rsid w:val="00355F4F"/>
    <w:pPr>
      <w:keepNext/>
      <w:keepLines/>
      <w:numPr>
        <w:ilvl w:val="1"/>
        <w:numId w:val="1"/>
      </w:numPr>
      <w:spacing w:before="160" w:after="80"/>
      <w:outlineLvl w:val="1"/>
    </w:pPr>
    <w:rPr>
      <w:rFonts w:eastAsiaTheme="majorEastAsia" w:cstheme="majorBidi"/>
      <w:b/>
      <w:i/>
      <w:sz w:val="24"/>
      <w:szCs w:val="32"/>
    </w:rPr>
  </w:style>
  <w:style w:type="paragraph" w:styleId="Heading3">
    <w:name w:val="heading 3"/>
    <w:basedOn w:val="Normal"/>
    <w:next w:val="Normal"/>
    <w:link w:val="Heading3Char"/>
    <w:autoRedefine/>
    <w:uiPriority w:val="9"/>
    <w:unhideWhenUsed/>
    <w:qFormat/>
    <w:rsid w:val="0042509D"/>
    <w:pPr>
      <w:keepNext/>
      <w:keepLines/>
      <w:spacing w:before="160" w:after="80"/>
      <w:outlineLvl w:val="2"/>
    </w:pPr>
    <w:rPr>
      <w:rFonts w:eastAsiaTheme="majorEastAsia" w:cstheme="majorBidi"/>
      <w:i/>
      <w:sz w:val="24"/>
      <w:szCs w:val="28"/>
    </w:rPr>
  </w:style>
  <w:style w:type="paragraph" w:styleId="Heading4">
    <w:name w:val="heading 4"/>
    <w:basedOn w:val="Normal"/>
    <w:next w:val="Normal"/>
    <w:link w:val="Heading4Char"/>
    <w:uiPriority w:val="9"/>
    <w:semiHidden/>
    <w:unhideWhenUsed/>
    <w:qFormat/>
    <w:rsid w:val="00F24E90"/>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24E9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F24E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24E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24E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24E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119"/>
    <w:rPr>
      <w:rFonts w:ascii="Arial" w:eastAsiaTheme="majorEastAsia" w:hAnsi="Arial" w:cstheme="majorBidi"/>
      <w:b/>
      <w:sz w:val="24"/>
      <w:szCs w:val="40"/>
    </w:rPr>
  </w:style>
  <w:style w:type="character" w:customStyle="1" w:styleId="Heading2Char">
    <w:name w:val="Heading 2 Char"/>
    <w:basedOn w:val="DefaultParagraphFont"/>
    <w:link w:val="Heading2"/>
    <w:uiPriority w:val="9"/>
    <w:rsid w:val="00355F4F"/>
    <w:rPr>
      <w:rFonts w:ascii="Arial" w:eastAsiaTheme="majorEastAsia" w:hAnsi="Arial" w:cstheme="majorBidi"/>
      <w:b/>
      <w:i/>
      <w:sz w:val="24"/>
      <w:szCs w:val="32"/>
      <w:lang w:val="en-US"/>
    </w:rPr>
  </w:style>
  <w:style w:type="character" w:customStyle="1" w:styleId="Heading3Char">
    <w:name w:val="Heading 3 Char"/>
    <w:basedOn w:val="DefaultParagraphFont"/>
    <w:link w:val="Heading3"/>
    <w:uiPriority w:val="9"/>
    <w:rsid w:val="0042509D"/>
    <w:rPr>
      <w:rFonts w:ascii="Arial" w:eastAsiaTheme="majorEastAsia" w:hAnsi="Arial" w:cstheme="majorBidi"/>
      <w:i/>
      <w:sz w:val="24"/>
      <w:szCs w:val="28"/>
    </w:rPr>
  </w:style>
  <w:style w:type="paragraph" w:styleId="Caption">
    <w:name w:val="caption"/>
    <w:basedOn w:val="Normal"/>
    <w:next w:val="Normal"/>
    <w:autoRedefine/>
    <w:uiPriority w:val="35"/>
    <w:unhideWhenUsed/>
    <w:qFormat/>
    <w:rsid w:val="008948C6"/>
    <w:pPr>
      <w:spacing w:after="200" w:line="240" w:lineRule="auto"/>
      <w:jc w:val="center"/>
    </w:pPr>
    <w:rPr>
      <w:i/>
      <w:iCs/>
      <w:szCs w:val="18"/>
    </w:rPr>
  </w:style>
  <w:style w:type="character" w:customStyle="1" w:styleId="Heading4Char">
    <w:name w:val="Heading 4 Char"/>
    <w:basedOn w:val="DefaultParagraphFont"/>
    <w:link w:val="Heading4"/>
    <w:uiPriority w:val="9"/>
    <w:semiHidden/>
    <w:rsid w:val="00F24E90"/>
    <w:rPr>
      <w:rFonts w:eastAsiaTheme="majorEastAsia" w:cstheme="majorBidi"/>
      <w:i/>
      <w:iCs/>
      <w:color w:val="365F91" w:themeColor="accent1" w:themeShade="BF"/>
      <w:lang w:val="en-US"/>
    </w:rPr>
  </w:style>
  <w:style w:type="character" w:customStyle="1" w:styleId="Heading5Char">
    <w:name w:val="Heading 5 Char"/>
    <w:basedOn w:val="DefaultParagraphFont"/>
    <w:link w:val="Heading5"/>
    <w:uiPriority w:val="9"/>
    <w:semiHidden/>
    <w:rsid w:val="00F24E90"/>
    <w:rPr>
      <w:rFonts w:eastAsiaTheme="majorEastAsia" w:cstheme="majorBidi"/>
      <w:color w:val="365F91" w:themeColor="accent1" w:themeShade="BF"/>
      <w:lang w:val="en-US"/>
    </w:rPr>
  </w:style>
  <w:style w:type="character" w:customStyle="1" w:styleId="Heading6Char">
    <w:name w:val="Heading 6 Char"/>
    <w:basedOn w:val="DefaultParagraphFont"/>
    <w:link w:val="Heading6"/>
    <w:uiPriority w:val="9"/>
    <w:semiHidden/>
    <w:rsid w:val="00F24E90"/>
    <w:rPr>
      <w:rFonts w:eastAsiaTheme="majorEastAsia" w:cstheme="majorBidi"/>
      <w:i/>
      <w:iCs/>
      <w:color w:val="595959" w:themeColor="text1" w:themeTint="A6"/>
      <w:lang w:val="en-US"/>
    </w:rPr>
  </w:style>
  <w:style w:type="character" w:customStyle="1" w:styleId="Heading7Char">
    <w:name w:val="Heading 7 Char"/>
    <w:basedOn w:val="DefaultParagraphFont"/>
    <w:link w:val="Heading7"/>
    <w:uiPriority w:val="9"/>
    <w:semiHidden/>
    <w:rsid w:val="00F24E90"/>
    <w:rPr>
      <w:rFonts w:eastAsiaTheme="majorEastAsia" w:cstheme="majorBidi"/>
      <w:color w:val="595959" w:themeColor="text1" w:themeTint="A6"/>
      <w:lang w:val="en-US"/>
    </w:rPr>
  </w:style>
  <w:style w:type="character" w:customStyle="1" w:styleId="Heading8Char">
    <w:name w:val="Heading 8 Char"/>
    <w:basedOn w:val="DefaultParagraphFont"/>
    <w:link w:val="Heading8"/>
    <w:uiPriority w:val="9"/>
    <w:semiHidden/>
    <w:rsid w:val="00F24E90"/>
    <w:rPr>
      <w:rFonts w:eastAsiaTheme="majorEastAsia" w:cstheme="majorBidi"/>
      <w:i/>
      <w:iCs/>
      <w:color w:val="272727" w:themeColor="text1" w:themeTint="D8"/>
      <w:lang w:val="en-US"/>
    </w:rPr>
  </w:style>
  <w:style w:type="character" w:customStyle="1" w:styleId="Heading9Char">
    <w:name w:val="Heading 9 Char"/>
    <w:basedOn w:val="DefaultParagraphFont"/>
    <w:link w:val="Heading9"/>
    <w:uiPriority w:val="9"/>
    <w:semiHidden/>
    <w:rsid w:val="00F24E90"/>
    <w:rPr>
      <w:rFonts w:eastAsiaTheme="majorEastAsia" w:cstheme="majorBidi"/>
      <w:color w:val="272727" w:themeColor="text1" w:themeTint="D8"/>
      <w:lang w:val="en-US"/>
    </w:rPr>
  </w:style>
  <w:style w:type="paragraph" w:styleId="Title">
    <w:name w:val="Title"/>
    <w:basedOn w:val="Normal"/>
    <w:next w:val="Normal"/>
    <w:link w:val="TitleChar"/>
    <w:uiPriority w:val="10"/>
    <w:qFormat/>
    <w:rsid w:val="00F24E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E90"/>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F24E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E90"/>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F24E90"/>
    <w:pPr>
      <w:spacing w:before="160"/>
      <w:jc w:val="center"/>
    </w:pPr>
    <w:rPr>
      <w:i/>
      <w:iCs/>
      <w:color w:val="404040" w:themeColor="text1" w:themeTint="BF"/>
    </w:rPr>
  </w:style>
  <w:style w:type="character" w:customStyle="1" w:styleId="QuoteChar">
    <w:name w:val="Quote Char"/>
    <w:basedOn w:val="DefaultParagraphFont"/>
    <w:link w:val="Quote"/>
    <w:uiPriority w:val="29"/>
    <w:rsid w:val="00F24E90"/>
    <w:rPr>
      <w:rFonts w:ascii="Arial" w:hAnsi="Arial"/>
      <w:i/>
      <w:iCs/>
      <w:color w:val="404040" w:themeColor="text1" w:themeTint="BF"/>
      <w:lang w:val="en-US"/>
    </w:rPr>
  </w:style>
  <w:style w:type="paragraph" w:styleId="ListParagraph">
    <w:name w:val="List Paragraph"/>
    <w:basedOn w:val="Normal"/>
    <w:uiPriority w:val="34"/>
    <w:qFormat/>
    <w:rsid w:val="00F24E90"/>
    <w:pPr>
      <w:ind w:left="720"/>
      <w:contextualSpacing/>
    </w:pPr>
  </w:style>
  <w:style w:type="character" w:styleId="IntenseEmphasis">
    <w:name w:val="Intense Emphasis"/>
    <w:basedOn w:val="DefaultParagraphFont"/>
    <w:uiPriority w:val="21"/>
    <w:qFormat/>
    <w:rsid w:val="00F24E90"/>
    <w:rPr>
      <w:i/>
      <w:iCs/>
      <w:color w:val="365F91" w:themeColor="accent1" w:themeShade="BF"/>
    </w:rPr>
  </w:style>
  <w:style w:type="paragraph" w:styleId="IntenseQuote">
    <w:name w:val="Intense Quote"/>
    <w:basedOn w:val="Normal"/>
    <w:next w:val="Normal"/>
    <w:link w:val="IntenseQuoteChar"/>
    <w:uiPriority w:val="30"/>
    <w:qFormat/>
    <w:rsid w:val="00F24E9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F24E90"/>
    <w:rPr>
      <w:rFonts w:ascii="Arial" w:hAnsi="Arial"/>
      <w:i/>
      <w:iCs/>
      <w:color w:val="365F91" w:themeColor="accent1" w:themeShade="BF"/>
      <w:lang w:val="en-US"/>
    </w:rPr>
  </w:style>
  <w:style w:type="character" w:styleId="IntenseReference">
    <w:name w:val="Intense Reference"/>
    <w:basedOn w:val="DefaultParagraphFont"/>
    <w:uiPriority w:val="32"/>
    <w:qFormat/>
    <w:rsid w:val="00F24E90"/>
    <w:rPr>
      <w:b/>
      <w:bCs/>
      <w:smallCaps/>
      <w:color w:val="365F91" w:themeColor="accent1" w:themeShade="BF"/>
      <w:spacing w:val="5"/>
    </w:rPr>
  </w:style>
  <w:style w:type="paragraph" w:styleId="TOCHeading">
    <w:name w:val="TOC Heading"/>
    <w:basedOn w:val="Heading1"/>
    <w:next w:val="Normal"/>
    <w:uiPriority w:val="39"/>
    <w:unhideWhenUsed/>
    <w:qFormat/>
    <w:rsid w:val="00F24E90"/>
    <w:pPr>
      <w:numPr>
        <w:numId w:val="0"/>
      </w:numPr>
      <w:spacing w:before="240" w:after="0"/>
      <w:jc w:val="left"/>
      <w:outlineLvl w:val="9"/>
    </w:pPr>
    <w:rPr>
      <w:rFonts w:asciiTheme="majorHAnsi" w:hAnsiTheme="majorHAnsi"/>
      <w:b w:val="0"/>
      <w:color w:val="365F91" w:themeColor="accent1" w:themeShade="BF"/>
      <w:sz w:val="32"/>
      <w:szCs w:val="32"/>
    </w:rPr>
  </w:style>
  <w:style w:type="paragraph" w:styleId="TOC1">
    <w:name w:val="toc 1"/>
    <w:basedOn w:val="Normal"/>
    <w:next w:val="Normal"/>
    <w:autoRedefine/>
    <w:uiPriority w:val="39"/>
    <w:unhideWhenUsed/>
    <w:rsid w:val="00F24E90"/>
    <w:pPr>
      <w:spacing w:after="100"/>
    </w:pPr>
  </w:style>
  <w:style w:type="paragraph" w:styleId="TOC2">
    <w:name w:val="toc 2"/>
    <w:basedOn w:val="Normal"/>
    <w:next w:val="Normal"/>
    <w:autoRedefine/>
    <w:uiPriority w:val="39"/>
    <w:unhideWhenUsed/>
    <w:rsid w:val="00F24E90"/>
    <w:pPr>
      <w:spacing w:after="100"/>
      <w:ind w:left="220"/>
    </w:pPr>
  </w:style>
  <w:style w:type="character" w:styleId="Hyperlink">
    <w:name w:val="Hyperlink"/>
    <w:basedOn w:val="DefaultParagraphFont"/>
    <w:uiPriority w:val="99"/>
    <w:unhideWhenUsed/>
    <w:rsid w:val="00F24E90"/>
    <w:rPr>
      <w:color w:val="0000FF" w:themeColor="hyperlink"/>
      <w:u w:val="single"/>
    </w:rPr>
  </w:style>
  <w:style w:type="paragraph" w:styleId="Bibliography">
    <w:name w:val="Bibliography"/>
    <w:basedOn w:val="Normal"/>
    <w:next w:val="Normal"/>
    <w:uiPriority w:val="37"/>
    <w:unhideWhenUsed/>
    <w:rsid w:val="00DE0A34"/>
    <w:pPr>
      <w:spacing w:after="240" w:line="240" w:lineRule="auto"/>
    </w:pPr>
  </w:style>
  <w:style w:type="paragraph" w:styleId="NormalWeb">
    <w:name w:val="Normal (Web)"/>
    <w:basedOn w:val="Normal"/>
    <w:uiPriority w:val="99"/>
    <w:unhideWhenUsed/>
    <w:rsid w:val="0076613C"/>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7661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03/ijo.IJO_1089_20" TargetMode="External"/><Relationship Id="rId13" Type="http://schemas.openxmlformats.org/officeDocument/2006/relationships/hyperlink" Target="https://ico.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oi.org/10.1016/j.hlpt.2024.100838" TargetMode="External"/><Relationship Id="rId12" Type="http://schemas.openxmlformats.org/officeDocument/2006/relationships/hyperlink" Target="https://doi.org/10.1007/s12525-019-00377-4" TargetMode="External"/><Relationship Id="rId17" Type="http://schemas.openxmlformats.org/officeDocument/2006/relationships/hyperlink" Target="https://www.ons.gov.uk" TargetMode="External"/><Relationship Id="rId2" Type="http://schemas.openxmlformats.org/officeDocument/2006/relationships/numbering" Target="numbering.xml"/><Relationship Id="rId16" Type="http://schemas.openxmlformats.org/officeDocument/2006/relationships/hyperlink" Target="https://www.england.nhs.uk/digitaltechnolog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infoandorg.2023.100477" TargetMode="External"/><Relationship Id="rId5" Type="http://schemas.openxmlformats.org/officeDocument/2006/relationships/webSettings" Target="webSettings.xml"/><Relationship Id="rId15" Type="http://schemas.openxmlformats.org/officeDocument/2006/relationships/hyperlink" Target="https://digital.nhs.uk" TargetMode="External"/><Relationship Id="rId10" Type="http://schemas.openxmlformats.org/officeDocument/2006/relationships/hyperlink" Target="https://doi.org/10.3390/electronics906088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11/1475-6773.12133" TargetMode="External"/><Relationship Id="rId14" Type="http://schemas.openxmlformats.org/officeDocument/2006/relationships/hyperlink" Target="https://doi.org/10.1590/1413-81232020254.2892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671F3-CDD8-4784-A47B-C6D65EB26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2692</Words>
  <Characters>15345</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Refar Parveen</dc:creator>
  <cp:keywords/>
  <dc:description/>
  <cp:lastModifiedBy>Refat Parveen (2314745)</cp:lastModifiedBy>
  <cp:revision>3</cp:revision>
  <dcterms:created xsi:type="dcterms:W3CDTF">2025-10-25T10:55:00Z</dcterms:created>
  <dcterms:modified xsi:type="dcterms:W3CDTF">2025-10-25T11:00:00Z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zotero-version="7.0.24"&gt;&lt;session id="0l1zuQoC"/&gt;&lt;style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