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279FE" w:rsidP="207BDC43" w:rsidRDefault="004E0A4C" w14:paraId="00000001" w14:textId="77777777">
      <w:pPr>
        <w:spacing w:line="360" w:lineRule="auto"/>
        <w:jc w:val="center"/>
        <w:rPr>
          <w:rFonts w:ascii="Arial" w:hAnsi="Arial" w:eastAsia="Arial" w:cs="Arial"/>
          <w:b w:val="1"/>
          <w:bCs w:val="1"/>
          <w:i w:val="1"/>
          <w:iCs w:val="1"/>
          <w:sz w:val="22"/>
          <w:szCs w:val="22"/>
        </w:rPr>
      </w:pPr>
      <w:r w:rsidRPr="207BDC43" w:rsidR="004E0A4C">
        <w:rPr>
          <w:rFonts w:ascii="Arial" w:hAnsi="Arial" w:eastAsia="Arial" w:cs="Arial"/>
          <w:b w:val="1"/>
          <w:bCs w:val="1"/>
          <w:i w:val="1"/>
          <w:iCs w:val="1"/>
          <w:sz w:val="22"/>
          <w:szCs w:val="22"/>
        </w:rPr>
        <w:t>Enhancing Care Quality in Multidisciplinary Settings</w:t>
      </w:r>
    </w:p>
    <w:p w:rsidR="001279FE" w:rsidP="207BDC43" w:rsidRDefault="004E0A4C" w14:paraId="00000002" w14:textId="77777777">
      <w:pPr>
        <w:spacing w:line="360" w:lineRule="auto"/>
        <w:jc w:val="center"/>
        <w:rPr>
          <w:rFonts w:ascii="Arial" w:hAnsi="Arial" w:eastAsia="Arial" w:cs="Arial"/>
          <w:i w:val="1"/>
          <w:iCs w:val="1"/>
          <w:sz w:val="22"/>
          <w:szCs w:val="22"/>
          <w:lang w:val="en-US"/>
        </w:rPr>
      </w:pPr>
      <w:r w:rsidRPr="207BDC43" w:rsidR="004E0A4C">
        <w:rPr>
          <w:rFonts w:ascii="Arial" w:hAnsi="Arial" w:eastAsia="Arial" w:cs="Arial"/>
          <w:i w:val="1"/>
          <w:iCs w:val="1"/>
          <w:sz w:val="22"/>
          <w:szCs w:val="22"/>
          <w:lang w:val="en-US"/>
        </w:rPr>
        <w:t>A Critical Evaluation of Communication, Record Keeping, and Collaboration in Mrs Mann’s Post-Operative Community Care Case</w:t>
      </w:r>
    </w:p>
    <w:p w:rsidR="001279FE" w:rsidRDefault="001279FE" w14:paraId="00000003" w14:textId="77777777">
      <w:pPr>
        <w:spacing w:line="360" w:lineRule="auto"/>
        <w:rPr>
          <w:rFonts w:ascii="Arial" w:hAnsi="Arial" w:eastAsia="Arial" w:cs="Arial"/>
          <w:sz w:val="22"/>
          <w:szCs w:val="22"/>
        </w:rPr>
      </w:pPr>
    </w:p>
    <w:p w:rsidR="001279FE" w:rsidRDefault="001279FE" w14:paraId="00000004" w14:textId="77777777">
      <w:pPr>
        <w:spacing w:line="360" w:lineRule="auto"/>
        <w:rPr>
          <w:rFonts w:ascii="Arial" w:hAnsi="Arial" w:eastAsia="Arial" w:cs="Arial"/>
          <w:sz w:val="22"/>
          <w:szCs w:val="22"/>
        </w:rPr>
      </w:pPr>
    </w:p>
    <w:p w:rsidR="001279FE" w:rsidRDefault="001279FE" w14:paraId="00000005" w14:textId="77777777">
      <w:pPr>
        <w:spacing w:line="360" w:lineRule="auto"/>
        <w:rPr>
          <w:rFonts w:ascii="Arial" w:hAnsi="Arial" w:eastAsia="Arial" w:cs="Arial"/>
          <w:sz w:val="22"/>
          <w:szCs w:val="22"/>
        </w:rPr>
      </w:pPr>
    </w:p>
    <w:p w:rsidR="001279FE" w:rsidRDefault="001279FE" w14:paraId="00000006" w14:textId="77777777">
      <w:pPr>
        <w:spacing w:line="360" w:lineRule="auto"/>
        <w:rPr>
          <w:rFonts w:ascii="Arial" w:hAnsi="Arial" w:eastAsia="Arial" w:cs="Arial"/>
          <w:sz w:val="22"/>
          <w:szCs w:val="22"/>
        </w:rPr>
      </w:pPr>
    </w:p>
    <w:p w:rsidR="001279FE" w:rsidRDefault="001279FE" w14:paraId="00000007" w14:textId="77777777">
      <w:pPr>
        <w:spacing w:line="360" w:lineRule="auto"/>
        <w:rPr>
          <w:rFonts w:ascii="Arial" w:hAnsi="Arial" w:eastAsia="Arial" w:cs="Arial"/>
          <w:sz w:val="22"/>
          <w:szCs w:val="22"/>
        </w:rPr>
      </w:pPr>
    </w:p>
    <w:p w:rsidR="001279FE" w:rsidRDefault="001279FE" w14:paraId="00000008" w14:textId="77777777">
      <w:pPr>
        <w:spacing w:line="360" w:lineRule="auto"/>
        <w:rPr>
          <w:rFonts w:ascii="Arial" w:hAnsi="Arial" w:eastAsia="Arial" w:cs="Arial"/>
          <w:sz w:val="22"/>
          <w:szCs w:val="22"/>
        </w:rPr>
      </w:pPr>
    </w:p>
    <w:p w:rsidR="001279FE" w:rsidRDefault="001279FE" w14:paraId="00000009" w14:textId="77777777">
      <w:pPr>
        <w:spacing w:line="360" w:lineRule="auto"/>
        <w:rPr>
          <w:rFonts w:ascii="Arial" w:hAnsi="Arial" w:eastAsia="Arial" w:cs="Arial"/>
          <w:sz w:val="22"/>
          <w:szCs w:val="22"/>
        </w:rPr>
      </w:pPr>
    </w:p>
    <w:p w:rsidR="001279FE" w:rsidRDefault="001279FE" w14:paraId="0000000A" w14:textId="77777777">
      <w:pPr>
        <w:spacing w:line="360" w:lineRule="auto"/>
        <w:rPr>
          <w:rFonts w:ascii="Arial" w:hAnsi="Arial" w:eastAsia="Arial" w:cs="Arial"/>
          <w:sz w:val="22"/>
          <w:szCs w:val="22"/>
        </w:rPr>
      </w:pPr>
    </w:p>
    <w:p w:rsidR="001279FE" w:rsidRDefault="001279FE" w14:paraId="0000000B" w14:textId="77777777">
      <w:pPr>
        <w:spacing w:line="360" w:lineRule="auto"/>
        <w:rPr>
          <w:rFonts w:ascii="Arial" w:hAnsi="Arial" w:eastAsia="Arial" w:cs="Arial"/>
          <w:sz w:val="22"/>
          <w:szCs w:val="22"/>
        </w:rPr>
      </w:pPr>
    </w:p>
    <w:p w:rsidR="001279FE" w:rsidRDefault="001279FE" w14:paraId="0000000C" w14:textId="77777777">
      <w:pPr>
        <w:spacing w:line="360" w:lineRule="auto"/>
        <w:rPr>
          <w:rFonts w:ascii="Arial" w:hAnsi="Arial" w:eastAsia="Arial" w:cs="Arial"/>
          <w:sz w:val="22"/>
          <w:szCs w:val="22"/>
        </w:rPr>
      </w:pPr>
    </w:p>
    <w:p w:rsidR="001279FE" w:rsidRDefault="001279FE" w14:paraId="0000000D" w14:textId="77777777">
      <w:pPr>
        <w:spacing w:line="360" w:lineRule="auto"/>
        <w:rPr>
          <w:rFonts w:ascii="Arial" w:hAnsi="Arial" w:eastAsia="Arial" w:cs="Arial"/>
          <w:sz w:val="22"/>
          <w:szCs w:val="22"/>
        </w:rPr>
      </w:pPr>
    </w:p>
    <w:p w:rsidR="001279FE" w:rsidRDefault="001279FE" w14:paraId="0000000E" w14:textId="77777777">
      <w:pPr>
        <w:spacing w:line="360" w:lineRule="auto"/>
        <w:rPr>
          <w:rFonts w:ascii="Arial" w:hAnsi="Arial" w:eastAsia="Arial" w:cs="Arial"/>
          <w:sz w:val="22"/>
          <w:szCs w:val="22"/>
        </w:rPr>
      </w:pPr>
    </w:p>
    <w:p w:rsidR="001279FE" w:rsidRDefault="001279FE" w14:paraId="0000000F" w14:textId="77777777">
      <w:pPr>
        <w:spacing w:line="360" w:lineRule="auto"/>
        <w:rPr>
          <w:rFonts w:ascii="Arial" w:hAnsi="Arial" w:eastAsia="Arial" w:cs="Arial"/>
          <w:sz w:val="22"/>
          <w:szCs w:val="22"/>
        </w:rPr>
      </w:pPr>
    </w:p>
    <w:p w:rsidR="001279FE" w:rsidRDefault="001279FE" w14:paraId="00000010" w14:textId="77777777">
      <w:pPr>
        <w:spacing w:line="360" w:lineRule="auto"/>
        <w:rPr>
          <w:rFonts w:ascii="Arial" w:hAnsi="Arial" w:eastAsia="Arial" w:cs="Arial"/>
          <w:sz w:val="22"/>
          <w:szCs w:val="22"/>
        </w:rPr>
      </w:pPr>
    </w:p>
    <w:p w:rsidR="001279FE" w:rsidRDefault="001279FE" w14:paraId="00000011" w14:textId="77777777">
      <w:pPr>
        <w:spacing w:line="360" w:lineRule="auto"/>
        <w:rPr>
          <w:rFonts w:ascii="Arial" w:hAnsi="Arial" w:eastAsia="Arial" w:cs="Arial"/>
          <w:sz w:val="22"/>
          <w:szCs w:val="22"/>
        </w:rPr>
      </w:pPr>
    </w:p>
    <w:p w:rsidR="001279FE" w:rsidRDefault="001279FE" w14:paraId="00000012" w14:textId="77777777">
      <w:pPr>
        <w:spacing w:line="360" w:lineRule="auto"/>
        <w:rPr>
          <w:rFonts w:ascii="Arial" w:hAnsi="Arial" w:eastAsia="Arial" w:cs="Arial"/>
          <w:sz w:val="22"/>
          <w:szCs w:val="22"/>
        </w:rPr>
      </w:pPr>
    </w:p>
    <w:p w:rsidR="001279FE" w:rsidP="207BDC43" w:rsidRDefault="004E0A4C" w14:paraId="00000013" w14:textId="61ACD25E">
      <w:pPr>
        <w:spacing w:line="360" w:lineRule="auto"/>
        <w:rPr>
          <w:rFonts w:ascii="Arial" w:hAnsi="Arial" w:eastAsia="Arial" w:cs="Arial"/>
          <w:i w:val="1"/>
          <w:iCs w:val="1"/>
          <w:sz w:val="22"/>
          <w:szCs w:val="22"/>
        </w:rPr>
      </w:pPr>
      <w:r w:rsidRPr="207BDC43" w:rsidR="004E0A4C">
        <w:rPr>
          <w:rFonts w:ascii="Arial" w:hAnsi="Arial" w:eastAsia="Arial" w:cs="Arial"/>
          <w:b w:val="1"/>
          <w:bCs w:val="1"/>
          <w:i w:val="1"/>
          <w:iCs w:val="1"/>
          <w:sz w:val="22"/>
          <w:szCs w:val="22"/>
        </w:rPr>
        <w:t>Student Name:</w:t>
      </w:r>
      <w:r w:rsidRPr="207BDC43" w:rsidR="004E0A4C">
        <w:rPr>
          <w:rFonts w:ascii="Arial" w:hAnsi="Arial" w:eastAsia="Arial" w:cs="Arial"/>
          <w:i w:val="1"/>
          <w:iCs w:val="1"/>
          <w:sz w:val="22"/>
          <w:szCs w:val="22"/>
        </w:rPr>
        <w:t xml:space="preserve"> </w:t>
      </w:r>
      <w:r w:rsidRPr="207BDC43" w:rsidR="59E83764">
        <w:rPr>
          <w:rFonts w:ascii="Arial" w:hAnsi="Arial" w:eastAsia="Arial" w:cs="Arial"/>
          <w:i w:val="1"/>
          <w:iCs w:val="1"/>
          <w:sz w:val="22"/>
          <w:szCs w:val="22"/>
        </w:rPr>
        <w:t>Majdah Bi</w:t>
      </w:r>
    </w:p>
    <w:p w:rsidR="001279FE" w:rsidP="207BDC43" w:rsidRDefault="004E0A4C" w14:paraId="00000014" w14:textId="713453F1">
      <w:pPr>
        <w:spacing w:line="360" w:lineRule="auto"/>
        <w:rPr>
          <w:rFonts w:ascii="Arial" w:hAnsi="Arial" w:eastAsia="Arial" w:cs="Arial"/>
          <w:i w:val="1"/>
          <w:iCs w:val="1"/>
          <w:sz w:val="22"/>
          <w:szCs w:val="22"/>
        </w:rPr>
      </w:pPr>
      <w:r w:rsidRPr="207BDC43" w:rsidR="004E0A4C">
        <w:rPr>
          <w:rFonts w:ascii="Arial" w:hAnsi="Arial" w:eastAsia="Arial" w:cs="Arial"/>
          <w:b w:val="1"/>
          <w:bCs w:val="1"/>
          <w:i w:val="1"/>
          <w:iCs w:val="1"/>
          <w:sz w:val="22"/>
          <w:szCs w:val="22"/>
        </w:rPr>
        <w:t>Student Number:</w:t>
      </w:r>
      <w:r w:rsidRPr="207BDC43" w:rsidR="004E0A4C">
        <w:rPr>
          <w:rFonts w:ascii="Arial" w:hAnsi="Arial" w:eastAsia="Arial" w:cs="Arial"/>
          <w:i w:val="1"/>
          <w:iCs w:val="1"/>
          <w:sz w:val="22"/>
          <w:szCs w:val="22"/>
        </w:rPr>
        <w:t xml:space="preserve"> </w:t>
      </w:r>
      <w:r w:rsidRPr="207BDC43" w:rsidR="1AFEE7C2">
        <w:rPr>
          <w:rFonts w:ascii="Arial" w:hAnsi="Arial" w:eastAsia="Arial" w:cs="Arial"/>
          <w:i w:val="1"/>
          <w:iCs w:val="1"/>
          <w:sz w:val="22"/>
          <w:szCs w:val="22"/>
        </w:rPr>
        <w:t>2420112</w:t>
      </w:r>
    </w:p>
    <w:p w:rsidR="001279FE" w:rsidP="207BDC43" w:rsidRDefault="004E0A4C" w14:paraId="00000015" w14:textId="53A4B763">
      <w:pPr>
        <w:spacing w:line="360" w:lineRule="auto"/>
        <w:rPr>
          <w:rFonts w:ascii="Arial" w:hAnsi="Arial" w:eastAsia="Arial" w:cs="Arial"/>
          <w:i w:val="1"/>
          <w:iCs w:val="1"/>
          <w:sz w:val="22"/>
          <w:szCs w:val="22"/>
        </w:rPr>
      </w:pPr>
      <w:r w:rsidRPr="207BDC43" w:rsidR="004E0A4C">
        <w:rPr>
          <w:rFonts w:ascii="Arial" w:hAnsi="Arial" w:eastAsia="Arial" w:cs="Arial"/>
          <w:b w:val="1"/>
          <w:bCs w:val="1"/>
          <w:i w:val="1"/>
          <w:iCs w:val="1"/>
          <w:sz w:val="22"/>
          <w:szCs w:val="22"/>
        </w:rPr>
        <w:t>Module Code:</w:t>
      </w:r>
      <w:r w:rsidRPr="207BDC43" w:rsidR="004E0A4C">
        <w:rPr>
          <w:rFonts w:ascii="Arial" w:hAnsi="Arial" w:eastAsia="Arial" w:cs="Arial"/>
          <w:i w:val="1"/>
          <w:iCs w:val="1"/>
          <w:sz w:val="22"/>
          <w:szCs w:val="22"/>
        </w:rPr>
        <w:t xml:space="preserve"> </w:t>
      </w:r>
      <w:r w:rsidRPr="207BDC43" w:rsidR="6F66749A">
        <w:rPr>
          <w:rFonts w:ascii="Arial" w:hAnsi="Arial" w:eastAsia="Arial" w:cs="Arial"/>
          <w:i w:val="1"/>
          <w:iCs w:val="1"/>
          <w:sz w:val="22"/>
          <w:szCs w:val="22"/>
        </w:rPr>
        <w:t>LSH4003</w:t>
      </w:r>
    </w:p>
    <w:p w:rsidR="001279FE" w:rsidP="207BDC43" w:rsidRDefault="004E0A4C" w14:paraId="00000016" w14:textId="59C80227">
      <w:pPr>
        <w:spacing w:line="360" w:lineRule="auto"/>
        <w:rPr>
          <w:rFonts w:ascii="Arial" w:hAnsi="Arial" w:eastAsia="Arial" w:cs="Arial"/>
          <w:i w:val="1"/>
          <w:iCs w:val="1"/>
          <w:sz w:val="22"/>
          <w:szCs w:val="22"/>
          <w:lang w:val="en-US"/>
        </w:rPr>
      </w:pPr>
      <w:r w:rsidRPr="207BDC43" w:rsidR="004E0A4C">
        <w:rPr>
          <w:rFonts w:ascii="Arial" w:hAnsi="Arial" w:eastAsia="Arial" w:cs="Arial"/>
          <w:b w:val="1"/>
          <w:bCs w:val="1"/>
          <w:i w:val="1"/>
          <w:iCs w:val="1"/>
          <w:sz w:val="22"/>
          <w:szCs w:val="22"/>
          <w:lang w:val="en-US"/>
        </w:rPr>
        <w:t>Lecturer Name:</w:t>
      </w:r>
      <w:r w:rsidRPr="207BDC43" w:rsidR="004E0A4C">
        <w:rPr>
          <w:rFonts w:ascii="Arial" w:hAnsi="Arial" w:eastAsia="Arial" w:cs="Arial"/>
          <w:i w:val="1"/>
          <w:iCs w:val="1"/>
          <w:sz w:val="22"/>
          <w:szCs w:val="22"/>
          <w:lang w:val="en-US"/>
        </w:rPr>
        <w:t xml:space="preserve"> </w:t>
      </w:r>
      <w:r w:rsidRPr="207BDC43" w:rsidR="7E54E1FF">
        <w:rPr>
          <w:rFonts w:ascii="Arial" w:hAnsi="Arial" w:eastAsia="Arial" w:cs="Arial"/>
          <w:i w:val="1"/>
          <w:iCs w:val="1"/>
          <w:sz w:val="22"/>
          <w:szCs w:val="22"/>
          <w:lang w:val="en-US"/>
        </w:rPr>
        <w:t>Tsiwani</w:t>
      </w:r>
      <w:r w:rsidRPr="207BDC43" w:rsidR="7E54E1FF">
        <w:rPr>
          <w:rFonts w:ascii="Arial" w:hAnsi="Arial" w:eastAsia="Arial" w:cs="Arial"/>
          <w:i w:val="1"/>
          <w:iCs w:val="1"/>
          <w:sz w:val="22"/>
          <w:szCs w:val="22"/>
          <w:lang w:val="en-US"/>
        </w:rPr>
        <w:t xml:space="preserve"> Khumalo</w:t>
      </w:r>
    </w:p>
    <w:p w:rsidR="001279FE" w:rsidRDefault="004E0A4C" w14:paraId="00000017" w14:textId="5E18D0A6">
      <w:pPr>
        <w:spacing w:line="360" w:lineRule="auto"/>
        <w:rPr>
          <w:rFonts w:ascii="Arial" w:hAnsi="Arial" w:eastAsia="Arial" w:cs="Arial"/>
          <w:sz w:val="22"/>
          <w:szCs w:val="22"/>
        </w:rPr>
      </w:pPr>
      <w:r w:rsidRPr="207BDC43">
        <w:rPr>
          <w:rFonts w:ascii="Arial" w:hAnsi="Arial" w:eastAsia="Arial" w:cs="Arial"/>
          <w:i w:val="1"/>
          <w:iCs w:val="1"/>
          <w:sz w:val="22"/>
          <w:szCs w:val="22"/>
        </w:rPr>
        <w:br w:type="page"/>
      </w:r>
    </w:p>
    <w:p w:rsidR="001279FE" w:rsidRDefault="004E0A4C" w14:paraId="00000018" w14:textId="77777777">
      <w:pPr>
        <w:spacing w:line="360" w:lineRule="auto"/>
        <w:rPr>
          <w:rFonts w:ascii="Arial" w:hAnsi="Arial" w:eastAsia="Arial" w:cs="Arial"/>
          <w:sz w:val="22"/>
          <w:szCs w:val="22"/>
        </w:rPr>
      </w:pPr>
      <w:r w:rsidRPr="207BDC43" w:rsidR="004E0A4C">
        <w:rPr>
          <w:rFonts w:ascii="Arial" w:hAnsi="Arial" w:eastAsia="Arial" w:cs="Arial"/>
          <w:sz w:val="22"/>
          <w:szCs w:val="22"/>
        </w:rPr>
        <w:t>Table of Contents</w:t>
      </w:r>
    </w:p>
    <w:sdt>
      <w:sdtPr>
        <w:id w:val="-69023281"/>
        <w:docPartObj>
          <w:docPartGallery w:val="Table of Contents"/>
          <w:docPartUnique/>
        </w:docPartObj>
        <w:rPr>
          <w:rFonts w:ascii="Arial" w:hAnsi="Arial" w:eastAsia="Arial" w:cs="Arial"/>
          <w:b w:val="1"/>
          <w:bCs w:val="1"/>
          <w:color w:val="000000" w:themeColor="text1" w:themeTint="FF" w:themeShade="FF"/>
          <w:sz w:val="22"/>
          <w:szCs w:val="22"/>
        </w:rPr>
      </w:sdtPr>
      <w:sdtEndPr/>
      <w:sdtContent>
        <w:p w:rsidR="001279FE" w:rsidP="207BDC43" w:rsidRDefault="004E0A4C" w14:paraId="00000019" w14:textId="77777777">
          <w:pPr>
            <w:widowControl w:val="0"/>
            <w:tabs>
              <w:tab w:val="right" w:leader="dot" w:pos="9360"/>
            </w:tabs>
            <w:spacing w:before="60" w:after="0" w:line="360" w:lineRule="auto"/>
            <w:rPr>
              <w:rFonts w:ascii="Arial" w:hAnsi="Arial" w:eastAsia="Arial" w:cs="Arial"/>
              <w:b w:val="1"/>
              <w:bCs w:val="1"/>
              <w:color w:val="000000"/>
              <w:sz w:val="22"/>
              <w:szCs w:val="22"/>
            </w:rPr>
          </w:pPr>
          <w:r>
            <w:fldChar w:fldCharType="begin"/>
          </w:r>
          <w:r>
            <w:instrText xml:space="preserve"> TOC \h \u \z \t "Heading 1,1,Heading 2,2,Heading 3,3,Heading 4,4,Heading 5,5,Heading 6,6,"</w:instrText>
          </w:r>
          <w:r>
            <w:fldChar w:fldCharType="separate"/>
          </w:r>
          <w:hyperlink w:anchor="_aca3a8466ez">
            <w:r w:rsidRPr="207BDC43" w:rsidR="001279FE">
              <w:rPr>
                <w:rFonts w:ascii="Arial" w:hAnsi="Arial" w:eastAsia="Arial" w:cs="Arial"/>
                <w:b w:val="1"/>
                <w:bCs w:val="1"/>
                <w:color w:val="000000" w:themeColor="text1" w:themeTint="FF" w:themeShade="FF"/>
                <w:sz w:val="22"/>
                <w:szCs w:val="22"/>
              </w:rPr>
              <w:t>1. Introduction</w:t>
            </w:r>
            <w:r>
              <w:tab/>
            </w:r>
          </w:hyperlink>
          <w:r>
            <w:fldChar w:fldCharType="begin"/>
          </w:r>
          <w:r>
            <w:instrText xml:space="preserve"> PAGEREF _aca3a8466ez \h </w:instrText>
          </w:r>
          <w:r>
            <w:fldChar w:fldCharType="separate"/>
          </w:r>
          <w:r w:rsidRPr="207BDC43" w:rsidR="004E0A4C">
            <w:rPr>
              <w:rFonts w:ascii="Arial" w:hAnsi="Arial" w:eastAsia="Arial" w:cs="Arial"/>
              <w:b w:val="1"/>
              <w:bCs w:val="1"/>
              <w:sz w:val="22"/>
              <w:szCs w:val="22"/>
            </w:rPr>
            <w:t>3</w:t>
          </w:r>
          <w:r>
            <w:fldChar w:fldCharType="end"/>
          </w:r>
        </w:p>
        <w:p w:rsidR="001279FE" w:rsidP="207BDC43" w:rsidRDefault="001279FE" w14:paraId="0000001A" w14:textId="77777777">
          <w:pPr>
            <w:widowControl w:val="0"/>
            <w:tabs>
              <w:tab w:val="right" w:leader="dot" w:pos="9360"/>
            </w:tabs>
            <w:spacing w:before="60" w:after="0" w:line="360" w:lineRule="auto"/>
            <w:rPr>
              <w:rFonts w:ascii="Arial" w:hAnsi="Arial" w:eastAsia="Arial" w:cs="Arial"/>
              <w:b w:val="1"/>
              <w:bCs w:val="1"/>
              <w:color w:val="000000"/>
              <w:sz w:val="22"/>
              <w:szCs w:val="22"/>
            </w:rPr>
          </w:pPr>
          <w:hyperlink w:anchor="_kjl9vluwru21">
            <w:r w:rsidRPr="207BDC43" w:rsidR="001279FE">
              <w:rPr>
                <w:rFonts w:ascii="Arial" w:hAnsi="Arial" w:eastAsia="Arial" w:cs="Arial"/>
                <w:b w:val="1"/>
                <w:bCs w:val="1"/>
                <w:color w:val="000000" w:themeColor="text1" w:themeTint="FF" w:themeShade="FF"/>
                <w:sz w:val="22"/>
                <w:szCs w:val="22"/>
              </w:rPr>
              <w:t>2. Section 1: Effective Communication</w:t>
            </w:r>
            <w:r>
              <w:tab/>
            </w:r>
          </w:hyperlink>
          <w:r>
            <w:fldChar w:fldCharType="begin"/>
          </w:r>
          <w:r>
            <w:instrText xml:space="preserve"> PAGEREF _kjl9vluwru21 \h </w:instrText>
          </w:r>
          <w:r>
            <w:fldChar w:fldCharType="separate"/>
          </w:r>
          <w:r w:rsidRPr="207BDC43" w:rsidR="004E0A4C">
            <w:rPr>
              <w:rFonts w:ascii="Arial" w:hAnsi="Arial" w:eastAsia="Arial" w:cs="Arial"/>
              <w:b w:val="1"/>
              <w:bCs w:val="1"/>
              <w:sz w:val="22"/>
              <w:szCs w:val="22"/>
            </w:rPr>
            <w:t>3</w:t>
          </w:r>
          <w:r>
            <w:fldChar w:fldCharType="end"/>
          </w:r>
        </w:p>
        <w:p w:rsidR="001279FE" w:rsidRDefault="001279FE" w14:paraId="0000001B"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nuiu5tkalwxg">
            <w:r w:rsidRPr="207BDC43" w:rsidR="001279FE">
              <w:rPr>
                <w:rFonts w:ascii="Arial" w:hAnsi="Arial" w:eastAsia="Arial" w:cs="Arial"/>
                <w:color w:val="000000" w:themeColor="text1" w:themeTint="FF" w:themeShade="FF"/>
                <w:sz w:val="22"/>
                <w:szCs w:val="22"/>
              </w:rPr>
              <w:t>2.1 Importance of Communication in Health &amp; Social Care</w:t>
            </w:r>
            <w:r>
              <w:tab/>
            </w:r>
          </w:hyperlink>
          <w:r>
            <w:fldChar w:fldCharType="begin"/>
          </w:r>
          <w:r>
            <w:instrText xml:space="preserve"> PAGEREF _nuiu5tkalwxg \h </w:instrText>
          </w:r>
          <w:r>
            <w:fldChar w:fldCharType="separate"/>
          </w:r>
          <w:r w:rsidRPr="207BDC43" w:rsidR="004E0A4C">
            <w:rPr>
              <w:rFonts w:ascii="Arial" w:hAnsi="Arial" w:eastAsia="Arial" w:cs="Arial"/>
              <w:sz w:val="22"/>
              <w:szCs w:val="22"/>
            </w:rPr>
            <w:t>3</w:t>
          </w:r>
          <w:r>
            <w:fldChar w:fldCharType="end"/>
          </w:r>
        </w:p>
        <w:p w:rsidR="001279FE" w:rsidRDefault="001279FE" w14:paraId="0000001C"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8enstqjrmvam">
            <w:r w:rsidRPr="207BDC43" w:rsidR="001279FE">
              <w:rPr>
                <w:rFonts w:ascii="Arial" w:hAnsi="Arial" w:eastAsia="Arial" w:cs="Arial"/>
                <w:color w:val="000000" w:themeColor="text1" w:themeTint="FF" w:themeShade="FF"/>
                <w:sz w:val="22"/>
                <w:szCs w:val="22"/>
              </w:rPr>
              <w:t>2.2 Addressing Language Barriers and Cultural Sensitivity</w:t>
            </w:r>
            <w:r>
              <w:tab/>
            </w:r>
          </w:hyperlink>
          <w:r>
            <w:fldChar w:fldCharType="begin"/>
          </w:r>
          <w:r>
            <w:instrText xml:space="preserve"> PAGEREF _8enstqjrmvam \h </w:instrText>
          </w:r>
          <w:r>
            <w:fldChar w:fldCharType="separate"/>
          </w:r>
          <w:r w:rsidRPr="207BDC43" w:rsidR="004E0A4C">
            <w:rPr>
              <w:rFonts w:ascii="Arial" w:hAnsi="Arial" w:eastAsia="Arial" w:cs="Arial"/>
              <w:sz w:val="22"/>
              <w:szCs w:val="22"/>
            </w:rPr>
            <w:t>3</w:t>
          </w:r>
          <w:r>
            <w:fldChar w:fldCharType="end"/>
          </w:r>
        </w:p>
        <w:p w:rsidR="001279FE" w:rsidRDefault="001279FE" w14:paraId="0000001D"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iv7qryl67ul0">
            <w:r w:rsidRPr="207BDC43" w:rsidR="001279FE">
              <w:rPr>
                <w:rFonts w:ascii="Arial" w:hAnsi="Arial" w:eastAsia="Arial" w:cs="Arial"/>
                <w:color w:val="000000" w:themeColor="text1" w:themeTint="FF" w:themeShade="FF"/>
                <w:sz w:val="22"/>
                <w:szCs w:val="22"/>
              </w:rPr>
              <w:t>2.3 Communication Models and the Equality Act 2010</w:t>
            </w:r>
            <w:r>
              <w:tab/>
            </w:r>
          </w:hyperlink>
          <w:r>
            <w:fldChar w:fldCharType="begin"/>
          </w:r>
          <w:r>
            <w:instrText xml:space="preserve"> PAGEREF _iv7qryl67ul0 \h </w:instrText>
          </w:r>
          <w:r>
            <w:fldChar w:fldCharType="separate"/>
          </w:r>
          <w:r w:rsidRPr="207BDC43" w:rsidR="004E0A4C">
            <w:rPr>
              <w:rFonts w:ascii="Arial" w:hAnsi="Arial" w:eastAsia="Arial" w:cs="Arial"/>
              <w:sz w:val="22"/>
              <w:szCs w:val="22"/>
            </w:rPr>
            <w:t>4</w:t>
          </w:r>
          <w:r>
            <w:fldChar w:fldCharType="end"/>
          </w:r>
        </w:p>
        <w:p w:rsidR="001279FE" w:rsidP="207BDC43" w:rsidRDefault="001279FE" w14:paraId="0000001E" w14:textId="77777777">
          <w:pPr>
            <w:widowControl w:val="0"/>
            <w:tabs>
              <w:tab w:val="right" w:leader="dot" w:pos="9360"/>
            </w:tabs>
            <w:spacing w:before="60" w:after="0" w:line="360" w:lineRule="auto"/>
            <w:rPr>
              <w:rFonts w:ascii="Arial" w:hAnsi="Arial" w:eastAsia="Arial" w:cs="Arial"/>
              <w:b w:val="1"/>
              <w:bCs w:val="1"/>
              <w:color w:val="000000"/>
              <w:sz w:val="22"/>
              <w:szCs w:val="22"/>
            </w:rPr>
          </w:pPr>
          <w:hyperlink w:anchor="_pd1ozvobr1a5">
            <w:r w:rsidRPr="207BDC43" w:rsidR="001279FE">
              <w:rPr>
                <w:rFonts w:ascii="Arial" w:hAnsi="Arial" w:eastAsia="Arial" w:cs="Arial"/>
                <w:b w:val="1"/>
                <w:bCs w:val="1"/>
                <w:color w:val="000000" w:themeColor="text1" w:themeTint="FF" w:themeShade="FF"/>
                <w:sz w:val="22"/>
                <w:szCs w:val="22"/>
              </w:rPr>
              <w:t>Section 2: Administrative Skills &amp; Record Keeping</w:t>
            </w:r>
            <w:r>
              <w:tab/>
            </w:r>
          </w:hyperlink>
          <w:r>
            <w:fldChar w:fldCharType="begin"/>
          </w:r>
          <w:r>
            <w:instrText xml:space="preserve"> PAGEREF _pd1ozvobr1a5 \h </w:instrText>
          </w:r>
          <w:r>
            <w:fldChar w:fldCharType="separate"/>
          </w:r>
          <w:r w:rsidRPr="207BDC43" w:rsidR="004E0A4C">
            <w:rPr>
              <w:rFonts w:ascii="Arial" w:hAnsi="Arial" w:eastAsia="Arial" w:cs="Arial"/>
              <w:b w:val="1"/>
              <w:bCs w:val="1"/>
              <w:sz w:val="22"/>
              <w:szCs w:val="22"/>
            </w:rPr>
            <w:t>4</w:t>
          </w:r>
          <w:r>
            <w:fldChar w:fldCharType="end"/>
          </w:r>
        </w:p>
        <w:p w:rsidR="001279FE" w:rsidRDefault="001279FE" w14:paraId="0000001F"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6c4obq9g45cv">
            <w:r w:rsidRPr="207BDC43" w:rsidR="001279FE">
              <w:rPr>
                <w:rFonts w:ascii="Arial" w:hAnsi="Arial" w:eastAsia="Arial" w:cs="Arial"/>
                <w:color w:val="000000" w:themeColor="text1" w:themeTint="FF" w:themeShade="FF"/>
                <w:sz w:val="22"/>
                <w:szCs w:val="22"/>
              </w:rPr>
              <w:t>3.1 Importance of Accurate Record Keeping in Health &amp; Social Care</w:t>
            </w:r>
            <w:r>
              <w:tab/>
            </w:r>
          </w:hyperlink>
          <w:r>
            <w:fldChar w:fldCharType="begin"/>
          </w:r>
          <w:r>
            <w:instrText xml:space="preserve"> PAGEREF _6c4obq9g45cv \h </w:instrText>
          </w:r>
          <w:r>
            <w:fldChar w:fldCharType="separate"/>
          </w:r>
          <w:r w:rsidRPr="207BDC43" w:rsidR="004E0A4C">
            <w:rPr>
              <w:rFonts w:ascii="Arial" w:hAnsi="Arial" w:eastAsia="Arial" w:cs="Arial"/>
              <w:sz w:val="22"/>
              <w:szCs w:val="22"/>
            </w:rPr>
            <w:t>4</w:t>
          </w:r>
          <w:r>
            <w:fldChar w:fldCharType="end"/>
          </w:r>
        </w:p>
        <w:p w:rsidR="001279FE" w:rsidRDefault="001279FE" w14:paraId="00000020"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gi9r38xcgr1f">
            <w:r w:rsidRPr="207BDC43" w:rsidR="001279FE">
              <w:rPr>
                <w:rFonts w:ascii="Arial" w:hAnsi="Arial" w:eastAsia="Arial" w:cs="Arial"/>
                <w:color w:val="000000" w:themeColor="text1" w:themeTint="FF" w:themeShade="FF"/>
                <w:sz w:val="22"/>
                <w:szCs w:val="22"/>
              </w:rPr>
              <w:t>3.2 Legal &amp; Ethical Frameworks: Data Protection and Confidentiality</w:t>
            </w:r>
            <w:r>
              <w:tab/>
            </w:r>
          </w:hyperlink>
          <w:r>
            <w:fldChar w:fldCharType="begin"/>
          </w:r>
          <w:r>
            <w:instrText xml:space="preserve"> PAGEREF _gi9r38xcgr1f \h </w:instrText>
          </w:r>
          <w:r>
            <w:fldChar w:fldCharType="separate"/>
          </w:r>
          <w:r w:rsidRPr="207BDC43" w:rsidR="004E0A4C">
            <w:rPr>
              <w:rFonts w:ascii="Arial" w:hAnsi="Arial" w:eastAsia="Arial" w:cs="Arial"/>
              <w:sz w:val="22"/>
              <w:szCs w:val="22"/>
            </w:rPr>
            <w:t>4</w:t>
          </w:r>
          <w:r>
            <w:fldChar w:fldCharType="end"/>
          </w:r>
        </w:p>
        <w:p w:rsidR="001279FE" w:rsidRDefault="001279FE" w14:paraId="00000021"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fwawzzm0i3p9">
            <w:r w:rsidRPr="207BDC43" w:rsidR="001279FE">
              <w:rPr>
                <w:rFonts w:ascii="Arial" w:hAnsi="Arial" w:eastAsia="Arial" w:cs="Arial"/>
                <w:color w:val="000000" w:themeColor="text1" w:themeTint="FF" w:themeShade="FF"/>
                <w:sz w:val="22"/>
                <w:szCs w:val="22"/>
              </w:rPr>
              <w:t>3.3 Frameworks and Standards (NMC, CQC)</w:t>
            </w:r>
            <w:r>
              <w:tab/>
            </w:r>
          </w:hyperlink>
          <w:r>
            <w:fldChar w:fldCharType="begin"/>
          </w:r>
          <w:r>
            <w:instrText xml:space="preserve"> PAGEREF _fwawzzm0i3p9 \h </w:instrText>
          </w:r>
          <w:r>
            <w:fldChar w:fldCharType="separate"/>
          </w:r>
          <w:r w:rsidRPr="207BDC43" w:rsidR="004E0A4C">
            <w:rPr>
              <w:rFonts w:ascii="Arial" w:hAnsi="Arial" w:eastAsia="Arial" w:cs="Arial"/>
              <w:sz w:val="22"/>
              <w:szCs w:val="22"/>
            </w:rPr>
            <w:t>5</w:t>
          </w:r>
          <w:r>
            <w:fldChar w:fldCharType="end"/>
          </w:r>
        </w:p>
        <w:p w:rsidR="001279FE" w:rsidP="207BDC43" w:rsidRDefault="001279FE" w14:paraId="00000022" w14:textId="77777777">
          <w:pPr>
            <w:widowControl w:val="0"/>
            <w:tabs>
              <w:tab w:val="right" w:leader="dot" w:pos="9360"/>
            </w:tabs>
            <w:spacing w:before="60" w:after="0" w:line="360" w:lineRule="auto"/>
            <w:rPr>
              <w:rFonts w:ascii="Arial" w:hAnsi="Arial" w:eastAsia="Arial" w:cs="Arial"/>
              <w:b w:val="1"/>
              <w:bCs w:val="1"/>
              <w:color w:val="000000"/>
              <w:sz w:val="22"/>
              <w:szCs w:val="22"/>
            </w:rPr>
          </w:pPr>
          <w:hyperlink w:anchor="_fpftqpu2lqdx">
            <w:r w:rsidRPr="207BDC43" w:rsidR="001279FE">
              <w:rPr>
                <w:rFonts w:ascii="Arial" w:hAnsi="Arial" w:eastAsia="Arial" w:cs="Arial"/>
                <w:b w:val="1"/>
                <w:bCs w:val="1"/>
                <w:color w:val="000000" w:themeColor="text1" w:themeTint="FF" w:themeShade="FF"/>
                <w:sz w:val="22"/>
                <w:szCs w:val="22"/>
              </w:rPr>
              <w:t>4. Section 3: Collaborative Working</w:t>
            </w:r>
            <w:r>
              <w:tab/>
            </w:r>
          </w:hyperlink>
          <w:r>
            <w:fldChar w:fldCharType="begin"/>
          </w:r>
          <w:r>
            <w:instrText xml:space="preserve"> PAGEREF _fpftqpu2lqdx \h </w:instrText>
          </w:r>
          <w:r>
            <w:fldChar w:fldCharType="separate"/>
          </w:r>
          <w:r w:rsidRPr="207BDC43" w:rsidR="004E0A4C">
            <w:rPr>
              <w:rFonts w:ascii="Arial" w:hAnsi="Arial" w:eastAsia="Arial" w:cs="Arial"/>
              <w:b w:val="1"/>
              <w:bCs w:val="1"/>
              <w:sz w:val="22"/>
              <w:szCs w:val="22"/>
            </w:rPr>
            <w:t>5</w:t>
          </w:r>
          <w:r>
            <w:fldChar w:fldCharType="end"/>
          </w:r>
        </w:p>
        <w:p w:rsidR="001279FE" w:rsidRDefault="001279FE" w14:paraId="00000023"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evmii0uuqd57">
            <w:r w:rsidRPr="207BDC43" w:rsidR="001279FE">
              <w:rPr>
                <w:rFonts w:ascii="Arial" w:hAnsi="Arial" w:eastAsia="Arial" w:cs="Arial"/>
                <w:color w:val="000000" w:themeColor="text1" w:themeTint="FF" w:themeShade="FF"/>
                <w:sz w:val="22"/>
                <w:szCs w:val="22"/>
              </w:rPr>
              <w:t>4.1 Importance of Multi-Agency Collaboration</w:t>
            </w:r>
            <w:r>
              <w:tab/>
            </w:r>
          </w:hyperlink>
          <w:r>
            <w:fldChar w:fldCharType="begin"/>
          </w:r>
          <w:r>
            <w:instrText xml:space="preserve"> PAGEREF _evmii0uuqd57 \h </w:instrText>
          </w:r>
          <w:r>
            <w:fldChar w:fldCharType="separate"/>
          </w:r>
          <w:r w:rsidRPr="207BDC43" w:rsidR="004E0A4C">
            <w:rPr>
              <w:rFonts w:ascii="Arial" w:hAnsi="Arial" w:eastAsia="Arial" w:cs="Arial"/>
              <w:sz w:val="22"/>
              <w:szCs w:val="22"/>
            </w:rPr>
            <w:t>5</w:t>
          </w:r>
          <w:r>
            <w:fldChar w:fldCharType="end"/>
          </w:r>
        </w:p>
        <w:p w:rsidR="001279FE" w:rsidRDefault="001279FE" w14:paraId="00000024"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6iez8gkv3zu3">
            <w:r w:rsidRPr="207BDC43" w:rsidR="001279FE">
              <w:rPr>
                <w:rFonts w:ascii="Arial" w:hAnsi="Arial" w:eastAsia="Arial" w:cs="Arial"/>
                <w:color w:val="000000" w:themeColor="text1" w:themeTint="FF" w:themeShade="FF"/>
                <w:sz w:val="22"/>
                <w:szCs w:val="22"/>
              </w:rPr>
              <w:t>4.2 Challenges and Strategies for Better Collaboration</w:t>
            </w:r>
            <w:r>
              <w:tab/>
            </w:r>
          </w:hyperlink>
          <w:r>
            <w:fldChar w:fldCharType="begin"/>
          </w:r>
          <w:r>
            <w:instrText xml:space="preserve"> PAGEREF _6iez8gkv3zu3 \h </w:instrText>
          </w:r>
          <w:r>
            <w:fldChar w:fldCharType="separate"/>
          </w:r>
          <w:r w:rsidRPr="207BDC43" w:rsidR="004E0A4C">
            <w:rPr>
              <w:rFonts w:ascii="Arial" w:hAnsi="Arial" w:eastAsia="Arial" w:cs="Arial"/>
              <w:sz w:val="22"/>
              <w:szCs w:val="22"/>
            </w:rPr>
            <w:t>5</w:t>
          </w:r>
          <w:r>
            <w:fldChar w:fldCharType="end"/>
          </w:r>
        </w:p>
        <w:p w:rsidR="001279FE" w:rsidP="207BDC43" w:rsidRDefault="001279FE" w14:paraId="00000025" w14:textId="77777777">
          <w:pPr>
            <w:widowControl w:val="0"/>
            <w:tabs>
              <w:tab w:val="right" w:leader="dot" w:pos="9360"/>
            </w:tabs>
            <w:spacing w:before="60" w:after="0" w:line="360" w:lineRule="auto"/>
            <w:rPr>
              <w:rFonts w:ascii="Arial" w:hAnsi="Arial" w:eastAsia="Arial" w:cs="Arial"/>
              <w:b w:val="1"/>
              <w:bCs w:val="1"/>
              <w:color w:val="000000"/>
              <w:sz w:val="22"/>
              <w:szCs w:val="22"/>
            </w:rPr>
          </w:pPr>
          <w:hyperlink w:anchor="_ym7mslmsgbn6">
            <w:r w:rsidRPr="207BDC43" w:rsidR="001279FE">
              <w:rPr>
                <w:rFonts w:ascii="Arial" w:hAnsi="Arial" w:eastAsia="Arial" w:cs="Arial"/>
                <w:b w:val="1"/>
                <w:bCs w:val="1"/>
                <w:color w:val="000000" w:themeColor="text1" w:themeTint="FF" w:themeShade="FF"/>
                <w:sz w:val="22"/>
                <w:szCs w:val="22"/>
              </w:rPr>
              <w:t>5. Conclusion</w:t>
            </w:r>
            <w:r>
              <w:tab/>
            </w:r>
          </w:hyperlink>
          <w:r>
            <w:fldChar w:fldCharType="begin"/>
          </w:r>
          <w:r>
            <w:instrText xml:space="preserve"> PAGEREF _ym7mslmsgbn6 \h </w:instrText>
          </w:r>
          <w:r>
            <w:fldChar w:fldCharType="separate"/>
          </w:r>
          <w:r w:rsidRPr="207BDC43" w:rsidR="004E0A4C">
            <w:rPr>
              <w:rFonts w:ascii="Arial" w:hAnsi="Arial" w:eastAsia="Arial" w:cs="Arial"/>
              <w:b w:val="1"/>
              <w:bCs w:val="1"/>
              <w:sz w:val="22"/>
              <w:szCs w:val="22"/>
            </w:rPr>
            <w:t>5</w:t>
          </w:r>
          <w:r>
            <w:fldChar w:fldCharType="end"/>
          </w:r>
        </w:p>
        <w:p w:rsidR="001279FE" w:rsidRDefault="001279FE" w14:paraId="00000026"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m7z4fb9d1wod">
            <w:r w:rsidRPr="207BDC43" w:rsidR="001279FE">
              <w:rPr>
                <w:rFonts w:ascii="Arial" w:hAnsi="Arial" w:eastAsia="Arial" w:cs="Arial"/>
                <w:color w:val="000000" w:themeColor="text1" w:themeTint="FF" w:themeShade="FF"/>
                <w:sz w:val="22"/>
                <w:szCs w:val="22"/>
              </w:rPr>
              <w:t>5.1 Summary of Key Findings</w:t>
            </w:r>
            <w:r>
              <w:tab/>
            </w:r>
          </w:hyperlink>
          <w:r>
            <w:fldChar w:fldCharType="begin"/>
          </w:r>
          <w:r>
            <w:instrText xml:space="preserve"> PAGEREF _m7z4fb9d1wod \h </w:instrText>
          </w:r>
          <w:r>
            <w:fldChar w:fldCharType="separate"/>
          </w:r>
          <w:r w:rsidRPr="207BDC43" w:rsidR="004E0A4C">
            <w:rPr>
              <w:rFonts w:ascii="Arial" w:hAnsi="Arial" w:eastAsia="Arial" w:cs="Arial"/>
              <w:sz w:val="22"/>
              <w:szCs w:val="22"/>
            </w:rPr>
            <w:t>5</w:t>
          </w:r>
          <w:r>
            <w:fldChar w:fldCharType="end"/>
          </w:r>
        </w:p>
        <w:p w:rsidR="001279FE" w:rsidRDefault="001279FE" w14:paraId="00000027" w14:textId="77777777">
          <w:pPr>
            <w:widowControl w:val="0"/>
            <w:tabs>
              <w:tab w:val="right" w:leader="dot" w:pos="9360"/>
            </w:tabs>
            <w:spacing w:before="60" w:after="0" w:line="360" w:lineRule="auto"/>
            <w:ind w:left="360"/>
            <w:rPr>
              <w:rFonts w:ascii="Arial" w:hAnsi="Arial" w:eastAsia="Arial" w:cs="Arial"/>
              <w:color w:val="000000"/>
              <w:sz w:val="22"/>
              <w:szCs w:val="22"/>
            </w:rPr>
          </w:pPr>
          <w:hyperlink w:anchor="_umsugag9pg38">
            <w:r w:rsidRPr="207BDC43" w:rsidR="001279FE">
              <w:rPr>
                <w:rFonts w:ascii="Arial" w:hAnsi="Arial" w:eastAsia="Arial" w:cs="Arial"/>
                <w:color w:val="000000" w:themeColor="text1" w:themeTint="FF" w:themeShade="FF"/>
                <w:sz w:val="22"/>
                <w:szCs w:val="22"/>
              </w:rPr>
              <w:t>5.2 Reflection and Learning from Mrs Mann’s Case</w:t>
            </w:r>
            <w:r>
              <w:tab/>
            </w:r>
          </w:hyperlink>
          <w:r>
            <w:fldChar w:fldCharType="begin"/>
          </w:r>
          <w:r>
            <w:instrText xml:space="preserve"> PAGEREF _umsugag9pg38 \h </w:instrText>
          </w:r>
          <w:r>
            <w:fldChar w:fldCharType="separate"/>
          </w:r>
          <w:r w:rsidRPr="207BDC43" w:rsidR="004E0A4C">
            <w:rPr>
              <w:rFonts w:ascii="Arial" w:hAnsi="Arial" w:eastAsia="Arial" w:cs="Arial"/>
              <w:sz w:val="22"/>
              <w:szCs w:val="22"/>
            </w:rPr>
            <w:t>6</w:t>
          </w:r>
          <w:r>
            <w:fldChar w:fldCharType="end"/>
          </w:r>
        </w:p>
        <w:p w:rsidR="001279FE" w:rsidP="207BDC43" w:rsidRDefault="001279FE" w14:paraId="00000028" w14:textId="77777777">
          <w:pPr>
            <w:widowControl w:val="0"/>
            <w:tabs>
              <w:tab w:val="right" w:leader="dot" w:pos="9360"/>
            </w:tabs>
            <w:spacing w:before="60" w:after="0" w:line="360" w:lineRule="auto"/>
            <w:rPr>
              <w:rFonts w:ascii="Arial" w:hAnsi="Arial" w:eastAsia="Arial" w:cs="Arial"/>
              <w:b w:val="1"/>
              <w:bCs w:val="1"/>
              <w:color w:val="000000"/>
              <w:sz w:val="22"/>
              <w:szCs w:val="22"/>
            </w:rPr>
          </w:pPr>
          <w:hyperlink w:anchor="_bupgbihmd6wq">
            <w:r w:rsidRPr="207BDC43" w:rsidR="001279FE">
              <w:rPr>
                <w:rFonts w:ascii="Arial" w:hAnsi="Arial" w:eastAsia="Arial" w:cs="Arial"/>
                <w:b w:val="1"/>
                <w:bCs w:val="1"/>
                <w:color w:val="000000" w:themeColor="text1" w:themeTint="FF" w:themeShade="FF"/>
                <w:sz w:val="22"/>
                <w:szCs w:val="22"/>
              </w:rPr>
              <w:t>Reference list</w:t>
            </w:r>
            <w:r>
              <w:tab/>
            </w:r>
          </w:hyperlink>
          <w:r>
            <w:fldChar w:fldCharType="begin"/>
          </w:r>
          <w:r>
            <w:instrText xml:space="preserve"> PAGEREF _bupgbihmd6wq \h </w:instrText>
          </w:r>
          <w:r>
            <w:fldChar w:fldCharType="separate"/>
          </w:r>
          <w:r w:rsidRPr="207BDC43" w:rsidR="004E0A4C">
            <w:rPr>
              <w:rFonts w:ascii="Arial" w:hAnsi="Arial" w:eastAsia="Arial" w:cs="Arial"/>
              <w:b w:val="1"/>
              <w:bCs w:val="1"/>
              <w:sz w:val="22"/>
              <w:szCs w:val="22"/>
            </w:rPr>
            <w:t>6</w:t>
          </w:r>
          <w:r>
            <w:fldChar w:fldCharType="end"/>
          </w:r>
          <w:r>
            <w:fldChar w:fldCharType="end"/>
          </w:r>
        </w:p>
      </w:sdtContent>
    </w:sdt>
    <w:p w:rsidR="001279FE" w:rsidRDefault="004E0A4C" w14:paraId="00000029" w14:textId="77777777">
      <w:pPr>
        <w:spacing w:line="360" w:lineRule="auto"/>
        <w:rPr>
          <w:rFonts w:ascii="Arial" w:hAnsi="Arial" w:eastAsia="Arial" w:cs="Arial"/>
          <w:sz w:val="22"/>
          <w:szCs w:val="22"/>
        </w:rPr>
      </w:pPr>
      <w:r w:rsidRPr="207BDC43">
        <w:rPr>
          <w:rFonts w:ascii="Arial" w:hAnsi="Arial" w:eastAsia="Arial" w:cs="Arial"/>
          <w:sz w:val="22"/>
          <w:szCs w:val="22"/>
        </w:rPr>
        <w:br w:type="page"/>
      </w:r>
    </w:p>
    <w:p w:rsidR="00A96E1B" w:rsidP="207BDC43" w:rsidRDefault="00A96E1B" w14:paraId="0C20E797" w14:textId="77777777">
      <w:pPr>
        <w:rPr>
          <w:rFonts w:ascii="Arial" w:hAnsi="Arial" w:eastAsia="Arial" w:cs="Arial"/>
          <w:sz w:val="22"/>
          <w:szCs w:val="22"/>
        </w:rPr>
      </w:pPr>
      <w:bookmarkStart w:name="_aca3a8466ez" w:id="0"/>
      <w:bookmarkEnd w:id="0"/>
    </w:p>
    <w:p w:rsidR="001279FE" w:rsidP="207BDC43" w:rsidRDefault="004E0A4C" w14:paraId="0000002A" w14:textId="2765EC24">
      <w:pPr>
        <w:pStyle w:val="Heading2"/>
        <w:spacing w:line="360" w:lineRule="auto"/>
        <w:jc w:val="both"/>
        <w:rPr>
          <w:rFonts w:ascii="Arial" w:hAnsi="Arial" w:eastAsia="Arial" w:cs="Arial"/>
          <w:b w:val="1"/>
          <w:bCs w:val="1"/>
          <w:color w:val="000000"/>
          <w:sz w:val="22"/>
          <w:szCs w:val="22"/>
        </w:rPr>
      </w:pPr>
      <w:r w:rsidRPr="207BDC43" w:rsidR="004E0A4C">
        <w:rPr>
          <w:rFonts w:ascii="Arial" w:hAnsi="Arial" w:eastAsia="Arial" w:cs="Arial"/>
          <w:b w:val="1"/>
          <w:bCs w:val="1"/>
          <w:color w:val="000000" w:themeColor="text1" w:themeTint="FF" w:themeShade="FF"/>
          <w:sz w:val="22"/>
          <w:szCs w:val="22"/>
        </w:rPr>
        <w:t>1. Introduction</w:t>
      </w:r>
    </w:p>
    <w:p w:rsidR="001279FE" w:rsidP="645615B5" w:rsidRDefault="004E0A4C" w14:paraId="0000002B" w14:textId="3AE7B8FB">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 xml:space="preserve">A case of a patient, </w:t>
      </w:r>
      <w:r w:rsidRPr="207BDC43" w:rsidR="004E0A4C">
        <w:rPr>
          <w:rFonts w:ascii="Arial" w:hAnsi="Arial" w:eastAsia="Arial" w:cs="Arial"/>
          <w:sz w:val="22"/>
          <w:szCs w:val="22"/>
          <w:lang w:val="en-US"/>
        </w:rPr>
        <w:t>Mrs</w:t>
      </w:r>
      <w:r w:rsidRPr="207BDC43" w:rsidR="004E0A4C">
        <w:rPr>
          <w:rFonts w:ascii="Arial" w:hAnsi="Arial" w:eastAsia="Arial" w:cs="Arial"/>
          <w:sz w:val="22"/>
          <w:szCs w:val="22"/>
          <w:lang w:val="en-US"/>
        </w:rPr>
        <w:t xml:space="preserve"> Mann, aged 72, who has undergone a hip replacement operation and </w:t>
      </w:r>
      <w:r w:rsidRPr="207BDC43" w:rsidR="004E0A4C">
        <w:rPr>
          <w:rFonts w:ascii="Arial" w:hAnsi="Arial" w:eastAsia="Arial" w:cs="Arial"/>
          <w:sz w:val="22"/>
          <w:szCs w:val="22"/>
          <w:lang w:val="en-US"/>
        </w:rPr>
        <w:t>realised</w:t>
      </w:r>
      <w:r w:rsidRPr="207BDC43" w:rsidR="004E0A4C">
        <w:rPr>
          <w:rFonts w:ascii="Arial" w:hAnsi="Arial" w:eastAsia="Arial" w:cs="Arial"/>
          <w:sz w:val="22"/>
          <w:szCs w:val="22"/>
          <w:lang w:val="en-US"/>
        </w:rPr>
        <w:t xml:space="preserve"> that she is still undergoing post-operative recovery, is a complicated case of community health and social care, as she has low proficiency in the English language and is therefore dependent on her family to interpret her needs. Her neglect underscores the weaknesses in the </w:t>
      </w:r>
      <w:r w:rsidRPr="207BDC43" w:rsidR="004E0A4C">
        <w:rPr>
          <w:rFonts w:ascii="Arial" w:hAnsi="Arial" w:eastAsia="Arial" w:cs="Arial"/>
          <w:sz w:val="22"/>
          <w:szCs w:val="22"/>
          <w:lang w:val="en-US"/>
        </w:rPr>
        <w:t>system as a whole, with</w:t>
      </w:r>
      <w:r w:rsidRPr="207BDC43" w:rsidR="004E0A4C">
        <w:rPr>
          <w:rFonts w:ascii="Arial" w:hAnsi="Arial" w:eastAsia="Arial" w:cs="Arial"/>
          <w:sz w:val="22"/>
          <w:szCs w:val="22"/>
          <w:lang w:val="en-US"/>
        </w:rPr>
        <w:t xml:space="preserve"> breakdowns in communication, bad administrative </w:t>
      </w:r>
      <w:r w:rsidRPr="207BDC43" w:rsidR="52B2AB28">
        <w:rPr>
          <w:rFonts w:ascii="Arial" w:hAnsi="Arial" w:eastAsia="Arial" w:cs="Arial"/>
          <w:sz w:val="22"/>
          <w:szCs w:val="22"/>
          <w:lang w:val="en-US"/>
        </w:rPr>
        <w:t>management,</w:t>
      </w:r>
      <w:r w:rsidRPr="207BDC43" w:rsidR="004E0A4C">
        <w:rPr>
          <w:rFonts w:ascii="Arial" w:hAnsi="Arial" w:eastAsia="Arial" w:cs="Arial"/>
          <w:sz w:val="22"/>
          <w:szCs w:val="22"/>
          <w:lang w:val="en-US"/>
        </w:rPr>
        <w:t xml:space="preserve"> and dysfunctional teamwork, significantly threatening t</w:t>
      </w:r>
      <w:r w:rsidRPr="207BDC43" w:rsidR="004E0A4C">
        <w:rPr>
          <w:rFonts w:ascii="Arial" w:hAnsi="Arial" w:eastAsia="Arial" w:cs="Arial"/>
          <w:sz w:val="22"/>
          <w:szCs w:val="22"/>
          <w:lang w:val="en-US"/>
        </w:rPr>
        <w:t xml:space="preserve">he </w:t>
      </w:r>
      <w:r w:rsidRPr="207BDC43" w:rsidR="004E0A4C">
        <w:rPr>
          <w:rFonts w:ascii="Arial" w:hAnsi="Arial" w:eastAsia="Arial" w:cs="Arial"/>
          <w:sz w:val="22"/>
          <w:szCs w:val="22"/>
          <w:lang w:val="en-US"/>
        </w:rPr>
        <w:t>whole system</w:t>
      </w:r>
      <w:r w:rsidRPr="207BDC43" w:rsidR="004E0A4C">
        <w:rPr>
          <w:rFonts w:ascii="Arial" w:hAnsi="Arial" w:eastAsia="Arial" w:cs="Arial"/>
          <w:sz w:val="22"/>
          <w:szCs w:val="22"/>
          <w:lang w:val="en-US"/>
        </w:rPr>
        <w:t xml:space="preserve">. It is </w:t>
      </w:r>
      <w:r w:rsidRPr="207BDC43" w:rsidR="004E0A4C">
        <w:rPr>
          <w:rFonts w:ascii="Arial" w:hAnsi="Arial" w:eastAsia="Arial" w:cs="Arial"/>
          <w:sz w:val="22"/>
          <w:szCs w:val="22"/>
          <w:lang w:val="en-US"/>
        </w:rPr>
        <w:t>emphasised</w:t>
      </w:r>
      <w:r w:rsidRPr="207BDC43" w:rsidR="004E0A4C">
        <w:rPr>
          <w:rFonts w:ascii="Arial" w:hAnsi="Arial" w:eastAsia="Arial" w:cs="Arial"/>
          <w:sz w:val="22"/>
          <w:szCs w:val="22"/>
          <w:lang w:val="en-US"/>
        </w:rPr>
        <w:t xml:space="preserve"> that effective communication, especially in the presence of language and cultural barriers, is the primary attribute of patient safety and dignity (</w:t>
      </w:r>
      <w:r w:rsidRPr="207BDC43" w:rsidR="004E0A4C">
        <w:rPr>
          <w:rFonts w:ascii="Arial" w:hAnsi="Arial" w:eastAsia="Arial" w:cs="Arial"/>
          <w:sz w:val="22"/>
          <w:szCs w:val="22"/>
          <w:lang w:val="en-US"/>
        </w:rPr>
        <w:t>Korstjens</w:t>
      </w:r>
      <w:r w:rsidRPr="207BDC43" w:rsidR="004E0A4C">
        <w:rPr>
          <w:rFonts w:ascii="Arial" w:hAnsi="Arial" w:eastAsia="Arial" w:cs="Arial"/>
          <w:sz w:val="22"/>
          <w:szCs w:val="22"/>
          <w:lang w:val="en-US"/>
        </w:rPr>
        <w:t xml:space="preserve">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xml:space="preserve">., 2020). In addition, administrative accuracy, such as prompt and perfect recording, helps to avert clinical oversights, a factor where the failure of </w:t>
      </w:r>
      <w:r w:rsidRPr="207BDC43" w:rsidR="004E0A4C">
        <w:rPr>
          <w:rFonts w:ascii="Arial" w:hAnsi="Arial" w:eastAsia="Arial" w:cs="Arial"/>
          <w:sz w:val="22"/>
          <w:szCs w:val="22"/>
          <w:lang w:val="en-US"/>
        </w:rPr>
        <w:t>Mrs</w:t>
      </w:r>
      <w:r w:rsidRPr="207BDC43" w:rsidR="004E0A4C">
        <w:rPr>
          <w:rFonts w:ascii="Arial" w:hAnsi="Arial" w:eastAsia="Arial" w:cs="Arial"/>
          <w:sz w:val="22"/>
          <w:szCs w:val="22"/>
          <w:lang w:val="en-US"/>
        </w:rPr>
        <w:t xml:space="preserve"> Mann to </w:t>
      </w:r>
      <w:r w:rsidRPr="207BDC43" w:rsidR="004E0A4C">
        <w:rPr>
          <w:rFonts w:ascii="Arial" w:hAnsi="Arial" w:eastAsia="Arial" w:cs="Arial"/>
          <w:sz w:val="22"/>
          <w:szCs w:val="22"/>
          <w:lang w:val="en-US"/>
        </w:rPr>
        <w:t>maintain</w:t>
      </w:r>
      <w:r w:rsidRPr="207BDC43" w:rsidR="004E0A4C">
        <w:rPr>
          <w:rFonts w:ascii="Arial" w:hAnsi="Arial" w:eastAsia="Arial" w:cs="Arial"/>
          <w:sz w:val="22"/>
          <w:szCs w:val="22"/>
          <w:lang w:val="en-US"/>
        </w:rPr>
        <w:t xml:space="preserve"> a proper record resulted in untimely treatment. Interprofessional collaboration is also considered a </w:t>
      </w:r>
      <w:r w:rsidRPr="207BDC43" w:rsidR="004E0A4C">
        <w:rPr>
          <w:rFonts w:ascii="Arial" w:hAnsi="Arial" w:eastAsia="Arial" w:cs="Arial"/>
          <w:sz w:val="22"/>
          <w:szCs w:val="22"/>
          <w:lang w:val="en-US"/>
        </w:rPr>
        <w:t>Key</w:t>
      </w:r>
      <w:r w:rsidRPr="207BDC43" w:rsidR="004E0A4C">
        <w:rPr>
          <w:rFonts w:ascii="Arial" w:hAnsi="Arial" w:eastAsia="Arial" w:cs="Arial"/>
          <w:sz w:val="22"/>
          <w:szCs w:val="22"/>
          <w:lang w:val="en-US"/>
        </w:rPr>
        <w:t xml:space="preserve"> factor to high-quality care, although</w:t>
      </w:r>
      <w:r w:rsidRPr="207BDC43" w:rsidR="004E0A4C">
        <w:rPr>
          <w:rFonts w:ascii="Arial" w:hAnsi="Arial" w:eastAsia="Arial" w:cs="Arial"/>
          <w:sz w:val="22"/>
          <w:szCs w:val="22"/>
          <w:lang w:val="en-US"/>
        </w:rPr>
        <w:t xml:space="preserve"> when they are correctly </w:t>
      </w:r>
      <w:r w:rsidRPr="207BDC43" w:rsidR="004E0A4C">
        <w:rPr>
          <w:rFonts w:ascii="Arial" w:hAnsi="Arial" w:eastAsia="Arial" w:cs="Arial"/>
          <w:sz w:val="22"/>
          <w:szCs w:val="22"/>
          <w:lang w:val="en-US"/>
        </w:rPr>
        <w:t>organised</w:t>
      </w:r>
      <w:r w:rsidRPr="207BDC43" w:rsidR="004E0A4C">
        <w:rPr>
          <w:rFonts w:ascii="Arial" w:hAnsi="Arial" w:eastAsia="Arial" w:cs="Arial"/>
          <w:sz w:val="22"/>
          <w:szCs w:val="22"/>
          <w:lang w:val="en-US"/>
        </w:rPr>
        <w:t xml:space="preserve">, interprofessional collaboration improves continuity and role clarity between the services (Meeuwissen </w:t>
      </w:r>
      <w:r w:rsidRPr="207BDC43" w:rsidR="004E0A4C">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xml:space="preserve">., 2023). The report critically discusses these three pillars, communication, administrative skills, and collaboration, in the context of legislative frameworks, to </w:t>
      </w:r>
      <w:r w:rsidRPr="207BDC43" w:rsidR="004E0A4C">
        <w:rPr>
          <w:rFonts w:ascii="Arial" w:hAnsi="Arial" w:eastAsia="Arial" w:cs="Arial"/>
          <w:sz w:val="22"/>
          <w:szCs w:val="22"/>
          <w:lang w:val="en-US"/>
        </w:rPr>
        <w:t>analyse</w:t>
      </w:r>
      <w:r w:rsidRPr="207BDC43" w:rsidR="004E0A4C">
        <w:rPr>
          <w:rFonts w:ascii="Arial" w:hAnsi="Arial" w:eastAsia="Arial" w:cs="Arial"/>
          <w:sz w:val="22"/>
          <w:szCs w:val="22"/>
          <w:lang w:val="en-US"/>
        </w:rPr>
        <w:t xml:space="preserve"> the best practices to improve the outcomes of community care in a real situation.</w:t>
      </w:r>
    </w:p>
    <w:p w:rsidR="001279FE" w:rsidP="207BDC43" w:rsidRDefault="004E0A4C" w14:paraId="0000002C" w14:textId="77777777">
      <w:pPr>
        <w:pStyle w:val="Heading2"/>
        <w:spacing w:line="360" w:lineRule="auto"/>
        <w:jc w:val="both"/>
        <w:rPr>
          <w:rFonts w:ascii="Arial" w:hAnsi="Arial" w:eastAsia="Arial" w:cs="Arial"/>
          <w:b w:val="1"/>
          <w:bCs w:val="1"/>
          <w:color w:val="000000"/>
          <w:sz w:val="22"/>
          <w:szCs w:val="22"/>
        </w:rPr>
      </w:pPr>
      <w:bookmarkStart w:name="_kjl9vluwru21" w:id="1"/>
      <w:bookmarkEnd w:id="1"/>
      <w:r w:rsidRPr="207BDC43" w:rsidR="004E0A4C">
        <w:rPr>
          <w:rFonts w:ascii="Arial" w:hAnsi="Arial" w:eastAsia="Arial" w:cs="Arial"/>
          <w:b w:val="1"/>
          <w:bCs w:val="1"/>
          <w:color w:val="000000" w:themeColor="text1" w:themeTint="FF" w:themeShade="FF"/>
          <w:sz w:val="22"/>
          <w:szCs w:val="22"/>
        </w:rPr>
        <w:t>2. Section 1: Effective Communication</w:t>
      </w:r>
    </w:p>
    <w:p w:rsidR="001279FE" w:rsidP="207BDC43" w:rsidRDefault="004E0A4C" w14:paraId="0000002D" w14:textId="77777777">
      <w:pPr>
        <w:pStyle w:val="Heading3"/>
        <w:spacing w:line="360" w:lineRule="auto"/>
        <w:jc w:val="both"/>
        <w:rPr>
          <w:rFonts w:ascii="Arial" w:hAnsi="Arial" w:eastAsia="Arial" w:cs="Arial"/>
          <w:b w:val="1"/>
          <w:bCs w:val="1"/>
          <w:color w:val="000000"/>
          <w:sz w:val="22"/>
          <w:szCs w:val="22"/>
        </w:rPr>
      </w:pPr>
      <w:bookmarkStart w:name="_nuiu5tkalwxg" w:id="2"/>
      <w:bookmarkEnd w:id="2"/>
      <w:r w:rsidRPr="207BDC43" w:rsidR="004E0A4C">
        <w:rPr>
          <w:rFonts w:ascii="Arial" w:hAnsi="Arial" w:eastAsia="Arial" w:cs="Arial"/>
          <w:b w:val="1"/>
          <w:bCs w:val="1"/>
          <w:color w:val="000000" w:themeColor="text1" w:themeTint="FF" w:themeShade="FF"/>
          <w:sz w:val="22"/>
          <w:szCs w:val="22"/>
        </w:rPr>
        <w:t>2.1 Importance of Communication in Health &amp; Social Care</w:t>
      </w:r>
    </w:p>
    <w:p w:rsidR="001279FE" w:rsidP="5F284CCA" w:rsidRDefault="004E0A4C" w14:paraId="0000002E" w14:textId="1DC8FE17">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Best practice communication can be employed to provide high-quality patient-</w:t>
      </w:r>
      <w:r w:rsidRPr="207BDC43" w:rsidR="004E0A4C">
        <w:rPr>
          <w:rFonts w:ascii="Arial" w:hAnsi="Arial" w:eastAsia="Arial" w:cs="Arial"/>
          <w:sz w:val="22"/>
          <w:szCs w:val="22"/>
          <w:lang w:val="en-US"/>
        </w:rPr>
        <w:t>centred</w:t>
      </w:r>
      <w:r w:rsidRPr="207BDC43" w:rsidR="004E0A4C">
        <w:rPr>
          <w:rFonts w:ascii="Arial" w:hAnsi="Arial" w:eastAsia="Arial" w:cs="Arial"/>
          <w:sz w:val="22"/>
          <w:szCs w:val="22"/>
          <w:lang w:val="en-US"/>
        </w:rPr>
        <w:t xml:space="preserve"> care because it promotes understanding, </w:t>
      </w:r>
      <w:r w:rsidRPr="207BDC43" w:rsidR="202B05E6">
        <w:rPr>
          <w:rFonts w:ascii="Arial" w:hAnsi="Arial" w:eastAsia="Arial" w:cs="Arial"/>
          <w:sz w:val="22"/>
          <w:szCs w:val="22"/>
          <w:lang w:val="en-US"/>
        </w:rPr>
        <w:t>minimizes</w:t>
      </w:r>
      <w:r w:rsidRPr="207BDC43" w:rsidR="004E0A4C">
        <w:rPr>
          <w:rFonts w:ascii="Arial" w:hAnsi="Arial" w:eastAsia="Arial" w:cs="Arial"/>
          <w:sz w:val="22"/>
          <w:szCs w:val="22"/>
          <w:lang w:val="en-US"/>
        </w:rPr>
        <w:t xml:space="preserve"> clinical mistakes, and intensifies therapeutic bonds. The needs-based approach to verbal, non-verbal, and written communication skills should be based on inclusion and consideration of cultural and linguistic diversity (Towle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2024). The person-</w:t>
      </w:r>
      <w:r w:rsidRPr="207BDC43" w:rsidR="004E0A4C">
        <w:rPr>
          <w:rFonts w:ascii="Arial" w:hAnsi="Arial" w:eastAsia="Arial" w:cs="Arial"/>
          <w:sz w:val="22"/>
          <w:szCs w:val="22"/>
          <w:lang w:val="en-US"/>
        </w:rPr>
        <w:t>centredness</w:t>
      </w:r>
      <w:r w:rsidRPr="207BDC43" w:rsidR="004E0A4C">
        <w:rPr>
          <w:rFonts w:ascii="Arial" w:hAnsi="Arial" w:eastAsia="Arial" w:cs="Arial"/>
          <w:sz w:val="22"/>
          <w:szCs w:val="22"/>
          <w:lang w:val="en-US"/>
        </w:rPr>
        <w:t xml:space="preserve"> of communication is critical and cannot be achieved in the context of dementia or limited-English usage, as it risks being misunderstood or socially isolated, thereby </w:t>
      </w:r>
      <w:r w:rsidRPr="207BDC43" w:rsidR="004E0A4C">
        <w:rPr>
          <w:rFonts w:ascii="Arial" w:hAnsi="Arial" w:eastAsia="Arial" w:cs="Arial"/>
          <w:sz w:val="22"/>
          <w:szCs w:val="22"/>
          <w:lang w:val="en-US"/>
        </w:rPr>
        <w:t>impacting</w:t>
      </w:r>
      <w:r w:rsidRPr="207BDC43" w:rsidR="004E0A4C">
        <w:rPr>
          <w:rFonts w:ascii="Arial" w:hAnsi="Arial" w:eastAsia="Arial" w:cs="Arial"/>
          <w:sz w:val="22"/>
          <w:szCs w:val="22"/>
          <w:lang w:val="en-US"/>
        </w:rPr>
        <w:t xml:space="preserve"> the results (Ansaldo, Rossi and Yves, 2024). Clarity and coherence are also needed in written records and care plans to help multidisciplinary teams make decisions (Braybrook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xml:space="preserve">., 2022). The lack of evidence also </w:t>
      </w:r>
      <w:r w:rsidRPr="207BDC43" w:rsidR="004E0A4C">
        <w:rPr>
          <w:rFonts w:ascii="Arial" w:hAnsi="Arial" w:eastAsia="Arial" w:cs="Arial"/>
          <w:sz w:val="22"/>
          <w:szCs w:val="22"/>
          <w:lang w:val="en-US"/>
        </w:rPr>
        <w:t>validates</w:t>
      </w:r>
      <w:r w:rsidRPr="207BDC43" w:rsidR="004E0A4C">
        <w:rPr>
          <w:rFonts w:ascii="Arial" w:hAnsi="Arial" w:eastAsia="Arial" w:cs="Arial"/>
          <w:sz w:val="22"/>
          <w:szCs w:val="22"/>
          <w:lang w:val="en-US"/>
        </w:rPr>
        <w:t xml:space="preserve"> that the communication deficiencies, which are mostly non-verbal, resul</w:t>
      </w:r>
      <w:r w:rsidRPr="207BDC43" w:rsidR="004E0A4C">
        <w:rPr>
          <w:rFonts w:ascii="Arial" w:hAnsi="Arial" w:eastAsia="Arial" w:cs="Arial"/>
          <w:sz w:val="22"/>
          <w:szCs w:val="22"/>
          <w:lang w:val="en-US"/>
        </w:rPr>
        <w:t xml:space="preserve">t in emotional distress and less trust of patients (Taylor, </w:t>
      </w:r>
      <w:r w:rsidRPr="207BDC43" w:rsidR="004E0A4C">
        <w:rPr>
          <w:rFonts w:ascii="Arial" w:hAnsi="Arial" w:eastAsia="Arial" w:cs="Arial"/>
          <w:sz w:val="22"/>
          <w:szCs w:val="22"/>
          <w:lang w:val="en-US"/>
        </w:rPr>
        <w:t>Bleiker</w:t>
      </w:r>
      <w:r w:rsidRPr="207BDC43" w:rsidR="004E0A4C">
        <w:rPr>
          <w:rFonts w:ascii="Arial" w:hAnsi="Arial" w:eastAsia="Arial" w:cs="Arial"/>
          <w:sz w:val="22"/>
          <w:szCs w:val="22"/>
          <w:lang w:val="en-US"/>
        </w:rPr>
        <w:t xml:space="preserve"> and Hodgson, 2021). Consequently, quality practices of communication are not incidental; they are ethical and professional requirements of both providing care standards and legislation.</w:t>
      </w:r>
    </w:p>
    <w:p w:rsidR="001279FE" w:rsidP="207BDC43" w:rsidRDefault="004E0A4C" w14:paraId="0000002F" w14:textId="77777777">
      <w:pPr>
        <w:pStyle w:val="Heading3"/>
        <w:spacing w:line="360" w:lineRule="auto"/>
        <w:jc w:val="both"/>
        <w:rPr>
          <w:rFonts w:ascii="Arial" w:hAnsi="Arial" w:eastAsia="Arial" w:cs="Arial"/>
          <w:b w:val="1"/>
          <w:bCs w:val="1"/>
          <w:color w:val="000000"/>
          <w:sz w:val="22"/>
          <w:szCs w:val="22"/>
        </w:rPr>
      </w:pPr>
      <w:bookmarkStart w:name="_8enstqjrmvam" w:id="3"/>
      <w:bookmarkEnd w:id="3"/>
      <w:r w:rsidRPr="207BDC43" w:rsidR="004E0A4C">
        <w:rPr>
          <w:rFonts w:ascii="Arial" w:hAnsi="Arial" w:eastAsia="Arial" w:cs="Arial"/>
          <w:b w:val="1"/>
          <w:bCs w:val="1"/>
          <w:color w:val="000000" w:themeColor="text1" w:themeTint="FF" w:themeShade="FF"/>
          <w:sz w:val="22"/>
          <w:szCs w:val="22"/>
        </w:rPr>
        <w:t>2.2 Addressing Language Barriers and Cultural Sensitivity</w:t>
      </w:r>
    </w:p>
    <w:p w:rsidR="001279FE" w:rsidP="5F284CCA" w:rsidRDefault="004E0A4C" w14:paraId="00000030" w14:textId="77777777">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The poor English and Urdu language of Mrs</w:t>
      </w:r>
      <w:r w:rsidRPr="207BDC43" w:rsidR="004E0A4C">
        <w:rPr>
          <w:rFonts w:ascii="Arial" w:hAnsi="Arial" w:eastAsia="Arial" w:cs="Arial"/>
          <w:sz w:val="22"/>
          <w:szCs w:val="22"/>
          <w:lang w:val="en-US"/>
        </w:rPr>
        <w:t xml:space="preserve"> Mann provide more risk of miscommunication and care. Linguistic barrier not only has an influence on dignity and safety, but it also lacks interpreters. Relations as an interpreter change the burden and anonymity. Patient disengagement may occur due to cultural insensitivity, such as the lack of awareness of gender, religious needs, etc. Culturally safe care can be defined as respect and knowledge of values to enhance equity. Poor levels of cultural competency exacerbate health disparities, particularly in</w:t>
      </w:r>
      <w:r w:rsidRPr="207BDC43" w:rsidR="004E0A4C">
        <w:rPr>
          <w:rFonts w:ascii="Arial" w:hAnsi="Arial" w:eastAsia="Arial" w:cs="Arial"/>
          <w:sz w:val="22"/>
          <w:szCs w:val="22"/>
          <w:lang w:val="en-US"/>
        </w:rPr>
        <w:t xml:space="preserve"> older people with low levels of literacy. Language and cultural barriers have to be overcome as a human rights duty in health and social care.</w:t>
      </w:r>
    </w:p>
    <w:p w:rsidR="001279FE" w:rsidP="207BDC43" w:rsidRDefault="004E0A4C" w14:paraId="00000031" w14:textId="77777777">
      <w:pPr>
        <w:pStyle w:val="Heading3"/>
        <w:spacing w:line="360" w:lineRule="auto"/>
        <w:jc w:val="both"/>
        <w:rPr>
          <w:rFonts w:ascii="Arial" w:hAnsi="Arial" w:eastAsia="Arial" w:cs="Arial"/>
          <w:b w:val="1"/>
          <w:bCs w:val="1"/>
          <w:color w:val="000000"/>
          <w:sz w:val="22"/>
          <w:szCs w:val="22"/>
        </w:rPr>
      </w:pPr>
      <w:bookmarkStart w:name="_iv7qryl67ul0" w:id="4"/>
      <w:bookmarkEnd w:id="4"/>
      <w:r w:rsidRPr="207BDC43" w:rsidR="004E0A4C">
        <w:rPr>
          <w:rFonts w:ascii="Arial" w:hAnsi="Arial" w:eastAsia="Arial" w:cs="Arial"/>
          <w:b w:val="1"/>
          <w:bCs w:val="1"/>
          <w:color w:val="000000" w:themeColor="text1" w:themeTint="FF" w:themeShade="FF"/>
          <w:sz w:val="22"/>
          <w:szCs w:val="22"/>
        </w:rPr>
        <w:t>2.3 Communication Models and the Equality Act 2010</w:t>
      </w:r>
    </w:p>
    <w:p w:rsidR="001279FE" w:rsidP="5F284CCA" w:rsidRDefault="004E0A4C" w14:paraId="00000032" w14:textId="076FC149">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 xml:space="preserve">The transactional model of communication, which sees communication as a dynamic and bi-directional process that is affected by context and feedback, can be applied especially to the care of </w:t>
      </w:r>
      <w:r w:rsidRPr="207BDC43" w:rsidR="004E0A4C">
        <w:rPr>
          <w:rFonts w:ascii="Arial" w:hAnsi="Arial" w:eastAsia="Arial" w:cs="Arial"/>
          <w:sz w:val="22"/>
          <w:szCs w:val="22"/>
          <w:lang w:val="en-US"/>
        </w:rPr>
        <w:t>Mrs</w:t>
      </w:r>
      <w:r w:rsidRPr="207BDC43" w:rsidR="004E0A4C">
        <w:rPr>
          <w:rFonts w:ascii="Arial" w:hAnsi="Arial" w:eastAsia="Arial" w:cs="Arial"/>
          <w:sz w:val="22"/>
          <w:szCs w:val="22"/>
          <w:lang w:val="en-US"/>
        </w:rPr>
        <w:t xml:space="preserve"> Mann</w:t>
      </w:r>
      <w:r w:rsidRPr="207BDC43" w:rsidR="004E0A4C">
        <w:rPr>
          <w:rFonts w:ascii="Arial" w:hAnsi="Arial" w:eastAsia="Arial" w:cs="Arial"/>
          <w:sz w:val="22"/>
          <w:szCs w:val="22"/>
          <w:lang w:val="en-US"/>
        </w:rPr>
        <w:t xml:space="preserve">. The model is used to </w:t>
      </w:r>
      <w:r w:rsidRPr="207BDC43" w:rsidR="633024A6">
        <w:rPr>
          <w:rFonts w:ascii="Arial" w:hAnsi="Arial" w:eastAsia="Arial" w:cs="Arial"/>
          <w:sz w:val="22"/>
          <w:szCs w:val="22"/>
          <w:lang w:val="en-US"/>
        </w:rPr>
        <w:t>emphasize</w:t>
      </w:r>
      <w:r w:rsidRPr="207BDC43" w:rsidR="004E0A4C">
        <w:rPr>
          <w:rFonts w:ascii="Arial" w:hAnsi="Arial" w:eastAsia="Arial" w:cs="Arial"/>
          <w:sz w:val="22"/>
          <w:szCs w:val="22"/>
          <w:lang w:val="en-US"/>
        </w:rPr>
        <w:t xml:space="preserve"> the way language, cultural norms, and nature influence patient-professional interactions. This model, to a person such as </w:t>
      </w:r>
      <w:r w:rsidRPr="207BDC43" w:rsidR="004E0A4C">
        <w:rPr>
          <w:rFonts w:ascii="Arial" w:hAnsi="Arial" w:eastAsia="Arial" w:cs="Arial"/>
          <w:sz w:val="22"/>
          <w:szCs w:val="22"/>
          <w:lang w:val="en-US"/>
        </w:rPr>
        <w:t>Mrs</w:t>
      </w:r>
      <w:r w:rsidRPr="207BDC43" w:rsidR="004E0A4C">
        <w:rPr>
          <w:rFonts w:ascii="Arial" w:hAnsi="Arial" w:eastAsia="Arial" w:cs="Arial"/>
          <w:sz w:val="22"/>
          <w:szCs w:val="22"/>
          <w:lang w:val="en-US"/>
        </w:rPr>
        <w:t xml:space="preserve"> Mann (speaking Urdu and experiencing linguistic pyramids of the system), can </w:t>
      </w:r>
      <w:r w:rsidRPr="207BDC43" w:rsidR="004E0A4C">
        <w:rPr>
          <w:rFonts w:ascii="Arial" w:hAnsi="Arial" w:eastAsia="Arial" w:cs="Arial"/>
          <w:sz w:val="22"/>
          <w:szCs w:val="22"/>
          <w:lang w:val="en-US"/>
        </w:rPr>
        <w:t>facilitate</w:t>
      </w:r>
      <w:r w:rsidRPr="207BDC43" w:rsidR="004E0A4C">
        <w:rPr>
          <w:rFonts w:ascii="Arial" w:hAnsi="Arial" w:eastAsia="Arial" w:cs="Arial"/>
          <w:sz w:val="22"/>
          <w:szCs w:val="22"/>
          <w:lang w:val="en-US"/>
        </w:rPr>
        <w:t xml:space="preserve"> the application of feedback loops through interpreters to enable co</w:t>
      </w:r>
      <w:r w:rsidRPr="207BDC43" w:rsidR="004E0A4C">
        <w:rPr>
          <w:rFonts w:ascii="Arial" w:hAnsi="Arial" w:eastAsia="Arial" w:cs="Arial"/>
          <w:sz w:val="22"/>
          <w:szCs w:val="22"/>
          <w:lang w:val="en-US"/>
        </w:rPr>
        <w:t xml:space="preserve">mmunication and </w:t>
      </w:r>
      <w:r w:rsidRPr="207BDC43" w:rsidR="004E0A4C">
        <w:rPr>
          <w:rFonts w:ascii="Arial" w:hAnsi="Arial" w:eastAsia="Arial" w:cs="Arial"/>
          <w:sz w:val="22"/>
          <w:szCs w:val="22"/>
          <w:lang w:val="en-US"/>
        </w:rPr>
        <w:t>instil</w:t>
      </w:r>
      <w:r w:rsidRPr="207BDC43" w:rsidR="004E0A4C">
        <w:rPr>
          <w:rFonts w:ascii="Arial" w:hAnsi="Arial" w:eastAsia="Arial" w:cs="Arial"/>
          <w:sz w:val="22"/>
          <w:szCs w:val="22"/>
          <w:lang w:val="en-US"/>
        </w:rPr>
        <w:t xml:space="preserve"> trust (Williamson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xml:space="preserve">., 2025). The Equality Act 2010 requires reasonable adjustments to be made to eradicate discrimination based on language or ethnicity, </w:t>
      </w:r>
      <w:r w:rsidRPr="207BDC43" w:rsidR="004E0A4C">
        <w:rPr>
          <w:rFonts w:ascii="Arial" w:hAnsi="Arial" w:eastAsia="Arial" w:cs="Arial"/>
          <w:sz w:val="22"/>
          <w:szCs w:val="22"/>
          <w:lang w:val="en-US"/>
        </w:rPr>
        <w:t>e.g.</w:t>
      </w:r>
      <w:r w:rsidRPr="207BDC43" w:rsidR="004E0A4C">
        <w:rPr>
          <w:rFonts w:ascii="Arial" w:hAnsi="Arial" w:eastAsia="Arial" w:cs="Arial"/>
          <w:sz w:val="22"/>
          <w:szCs w:val="22"/>
          <w:lang w:val="en-US"/>
        </w:rPr>
        <w:t xml:space="preserve"> translation services. Avoiding this responsibility </w:t>
      </w:r>
      <w:r w:rsidRPr="207BDC43" w:rsidR="004E0A4C">
        <w:rPr>
          <w:rFonts w:ascii="Arial" w:hAnsi="Arial" w:eastAsia="Arial" w:cs="Arial"/>
          <w:sz w:val="22"/>
          <w:szCs w:val="22"/>
          <w:lang w:val="en-US"/>
        </w:rPr>
        <w:t>constitutes not only</w:t>
      </w:r>
      <w:r w:rsidRPr="207BDC43" w:rsidR="004E0A4C">
        <w:rPr>
          <w:rFonts w:ascii="Arial" w:hAnsi="Arial" w:eastAsia="Arial" w:cs="Arial"/>
          <w:sz w:val="22"/>
          <w:szCs w:val="22"/>
          <w:lang w:val="en-US"/>
        </w:rPr>
        <w:t xml:space="preserve"> the violation of the law but also contributes to the inequality in health care outcomes, particularly with minority-language speakers (Bansal, </w:t>
      </w:r>
      <w:r w:rsidRPr="207BDC43" w:rsidR="004E0A4C">
        <w:rPr>
          <w:rFonts w:ascii="Arial" w:hAnsi="Arial" w:eastAsia="Arial" w:cs="Arial"/>
          <w:sz w:val="22"/>
          <w:szCs w:val="22"/>
          <w:lang w:val="en-US"/>
        </w:rPr>
        <w:t>Bhatia</w:t>
      </w:r>
      <w:r w:rsidRPr="207BDC43" w:rsidR="004E0A4C">
        <w:rPr>
          <w:rFonts w:ascii="Arial" w:hAnsi="Arial" w:eastAsia="Arial" w:cs="Arial"/>
          <w:sz w:val="22"/>
          <w:szCs w:val="22"/>
          <w:lang w:val="en-US"/>
        </w:rPr>
        <w:t xml:space="preserve"> and Lekshmi Santhosh, 2024). Therefore, to make person-</w:t>
      </w:r>
      <w:r w:rsidRPr="207BDC43" w:rsidR="004E0A4C">
        <w:rPr>
          <w:rFonts w:ascii="Arial" w:hAnsi="Arial" w:eastAsia="Arial" w:cs="Arial"/>
          <w:sz w:val="22"/>
          <w:szCs w:val="22"/>
          <w:lang w:val="en-US"/>
        </w:rPr>
        <w:t>centred</w:t>
      </w:r>
      <w:r w:rsidRPr="207BDC43" w:rsidR="004E0A4C">
        <w:rPr>
          <w:rFonts w:ascii="Arial" w:hAnsi="Arial" w:eastAsia="Arial" w:cs="Arial"/>
          <w:sz w:val="22"/>
          <w:szCs w:val="22"/>
          <w:lang w:val="en-US"/>
        </w:rPr>
        <w:t xml:space="preserve"> care fair and </w:t>
      </w:r>
      <w:r w:rsidRPr="207BDC43" w:rsidR="004E0A4C">
        <w:rPr>
          <w:rFonts w:ascii="Arial" w:hAnsi="Arial" w:eastAsia="Arial" w:cs="Arial"/>
          <w:sz w:val="22"/>
          <w:szCs w:val="22"/>
          <w:lang w:val="en-US"/>
        </w:rPr>
        <w:t>equitable</w:t>
      </w:r>
      <w:r w:rsidRPr="207BDC43" w:rsidR="004E0A4C">
        <w:rPr>
          <w:rFonts w:ascii="Arial" w:hAnsi="Arial" w:eastAsia="Arial" w:cs="Arial"/>
          <w:sz w:val="22"/>
          <w:szCs w:val="22"/>
          <w:lang w:val="en-US"/>
        </w:rPr>
        <w:t>, it is inevitable</w:t>
      </w:r>
      <w:r w:rsidRPr="207BDC43" w:rsidR="004E0A4C">
        <w:rPr>
          <w:rFonts w:ascii="Arial" w:hAnsi="Arial" w:eastAsia="Arial" w:cs="Arial"/>
          <w:sz w:val="22"/>
          <w:szCs w:val="22"/>
          <w:lang w:val="en-US"/>
        </w:rPr>
        <w:t xml:space="preserve"> to incorporate inclusive models of communication and legal requirements.</w:t>
      </w:r>
    </w:p>
    <w:p w:rsidR="001279FE" w:rsidP="207BDC43" w:rsidRDefault="004E0A4C" w14:paraId="00000033" w14:textId="77777777">
      <w:pPr>
        <w:pStyle w:val="Heading2"/>
        <w:spacing w:line="360" w:lineRule="auto"/>
        <w:jc w:val="both"/>
        <w:rPr>
          <w:rFonts w:ascii="Arial" w:hAnsi="Arial" w:eastAsia="Arial" w:cs="Arial"/>
          <w:b w:val="1"/>
          <w:bCs w:val="1"/>
          <w:color w:val="000000"/>
          <w:sz w:val="22"/>
          <w:szCs w:val="22"/>
        </w:rPr>
      </w:pPr>
      <w:bookmarkStart w:name="_pd1ozvobr1a5" w:id="5"/>
      <w:bookmarkEnd w:id="5"/>
      <w:r w:rsidRPr="207BDC43" w:rsidR="004E0A4C">
        <w:rPr>
          <w:rFonts w:ascii="Arial" w:hAnsi="Arial" w:eastAsia="Arial" w:cs="Arial"/>
          <w:b w:val="1"/>
          <w:bCs w:val="1"/>
          <w:color w:val="000000" w:themeColor="text1" w:themeTint="FF" w:themeShade="FF"/>
          <w:sz w:val="22"/>
          <w:szCs w:val="22"/>
        </w:rPr>
        <w:t>Section 2: Administrative Skills &amp; Record Keeping</w:t>
      </w:r>
    </w:p>
    <w:p w:rsidR="001279FE" w:rsidP="207BDC43" w:rsidRDefault="004E0A4C" w14:paraId="00000034" w14:textId="77777777">
      <w:pPr>
        <w:pStyle w:val="Heading3"/>
        <w:spacing w:line="360" w:lineRule="auto"/>
        <w:jc w:val="both"/>
        <w:rPr>
          <w:rFonts w:ascii="Arial" w:hAnsi="Arial" w:eastAsia="Arial" w:cs="Arial"/>
          <w:b w:val="1"/>
          <w:bCs w:val="1"/>
          <w:color w:val="000000"/>
          <w:sz w:val="22"/>
          <w:szCs w:val="22"/>
        </w:rPr>
      </w:pPr>
      <w:bookmarkStart w:name="_6c4obq9g45cv" w:id="6"/>
      <w:bookmarkEnd w:id="6"/>
      <w:r w:rsidRPr="207BDC43" w:rsidR="004E0A4C">
        <w:rPr>
          <w:rFonts w:ascii="Arial" w:hAnsi="Arial" w:eastAsia="Arial" w:cs="Arial"/>
          <w:b w:val="1"/>
          <w:bCs w:val="1"/>
          <w:color w:val="000000" w:themeColor="text1" w:themeTint="FF" w:themeShade="FF"/>
          <w:sz w:val="22"/>
          <w:szCs w:val="22"/>
        </w:rPr>
        <w:t>3.1 Importance of Accurate Record Keeping in Health &amp; Social Care</w:t>
      </w:r>
    </w:p>
    <w:p w:rsidR="001279FE" w:rsidP="5F284CCA" w:rsidRDefault="004E0A4C" w14:paraId="00000035" w14:textId="77777777">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With correct record keeping, all the aspects of care, including observations, medication, and preferences, which are essential in safety and continuity, will be documented systematically. In the case of Mrs Mann, the delay in medication adjustments is revealed by inadequate records and a threat to the quality of care. Health updates, care plans, changes in medications, and medication incidences should be included in records to ensure successful collaboration of multiple agencies and reduce risks. It has bee</w:t>
      </w:r>
      <w:r w:rsidRPr="207BDC43" w:rsidR="004E0A4C">
        <w:rPr>
          <w:rFonts w:ascii="Arial" w:hAnsi="Arial" w:eastAsia="Arial" w:cs="Arial"/>
          <w:sz w:val="22"/>
          <w:szCs w:val="22"/>
          <w:lang w:val="en-US"/>
        </w:rPr>
        <w:t xml:space="preserve">n demonstrated that literature reflects incomplete or delayed entries augment errors and interrupt chronic care and especially in older adults requiring </w:t>
      </w:r>
      <w:r w:rsidRPr="207BDC43" w:rsidR="004E0A4C">
        <w:rPr>
          <w:rFonts w:ascii="Arial" w:hAnsi="Arial" w:eastAsia="Arial" w:cs="Arial"/>
          <w:sz w:val="22"/>
          <w:szCs w:val="22"/>
          <w:lang w:val="en-US"/>
        </w:rPr>
        <w:t>coordinated assistance. Regular documentation creates a common ground that ensures safety, as well as the preservation of well-being and adherence to standards such as CQC and NMC.</w:t>
      </w:r>
    </w:p>
    <w:p w:rsidR="001279FE" w:rsidP="207BDC43" w:rsidRDefault="004E0A4C" w14:paraId="00000036" w14:textId="77777777">
      <w:pPr>
        <w:pStyle w:val="Heading3"/>
        <w:spacing w:line="360" w:lineRule="auto"/>
        <w:jc w:val="both"/>
        <w:rPr>
          <w:rFonts w:ascii="Arial" w:hAnsi="Arial" w:eastAsia="Arial" w:cs="Arial"/>
          <w:b w:val="1"/>
          <w:bCs w:val="1"/>
          <w:color w:val="000000"/>
          <w:sz w:val="22"/>
          <w:szCs w:val="22"/>
        </w:rPr>
      </w:pPr>
      <w:bookmarkStart w:name="_gi9r38xcgr1f" w:id="7"/>
      <w:bookmarkEnd w:id="7"/>
      <w:r w:rsidRPr="207BDC43" w:rsidR="004E0A4C">
        <w:rPr>
          <w:rFonts w:ascii="Arial" w:hAnsi="Arial" w:eastAsia="Arial" w:cs="Arial"/>
          <w:b w:val="1"/>
          <w:bCs w:val="1"/>
          <w:color w:val="000000" w:themeColor="text1" w:themeTint="FF" w:themeShade="FF"/>
          <w:sz w:val="22"/>
          <w:szCs w:val="22"/>
        </w:rPr>
        <w:t>3.2 Legal &amp; Ethical Frameworks: Data Protection and Confidentiality</w:t>
      </w:r>
    </w:p>
    <w:p w:rsidR="001279FE" w:rsidP="5F284CCA" w:rsidRDefault="004E0A4C" w14:paraId="00000037" w14:textId="72F4F89D">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Under the Data Protection Act 2018, health professionals ought to collect the data of subjects personally, fairly, and safely, particularly when the information is sensitive, as seen in the case of Mrs</w:t>
      </w:r>
      <w:r w:rsidRPr="207BDC43" w:rsidR="004E0A4C">
        <w:rPr>
          <w:rFonts w:ascii="Arial" w:hAnsi="Arial" w:eastAsia="Arial" w:cs="Arial"/>
          <w:sz w:val="22"/>
          <w:szCs w:val="22"/>
          <w:lang w:val="en-US"/>
        </w:rPr>
        <w:t xml:space="preserve"> Mann. The Act focuses on accountability, in which practitioners are obliged to prove that they are in compliance (Lee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xml:space="preserve">., 2021). Additional requirements of the Caldicott Principles are to justify the access to identifiable data, using minimal information that is required, and preserving confidentiality (Norcliffe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2021). This system helps to keep her data safe as it is only accessed by authorised personnel to protect her dignity and autonomy. Breaking these obligations destroys trust and may res</w:t>
      </w:r>
      <w:r w:rsidRPr="207BDC43" w:rsidR="004E0A4C">
        <w:rPr>
          <w:rFonts w:ascii="Arial" w:hAnsi="Arial" w:eastAsia="Arial" w:cs="Arial"/>
          <w:sz w:val="22"/>
          <w:szCs w:val="22"/>
          <w:lang w:val="en-US"/>
        </w:rPr>
        <w:t>ult in discriminatory acts or care that is unsafe, particularly to vulnerable service users.</w:t>
      </w:r>
    </w:p>
    <w:p w:rsidR="001279FE" w:rsidP="207BDC43" w:rsidRDefault="004E0A4C" w14:paraId="00000038" w14:textId="77777777">
      <w:pPr>
        <w:pStyle w:val="Heading3"/>
        <w:spacing w:line="360" w:lineRule="auto"/>
        <w:jc w:val="both"/>
        <w:rPr>
          <w:rFonts w:ascii="Arial" w:hAnsi="Arial" w:eastAsia="Arial" w:cs="Arial"/>
          <w:b w:val="1"/>
          <w:bCs w:val="1"/>
          <w:color w:val="000000"/>
          <w:sz w:val="22"/>
          <w:szCs w:val="22"/>
        </w:rPr>
      </w:pPr>
      <w:bookmarkStart w:name="_fwawzzm0i3p9" w:id="8"/>
      <w:bookmarkEnd w:id="8"/>
      <w:r w:rsidRPr="207BDC43" w:rsidR="004E0A4C">
        <w:rPr>
          <w:rFonts w:ascii="Arial" w:hAnsi="Arial" w:eastAsia="Arial" w:cs="Arial"/>
          <w:b w:val="1"/>
          <w:bCs w:val="1"/>
          <w:color w:val="000000" w:themeColor="text1" w:themeTint="FF" w:themeShade="FF"/>
          <w:sz w:val="22"/>
          <w:szCs w:val="22"/>
        </w:rPr>
        <w:t>3.3 Frameworks and Standards (NMC, CQC)</w:t>
      </w:r>
    </w:p>
    <w:p w:rsidR="001279FE" w:rsidP="5F284CCA" w:rsidRDefault="004E0A4C" w14:paraId="00000039" w14:textId="51D8C549">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 xml:space="preserve">As a professional requirement to keep patients safe and accountable, the Nursing and Midwifery Council (NMC) Code requires registrants to ensure respondents have accurate, clear and timely records. Inadequate documentation may result in legal ramifications, a lag in care, and dysfunctional inter-team communications directly influencing patients, such as Mrs Mann, who need regular assistance with medications and moving around (Moorley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2025). Equally, Care Quality Commission (CQC) standards place strong emphasis on information governance that requires providers to ensure security in the recording and sharing of information to deliver safe and person-centred care. Documentation is a regulatory and an ethical responsibility- any failure to document changes and the adjustments to the medication or care requirements of Mrs Mann is a breach of these requirements. These frameworks all support the idea that ensuring quality records is an</w:t>
      </w:r>
      <w:r w:rsidRPr="207BDC43" w:rsidR="004E0A4C">
        <w:rPr>
          <w:rFonts w:ascii="Arial" w:hAnsi="Arial" w:eastAsia="Arial" w:cs="Arial"/>
          <w:sz w:val="22"/>
          <w:szCs w:val="22"/>
          <w:lang w:val="en-US"/>
        </w:rPr>
        <w:t xml:space="preserve"> essential aspect of professional responsibility, which protects the service users and guarantees systemic transparency.</w:t>
      </w:r>
    </w:p>
    <w:p w:rsidR="001279FE" w:rsidP="207BDC43" w:rsidRDefault="004E0A4C" w14:paraId="0000003A" w14:textId="77777777">
      <w:pPr>
        <w:pStyle w:val="Heading2"/>
        <w:spacing w:line="360" w:lineRule="auto"/>
        <w:jc w:val="both"/>
        <w:rPr>
          <w:rFonts w:ascii="Arial" w:hAnsi="Arial" w:eastAsia="Arial" w:cs="Arial"/>
          <w:b w:val="1"/>
          <w:bCs w:val="1"/>
          <w:color w:val="000000"/>
          <w:sz w:val="22"/>
          <w:szCs w:val="22"/>
        </w:rPr>
      </w:pPr>
      <w:bookmarkStart w:name="_fpftqpu2lqdx" w:id="9"/>
      <w:bookmarkEnd w:id="9"/>
      <w:r w:rsidRPr="207BDC43" w:rsidR="004E0A4C">
        <w:rPr>
          <w:rFonts w:ascii="Arial" w:hAnsi="Arial" w:eastAsia="Arial" w:cs="Arial"/>
          <w:b w:val="1"/>
          <w:bCs w:val="1"/>
          <w:color w:val="000000" w:themeColor="text1" w:themeTint="FF" w:themeShade="FF"/>
          <w:sz w:val="22"/>
          <w:szCs w:val="22"/>
        </w:rPr>
        <w:t>4. Section 3: Collaborative Working</w:t>
      </w:r>
    </w:p>
    <w:p w:rsidR="001279FE" w:rsidP="207BDC43" w:rsidRDefault="004E0A4C" w14:paraId="0000003B" w14:textId="77777777">
      <w:pPr>
        <w:pStyle w:val="Heading3"/>
        <w:spacing w:line="360" w:lineRule="auto"/>
        <w:jc w:val="both"/>
        <w:rPr>
          <w:rFonts w:ascii="Arial" w:hAnsi="Arial" w:eastAsia="Arial" w:cs="Arial"/>
          <w:b w:val="1"/>
          <w:bCs w:val="1"/>
          <w:color w:val="000000"/>
          <w:sz w:val="22"/>
          <w:szCs w:val="22"/>
        </w:rPr>
      </w:pPr>
      <w:bookmarkStart w:name="_evmii0uuqd57" w:id="10"/>
      <w:bookmarkEnd w:id="10"/>
      <w:r w:rsidRPr="207BDC43" w:rsidR="004E0A4C">
        <w:rPr>
          <w:rFonts w:ascii="Arial" w:hAnsi="Arial" w:eastAsia="Arial" w:cs="Arial"/>
          <w:b w:val="1"/>
          <w:bCs w:val="1"/>
          <w:color w:val="000000" w:themeColor="text1" w:themeTint="FF" w:themeShade="FF"/>
          <w:sz w:val="22"/>
          <w:szCs w:val="22"/>
        </w:rPr>
        <w:t>4.1 Importance of Multi-Agency Collaboration</w:t>
      </w:r>
    </w:p>
    <w:p w:rsidR="001279FE" w:rsidP="5F284CCA" w:rsidRDefault="004E0A4C" w14:paraId="0000003C" w14:textId="6F7F7701">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 xml:space="preserve">Care that Mrs Mann needs involves combined efforts of carers, a GP, physiotherapist and family members, specifically her daughter as an interpreter. In this instance, there must be multi-agency cooperation in order to minimise care fragmentation, reduce duplication of efforts, and enhance patient safety. The collaboration of health professionals and community providers with shared </w:t>
      </w:r>
      <w:r w:rsidRPr="207BDC43" w:rsidR="004E0A4C">
        <w:rPr>
          <w:rFonts w:ascii="Arial" w:hAnsi="Arial" w:eastAsia="Arial" w:cs="Arial"/>
          <w:sz w:val="22"/>
          <w:szCs w:val="22"/>
          <w:lang w:val="en-US"/>
        </w:rPr>
        <w:t xml:space="preserve">care plans and regular updates leads to a significant increase in the outcomes of older adults (Kropp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xml:space="preserve">., 2023). Routine interaction among members of the care team in integrated care models helps to detect medication errors, safety risks, and functional needs, issues that are especially important to Mrs Mann after hip surgery (Drost </w:t>
      </w:r>
      <w:r w:rsidRPr="207BDC43" w:rsidR="0051093A">
        <w:rPr>
          <w:rFonts w:ascii="Arial" w:hAnsi="Arial" w:eastAsia="Arial" w:cs="Arial"/>
          <w:i w:val="1"/>
          <w:iCs w:val="1"/>
          <w:sz w:val="22"/>
          <w:szCs w:val="22"/>
          <w:lang w:val="en-US"/>
        </w:rPr>
        <w:t>et al</w:t>
      </w:r>
      <w:r w:rsidRPr="207BDC43" w:rsidR="004E0A4C">
        <w:rPr>
          <w:rFonts w:ascii="Arial" w:hAnsi="Arial" w:eastAsia="Arial" w:cs="Arial"/>
          <w:sz w:val="22"/>
          <w:szCs w:val="22"/>
          <w:lang w:val="en-US"/>
        </w:rPr>
        <w:t>., 2024). Holistic, person-centred collaboration will guarantee continuity of care and minimise adverse events through effective collaboration that supports her cultura</w:t>
      </w:r>
      <w:r w:rsidRPr="207BDC43" w:rsidR="004E0A4C">
        <w:rPr>
          <w:rFonts w:ascii="Arial" w:hAnsi="Arial" w:eastAsia="Arial" w:cs="Arial"/>
          <w:sz w:val="22"/>
          <w:szCs w:val="22"/>
          <w:lang w:val="en-US"/>
        </w:rPr>
        <w:t>l background and health needs.</w:t>
      </w:r>
    </w:p>
    <w:p w:rsidR="001279FE" w:rsidP="207BDC43" w:rsidRDefault="004E0A4C" w14:paraId="0000003D" w14:textId="77777777">
      <w:pPr>
        <w:pStyle w:val="Heading3"/>
        <w:spacing w:line="360" w:lineRule="auto"/>
        <w:jc w:val="both"/>
        <w:rPr>
          <w:rFonts w:ascii="Arial" w:hAnsi="Arial" w:eastAsia="Arial" w:cs="Arial"/>
          <w:b w:val="1"/>
          <w:bCs w:val="1"/>
          <w:color w:val="000000"/>
          <w:sz w:val="22"/>
          <w:szCs w:val="22"/>
        </w:rPr>
      </w:pPr>
      <w:bookmarkStart w:name="_6iez8gkv3zu3" w:id="11"/>
      <w:bookmarkEnd w:id="11"/>
      <w:r w:rsidRPr="207BDC43" w:rsidR="004E0A4C">
        <w:rPr>
          <w:rFonts w:ascii="Arial" w:hAnsi="Arial" w:eastAsia="Arial" w:cs="Arial"/>
          <w:b w:val="1"/>
          <w:bCs w:val="1"/>
          <w:color w:val="000000" w:themeColor="text1" w:themeTint="FF" w:themeShade="FF"/>
          <w:sz w:val="22"/>
          <w:szCs w:val="22"/>
        </w:rPr>
        <w:t>4.2 Challenges and Strategies for Better Collaboration</w:t>
      </w:r>
    </w:p>
    <w:p w:rsidRPr="0051093A" w:rsidR="0051093A" w:rsidP="0051093A" w:rsidRDefault="0051093A" w14:paraId="3094595F" w14:textId="77777777">
      <w:pPr>
        <w:spacing w:line="360" w:lineRule="auto"/>
        <w:jc w:val="both"/>
        <w:rPr>
          <w:rFonts w:ascii="Arial" w:hAnsi="Arial" w:eastAsia="Arial" w:cs="Arial"/>
          <w:b w:val="1"/>
          <w:bCs w:val="1"/>
          <w:sz w:val="22"/>
          <w:szCs w:val="22"/>
        </w:rPr>
      </w:pPr>
      <w:r w:rsidRPr="207BDC43" w:rsidR="0051093A">
        <w:rPr>
          <w:rFonts w:ascii="Arial" w:hAnsi="Arial" w:eastAsia="Arial" w:cs="Arial"/>
          <w:b w:val="1"/>
          <w:bCs w:val="1"/>
          <w:sz w:val="22"/>
          <w:szCs w:val="22"/>
        </w:rPr>
        <w:t>Challenges:</w:t>
      </w:r>
    </w:p>
    <w:p w:rsidRPr="0051093A" w:rsidR="0051093A" w:rsidP="5F284CCA" w:rsidRDefault="0051093A" w14:paraId="082B06FA" w14:textId="36DD9AB7">
      <w:pPr>
        <w:spacing w:line="360" w:lineRule="auto"/>
        <w:jc w:val="both"/>
        <w:rPr>
          <w:rFonts w:ascii="Arial" w:hAnsi="Arial" w:eastAsia="Arial" w:cs="Arial"/>
          <w:sz w:val="22"/>
          <w:szCs w:val="22"/>
          <w:lang w:val="en-US"/>
        </w:rPr>
      </w:pPr>
      <w:r w:rsidRPr="207BDC43" w:rsidR="0051093A">
        <w:rPr>
          <w:rFonts w:ascii="Arial" w:hAnsi="Arial" w:eastAsia="Arial" w:cs="Arial"/>
          <w:sz w:val="22"/>
          <w:szCs w:val="22"/>
          <w:lang w:val="en-US"/>
        </w:rPr>
        <w:t xml:space="preserve">Multi-agency working is routinely hampered by issues with poor handover, delays in communication and competing professional priorities - issues that were well exemplified in this case of failure to appropriately amend Mrs Mann's medication regimen. Poor systems and confusion about roles lead to a lack of continuity of care, particularly for older people with many providers. These barriers not only have the potential to duplicate services but also put patients' safety at risk </w:t>
      </w:r>
      <w:r w:rsidRPr="207BDC43" w:rsidR="0051093A">
        <w:rPr>
          <w:rFonts w:ascii="Arial" w:hAnsi="Arial" w:eastAsia="Arial" w:cs="Arial"/>
          <w:sz w:val="22"/>
          <w:szCs w:val="22"/>
          <w:lang w:val="en-US"/>
        </w:rPr>
        <w:t xml:space="preserve">(Lee </w:t>
      </w:r>
      <w:r w:rsidRPr="207BDC43" w:rsidR="0051093A">
        <w:rPr>
          <w:rFonts w:ascii="Arial" w:hAnsi="Arial" w:eastAsia="Arial" w:cs="Arial"/>
          <w:i w:val="1"/>
          <w:iCs w:val="1"/>
          <w:sz w:val="22"/>
          <w:szCs w:val="22"/>
          <w:lang w:val="en-US"/>
        </w:rPr>
        <w:t>et al</w:t>
      </w:r>
      <w:r w:rsidRPr="207BDC43" w:rsidR="0051093A">
        <w:rPr>
          <w:rFonts w:ascii="Arial" w:hAnsi="Arial" w:eastAsia="Arial" w:cs="Arial"/>
          <w:sz w:val="22"/>
          <w:szCs w:val="22"/>
          <w:lang w:val="en-US"/>
        </w:rPr>
        <w:t>., 2021).</w:t>
      </w:r>
    </w:p>
    <w:p w:rsidRPr="0051093A" w:rsidR="0051093A" w:rsidP="0051093A" w:rsidRDefault="0051093A" w14:paraId="75B7622F" w14:textId="77777777">
      <w:pPr>
        <w:spacing w:line="360" w:lineRule="auto"/>
        <w:jc w:val="both"/>
        <w:rPr>
          <w:rFonts w:ascii="Arial" w:hAnsi="Arial" w:eastAsia="Arial" w:cs="Arial"/>
          <w:b w:val="1"/>
          <w:bCs w:val="1"/>
          <w:sz w:val="22"/>
          <w:szCs w:val="22"/>
        </w:rPr>
      </w:pPr>
      <w:r w:rsidRPr="207BDC43" w:rsidR="0051093A">
        <w:rPr>
          <w:rFonts w:ascii="Arial" w:hAnsi="Arial" w:eastAsia="Arial" w:cs="Arial"/>
          <w:b w:val="1"/>
          <w:bCs w:val="1"/>
          <w:sz w:val="22"/>
          <w:szCs w:val="22"/>
        </w:rPr>
        <w:t>Strategies:</w:t>
      </w:r>
    </w:p>
    <w:p w:rsidR="0051093A" w:rsidP="5F284CCA" w:rsidRDefault="0051093A" w14:paraId="4C608B08" w14:textId="53DCB80D">
      <w:pPr>
        <w:spacing w:line="360" w:lineRule="auto"/>
        <w:jc w:val="both"/>
        <w:rPr>
          <w:rFonts w:ascii="Arial" w:hAnsi="Arial" w:eastAsia="Arial" w:cs="Arial"/>
          <w:sz w:val="22"/>
          <w:szCs w:val="22"/>
          <w:lang w:val="en-US"/>
        </w:rPr>
      </w:pPr>
      <w:r w:rsidRPr="207BDC43" w:rsidR="0051093A">
        <w:rPr>
          <w:rFonts w:ascii="Arial" w:hAnsi="Arial" w:eastAsia="Arial" w:cs="Arial"/>
          <w:sz w:val="22"/>
          <w:szCs w:val="22"/>
          <w:lang w:val="en-US"/>
        </w:rPr>
        <w:t xml:space="preserve">Evidence exists to support structured solutions such as a shared care record, well-defined professional roles and regular MDT meetings to overcome these challenges. Such practices create a sense of mutual accountability and improve decisions across the agencies (Chuang </w:t>
      </w:r>
      <w:r w:rsidRPr="207BDC43" w:rsidR="0051093A">
        <w:rPr>
          <w:rFonts w:ascii="Arial" w:hAnsi="Arial" w:eastAsia="Arial" w:cs="Arial"/>
          <w:i w:val="1"/>
          <w:iCs w:val="1"/>
          <w:sz w:val="22"/>
          <w:szCs w:val="22"/>
          <w:lang w:val="en-US"/>
        </w:rPr>
        <w:t>et al</w:t>
      </w:r>
      <w:r w:rsidRPr="207BDC43" w:rsidR="0051093A">
        <w:rPr>
          <w:rFonts w:ascii="Arial" w:hAnsi="Arial" w:eastAsia="Arial" w:cs="Arial"/>
          <w:sz w:val="22"/>
          <w:szCs w:val="22"/>
          <w:lang w:val="en-US"/>
        </w:rPr>
        <w:t xml:space="preserve">., 2024). Having a regular care plan focused on the patient's values and health goals will ensure that service users like Mrs Mann are supported with culturally safe and coordinated care that reduces risk and supports empowerment </w:t>
      </w:r>
      <w:r w:rsidRPr="207BDC43" w:rsidR="0051093A">
        <w:rPr>
          <w:rFonts w:ascii="Arial" w:hAnsi="Arial" w:eastAsia="Arial" w:cs="Arial"/>
          <w:sz w:val="22"/>
          <w:szCs w:val="22"/>
          <w:lang w:val="en-US"/>
        </w:rPr>
        <w:t xml:space="preserve">(Moorley </w:t>
      </w:r>
      <w:r w:rsidRPr="207BDC43" w:rsidR="0051093A">
        <w:rPr>
          <w:rFonts w:ascii="Arial" w:hAnsi="Arial" w:eastAsia="Arial" w:cs="Arial"/>
          <w:i w:val="1"/>
          <w:iCs w:val="1"/>
          <w:sz w:val="22"/>
          <w:szCs w:val="22"/>
          <w:lang w:val="en-US"/>
        </w:rPr>
        <w:t>et al</w:t>
      </w:r>
      <w:r w:rsidRPr="207BDC43" w:rsidR="0051093A">
        <w:rPr>
          <w:rFonts w:ascii="Arial" w:hAnsi="Arial" w:eastAsia="Arial" w:cs="Arial"/>
          <w:sz w:val="22"/>
          <w:szCs w:val="22"/>
          <w:lang w:val="en-US"/>
        </w:rPr>
        <w:t>., 2025).</w:t>
      </w:r>
    </w:p>
    <w:p w:rsidR="001279FE" w:rsidP="207BDC43" w:rsidRDefault="004E0A4C" w14:paraId="0000003F" w14:textId="77777777">
      <w:pPr>
        <w:pStyle w:val="Heading2"/>
        <w:spacing w:line="360" w:lineRule="auto"/>
        <w:jc w:val="both"/>
        <w:rPr>
          <w:rFonts w:ascii="Arial" w:hAnsi="Arial" w:eastAsia="Arial" w:cs="Arial"/>
          <w:b w:val="1"/>
          <w:bCs w:val="1"/>
          <w:color w:val="000000"/>
          <w:sz w:val="22"/>
          <w:szCs w:val="22"/>
        </w:rPr>
      </w:pPr>
      <w:bookmarkStart w:name="_ym7mslmsgbn6" w:id="12"/>
      <w:bookmarkEnd w:id="12"/>
      <w:r w:rsidRPr="207BDC43" w:rsidR="004E0A4C">
        <w:rPr>
          <w:rFonts w:ascii="Arial" w:hAnsi="Arial" w:eastAsia="Arial" w:cs="Arial"/>
          <w:b w:val="1"/>
          <w:bCs w:val="1"/>
          <w:color w:val="000000" w:themeColor="text1" w:themeTint="FF" w:themeShade="FF"/>
          <w:sz w:val="22"/>
          <w:szCs w:val="22"/>
        </w:rPr>
        <w:t>5. Conclusion</w:t>
      </w:r>
    </w:p>
    <w:p w:rsidR="001279FE" w:rsidP="207BDC43" w:rsidRDefault="004E0A4C" w14:paraId="00000040" w14:textId="77777777">
      <w:pPr>
        <w:pStyle w:val="Heading3"/>
        <w:spacing w:line="360" w:lineRule="auto"/>
        <w:jc w:val="both"/>
        <w:rPr>
          <w:rFonts w:ascii="Arial" w:hAnsi="Arial" w:eastAsia="Arial" w:cs="Arial"/>
          <w:b w:val="1"/>
          <w:bCs w:val="1"/>
          <w:color w:val="000000"/>
          <w:sz w:val="22"/>
          <w:szCs w:val="22"/>
        </w:rPr>
      </w:pPr>
      <w:bookmarkStart w:name="_m7z4fb9d1wod" w:id="13"/>
      <w:bookmarkEnd w:id="13"/>
      <w:r w:rsidRPr="207BDC43" w:rsidR="004E0A4C">
        <w:rPr>
          <w:rFonts w:ascii="Arial" w:hAnsi="Arial" w:eastAsia="Arial" w:cs="Arial"/>
          <w:b w:val="1"/>
          <w:bCs w:val="1"/>
          <w:color w:val="000000" w:themeColor="text1" w:themeTint="FF" w:themeShade="FF"/>
          <w:sz w:val="22"/>
          <w:szCs w:val="22"/>
        </w:rPr>
        <w:t>5.1 Summary of Key Findings</w:t>
      </w:r>
    </w:p>
    <w:p w:rsidR="001279FE" w:rsidP="5F284CCA" w:rsidRDefault="004E0A4C" w14:paraId="00000041" w14:textId="77777777">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Good communication brings understanding, respect and dignity and accordingly to someone like Mrs Mann with low English proficiency. Safe legal care is achieved through good administrative practices such as keeping records confidentially. Contrasting errors and redundancies, Interdisciplinary collaboration encourages human-centred, flexible, and consistent care.</w:t>
      </w:r>
    </w:p>
    <w:p w:rsidR="001279FE" w:rsidP="207BDC43" w:rsidRDefault="004E0A4C" w14:paraId="00000042" w14:textId="77777777">
      <w:pPr>
        <w:pStyle w:val="Heading3"/>
        <w:spacing w:line="360" w:lineRule="auto"/>
        <w:jc w:val="both"/>
        <w:rPr>
          <w:rFonts w:ascii="Arial" w:hAnsi="Arial" w:eastAsia="Arial" w:cs="Arial"/>
          <w:b w:val="1"/>
          <w:bCs w:val="1"/>
          <w:color w:val="000000"/>
          <w:sz w:val="22"/>
          <w:szCs w:val="22"/>
          <w:lang w:val="en-US"/>
        </w:rPr>
      </w:pPr>
      <w:bookmarkStart w:name="_umsugag9pg38" w:id="14"/>
      <w:bookmarkEnd w:id="14"/>
      <w:r w:rsidRPr="207BDC43" w:rsidR="004E0A4C">
        <w:rPr>
          <w:rFonts w:ascii="Arial" w:hAnsi="Arial" w:eastAsia="Arial" w:cs="Arial"/>
          <w:b w:val="1"/>
          <w:bCs w:val="1"/>
          <w:color w:val="000000" w:themeColor="text1" w:themeTint="FF" w:themeShade="FF"/>
          <w:sz w:val="22"/>
          <w:szCs w:val="22"/>
          <w:lang w:val="en-US"/>
        </w:rPr>
        <w:t>5.2 Reflection and Learning from Mrs Mann’s Case</w:t>
      </w:r>
    </w:p>
    <w:p w:rsidR="001279FE" w:rsidP="5F284CCA" w:rsidRDefault="004E0A4C" w14:paraId="00000043" w14:textId="77777777">
      <w:pPr>
        <w:spacing w:line="360" w:lineRule="auto"/>
        <w:jc w:val="both"/>
        <w:rPr>
          <w:rFonts w:ascii="Arial" w:hAnsi="Arial" w:eastAsia="Arial" w:cs="Arial"/>
          <w:sz w:val="22"/>
          <w:szCs w:val="22"/>
          <w:lang w:val="en-US"/>
        </w:rPr>
      </w:pPr>
      <w:r w:rsidRPr="207BDC43" w:rsidR="004E0A4C">
        <w:rPr>
          <w:rFonts w:ascii="Arial" w:hAnsi="Arial" w:eastAsia="Arial" w:cs="Arial"/>
          <w:sz w:val="22"/>
          <w:szCs w:val="22"/>
          <w:lang w:val="en-US"/>
        </w:rPr>
        <w:t>The situation involving Mrs Mann indicates the problem related to the treatment of vulnerable individuals who have both a culturally-oriented and linguistically-oriented position and a certain physical condition. Missteps, even negligible ones, like omission of drug-modifying processes, are deadly. It gives an additional emphasis on legal, ethical and team-based practices. Comprehensive and active care and protection of dignity require statutes and collaboration.</w:t>
      </w:r>
    </w:p>
    <w:p w:rsidR="005C41E2" w:rsidRDefault="005C41E2" w14:paraId="5C319F90" w14:textId="77777777">
      <w:pPr>
        <w:spacing w:line="360" w:lineRule="auto"/>
        <w:jc w:val="both"/>
        <w:rPr>
          <w:rFonts w:ascii="Arial" w:hAnsi="Arial" w:eastAsia="Arial" w:cs="Arial"/>
          <w:sz w:val="22"/>
          <w:szCs w:val="22"/>
        </w:rPr>
      </w:pPr>
    </w:p>
    <w:p w:rsidR="005C41E2" w:rsidRDefault="005C41E2" w14:paraId="3C5AD325" w14:textId="77777777">
      <w:pPr>
        <w:spacing w:line="360" w:lineRule="auto"/>
        <w:jc w:val="both"/>
        <w:rPr>
          <w:rFonts w:ascii="Arial" w:hAnsi="Arial" w:eastAsia="Arial" w:cs="Arial"/>
          <w:sz w:val="22"/>
          <w:szCs w:val="22"/>
        </w:rPr>
      </w:pPr>
    </w:p>
    <w:p w:rsidR="005C41E2" w:rsidRDefault="005C41E2" w14:paraId="0BD4E112" w14:textId="77777777">
      <w:pPr>
        <w:spacing w:line="360" w:lineRule="auto"/>
        <w:jc w:val="both"/>
        <w:rPr>
          <w:rFonts w:ascii="Arial" w:hAnsi="Arial" w:eastAsia="Arial" w:cs="Arial"/>
          <w:sz w:val="22"/>
          <w:szCs w:val="22"/>
        </w:rPr>
      </w:pPr>
    </w:p>
    <w:p w:rsidR="005C41E2" w:rsidRDefault="005C41E2" w14:paraId="0C83DCB2" w14:textId="77777777">
      <w:pPr>
        <w:spacing w:line="360" w:lineRule="auto"/>
        <w:jc w:val="both"/>
        <w:rPr>
          <w:rFonts w:ascii="Arial" w:hAnsi="Arial" w:eastAsia="Arial" w:cs="Arial"/>
          <w:sz w:val="22"/>
          <w:szCs w:val="22"/>
        </w:rPr>
      </w:pPr>
    </w:p>
    <w:p w:rsidR="005C41E2" w:rsidRDefault="005C41E2" w14:paraId="24513EB3" w14:textId="77777777">
      <w:pPr>
        <w:spacing w:line="360" w:lineRule="auto"/>
        <w:jc w:val="both"/>
        <w:rPr>
          <w:rFonts w:ascii="Arial" w:hAnsi="Arial" w:eastAsia="Arial" w:cs="Arial"/>
          <w:sz w:val="22"/>
          <w:szCs w:val="22"/>
        </w:rPr>
      </w:pPr>
    </w:p>
    <w:p w:rsidR="005C41E2" w:rsidRDefault="005C41E2" w14:paraId="17D85810" w14:textId="77777777">
      <w:pPr>
        <w:spacing w:line="360" w:lineRule="auto"/>
        <w:jc w:val="both"/>
        <w:rPr>
          <w:rFonts w:ascii="Arial" w:hAnsi="Arial" w:eastAsia="Arial" w:cs="Arial"/>
          <w:sz w:val="22"/>
          <w:szCs w:val="22"/>
        </w:rPr>
      </w:pPr>
    </w:p>
    <w:p w:rsidR="005C41E2" w:rsidRDefault="005C41E2" w14:paraId="48C5A28B" w14:textId="77777777">
      <w:pPr>
        <w:spacing w:line="360" w:lineRule="auto"/>
        <w:jc w:val="both"/>
        <w:rPr>
          <w:rFonts w:ascii="Arial" w:hAnsi="Arial" w:eastAsia="Arial" w:cs="Arial"/>
          <w:sz w:val="22"/>
          <w:szCs w:val="22"/>
        </w:rPr>
      </w:pPr>
    </w:p>
    <w:p w:rsidR="005C41E2" w:rsidRDefault="005C41E2" w14:paraId="61126FDA" w14:textId="77777777">
      <w:pPr>
        <w:spacing w:line="360" w:lineRule="auto"/>
        <w:jc w:val="both"/>
        <w:rPr>
          <w:rFonts w:ascii="Arial" w:hAnsi="Arial" w:eastAsia="Arial" w:cs="Arial"/>
          <w:sz w:val="22"/>
          <w:szCs w:val="22"/>
        </w:rPr>
      </w:pPr>
    </w:p>
    <w:p w:rsidR="005C41E2" w:rsidRDefault="005C41E2" w14:paraId="618DB9C2" w14:textId="77777777">
      <w:pPr>
        <w:spacing w:line="360" w:lineRule="auto"/>
        <w:jc w:val="both"/>
        <w:rPr>
          <w:rFonts w:ascii="Arial" w:hAnsi="Arial" w:eastAsia="Arial" w:cs="Arial"/>
          <w:sz w:val="22"/>
          <w:szCs w:val="22"/>
        </w:rPr>
      </w:pPr>
    </w:p>
    <w:p w:rsidR="005C41E2" w:rsidRDefault="005C41E2" w14:paraId="754ABA2B" w14:textId="77777777">
      <w:pPr>
        <w:spacing w:line="360" w:lineRule="auto"/>
        <w:jc w:val="both"/>
        <w:rPr>
          <w:rFonts w:ascii="Arial" w:hAnsi="Arial" w:eastAsia="Arial" w:cs="Arial"/>
          <w:sz w:val="22"/>
          <w:szCs w:val="22"/>
        </w:rPr>
      </w:pPr>
    </w:p>
    <w:p w:rsidR="005C41E2" w:rsidRDefault="005C41E2" w14:paraId="5DAA1FD8" w14:textId="77777777">
      <w:pPr>
        <w:spacing w:line="360" w:lineRule="auto"/>
        <w:jc w:val="both"/>
        <w:rPr>
          <w:rFonts w:ascii="Arial" w:hAnsi="Arial" w:eastAsia="Arial" w:cs="Arial"/>
          <w:sz w:val="22"/>
          <w:szCs w:val="22"/>
        </w:rPr>
      </w:pPr>
    </w:p>
    <w:p w:rsidR="005C41E2" w:rsidRDefault="005C41E2" w14:paraId="755F7676" w14:textId="77777777">
      <w:pPr>
        <w:spacing w:line="360" w:lineRule="auto"/>
        <w:jc w:val="both"/>
        <w:rPr>
          <w:rFonts w:ascii="Arial" w:hAnsi="Arial" w:eastAsia="Arial" w:cs="Arial"/>
          <w:sz w:val="22"/>
          <w:szCs w:val="22"/>
        </w:rPr>
      </w:pPr>
    </w:p>
    <w:p w:rsidR="005C41E2" w:rsidRDefault="005C41E2" w14:paraId="309C8D90" w14:textId="77777777">
      <w:pPr>
        <w:spacing w:line="360" w:lineRule="auto"/>
        <w:jc w:val="both"/>
        <w:rPr>
          <w:rFonts w:ascii="Arial" w:hAnsi="Arial" w:eastAsia="Arial" w:cs="Arial"/>
          <w:sz w:val="22"/>
          <w:szCs w:val="22"/>
        </w:rPr>
      </w:pPr>
    </w:p>
    <w:p w:rsidR="005C41E2" w:rsidRDefault="005C41E2" w14:paraId="04DDF57E" w14:textId="77777777">
      <w:pPr>
        <w:spacing w:line="360" w:lineRule="auto"/>
        <w:jc w:val="both"/>
        <w:rPr>
          <w:rFonts w:ascii="Arial" w:hAnsi="Arial" w:eastAsia="Arial" w:cs="Arial"/>
          <w:sz w:val="22"/>
          <w:szCs w:val="22"/>
        </w:rPr>
      </w:pPr>
    </w:p>
    <w:p w:rsidR="005C41E2" w:rsidRDefault="005C41E2" w14:paraId="1E1971D9" w14:textId="77777777">
      <w:pPr>
        <w:spacing w:line="360" w:lineRule="auto"/>
        <w:jc w:val="both"/>
        <w:rPr>
          <w:rFonts w:ascii="Arial" w:hAnsi="Arial" w:eastAsia="Arial" w:cs="Arial"/>
          <w:sz w:val="22"/>
          <w:szCs w:val="22"/>
        </w:rPr>
      </w:pPr>
    </w:p>
    <w:p w:rsidR="005C41E2" w:rsidRDefault="005C41E2" w14:paraId="6BD20722" w14:textId="77777777">
      <w:pPr>
        <w:spacing w:line="360" w:lineRule="auto"/>
        <w:jc w:val="both"/>
        <w:rPr>
          <w:rFonts w:ascii="Arial" w:hAnsi="Arial" w:eastAsia="Arial" w:cs="Arial"/>
          <w:sz w:val="22"/>
          <w:szCs w:val="22"/>
        </w:rPr>
      </w:pPr>
    </w:p>
    <w:p w:rsidR="005C41E2" w:rsidRDefault="005C41E2" w14:paraId="0F6E7AE3" w14:textId="77777777">
      <w:pPr>
        <w:spacing w:line="360" w:lineRule="auto"/>
        <w:jc w:val="both"/>
        <w:rPr>
          <w:rFonts w:ascii="Arial" w:hAnsi="Arial" w:eastAsia="Arial" w:cs="Arial"/>
          <w:sz w:val="22"/>
          <w:szCs w:val="22"/>
        </w:rPr>
      </w:pPr>
    </w:p>
    <w:p w:rsidR="005C41E2" w:rsidRDefault="005C41E2" w14:paraId="1E73B09B" w14:textId="77777777">
      <w:pPr>
        <w:spacing w:line="360" w:lineRule="auto"/>
        <w:jc w:val="both"/>
        <w:rPr>
          <w:rFonts w:ascii="Arial" w:hAnsi="Arial" w:eastAsia="Arial" w:cs="Arial"/>
          <w:sz w:val="22"/>
          <w:szCs w:val="22"/>
        </w:rPr>
      </w:pPr>
    </w:p>
    <w:p w:rsidR="005C41E2" w:rsidRDefault="005C41E2" w14:paraId="6E0E7AFB" w14:textId="77777777">
      <w:pPr>
        <w:spacing w:line="360" w:lineRule="auto"/>
        <w:jc w:val="both"/>
        <w:rPr>
          <w:rFonts w:ascii="Arial" w:hAnsi="Arial" w:eastAsia="Arial" w:cs="Arial"/>
          <w:sz w:val="22"/>
          <w:szCs w:val="22"/>
        </w:rPr>
      </w:pPr>
    </w:p>
    <w:p w:rsidR="005C41E2" w:rsidRDefault="005C41E2" w14:paraId="1F987693" w14:textId="77777777">
      <w:pPr>
        <w:spacing w:line="360" w:lineRule="auto"/>
        <w:jc w:val="both"/>
        <w:rPr>
          <w:rFonts w:ascii="Arial" w:hAnsi="Arial" w:eastAsia="Arial" w:cs="Arial"/>
          <w:sz w:val="22"/>
          <w:szCs w:val="22"/>
        </w:rPr>
      </w:pPr>
    </w:p>
    <w:p w:rsidR="00A96E1B" w:rsidRDefault="00A96E1B" w14:paraId="4B4EC199" w14:textId="77777777">
      <w:pPr>
        <w:spacing w:line="360" w:lineRule="auto"/>
        <w:jc w:val="both"/>
        <w:rPr>
          <w:rFonts w:ascii="Arial" w:hAnsi="Arial" w:eastAsia="Arial" w:cs="Arial"/>
          <w:sz w:val="22"/>
          <w:szCs w:val="22"/>
        </w:rPr>
      </w:pPr>
    </w:p>
    <w:p w:rsidR="005C41E2" w:rsidRDefault="005C41E2" w14:paraId="415D7507" w14:textId="77777777">
      <w:pPr>
        <w:spacing w:line="360" w:lineRule="auto"/>
        <w:jc w:val="both"/>
        <w:rPr>
          <w:rFonts w:ascii="Arial" w:hAnsi="Arial" w:eastAsia="Arial" w:cs="Arial"/>
          <w:sz w:val="22"/>
          <w:szCs w:val="22"/>
        </w:rPr>
      </w:pPr>
    </w:p>
    <w:p w:rsidR="001279FE" w:rsidP="207BDC43" w:rsidRDefault="004E0A4C" w14:paraId="00000044" w14:textId="77777777">
      <w:pPr>
        <w:pStyle w:val="Heading2"/>
        <w:keepNext w:val="0"/>
        <w:keepLines w:val="0"/>
        <w:spacing w:before="0" w:after="360" w:line="360" w:lineRule="auto"/>
        <w:rPr>
          <w:rFonts w:ascii="Arial" w:hAnsi="Arial" w:eastAsia="Arial" w:cs="Arial"/>
          <w:b w:val="1"/>
          <w:bCs w:val="1"/>
          <w:color w:val="000000"/>
          <w:sz w:val="22"/>
          <w:szCs w:val="22"/>
        </w:rPr>
      </w:pPr>
      <w:bookmarkStart w:name="_bupgbihmd6wq" w:id="15"/>
      <w:bookmarkEnd w:id="15"/>
      <w:r w:rsidRPr="207BDC43" w:rsidR="004E0A4C">
        <w:rPr>
          <w:rFonts w:ascii="Arial" w:hAnsi="Arial" w:eastAsia="Arial" w:cs="Arial"/>
          <w:b w:val="1"/>
          <w:bCs w:val="1"/>
          <w:color w:val="000000" w:themeColor="text1" w:themeTint="FF" w:themeShade="FF"/>
          <w:sz w:val="22"/>
          <w:szCs w:val="22"/>
        </w:rPr>
        <w:t>Reference list</w:t>
      </w:r>
    </w:p>
    <w:p w:rsidR="001279FE" w:rsidP="5F284CCA" w:rsidRDefault="004E0A4C" w14:paraId="00000045"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Ansaldo, A.I., Rossi, M.S. and Yves, J. (2024). </w:t>
      </w:r>
      <w:r w:rsidRPr="207BDC43" w:rsidR="004E0A4C">
        <w:rPr>
          <w:rFonts w:ascii="Arial" w:hAnsi="Arial" w:eastAsia="Arial" w:cs="Arial"/>
          <w:i w:val="1"/>
          <w:iCs w:val="1"/>
          <w:sz w:val="22"/>
          <w:szCs w:val="22"/>
          <w:lang w:val="en-US"/>
        </w:rPr>
        <w:t>S5: Social Well-Being Through the Continuum of Dementia: Addressing BPSD and Communication Handicap Through Innovative Interventions Supporting Person-Centered Care</w:t>
      </w:r>
      <w:r w:rsidRPr="207BDC43" w:rsidR="004E0A4C">
        <w:rPr>
          <w:rFonts w:ascii="Arial" w:hAnsi="Arial" w:eastAsia="Arial" w:cs="Arial"/>
          <w:sz w:val="22"/>
          <w:szCs w:val="22"/>
          <w:lang w:val="en-US"/>
        </w:rPr>
        <w:t>. Proquest.</w:t>
      </w:r>
    </w:p>
    <w:p w:rsidR="001279FE" w:rsidP="5F284CCA" w:rsidRDefault="004E0A4C" w14:paraId="00000046"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Bansal, R., Bhatia, M. and Lekshmi Santhosh (2024). Centering health equity during handoff communications. </w:t>
      </w:r>
      <w:r w:rsidRPr="207BDC43" w:rsidR="004E0A4C">
        <w:rPr>
          <w:rFonts w:ascii="Arial" w:hAnsi="Arial" w:eastAsia="Arial" w:cs="Arial"/>
          <w:i w:val="1"/>
          <w:iCs w:val="1"/>
          <w:sz w:val="22"/>
          <w:szCs w:val="22"/>
          <w:lang w:val="en-US"/>
        </w:rPr>
        <w:t>Journal of Hospital Medicine</w:t>
      </w:r>
      <w:r w:rsidRPr="207BDC43" w:rsidR="004E0A4C">
        <w:rPr>
          <w:rFonts w:ascii="Arial" w:hAnsi="Arial" w:eastAsia="Arial" w:cs="Arial"/>
          <w:sz w:val="22"/>
          <w:szCs w:val="22"/>
          <w:lang w:val="en-US"/>
        </w:rPr>
        <w:t>. doi:https://doi.org/10.1002/jhm.13314.</w:t>
      </w:r>
    </w:p>
    <w:p w:rsidR="001279FE" w:rsidP="5F284CCA" w:rsidRDefault="004E0A4C" w14:paraId="00000047"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Birkelund, L., Dieperink, K.B., Sodemann, M., Lindell, J.F., Steffensen, K.D. and Nielsen, D.S. (2024). Communicating without a shared language: A qualitative study of language barriers in language-discordant cancer communication. </w:t>
      </w:r>
      <w:r w:rsidRPr="207BDC43" w:rsidR="004E0A4C">
        <w:rPr>
          <w:rFonts w:ascii="Arial" w:hAnsi="Arial" w:eastAsia="Arial" w:cs="Arial"/>
          <w:i w:val="1"/>
          <w:iCs w:val="1"/>
          <w:sz w:val="22"/>
          <w:szCs w:val="22"/>
          <w:lang w:val="en-US"/>
        </w:rPr>
        <w:t>Journal of Health Communication</w:t>
      </w:r>
      <w:r w:rsidRPr="207BDC43" w:rsidR="004E0A4C">
        <w:rPr>
          <w:rFonts w:ascii="Arial" w:hAnsi="Arial" w:eastAsia="Arial" w:cs="Arial"/>
          <w:sz w:val="22"/>
          <w:szCs w:val="22"/>
          <w:lang w:val="en-US"/>
        </w:rPr>
        <w:t>, 29(3), pp.1–13. doi:https://doi.org/10.1080/10810730.2024.2309357.</w:t>
      </w:r>
    </w:p>
    <w:p w:rsidR="001279FE" w:rsidP="5F284CCA" w:rsidRDefault="004E0A4C" w14:paraId="00000048"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Braybrook, D., Bristowe, K., Timmins, L., Roach, A., Day, E., Clift, P., Rose, R., Marshall, S., Johnson, K., Sleeman, K.E. and Harding, R. (2022). Communication about sexual orientation and gender between clinicians, LGBT+ people facing serious illness and their significant others: A qualitative interview study of experiences, preferences and recommendations. </w:t>
      </w:r>
      <w:r w:rsidRPr="207BDC43" w:rsidR="004E0A4C">
        <w:rPr>
          <w:rFonts w:ascii="Arial" w:hAnsi="Arial" w:eastAsia="Arial" w:cs="Arial"/>
          <w:i w:val="1"/>
          <w:iCs w:val="1"/>
          <w:sz w:val="22"/>
          <w:szCs w:val="22"/>
          <w:lang w:val="en-US"/>
        </w:rPr>
        <w:t>BMJ Quality &amp; Safety</w:t>
      </w:r>
      <w:r w:rsidRPr="207BDC43" w:rsidR="004E0A4C">
        <w:rPr>
          <w:rFonts w:ascii="Arial" w:hAnsi="Arial" w:eastAsia="Arial" w:cs="Arial"/>
          <w:sz w:val="22"/>
          <w:szCs w:val="22"/>
          <w:lang w:val="en-US"/>
        </w:rPr>
        <w:t>, 32(2), p.bmjqs-2022-014792. doi:https://doi.org/10.1136/bmjqs-2022-014792.</w:t>
      </w:r>
    </w:p>
    <w:p w:rsidR="001279FE" w:rsidP="5F284CCA" w:rsidRDefault="004E0A4C" w14:paraId="00000049"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Drost, J., Hughes, M., Fosnight, S., Marchiano, J., Hazelett, S., Gareri, M. and Chrzanowski, B. (2024). OUTCOMES OF AN INTEGRATED HEALTH CARE AND COMMUNITY PROVIDER INTERPROFESSIONAL TEAM. </w:t>
      </w:r>
      <w:r w:rsidRPr="207BDC43" w:rsidR="004E0A4C">
        <w:rPr>
          <w:rFonts w:ascii="Arial" w:hAnsi="Arial" w:eastAsia="Arial" w:cs="Arial"/>
          <w:i w:val="1"/>
          <w:iCs w:val="1"/>
          <w:sz w:val="22"/>
          <w:szCs w:val="22"/>
          <w:lang w:val="en-US"/>
        </w:rPr>
        <w:t>Innovation in Aging</w:t>
      </w:r>
      <w:r w:rsidRPr="207BDC43" w:rsidR="004E0A4C">
        <w:rPr>
          <w:rFonts w:ascii="Arial" w:hAnsi="Arial" w:eastAsia="Arial" w:cs="Arial"/>
          <w:sz w:val="22"/>
          <w:szCs w:val="22"/>
          <w:lang w:val="en-US"/>
        </w:rPr>
        <w:t>, [online] 8(Supplement_1), pp.937–937. doi:https://doi.org/10.1093/geroni/igae098.3021.</w:t>
      </w:r>
    </w:p>
    <w:p w:rsidR="001279FE" w:rsidP="5F284CCA" w:rsidRDefault="004E0A4C" w14:paraId="0000004A"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Durand, F. and Fleury, M.-J. (2021). A multilevel study of patient-centered care perceptions in mental health teams. </w:t>
      </w:r>
      <w:r w:rsidRPr="207BDC43" w:rsidR="004E0A4C">
        <w:rPr>
          <w:rFonts w:ascii="Arial" w:hAnsi="Arial" w:eastAsia="Arial" w:cs="Arial"/>
          <w:i w:val="1"/>
          <w:iCs w:val="1"/>
          <w:sz w:val="22"/>
          <w:szCs w:val="22"/>
          <w:lang w:val="en-US"/>
        </w:rPr>
        <w:t>Biomed Central Health Services Research</w:t>
      </w:r>
      <w:r w:rsidRPr="207BDC43" w:rsidR="004E0A4C">
        <w:rPr>
          <w:rFonts w:ascii="Arial" w:hAnsi="Arial" w:eastAsia="Arial" w:cs="Arial"/>
          <w:sz w:val="22"/>
          <w:szCs w:val="22"/>
          <w:lang w:val="en-US"/>
        </w:rPr>
        <w:t>, [online] 21(1), pp.1–8. doi:https://doi.org/10.1186/s12913-020-06054-z.</w:t>
      </w:r>
    </w:p>
    <w:p w:rsidR="001279FE" w:rsidP="5F284CCA" w:rsidRDefault="004E0A4C" w14:paraId="0000004B"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Evenden, R., Singh, N., Sornalingam, S., Harrington, S. and Paudyal, P. (2022). </w:t>
      </w:r>
      <w:r w:rsidRPr="207BDC43" w:rsidR="004E0A4C">
        <w:rPr>
          <w:rFonts w:ascii="Arial" w:hAnsi="Arial" w:eastAsia="Arial" w:cs="Arial"/>
          <w:i w:val="1"/>
          <w:iCs w:val="1"/>
          <w:sz w:val="22"/>
          <w:szCs w:val="22"/>
          <w:lang w:val="en-US"/>
        </w:rPr>
        <w:t>Language Barriers for Primary Care Access in Europe: a Systematic Review</w:t>
      </w:r>
      <w:r w:rsidRPr="207BDC43" w:rsidR="004E0A4C">
        <w:rPr>
          <w:rFonts w:ascii="Arial" w:hAnsi="Arial" w:eastAsia="Arial" w:cs="Arial"/>
          <w:sz w:val="22"/>
          <w:szCs w:val="22"/>
          <w:lang w:val="en-US"/>
        </w:rPr>
        <w:t xml:space="preserve">. [online] </w:t>
      </w:r>
      <w:r w:rsidRPr="207BDC43" w:rsidR="004E0A4C">
        <w:rPr>
          <w:rFonts w:ascii="Arial" w:hAnsi="Arial" w:eastAsia="Arial" w:cs="Arial"/>
          <w:i w:val="1"/>
          <w:iCs w:val="1"/>
          <w:sz w:val="22"/>
          <w:szCs w:val="22"/>
          <w:lang w:val="en-US"/>
        </w:rPr>
        <w:t>academic.oup.com</w:t>
      </w:r>
      <w:r w:rsidRPr="207BDC43" w:rsidR="004E0A4C">
        <w:rPr>
          <w:rFonts w:ascii="Arial" w:hAnsi="Arial" w:eastAsia="Arial" w:cs="Arial"/>
          <w:sz w:val="22"/>
          <w:szCs w:val="22"/>
          <w:lang w:val="en-US"/>
        </w:rPr>
        <w:t>. academic.oup.com. Available at: https://academic.oup.com/eurpub/article-pdf/doi/10.1093/eurpub/ckac129.724/48594602/ckac129.724.pdf [Accessed 1 Nov. 2025].</w:t>
      </w:r>
    </w:p>
    <w:p w:rsidR="001279FE" w:rsidP="5F284CCA" w:rsidRDefault="004E0A4C" w14:paraId="0000004C"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Gaboury, I., Martin, E., Mélanie Ann Smithman, Breton, M., Descoteaux, S., Boulanger, E., Pilon, M.D. and Wicks, V. (2024). Flipping the Script: A Design thinking Approach to Enhancing Interprofessional Collaboration in Primary Care. </w:t>
      </w:r>
      <w:r w:rsidRPr="207BDC43" w:rsidR="004E0A4C">
        <w:rPr>
          <w:rFonts w:ascii="Arial" w:hAnsi="Arial" w:eastAsia="Arial" w:cs="Arial"/>
          <w:i w:val="1"/>
          <w:iCs w:val="1"/>
          <w:sz w:val="22"/>
          <w:szCs w:val="22"/>
          <w:lang w:val="en-US"/>
        </w:rPr>
        <w:t>The Annals of Family Medicine</w:t>
      </w:r>
      <w:r w:rsidRPr="207BDC43" w:rsidR="004E0A4C">
        <w:rPr>
          <w:rFonts w:ascii="Arial" w:hAnsi="Arial" w:eastAsia="Arial" w:cs="Arial"/>
          <w:sz w:val="22"/>
          <w:szCs w:val="22"/>
          <w:lang w:val="en-US"/>
        </w:rPr>
        <w:t>, [online] 22(Supplement 1), pp.6497–6497. doi:https://doi.org/10.1370/afm.22.s1.6497.</w:t>
      </w:r>
    </w:p>
    <w:p w:rsidR="001279FE" w:rsidP="5F284CCA" w:rsidRDefault="004E0A4C" w14:paraId="0000004D"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Korstjens, I., Mesman, J., van Helmond, I., de Vries, R. and Nieuwenhuijze, M. (2020). The paradoxes of communication and collaboration in maternity care: A video-reflexivity study with professionals and parents. </w:t>
      </w:r>
      <w:r w:rsidRPr="207BDC43" w:rsidR="004E0A4C">
        <w:rPr>
          <w:rFonts w:ascii="Arial" w:hAnsi="Arial" w:eastAsia="Arial" w:cs="Arial"/>
          <w:i w:val="1"/>
          <w:iCs w:val="1"/>
          <w:sz w:val="22"/>
          <w:szCs w:val="22"/>
          <w:lang w:val="en-US"/>
        </w:rPr>
        <w:t>Women and Birth</w:t>
      </w:r>
      <w:r w:rsidRPr="207BDC43" w:rsidR="004E0A4C">
        <w:rPr>
          <w:rFonts w:ascii="Arial" w:hAnsi="Arial" w:eastAsia="Arial" w:cs="Arial"/>
          <w:sz w:val="22"/>
          <w:szCs w:val="22"/>
          <w:lang w:val="en-US"/>
        </w:rPr>
        <w:t>, 34(2). doi:https://doi.org/10.1016/j.wombi.2020.01.014.</w:t>
      </w:r>
    </w:p>
    <w:p w:rsidR="001279FE" w:rsidP="5F284CCA" w:rsidRDefault="004E0A4C" w14:paraId="0000004E"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Kropp, D., Clay, D., Fosnight, S., Drost, J., Hughes, M., Warren, L. and Wilson, J. (2023). INTEGRATING PRIMARY CARE AND COMMUNITY-BASED PROVIDERS IN AN INTERPROFESSIONAL TEAM FOR OLDER ADULTS. </w:t>
      </w:r>
      <w:r w:rsidRPr="207BDC43" w:rsidR="004E0A4C">
        <w:rPr>
          <w:rFonts w:ascii="Arial" w:hAnsi="Arial" w:eastAsia="Arial" w:cs="Arial"/>
          <w:i w:val="1"/>
          <w:iCs w:val="1"/>
          <w:sz w:val="22"/>
          <w:szCs w:val="22"/>
          <w:lang w:val="en-US"/>
        </w:rPr>
        <w:t>Innovation in Aging</w:t>
      </w:r>
      <w:r w:rsidRPr="207BDC43" w:rsidR="004E0A4C">
        <w:rPr>
          <w:rFonts w:ascii="Arial" w:hAnsi="Arial" w:eastAsia="Arial" w:cs="Arial"/>
          <w:sz w:val="22"/>
          <w:szCs w:val="22"/>
          <w:lang w:val="en-US"/>
        </w:rPr>
        <w:t>, [online] 7(Supplement_1), pp.806–807. doi:https://doi.org/10.1093/geroni/igad104.2604.</w:t>
      </w:r>
    </w:p>
    <w:p w:rsidR="001279FE" w:rsidP="5F284CCA" w:rsidRDefault="004E0A4C" w14:paraId="0000004F"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Lee, R.R., McDonagh, J.E., Farre, A., Peters, S., Cordingley, L. and Rapley, T. (2021). Data protection, information governance and the potential erosion of ethnographic methods in health care? </w:t>
      </w:r>
      <w:r w:rsidRPr="207BDC43" w:rsidR="004E0A4C">
        <w:rPr>
          <w:rFonts w:ascii="Arial" w:hAnsi="Arial" w:eastAsia="Arial" w:cs="Arial"/>
          <w:i w:val="1"/>
          <w:iCs w:val="1"/>
          <w:sz w:val="22"/>
          <w:szCs w:val="22"/>
          <w:lang w:val="en-US"/>
        </w:rPr>
        <w:t>Sociology of Health &amp; Illness</w:t>
      </w:r>
      <w:r w:rsidRPr="207BDC43" w:rsidR="004E0A4C">
        <w:rPr>
          <w:rFonts w:ascii="Arial" w:hAnsi="Arial" w:eastAsia="Arial" w:cs="Arial"/>
          <w:sz w:val="22"/>
          <w:szCs w:val="22"/>
          <w:lang w:val="en-US"/>
        </w:rPr>
        <w:t>, 44(1). doi:https://doi.org/10.1111/1467-9566.13408.</w:t>
      </w:r>
    </w:p>
    <w:p w:rsidR="001279FE" w:rsidP="5F284CCA" w:rsidRDefault="004E0A4C" w14:paraId="00000050"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Meeuwissen, S., Gijselaers, W.H., Alexander, E.K. and Ramani, S. (2023). Understanding and strengthening collaboration in the workplace: How to work towards constructive conflicts. </w:t>
      </w:r>
      <w:r w:rsidRPr="207BDC43" w:rsidR="004E0A4C">
        <w:rPr>
          <w:rFonts w:ascii="Arial" w:hAnsi="Arial" w:eastAsia="Arial" w:cs="Arial"/>
          <w:i w:val="1"/>
          <w:iCs w:val="1"/>
          <w:sz w:val="22"/>
          <w:szCs w:val="22"/>
          <w:lang w:val="en-US"/>
        </w:rPr>
        <w:t>The Clinical Teacher</w:t>
      </w:r>
      <w:r w:rsidRPr="207BDC43" w:rsidR="004E0A4C">
        <w:rPr>
          <w:rFonts w:ascii="Arial" w:hAnsi="Arial" w:eastAsia="Arial" w:cs="Arial"/>
          <w:sz w:val="22"/>
          <w:szCs w:val="22"/>
          <w:lang w:val="en-US"/>
        </w:rPr>
        <w:t>, 21(3). doi:https://doi.org/10.1111/tct.13701.</w:t>
      </w:r>
    </w:p>
    <w:p w:rsidR="001279FE" w:rsidP="5F284CCA" w:rsidRDefault="004E0A4C" w14:paraId="00000051"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Moorley, C., Oshikanlu, R., Unsworth, J., Oldman, C. and Allan, H.T. (2025). Redefining Regulation: Towards Equity and Social Justice. </w:t>
      </w:r>
      <w:r w:rsidRPr="207BDC43" w:rsidR="004E0A4C">
        <w:rPr>
          <w:rFonts w:ascii="Arial" w:hAnsi="Arial" w:eastAsia="Arial" w:cs="Arial"/>
          <w:i w:val="1"/>
          <w:iCs w:val="1"/>
          <w:sz w:val="22"/>
          <w:szCs w:val="22"/>
          <w:lang w:val="en-US"/>
        </w:rPr>
        <w:t>Journal of Advanced Nursing</w:t>
      </w:r>
      <w:r w:rsidRPr="207BDC43" w:rsidR="004E0A4C">
        <w:rPr>
          <w:rFonts w:ascii="Arial" w:hAnsi="Arial" w:eastAsia="Arial" w:cs="Arial"/>
          <w:sz w:val="22"/>
          <w:szCs w:val="22"/>
          <w:lang w:val="en-US"/>
        </w:rPr>
        <w:t>. doi:https://doi.org/10.1111/jan.16726.</w:t>
      </w:r>
    </w:p>
    <w:p w:rsidR="001279FE" w:rsidRDefault="004E0A4C" w14:paraId="00000052" w14:textId="77777777">
      <w:pPr>
        <w:spacing w:after="240" w:line="360" w:lineRule="auto"/>
        <w:rPr>
          <w:rFonts w:ascii="Arial" w:hAnsi="Arial" w:eastAsia="Arial" w:cs="Arial"/>
          <w:sz w:val="22"/>
          <w:szCs w:val="22"/>
        </w:rPr>
      </w:pPr>
      <w:r w:rsidRPr="207BDC43" w:rsidR="004E0A4C">
        <w:rPr>
          <w:rFonts w:ascii="Arial" w:hAnsi="Arial" w:eastAsia="Arial" w:cs="Arial"/>
          <w:sz w:val="22"/>
          <w:szCs w:val="22"/>
        </w:rPr>
        <w:t xml:space="preserve">Norcliffe, B., Brannan, D., Davies, S., English, M., Mussell, V. and Rebecca (2021). </w:t>
      </w:r>
      <w:r w:rsidRPr="207BDC43" w:rsidR="004E0A4C">
        <w:rPr>
          <w:rFonts w:ascii="Arial" w:hAnsi="Arial" w:eastAsia="Arial" w:cs="Arial"/>
          <w:i w:val="1"/>
          <w:iCs w:val="1"/>
          <w:sz w:val="22"/>
          <w:szCs w:val="22"/>
        </w:rPr>
        <w:t>Ethics briefing – February 2021 - ProQuest</w:t>
      </w:r>
      <w:r w:rsidRPr="207BDC43" w:rsidR="004E0A4C">
        <w:rPr>
          <w:rFonts w:ascii="Arial" w:hAnsi="Arial" w:eastAsia="Arial" w:cs="Arial"/>
          <w:sz w:val="22"/>
          <w:szCs w:val="22"/>
        </w:rPr>
        <w:t>. [online] Proquest.com. Available at: https://search.proquest.com/openview/f400bf3b310563551f35f7400d4040b8/1?pq-origsite=gscholar&amp;cbl=2041060.</w:t>
      </w:r>
    </w:p>
    <w:p w:rsidR="001279FE" w:rsidP="5F284CCA" w:rsidRDefault="004E0A4C" w14:paraId="00000053"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Soares, M.R., Cameira, M.P., Abreu, P. and Pereira, M. (2024). </w:t>
      </w:r>
      <w:r w:rsidRPr="207BDC43" w:rsidR="004E0A4C">
        <w:rPr>
          <w:rFonts w:ascii="Arial" w:hAnsi="Arial" w:eastAsia="Arial" w:cs="Arial"/>
          <w:i w:val="1"/>
          <w:iCs w:val="1"/>
          <w:sz w:val="22"/>
          <w:szCs w:val="22"/>
          <w:lang w:val="en-US"/>
        </w:rPr>
        <w:t>Cultural Diversity and Mental Health Care: A Case Study - ProQuest</w:t>
      </w:r>
      <w:r w:rsidRPr="207BDC43" w:rsidR="004E0A4C">
        <w:rPr>
          <w:rFonts w:ascii="Arial" w:hAnsi="Arial" w:eastAsia="Arial" w:cs="Arial"/>
          <w:sz w:val="22"/>
          <w:szCs w:val="22"/>
          <w:lang w:val="en-US"/>
        </w:rPr>
        <w:t>. [online] Proquest.com. Available at: https://www.proquest.com/openview/06552dcee4aba7b79a68a3f034875413/1?pq-origsite=gscholar&amp;cbl=4933639.</w:t>
      </w:r>
    </w:p>
    <w:p w:rsidR="001279FE" w:rsidP="5F284CCA" w:rsidRDefault="004E0A4C" w14:paraId="00000054"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Taylor, A., Bleiker, J. and Hodgson, D. (2021). Compassionate communication: Keeping patients at the heart of practice in an advancing radiographic workforce. </w:t>
      </w:r>
      <w:r w:rsidRPr="207BDC43" w:rsidR="004E0A4C">
        <w:rPr>
          <w:rFonts w:ascii="Arial" w:hAnsi="Arial" w:eastAsia="Arial" w:cs="Arial"/>
          <w:i w:val="1"/>
          <w:iCs w:val="1"/>
          <w:sz w:val="22"/>
          <w:szCs w:val="22"/>
          <w:lang w:val="en-US"/>
        </w:rPr>
        <w:t>Radiography</w:t>
      </w:r>
      <w:r w:rsidRPr="207BDC43" w:rsidR="004E0A4C">
        <w:rPr>
          <w:rFonts w:ascii="Arial" w:hAnsi="Arial" w:eastAsia="Arial" w:cs="Arial"/>
          <w:sz w:val="22"/>
          <w:szCs w:val="22"/>
          <w:lang w:val="en-US"/>
        </w:rPr>
        <w:t>, [online] 27(1). doi:https://doi.org/10.1016/j.radi.2021.07.014.</w:t>
      </w:r>
    </w:p>
    <w:p w:rsidR="001279FE" w:rsidP="5F284CCA" w:rsidRDefault="004E0A4C" w14:paraId="00000055"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Towle, I.C., Gifford, A., Allinson, M. and White, S. (2024). Development of a framework of interpersonal communication skills for MPharm students: a UK eDelphi study. </w:t>
      </w:r>
      <w:r w:rsidRPr="207BDC43" w:rsidR="004E0A4C">
        <w:rPr>
          <w:rFonts w:ascii="Arial" w:hAnsi="Arial" w:eastAsia="Arial" w:cs="Arial"/>
          <w:i w:val="1"/>
          <w:iCs w:val="1"/>
          <w:sz w:val="22"/>
          <w:szCs w:val="22"/>
          <w:lang w:val="en-US"/>
        </w:rPr>
        <w:t>International Journal of Pharmacy Practice</w:t>
      </w:r>
      <w:r w:rsidRPr="207BDC43" w:rsidR="004E0A4C">
        <w:rPr>
          <w:rFonts w:ascii="Arial" w:hAnsi="Arial" w:eastAsia="Arial" w:cs="Arial"/>
          <w:sz w:val="22"/>
          <w:szCs w:val="22"/>
          <w:lang w:val="en-US"/>
        </w:rPr>
        <w:t>, 32(Supplement_2), pp.ii7–ii7. doi:https://doi.org/10.1093/ijpp/riae058.007.</w:t>
      </w:r>
    </w:p>
    <w:p w:rsidR="001279FE" w:rsidP="5F284CCA" w:rsidRDefault="004E0A4C" w14:paraId="00000056" w14:textId="77777777">
      <w:pPr>
        <w:spacing w:after="240" w:line="360" w:lineRule="auto"/>
        <w:rPr>
          <w:rFonts w:ascii="Arial" w:hAnsi="Arial" w:eastAsia="Arial" w:cs="Arial"/>
          <w:sz w:val="22"/>
          <w:szCs w:val="22"/>
          <w:lang w:val="en-US"/>
        </w:rPr>
      </w:pPr>
      <w:r w:rsidRPr="207BDC43" w:rsidR="004E0A4C">
        <w:rPr>
          <w:rFonts w:ascii="Arial" w:hAnsi="Arial" w:eastAsia="Arial" w:cs="Arial"/>
          <w:sz w:val="22"/>
          <w:szCs w:val="22"/>
          <w:lang w:val="en-US"/>
        </w:rPr>
        <w:t xml:space="preserve">Williamson, L.D., Cotter, L.M., Couch, B.L. and Herndon, G.K. (2025). The ecological model of communication in medical encounters: A scoping review. </w:t>
      </w:r>
      <w:r w:rsidRPr="207BDC43" w:rsidR="004E0A4C">
        <w:rPr>
          <w:rFonts w:ascii="Arial" w:hAnsi="Arial" w:eastAsia="Arial" w:cs="Arial"/>
          <w:i w:val="1"/>
          <w:iCs w:val="1"/>
          <w:sz w:val="22"/>
          <w:szCs w:val="22"/>
          <w:lang w:val="en-US"/>
        </w:rPr>
        <w:t>Patient Education and Counseling</w:t>
      </w:r>
      <w:r w:rsidRPr="207BDC43" w:rsidR="004E0A4C">
        <w:rPr>
          <w:rFonts w:ascii="Arial" w:hAnsi="Arial" w:eastAsia="Arial" w:cs="Arial"/>
          <w:sz w:val="22"/>
          <w:szCs w:val="22"/>
          <w:lang w:val="en-US"/>
        </w:rPr>
        <w:t>, [online] 134, p.108646. doi:https://doi.org/10.1016/j.pec.2025.108646.</w:t>
      </w:r>
    </w:p>
    <w:p w:rsidR="001279FE" w:rsidRDefault="001279FE" w14:paraId="00000057" w14:textId="77777777">
      <w:pPr>
        <w:spacing w:line="360" w:lineRule="auto"/>
        <w:rPr>
          <w:rFonts w:ascii="Arial" w:hAnsi="Arial" w:eastAsia="Arial" w:cs="Arial"/>
          <w:sz w:val="22"/>
          <w:szCs w:val="22"/>
        </w:rPr>
      </w:pPr>
    </w:p>
    <w:sectPr w:rsidR="001279FE">
      <w:footerReference w:type="default" r:id="rId6"/>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F0EEC" w:rsidP="005C41E2" w:rsidRDefault="008F0EEC" w14:paraId="447B8049" w14:textId="77777777">
      <w:pPr>
        <w:spacing w:after="0" w:line="240" w:lineRule="auto"/>
      </w:pPr>
      <w:r>
        <w:separator/>
      </w:r>
    </w:p>
  </w:endnote>
  <w:endnote w:type="continuationSeparator" w:id="0">
    <w:p w:rsidR="008F0EEC" w:rsidP="005C41E2" w:rsidRDefault="008F0EEC" w14:paraId="6DE4B5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embedRegular w:fontKey="{0AD3DE59-B70F-4111-8D08-FCE3D47CB597}" r:id="rId1"/>
    <w:embedItalic w:fontKey="{3D909C74-DF2E-4A7E-9810-55FAB017A83A}" r:id="rId2"/>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w:fontKey="{0FC69283-7DA9-844F-ABA4-DC67997909EC}" r:id="rI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C41E2" w:rsidRDefault="005C41E2" w14:paraId="13A21A2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F0EEC" w:rsidP="005C41E2" w:rsidRDefault="008F0EEC" w14:paraId="148C7FEB" w14:textId="77777777">
      <w:pPr>
        <w:spacing w:after="0" w:line="240" w:lineRule="auto"/>
      </w:pPr>
      <w:r>
        <w:separator/>
      </w:r>
    </w:p>
  </w:footnote>
  <w:footnote w:type="continuationSeparator" w:id="0">
    <w:p w:rsidR="008F0EEC" w:rsidP="005C41E2" w:rsidRDefault="008F0EEC" w14:paraId="395AC1DA"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9FE"/>
    <w:rsid w:val="001279FE"/>
    <w:rsid w:val="004E0A4C"/>
    <w:rsid w:val="0051093A"/>
    <w:rsid w:val="005B1646"/>
    <w:rsid w:val="005C41E2"/>
    <w:rsid w:val="008F0EEC"/>
    <w:rsid w:val="00A96E1B"/>
    <w:rsid w:val="00B356B0"/>
    <w:rsid w:val="00F94D67"/>
    <w:rsid w:val="1AFEE7C2"/>
    <w:rsid w:val="202B05E6"/>
    <w:rsid w:val="207BDC43"/>
    <w:rsid w:val="209ACA1E"/>
    <w:rsid w:val="4CE2C434"/>
    <w:rsid w:val="52B2AB28"/>
    <w:rsid w:val="53AB104D"/>
    <w:rsid w:val="59E83764"/>
    <w:rsid w:val="5F284CCA"/>
    <w:rsid w:val="633024A6"/>
    <w:rsid w:val="645615B5"/>
    <w:rsid w:val="6592417D"/>
    <w:rsid w:val="6EBF4BAA"/>
    <w:rsid w:val="6F66749A"/>
    <w:rsid w:val="7E54E1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8A0DA"/>
  <w15:docId w15:val="{006C868A-E742-4884-ADD2-719CD63C5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5C41E2"/>
    <w:pPr>
      <w:tabs>
        <w:tab w:val="center" w:pos="4680"/>
        <w:tab w:val="right" w:pos="9360"/>
      </w:tabs>
      <w:spacing w:after="0" w:line="240" w:lineRule="auto"/>
    </w:pPr>
  </w:style>
  <w:style w:type="character" w:styleId="HeaderChar" w:customStyle="1">
    <w:name w:val="Header Char"/>
    <w:basedOn w:val="DefaultParagraphFont"/>
    <w:link w:val="Header"/>
    <w:uiPriority w:val="99"/>
    <w:rsid w:val="005C41E2"/>
  </w:style>
  <w:style w:type="paragraph" w:styleId="Footer">
    <w:name w:val="footer"/>
    <w:basedOn w:val="Normal"/>
    <w:link w:val="FooterChar"/>
    <w:uiPriority w:val="99"/>
    <w:unhideWhenUsed/>
    <w:rsid w:val="005C41E2"/>
    <w:pPr>
      <w:tabs>
        <w:tab w:val="center" w:pos="4680"/>
        <w:tab w:val="right" w:pos="9360"/>
      </w:tabs>
      <w:spacing w:after="0" w:line="240" w:lineRule="auto"/>
    </w:pPr>
  </w:style>
  <w:style w:type="character" w:styleId="FooterChar" w:customStyle="1">
    <w:name w:val="Footer Char"/>
    <w:basedOn w:val="DefaultParagraphFont"/>
    <w:link w:val="Footer"/>
    <w:uiPriority w:val="99"/>
    <w:rsid w:val="005C4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Majdah Bi (2420112)</lastModifiedBy>
  <revision>5</revision>
  <dcterms:created xsi:type="dcterms:W3CDTF">2025-11-15T11:47:00.0000000Z</dcterms:created>
  <dcterms:modified xsi:type="dcterms:W3CDTF">2025-11-16T13:13:58.6984762Z</dcterms:modified>
</coreProperties>
</file>