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40BD" w:rsidRDefault="001540BD" w:rsidP="007C31F1">
      <w:pPr>
        <w:rPr>
          <w:rStyle w:val="Strong"/>
        </w:rPr>
      </w:pPr>
      <w:r>
        <w:rPr>
          <w:noProof/>
        </w:rPr>
        <w:drawing>
          <wp:anchor distT="0" distB="0" distL="114300" distR="114300" simplePos="0" relativeHeight="251658240" behindDoc="0" locked="0" layoutInCell="1" allowOverlap="1" wp14:anchorId="0BC5AC26">
            <wp:simplePos x="0" y="0"/>
            <wp:positionH relativeFrom="margin">
              <wp:align>right</wp:align>
            </wp:positionH>
            <wp:positionV relativeFrom="paragraph">
              <wp:posOffset>0</wp:posOffset>
            </wp:positionV>
            <wp:extent cx="5731510" cy="2293620"/>
            <wp:effectExtent l="0" t="0" r="2540" b="0"/>
            <wp:wrapSquare wrapText="bothSides"/>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2936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73D4" w:rsidRDefault="001540BD" w:rsidP="007C31F1">
      <w:pPr>
        <w:rPr>
          <w:rStyle w:val="Strong"/>
          <w:u w:val="single"/>
        </w:rPr>
      </w:pPr>
      <w:r w:rsidRPr="001540BD">
        <w:rPr>
          <w:rStyle w:val="Strong"/>
          <w:u w:val="single"/>
        </w:rPr>
        <w:t>HNC Advanced Manufacturing Operations</w:t>
      </w:r>
      <w:r w:rsidR="00D03BA4">
        <w:rPr>
          <w:rStyle w:val="Strong"/>
          <w:u w:val="single"/>
        </w:rPr>
        <w:t xml:space="preserve"> (Part-Time)</w:t>
      </w:r>
    </w:p>
    <w:p w:rsidR="001540BD" w:rsidRDefault="001540BD" w:rsidP="007C31F1">
      <w:pPr>
        <w:rPr>
          <w:rStyle w:val="Strong"/>
          <w:u w:val="single"/>
        </w:rPr>
      </w:pPr>
    </w:p>
    <w:p w:rsidR="00D03BA4" w:rsidRDefault="00D03BA4" w:rsidP="00D03BA4">
      <w:pPr>
        <w:rPr>
          <w:rStyle w:val="Strong"/>
          <w:b w:val="0"/>
        </w:rPr>
      </w:pPr>
      <w:r>
        <w:rPr>
          <w:rStyle w:val="Strong"/>
        </w:rPr>
        <w:t xml:space="preserve">Name: </w:t>
      </w:r>
      <w:r>
        <w:rPr>
          <w:rStyle w:val="Strong"/>
          <w:b w:val="0"/>
        </w:rPr>
        <w:t>Callum McGinty</w:t>
      </w:r>
    </w:p>
    <w:p w:rsidR="00D03BA4" w:rsidRPr="00D03BA4" w:rsidRDefault="00D03BA4" w:rsidP="00D03BA4">
      <w:pPr>
        <w:rPr>
          <w:rStyle w:val="Strong"/>
          <w:b w:val="0"/>
        </w:rPr>
      </w:pPr>
      <w:r>
        <w:rPr>
          <w:rStyle w:val="Strong"/>
        </w:rPr>
        <w:t xml:space="preserve">Student Identification: </w:t>
      </w:r>
      <w:r>
        <w:rPr>
          <w:rStyle w:val="Strong"/>
          <w:b w:val="0"/>
        </w:rPr>
        <w:t>1809107</w:t>
      </w:r>
    </w:p>
    <w:p w:rsidR="001540BD" w:rsidRDefault="001540BD" w:rsidP="007C31F1">
      <w:pPr>
        <w:rPr>
          <w:rStyle w:val="Strong"/>
          <w:b w:val="0"/>
        </w:rPr>
      </w:pPr>
      <w:r>
        <w:rPr>
          <w:rStyle w:val="Strong"/>
        </w:rPr>
        <w:t xml:space="preserve">Module Title: </w:t>
      </w:r>
      <w:r>
        <w:rPr>
          <w:rStyle w:val="Strong"/>
          <w:b w:val="0"/>
        </w:rPr>
        <w:t>Engineering Applications &amp; Study Skills</w:t>
      </w:r>
    </w:p>
    <w:p w:rsidR="001540BD" w:rsidRDefault="001540BD" w:rsidP="007C31F1">
      <w:pPr>
        <w:rPr>
          <w:rStyle w:val="Strong"/>
          <w:b w:val="0"/>
        </w:rPr>
      </w:pPr>
      <w:r>
        <w:rPr>
          <w:rStyle w:val="Strong"/>
        </w:rPr>
        <w:t xml:space="preserve">Module Code: </w:t>
      </w:r>
      <w:r>
        <w:rPr>
          <w:rStyle w:val="Strong"/>
          <w:b w:val="0"/>
        </w:rPr>
        <w:t>M4X02063</w:t>
      </w:r>
    </w:p>
    <w:p w:rsidR="001540BD" w:rsidRDefault="001540BD" w:rsidP="007C31F1">
      <w:pPr>
        <w:rPr>
          <w:rStyle w:val="Strong"/>
          <w:b w:val="0"/>
        </w:rPr>
      </w:pPr>
      <w:r w:rsidRPr="001540BD">
        <w:rPr>
          <w:rStyle w:val="Strong"/>
        </w:rPr>
        <w:t xml:space="preserve">Lecturer: </w:t>
      </w:r>
      <w:r>
        <w:rPr>
          <w:rStyle w:val="Strong"/>
          <w:b w:val="0"/>
        </w:rPr>
        <w:t>Dr Rachel Alexander</w:t>
      </w:r>
    </w:p>
    <w:p w:rsidR="001540BD" w:rsidRDefault="001540BD" w:rsidP="007C31F1">
      <w:pPr>
        <w:rPr>
          <w:rStyle w:val="Strong"/>
          <w:b w:val="0"/>
        </w:rPr>
      </w:pPr>
      <w:r>
        <w:rPr>
          <w:rStyle w:val="Strong"/>
        </w:rPr>
        <w:t xml:space="preserve">Due Date: </w:t>
      </w:r>
      <w:r>
        <w:rPr>
          <w:rStyle w:val="Strong"/>
          <w:b w:val="0"/>
        </w:rPr>
        <w:t>22.11.2019</w:t>
      </w:r>
    </w:p>
    <w:p w:rsidR="001540BD" w:rsidRPr="00663A55" w:rsidRDefault="001540BD" w:rsidP="007C31F1">
      <w:pPr>
        <w:rPr>
          <w:rStyle w:val="Strong"/>
          <w:b w:val="0"/>
        </w:rPr>
      </w:pPr>
      <w:r>
        <w:rPr>
          <w:rStyle w:val="Strong"/>
        </w:rPr>
        <w:t xml:space="preserve">Word Count: </w:t>
      </w:r>
      <w:r w:rsidR="00663A55">
        <w:rPr>
          <w:rStyle w:val="Strong"/>
          <w:b w:val="0"/>
        </w:rPr>
        <w:t>2,023</w:t>
      </w:r>
    </w:p>
    <w:p w:rsidR="001540BD" w:rsidRDefault="001540BD" w:rsidP="007C31F1">
      <w:pPr>
        <w:rPr>
          <w:rStyle w:val="Strong"/>
        </w:rPr>
      </w:pPr>
    </w:p>
    <w:p w:rsidR="00D03BA4" w:rsidRDefault="001540BD" w:rsidP="00D03BA4">
      <w:pPr>
        <w:rPr>
          <w:rStyle w:val="Strong"/>
        </w:rPr>
      </w:pPr>
      <w:r>
        <w:rPr>
          <w:rStyle w:val="Strong"/>
        </w:rPr>
        <w:t>Essay Title:</w:t>
      </w:r>
    </w:p>
    <w:p w:rsidR="001540BD" w:rsidRPr="001540BD" w:rsidRDefault="001540BD" w:rsidP="00D03BA4">
      <w:pPr>
        <w:rPr>
          <w:rStyle w:val="Strong"/>
          <w:b w:val="0"/>
        </w:rPr>
      </w:pPr>
      <w:r>
        <w:rPr>
          <w:rStyle w:val="Strong"/>
          <w:b w:val="0"/>
        </w:rPr>
        <w:t>‘A brief examination of</w:t>
      </w:r>
      <w:r w:rsidR="007A73D4">
        <w:rPr>
          <w:rStyle w:val="Strong"/>
          <w:b w:val="0"/>
        </w:rPr>
        <w:t xml:space="preserve"> the</w:t>
      </w:r>
      <w:r>
        <w:rPr>
          <w:rStyle w:val="Strong"/>
          <w:b w:val="0"/>
        </w:rPr>
        <w:t xml:space="preserve"> </w:t>
      </w:r>
      <w:r w:rsidR="00164990">
        <w:rPr>
          <w:rStyle w:val="Strong"/>
          <w:b w:val="0"/>
        </w:rPr>
        <w:t>implementation</w:t>
      </w:r>
      <w:r w:rsidR="007A73D4">
        <w:rPr>
          <w:rStyle w:val="Strong"/>
          <w:b w:val="0"/>
        </w:rPr>
        <w:t xml:space="preserve"> of</w:t>
      </w:r>
      <w:r>
        <w:rPr>
          <w:rStyle w:val="Strong"/>
          <w:b w:val="0"/>
        </w:rPr>
        <w:t xml:space="preserve"> safe practice when dealing with Welding Fumes within the manufacturing process</w:t>
      </w:r>
      <w:r w:rsidR="00D03BA4">
        <w:rPr>
          <w:rStyle w:val="Strong"/>
          <w:b w:val="0"/>
        </w:rPr>
        <w:t>’</w:t>
      </w:r>
    </w:p>
    <w:p w:rsidR="001540BD" w:rsidRDefault="001540BD" w:rsidP="007C31F1">
      <w:pPr>
        <w:rPr>
          <w:rStyle w:val="Strong"/>
        </w:rPr>
      </w:pPr>
    </w:p>
    <w:p w:rsidR="00D03BA4" w:rsidRPr="00D03BA4" w:rsidRDefault="00D03BA4" w:rsidP="00D03BA4"/>
    <w:p w:rsidR="00D03BA4" w:rsidRPr="00D03BA4" w:rsidRDefault="00D03BA4" w:rsidP="00D03BA4"/>
    <w:p w:rsidR="00D03BA4" w:rsidRPr="00D03BA4" w:rsidRDefault="00D03BA4" w:rsidP="00D03BA4"/>
    <w:p w:rsidR="00D03BA4" w:rsidRPr="00D03BA4" w:rsidRDefault="00D03BA4" w:rsidP="00D03BA4"/>
    <w:p w:rsidR="00D03BA4" w:rsidRPr="00D03BA4" w:rsidRDefault="00D03BA4" w:rsidP="00D03BA4"/>
    <w:p w:rsidR="00D03BA4" w:rsidRPr="00D03BA4" w:rsidRDefault="00D03BA4" w:rsidP="00D03BA4"/>
    <w:p w:rsidR="00D03BA4" w:rsidRPr="00D03BA4" w:rsidRDefault="00D03BA4" w:rsidP="00D03BA4"/>
    <w:p w:rsidR="00D03BA4" w:rsidRPr="00D03BA4" w:rsidRDefault="00D03BA4" w:rsidP="00D03BA4"/>
    <w:p w:rsidR="00D03BA4" w:rsidRDefault="00D03BA4" w:rsidP="00D03BA4">
      <w:pPr>
        <w:tabs>
          <w:tab w:val="left" w:pos="7260"/>
        </w:tabs>
      </w:pPr>
      <w:r>
        <w:tab/>
      </w:r>
    </w:p>
    <w:p w:rsidR="00D03BA4" w:rsidRDefault="00D03BA4" w:rsidP="00336D98">
      <w:pPr>
        <w:tabs>
          <w:tab w:val="left" w:pos="7260"/>
        </w:tabs>
        <w:rPr>
          <w:b/>
          <w:u w:val="single"/>
        </w:rPr>
      </w:pPr>
      <w:r w:rsidRPr="00D03BA4">
        <w:rPr>
          <w:b/>
          <w:u w:val="single"/>
        </w:rPr>
        <w:lastRenderedPageBreak/>
        <w:t>ABSTRACT</w:t>
      </w:r>
    </w:p>
    <w:p w:rsidR="00D03BA4" w:rsidRDefault="00E54172" w:rsidP="00336D98">
      <w:pPr>
        <w:tabs>
          <w:tab w:val="left" w:pos="7260"/>
        </w:tabs>
      </w:pPr>
      <w:r>
        <w:t>In February 2019, the Health &amp; Safety Executive (HSE), in line with COSHH (Control of Substances Hazardous to Health) Regulation 7, issued a bulletin to industry advising that they would be strengthening their enforcement action around the management of welding fumes</w:t>
      </w:r>
      <w:r w:rsidR="00672E98">
        <w:t xml:space="preserve"> within the workplace</w:t>
      </w:r>
      <w:r>
        <w:t>. As stated in an earlier IARC (International Agency for Research into Cancer) report, there is now considered no safe level of exposure to any and all forms of welding fume</w:t>
      </w:r>
      <w:r w:rsidR="00B5011B">
        <w:t>. A</w:t>
      </w:r>
      <w:r>
        <w:t xml:space="preserve">s such, fumes and UV radiation originating from welding activities have now been reclassified as Grade One human carcinogens. Subsequently, manufacturing industries within the United Kingdom are now faced </w:t>
      </w:r>
      <w:r w:rsidR="00672E98">
        <w:t>with the task of developing stringent operational, maintenance, and safety regimes to meet the criteria set out by the new legislation. This report hopes to provide a brief outline of three key aspects relating to these changes, namely</w:t>
      </w:r>
      <w:r w:rsidR="000D501D">
        <w:t>;</w:t>
      </w:r>
      <w:r w:rsidR="00672E98">
        <w:t xml:space="preserve"> the health concerns relating to prolonged exposure to fumes, the details contained within the HSE’s guidelines, and finally, the methods available to facilitate the conditions deemed as ‘safe’ by the competent </w:t>
      </w:r>
      <w:r w:rsidR="00B5011B">
        <w:t>a</w:t>
      </w:r>
      <w:r w:rsidR="00672E98">
        <w:t>uthority.</w:t>
      </w:r>
    </w:p>
    <w:p w:rsidR="00B5011B" w:rsidRDefault="00B5011B" w:rsidP="00B5011B">
      <w:pPr>
        <w:tabs>
          <w:tab w:val="left" w:pos="7260"/>
        </w:tabs>
        <w:jc w:val="center"/>
      </w:pPr>
    </w:p>
    <w:p w:rsidR="00B5011B" w:rsidRDefault="00B5011B" w:rsidP="00B5011B">
      <w:pPr>
        <w:tabs>
          <w:tab w:val="left" w:pos="7260"/>
        </w:tabs>
        <w:jc w:val="center"/>
      </w:pPr>
    </w:p>
    <w:p w:rsidR="00B5011B" w:rsidRDefault="00B5011B" w:rsidP="00B5011B">
      <w:pPr>
        <w:tabs>
          <w:tab w:val="left" w:pos="7260"/>
        </w:tabs>
        <w:jc w:val="center"/>
      </w:pPr>
    </w:p>
    <w:p w:rsidR="00B5011B" w:rsidRDefault="00B5011B" w:rsidP="00B5011B">
      <w:pPr>
        <w:tabs>
          <w:tab w:val="left" w:pos="7260"/>
        </w:tabs>
        <w:jc w:val="center"/>
      </w:pPr>
    </w:p>
    <w:p w:rsidR="00B5011B" w:rsidRDefault="00B5011B" w:rsidP="00B5011B">
      <w:pPr>
        <w:tabs>
          <w:tab w:val="left" w:pos="7260"/>
        </w:tabs>
        <w:jc w:val="center"/>
      </w:pPr>
    </w:p>
    <w:p w:rsidR="00B5011B" w:rsidRDefault="00B5011B" w:rsidP="00B5011B">
      <w:pPr>
        <w:tabs>
          <w:tab w:val="left" w:pos="7260"/>
        </w:tabs>
        <w:jc w:val="center"/>
      </w:pPr>
    </w:p>
    <w:p w:rsidR="00B5011B" w:rsidRDefault="00B5011B" w:rsidP="00B5011B">
      <w:pPr>
        <w:tabs>
          <w:tab w:val="left" w:pos="7260"/>
        </w:tabs>
        <w:jc w:val="center"/>
      </w:pPr>
    </w:p>
    <w:p w:rsidR="00B5011B" w:rsidRDefault="00B5011B" w:rsidP="00B5011B">
      <w:pPr>
        <w:tabs>
          <w:tab w:val="left" w:pos="7260"/>
        </w:tabs>
        <w:jc w:val="center"/>
      </w:pPr>
    </w:p>
    <w:p w:rsidR="00B5011B" w:rsidRDefault="00B5011B" w:rsidP="00B5011B">
      <w:pPr>
        <w:tabs>
          <w:tab w:val="left" w:pos="7260"/>
        </w:tabs>
        <w:jc w:val="center"/>
      </w:pPr>
    </w:p>
    <w:p w:rsidR="00B5011B" w:rsidRDefault="00B5011B" w:rsidP="00B5011B">
      <w:pPr>
        <w:tabs>
          <w:tab w:val="left" w:pos="7260"/>
        </w:tabs>
        <w:jc w:val="center"/>
      </w:pPr>
    </w:p>
    <w:p w:rsidR="00B5011B" w:rsidRDefault="00B5011B" w:rsidP="00B5011B">
      <w:pPr>
        <w:tabs>
          <w:tab w:val="left" w:pos="7260"/>
        </w:tabs>
        <w:jc w:val="center"/>
      </w:pPr>
    </w:p>
    <w:p w:rsidR="00B5011B" w:rsidRDefault="00B5011B" w:rsidP="00B5011B">
      <w:pPr>
        <w:tabs>
          <w:tab w:val="left" w:pos="7260"/>
        </w:tabs>
        <w:jc w:val="center"/>
      </w:pPr>
    </w:p>
    <w:p w:rsidR="00B5011B" w:rsidRDefault="00B5011B" w:rsidP="00B5011B">
      <w:pPr>
        <w:tabs>
          <w:tab w:val="left" w:pos="7260"/>
        </w:tabs>
        <w:jc w:val="center"/>
      </w:pPr>
    </w:p>
    <w:p w:rsidR="00B5011B" w:rsidRDefault="00B5011B" w:rsidP="00B5011B">
      <w:pPr>
        <w:tabs>
          <w:tab w:val="left" w:pos="7260"/>
        </w:tabs>
        <w:jc w:val="center"/>
      </w:pPr>
    </w:p>
    <w:p w:rsidR="00B5011B" w:rsidRDefault="00B5011B" w:rsidP="00B5011B">
      <w:pPr>
        <w:tabs>
          <w:tab w:val="left" w:pos="7260"/>
        </w:tabs>
        <w:jc w:val="center"/>
      </w:pPr>
    </w:p>
    <w:p w:rsidR="00B5011B" w:rsidRDefault="00B5011B" w:rsidP="00B5011B">
      <w:pPr>
        <w:tabs>
          <w:tab w:val="left" w:pos="7260"/>
        </w:tabs>
        <w:jc w:val="center"/>
      </w:pPr>
    </w:p>
    <w:p w:rsidR="00B5011B" w:rsidRDefault="00B5011B" w:rsidP="00B5011B">
      <w:pPr>
        <w:tabs>
          <w:tab w:val="left" w:pos="7260"/>
        </w:tabs>
        <w:jc w:val="center"/>
      </w:pPr>
    </w:p>
    <w:p w:rsidR="00B5011B" w:rsidRDefault="00B5011B" w:rsidP="00B5011B">
      <w:pPr>
        <w:tabs>
          <w:tab w:val="left" w:pos="7260"/>
        </w:tabs>
        <w:jc w:val="center"/>
      </w:pPr>
    </w:p>
    <w:p w:rsidR="00B5011B" w:rsidRDefault="00B5011B" w:rsidP="00B5011B">
      <w:pPr>
        <w:tabs>
          <w:tab w:val="left" w:pos="7260"/>
        </w:tabs>
        <w:jc w:val="center"/>
      </w:pPr>
    </w:p>
    <w:p w:rsidR="00B5011B" w:rsidRDefault="00B5011B" w:rsidP="00B5011B">
      <w:pPr>
        <w:tabs>
          <w:tab w:val="left" w:pos="7260"/>
        </w:tabs>
        <w:jc w:val="center"/>
      </w:pPr>
    </w:p>
    <w:p w:rsidR="00B5011B" w:rsidRDefault="00B5011B" w:rsidP="00B5011B">
      <w:pPr>
        <w:tabs>
          <w:tab w:val="left" w:pos="7260"/>
        </w:tabs>
        <w:jc w:val="center"/>
      </w:pPr>
    </w:p>
    <w:p w:rsidR="00B5011B" w:rsidRDefault="00B5011B" w:rsidP="00B5011B">
      <w:pPr>
        <w:tabs>
          <w:tab w:val="left" w:pos="7260"/>
        </w:tabs>
        <w:jc w:val="center"/>
      </w:pPr>
    </w:p>
    <w:p w:rsidR="00B5011B" w:rsidRDefault="00B5011B" w:rsidP="00B5011B">
      <w:pPr>
        <w:tabs>
          <w:tab w:val="left" w:pos="7260"/>
        </w:tabs>
        <w:jc w:val="center"/>
      </w:pPr>
    </w:p>
    <w:p w:rsidR="00B5011B" w:rsidRDefault="00B5011B" w:rsidP="00336D98">
      <w:pPr>
        <w:tabs>
          <w:tab w:val="left" w:pos="7260"/>
        </w:tabs>
        <w:rPr>
          <w:b/>
          <w:u w:val="single"/>
        </w:rPr>
      </w:pPr>
      <w:r w:rsidRPr="00B5011B">
        <w:rPr>
          <w:b/>
          <w:u w:val="single"/>
        </w:rPr>
        <w:lastRenderedPageBreak/>
        <w:t>CONTENTS</w:t>
      </w:r>
    </w:p>
    <w:p w:rsidR="00B5011B" w:rsidRDefault="00B5011B" w:rsidP="00B5011B">
      <w:pPr>
        <w:tabs>
          <w:tab w:val="left" w:pos="7260"/>
        </w:tabs>
        <w:jc w:val="center"/>
        <w:rPr>
          <w:b/>
          <w:u w:val="single"/>
        </w:rPr>
      </w:pPr>
    </w:p>
    <w:p w:rsidR="00B5011B" w:rsidRDefault="00B5011B" w:rsidP="00336D98">
      <w:pPr>
        <w:tabs>
          <w:tab w:val="left" w:pos="7260"/>
        </w:tabs>
      </w:pPr>
      <w:r>
        <w:t xml:space="preserve">Introduction … </w:t>
      </w:r>
      <w:r w:rsidRPr="00B5011B">
        <w:rPr>
          <w:b/>
        </w:rPr>
        <w:t>p.</w:t>
      </w:r>
      <w:r w:rsidR="00DF7445">
        <w:rPr>
          <w:b/>
        </w:rPr>
        <w:t xml:space="preserve"> 4</w:t>
      </w:r>
    </w:p>
    <w:p w:rsidR="00B5011B" w:rsidRDefault="00B5011B" w:rsidP="00336D98">
      <w:pPr>
        <w:tabs>
          <w:tab w:val="left" w:pos="7260"/>
        </w:tabs>
      </w:pPr>
      <w:r>
        <w:t xml:space="preserve">The Health Concerns … </w:t>
      </w:r>
      <w:r w:rsidRPr="00B5011B">
        <w:rPr>
          <w:b/>
        </w:rPr>
        <w:t>p.</w:t>
      </w:r>
      <w:r w:rsidR="00FF69EE">
        <w:rPr>
          <w:b/>
        </w:rPr>
        <w:t xml:space="preserve"> 5</w:t>
      </w:r>
    </w:p>
    <w:p w:rsidR="00B5011B" w:rsidRDefault="00B5011B" w:rsidP="00336D98">
      <w:pPr>
        <w:tabs>
          <w:tab w:val="left" w:pos="7260"/>
        </w:tabs>
      </w:pPr>
      <w:r>
        <w:t xml:space="preserve">What Does the Legislation Say? … </w:t>
      </w:r>
      <w:r w:rsidRPr="00B5011B">
        <w:rPr>
          <w:b/>
        </w:rPr>
        <w:t>p.</w:t>
      </w:r>
      <w:r w:rsidR="00465E10">
        <w:rPr>
          <w:b/>
        </w:rPr>
        <w:t xml:space="preserve"> 6</w:t>
      </w:r>
    </w:p>
    <w:p w:rsidR="00B5011B" w:rsidRDefault="00B5011B" w:rsidP="00336D98">
      <w:pPr>
        <w:tabs>
          <w:tab w:val="left" w:pos="7260"/>
        </w:tabs>
      </w:pPr>
      <w:r>
        <w:t xml:space="preserve">Implementing Change … </w:t>
      </w:r>
      <w:r w:rsidRPr="00B5011B">
        <w:rPr>
          <w:b/>
        </w:rPr>
        <w:t>p.</w:t>
      </w:r>
      <w:r w:rsidR="00851CC6">
        <w:rPr>
          <w:b/>
        </w:rPr>
        <w:t xml:space="preserve"> 7</w:t>
      </w:r>
    </w:p>
    <w:p w:rsidR="00B5011B" w:rsidRDefault="00B5011B" w:rsidP="00336D98">
      <w:pPr>
        <w:tabs>
          <w:tab w:val="left" w:pos="7260"/>
        </w:tabs>
      </w:pPr>
      <w:r>
        <w:t xml:space="preserve">Closing Remarks … </w:t>
      </w:r>
      <w:r w:rsidRPr="00B5011B">
        <w:rPr>
          <w:b/>
        </w:rPr>
        <w:t>p.</w:t>
      </w:r>
      <w:r w:rsidR="0058710B">
        <w:rPr>
          <w:b/>
        </w:rPr>
        <w:t xml:space="preserve"> 9</w:t>
      </w:r>
    </w:p>
    <w:p w:rsidR="00B5011B" w:rsidRDefault="00B5011B" w:rsidP="00336D98">
      <w:pPr>
        <w:tabs>
          <w:tab w:val="left" w:pos="7260"/>
        </w:tabs>
        <w:rPr>
          <w:b/>
        </w:rPr>
      </w:pPr>
      <w:r>
        <w:t xml:space="preserve">Bibliography … </w:t>
      </w:r>
      <w:r w:rsidRPr="00B5011B">
        <w:rPr>
          <w:b/>
        </w:rPr>
        <w:t>p.</w:t>
      </w:r>
      <w:r w:rsidR="0058710B">
        <w:rPr>
          <w:b/>
        </w:rPr>
        <w:t xml:space="preserve"> 10</w:t>
      </w:r>
    </w:p>
    <w:p w:rsidR="00B14AB9" w:rsidRDefault="00B14AB9" w:rsidP="00B5011B">
      <w:pPr>
        <w:tabs>
          <w:tab w:val="left" w:pos="7260"/>
        </w:tabs>
        <w:jc w:val="center"/>
        <w:rPr>
          <w:b/>
        </w:rPr>
      </w:pPr>
    </w:p>
    <w:p w:rsidR="00B14AB9" w:rsidRDefault="00B14AB9" w:rsidP="00B5011B">
      <w:pPr>
        <w:tabs>
          <w:tab w:val="left" w:pos="7260"/>
        </w:tabs>
        <w:jc w:val="center"/>
        <w:rPr>
          <w:b/>
        </w:rPr>
      </w:pPr>
    </w:p>
    <w:p w:rsidR="00B14AB9" w:rsidRDefault="00B14AB9" w:rsidP="00B5011B">
      <w:pPr>
        <w:tabs>
          <w:tab w:val="left" w:pos="7260"/>
        </w:tabs>
        <w:jc w:val="center"/>
        <w:rPr>
          <w:b/>
        </w:rPr>
      </w:pPr>
    </w:p>
    <w:p w:rsidR="00B14AB9" w:rsidRDefault="00B14AB9" w:rsidP="00B5011B">
      <w:pPr>
        <w:tabs>
          <w:tab w:val="left" w:pos="7260"/>
        </w:tabs>
        <w:jc w:val="center"/>
        <w:rPr>
          <w:b/>
        </w:rPr>
      </w:pPr>
    </w:p>
    <w:p w:rsidR="00B14AB9" w:rsidRDefault="00B14AB9" w:rsidP="00B5011B">
      <w:pPr>
        <w:tabs>
          <w:tab w:val="left" w:pos="7260"/>
        </w:tabs>
        <w:jc w:val="center"/>
        <w:rPr>
          <w:b/>
        </w:rPr>
      </w:pPr>
    </w:p>
    <w:p w:rsidR="00B14AB9" w:rsidRDefault="00B14AB9" w:rsidP="00B5011B">
      <w:pPr>
        <w:tabs>
          <w:tab w:val="left" w:pos="7260"/>
        </w:tabs>
        <w:jc w:val="center"/>
        <w:rPr>
          <w:b/>
        </w:rPr>
      </w:pPr>
    </w:p>
    <w:p w:rsidR="00B14AB9" w:rsidRDefault="00B14AB9" w:rsidP="00B5011B">
      <w:pPr>
        <w:tabs>
          <w:tab w:val="left" w:pos="7260"/>
        </w:tabs>
        <w:jc w:val="center"/>
        <w:rPr>
          <w:b/>
        </w:rPr>
      </w:pPr>
    </w:p>
    <w:p w:rsidR="00B14AB9" w:rsidRDefault="00B14AB9" w:rsidP="00B5011B">
      <w:pPr>
        <w:tabs>
          <w:tab w:val="left" w:pos="7260"/>
        </w:tabs>
        <w:jc w:val="center"/>
        <w:rPr>
          <w:b/>
        </w:rPr>
      </w:pPr>
    </w:p>
    <w:p w:rsidR="00B14AB9" w:rsidRDefault="00B14AB9" w:rsidP="00B5011B">
      <w:pPr>
        <w:tabs>
          <w:tab w:val="left" w:pos="7260"/>
        </w:tabs>
        <w:jc w:val="center"/>
        <w:rPr>
          <w:b/>
        </w:rPr>
      </w:pPr>
    </w:p>
    <w:p w:rsidR="00B14AB9" w:rsidRDefault="00B14AB9" w:rsidP="00B5011B">
      <w:pPr>
        <w:tabs>
          <w:tab w:val="left" w:pos="7260"/>
        </w:tabs>
        <w:jc w:val="center"/>
        <w:rPr>
          <w:b/>
        </w:rPr>
      </w:pPr>
    </w:p>
    <w:p w:rsidR="00B14AB9" w:rsidRDefault="00B14AB9" w:rsidP="00B5011B">
      <w:pPr>
        <w:tabs>
          <w:tab w:val="left" w:pos="7260"/>
        </w:tabs>
        <w:jc w:val="center"/>
        <w:rPr>
          <w:b/>
        </w:rPr>
      </w:pPr>
    </w:p>
    <w:p w:rsidR="00B14AB9" w:rsidRDefault="00B14AB9" w:rsidP="00B5011B">
      <w:pPr>
        <w:tabs>
          <w:tab w:val="left" w:pos="7260"/>
        </w:tabs>
        <w:jc w:val="center"/>
        <w:rPr>
          <w:b/>
        </w:rPr>
      </w:pPr>
    </w:p>
    <w:p w:rsidR="00B14AB9" w:rsidRDefault="00B14AB9" w:rsidP="00B5011B">
      <w:pPr>
        <w:tabs>
          <w:tab w:val="left" w:pos="7260"/>
        </w:tabs>
        <w:jc w:val="center"/>
        <w:rPr>
          <w:b/>
        </w:rPr>
      </w:pPr>
    </w:p>
    <w:p w:rsidR="00B14AB9" w:rsidRDefault="00B14AB9" w:rsidP="00B5011B">
      <w:pPr>
        <w:tabs>
          <w:tab w:val="left" w:pos="7260"/>
        </w:tabs>
        <w:jc w:val="center"/>
        <w:rPr>
          <w:b/>
        </w:rPr>
      </w:pPr>
    </w:p>
    <w:p w:rsidR="00B14AB9" w:rsidRDefault="00B14AB9" w:rsidP="00B5011B">
      <w:pPr>
        <w:tabs>
          <w:tab w:val="left" w:pos="7260"/>
        </w:tabs>
        <w:jc w:val="center"/>
        <w:rPr>
          <w:b/>
        </w:rPr>
      </w:pPr>
    </w:p>
    <w:p w:rsidR="00B14AB9" w:rsidRDefault="00B14AB9" w:rsidP="00B5011B">
      <w:pPr>
        <w:tabs>
          <w:tab w:val="left" w:pos="7260"/>
        </w:tabs>
        <w:jc w:val="center"/>
        <w:rPr>
          <w:b/>
        </w:rPr>
      </w:pPr>
    </w:p>
    <w:p w:rsidR="00B14AB9" w:rsidRDefault="00B14AB9" w:rsidP="00B5011B">
      <w:pPr>
        <w:tabs>
          <w:tab w:val="left" w:pos="7260"/>
        </w:tabs>
        <w:jc w:val="center"/>
        <w:rPr>
          <w:b/>
        </w:rPr>
      </w:pPr>
    </w:p>
    <w:p w:rsidR="00B14AB9" w:rsidRDefault="00B14AB9" w:rsidP="00B5011B">
      <w:pPr>
        <w:tabs>
          <w:tab w:val="left" w:pos="7260"/>
        </w:tabs>
        <w:jc w:val="center"/>
        <w:rPr>
          <w:b/>
        </w:rPr>
      </w:pPr>
    </w:p>
    <w:p w:rsidR="00B14AB9" w:rsidRDefault="00B14AB9" w:rsidP="00B5011B">
      <w:pPr>
        <w:tabs>
          <w:tab w:val="left" w:pos="7260"/>
        </w:tabs>
        <w:jc w:val="center"/>
        <w:rPr>
          <w:b/>
        </w:rPr>
      </w:pPr>
    </w:p>
    <w:p w:rsidR="00B14AB9" w:rsidRDefault="00B14AB9" w:rsidP="00B5011B">
      <w:pPr>
        <w:tabs>
          <w:tab w:val="left" w:pos="7260"/>
        </w:tabs>
        <w:jc w:val="center"/>
        <w:rPr>
          <w:b/>
        </w:rPr>
      </w:pPr>
    </w:p>
    <w:p w:rsidR="00B14AB9" w:rsidRDefault="00B14AB9" w:rsidP="00B5011B">
      <w:pPr>
        <w:tabs>
          <w:tab w:val="left" w:pos="7260"/>
        </w:tabs>
        <w:jc w:val="center"/>
        <w:rPr>
          <w:b/>
        </w:rPr>
      </w:pPr>
    </w:p>
    <w:p w:rsidR="00B14AB9" w:rsidRDefault="00B14AB9" w:rsidP="00B5011B">
      <w:pPr>
        <w:tabs>
          <w:tab w:val="left" w:pos="7260"/>
        </w:tabs>
        <w:jc w:val="center"/>
        <w:rPr>
          <w:b/>
        </w:rPr>
      </w:pPr>
    </w:p>
    <w:p w:rsidR="00B14AB9" w:rsidRDefault="00B14AB9" w:rsidP="00B5011B">
      <w:pPr>
        <w:tabs>
          <w:tab w:val="left" w:pos="7260"/>
        </w:tabs>
        <w:jc w:val="center"/>
        <w:rPr>
          <w:b/>
        </w:rPr>
      </w:pPr>
    </w:p>
    <w:p w:rsidR="00B14AB9" w:rsidRDefault="00B14AB9" w:rsidP="00B5011B">
      <w:pPr>
        <w:tabs>
          <w:tab w:val="left" w:pos="7260"/>
        </w:tabs>
        <w:jc w:val="center"/>
        <w:rPr>
          <w:b/>
        </w:rPr>
      </w:pPr>
    </w:p>
    <w:p w:rsidR="00B14AB9" w:rsidRDefault="00B14AB9" w:rsidP="00336D98">
      <w:pPr>
        <w:tabs>
          <w:tab w:val="left" w:pos="7260"/>
        </w:tabs>
        <w:rPr>
          <w:b/>
          <w:u w:val="single"/>
        </w:rPr>
      </w:pPr>
      <w:r w:rsidRPr="00B14AB9">
        <w:rPr>
          <w:b/>
          <w:u w:val="single"/>
        </w:rPr>
        <w:lastRenderedPageBreak/>
        <w:t>INTRODUCTION</w:t>
      </w:r>
    </w:p>
    <w:p w:rsidR="002A3C91" w:rsidRDefault="0004377E" w:rsidP="00336D98">
      <w:pPr>
        <w:tabs>
          <w:tab w:val="left" w:pos="7260"/>
        </w:tabs>
      </w:pPr>
      <w:r>
        <w:t>Welding</w:t>
      </w:r>
      <w:r w:rsidR="005235E7">
        <w:t xml:space="preserve"> </w:t>
      </w:r>
      <w:r>
        <w:t xml:space="preserve">and other associated ‘Hot Works’, as defined by the Health &amp; Safety Executive, form a fundamental </w:t>
      </w:r>
      <w:r w:rsidR="005235E7">
        <w:t>aspect of modern manufacturing pr</w:t>
      </w:r>
      <w:r w:rsidR="0068596B">
        <w:t>ocesses</w:t>
      </w:r>
      <w:r w:rsidR="005235E7">
        <w:t>. The pr</w:t>
      </w:r>
      <w:r w:rsidR="0068596B">
        <w:t>actice</w:t>
      </w:r>
      <w:r w:rsidR="005235E7">
        <w:t xml:space="preserve">, which can take multiple guises (Submerged Arc, Flame Cutting, Arc Gouging etc.), is generally considered to concern the joining of two or more composite metals together by use of high temperatures. The International Agency for Research into Cancer (IARC) </w:t>
      </w:r>
      <w:r w:rsidR="003B581F">
        <w:t>estimates there are some eleven million active welders employed globally, with up to approximately one-hundred-and-ten million further workers worldwide who may incur welding-related exposure within the workplace; this accounts for 3% of the worldwide economically active population.</w:t>
      </w:r>
      <w:r w:rsidR="003B581F">
        <w:rPr>
          <w:rStyle w:val="FootnoteReference"/>
        </w:rPr>
        <w:footnoteReference w:id="1"/>
      </w:r>
      <w:r w:rsidR="003B581F">
        <w:t xml:space="preserve"> </w:t>
      </w:r>
      <w:r w:rsidR="002A3C91">
        <w:t>Such figures go a long way in establishing why safe practice around welding activities receives such attention, not just here in the United Kingdom, but throughout Europe and the wider world. Recent studies carried out by the IARC have proven that there is an intrinsic link between welding activities and the health of our welders; not only in terms of cancer risk, but also a whole host of alternative serious, long-term debilitating illnesses.</w:t>
      </w:r>
      <w:r w:rsidR="0068596B">
        <w:rPr>
          <w:rStyle w:val="FootnoteReference"/>
        </w:rPr>
        <w:footnoteReference w:id="2"/>
      </w:r>
      <w:r w:rsidR="002A3C91">
        <w:t xml:space="preserve"> Subsequently, legislators have relaunched programmes covering the means by which we control the hazards associated with the practice, with by-product fumes the primary cause for concern.</w:t>
      </w:r>
      <w:r w:rsidR="0068596B">
        <w:t xml:space="preserve"> Whilst literature concerning the subject is indecisive </w:t>
      </w:r>
      <w:proofErr w:type="gramStart"/>
      <w:r w:rsidR="0068596B">
        <w:t>in regards to</w:t>
      </w:r>
      <w:proofErr w:type="gramEnd"/>
      <w:r w:rsidR="0068596B">
        <w:t xml:space="preserve"> the extent to which welding fumes can negatively affect ones wellbeing, independent findings and research do </w:t>
      </w:r>
      <w:r w:rsidR="00830114">
        <w:t xml:space="preserve">generally </w:t>
      </w:r>
      <w:r w:rsidR="0068596B">
        <w:t xml:space="preserve">support the hypothesis put forward by the IARC. </w:t>
      </w:r>
    </w:p>
    <w:p w:rsidR="0004377E" w:rsidRDefault="003F544B" w:rsidP="00336D98">
      <w:pPr>
        <w:tabs>
          <w:tab w:val="left" w:pos="7260"/>
        </w:tabs>
      </w:pPr>
      <w:r>
        <w:t xml:space="preserve">Most welding is carried out on </w:t>
      </w:r>
      <w:r w:rsidR="002A3C91">
        <w:t xml:space="preserve">two </w:t>
      </w:r>
      <w:proofErr w:type="gramStart"/>
      <w:r w:rsidR="002A3C91">
        <w:t>particular types</w:t>
      </w:r>
      <w:proofErr w:type="gramEnd"/>
      <w:r w:rsidR="002A3C91">
        <w:t xml:space="preserve"> of steel – stainless and mild (mild steel being a steel compound with a low carbon content), and, as such, this report will be primarily focussed upon fumes related to operating on these materials.</w:t>
      </w:r>
      <w:r w:rsidR="0068596B">
        <w:t xml:space="preserve"> The first chapter will examine those findings of the IARC, as well as provide a brief overview of </w:t>
      </w:r>
      <w:r w:rsidR="00830114">
        <w:t xml:space="preserve">further research </w:t>
      </w:r>
      <w:r w:rsidR="0068596B">
        <w:t xml:space="preserve">published by </w:t>
      </w:r>
      <w:r w:rsidR="00FF69EE">
        <w:t xml:space="preserve">other sources, before moving on to discuss the new legislative guidelines issued earlier in 2019. Finally, the closing chapter will examine what options are available to employers in terms of welding fume control measures. </w:t>
      </w:r>
    </w:p>
    <w:p w:rsidR="00830114" w:rsidRPr="00830114" w:rsidRDefault="00830114" w:rsidP="00336D98"/>
    <w:p w:rsidR="00830114" w:rsidRPr="00830114" w:rsidRDefault="00830114" w:rsidP="00336D98"/>
    <w:p w:rsidR="00830114" w:rsidRPr="00830114" w:rsidRDefault="00830114" w:rsidP="00830114"/>
    <w:p w:rsidR="00830114" w:rsidRPr="00830114" w:rsidRDefault="00830114" w:rsidP="00830114"/>
    <w:p w:rsidR="00830114" w:rsidRPr="00830114" w:rsidRDefault="00830114" w:rsidP="00830114"/>
    <w:p w:rsidR="00830114" w:rsidRPr="00830114" w:rsidRDefault="00830114" w:rsidP="00830114"/>
    <w:p w:rsidR="00830114" w:rsidRPr="00830114" w:rsidRDefault="00830114" w:rsidP="00830114"/>
    <w:p w:rsidR="00830114" w:rsidRPr="00830114" w:rsidRDefault="00830114" w:rsidP="00830114"/>
    <w:p w:rsidR="00830114" w:rsidRPr="00830114" w:rsidRDefault="00830114" w:rsidP="00830114"/>
    <w:p w:rsidR="00830114" w:rsidRPr="00830114" w:rsidRDefault="00830114" w:rsidP="00830114"/>
    <w:p w:rsidR="00830114" w:rsidRDefault="00830114" w:rsidP="00830114"/>
    <w:p w:rsidR="00830114" w:rsidRDefault="00830114" w:rsidP="00830114">
      <w:pPr>
        <w:ind w:firstLine="720"/>
      </w:pPr>
    </w:p>
    <w:p w:rsidR="00830114" w:rsidRDefault="00830114" w:rsidP="00336D98">
      <w:pPr>
        <w:jc w:val="both"/>
        <w:rPr>
          <w:b/>
          <w:u w:val="single"/>
        </w:rPr>
      </w:pPr>
      <w:r>
        <w:rPr>
          <w:b/>
          <w:u w:val="single"/>
        </w:rPr>
        <w:lastRenderedPageBreak/>
        <w:t>THE HEALTH CONCERNS</w:t>
      </w:r>
    </w:p>
    <w:p w:rsidR="00545E9B" w:rsidRDefault="00830114" w:rsidP="00336D98">
      <w:r>
        <w:t>As discussed above, in February 2019 the Health &amp; Safety Executive issued a safety bulletin within the United Kingdom in response to findings published by the IARC. In it, the legislator stated that manufacturers throughout the UK were failing their workers in not adequately protecting them from the by-product fumes of ‘Hot Work’ practices</w:t>
      </w:r>
      <w:r w:rsidR="001B664D">
        <w:t>;</w:t>
      </w:r>
      <w:r>
        <w:t xml:space="preserve"> </w:t>
      </w:r>
      <w:proofErr w:type="gramStart"/>
      <w:r>
        <w:t>welding in particular</w:t>
      </w:r>
      <w:proofErr w:type="gramEnd"/>
      <w:r>
        <w:t>.</w:t>
      </w:r>
      <w:r w:rsidR="001B664D">
        <w:rPr>
          <w:rStyle w:val="FootnoteReference"/>
        </w:rPr>
        <w:footnoteReference w:id="3"/>
      </w:r>
      <w:r w:rsidR="00465E10">
        <w:t xml:space="preserve"> </w:t>
      </w:r>
      <w:r w:rsidR="001B664D">
        <w:t>The IARC was conclusive in its findings – there was a significantly higher likelihood of those working within welding going on to develop a range of cancers than is the case with similar job roles.</w:t>
      </w:r>
      <w:r w:rsidR="00545E9B">
        <w:t xml:space="preserve"> Indeed, studies carried out by the IARC on a series of control groups found that the odds ratios for going on to develop both lung and kidney cancer, Leukaemia, and Non-Hodgkin’s Lymphoma, were significantly altered depending upon time spent around welding activity.</w:t>
      </w:r>
      <w:r w:rsidR="00545E9B">
        <w:rPr>
          <w:rStyle w:val="FootnoteReference"/>
        </w:rPr>
        <w:footnoteReference w:id="4"/>
      </w:r>
      <w:r w:rsidR="00545E9B">
        <w:t xml:space="preserve"> In studies of mild steel welders, Chromium, Nickel and Manganese were measured in the blood and urine, demonstrating absorption and excretion, whilst those working with stainless steel were found to contain up to ten-times the base levels of the former.</w:t>
      </w:r>
      <w:r w:rsidR="00545E9B">
        <w:rPr>
          <w:rStyle w:val="FootnoteReference"/>
        </w:rPr>
        <w:footnoteReference w:id="5"/>
      </w:r>
      <w:r w:rsidR="00545E9B">
        <w:t xml:space="preserve"> </w:t>
      </w:r>
      <w:r w:rsidR="00465E10">
        <w:t xml:space="preserve">As well as these composites, fumes can be found to be made up of quite a complex mixture of materials, including, but not limited to, metallic oxides, heavy metal fragments, and silicates. </w:t>
      </w:r>
      <w:r w:rsidR="00545E9B">
        <w:t xml:space="preserve">Further studies </w:t>
      </w:r>
      <w:r w:rsidR="00465E10">
        <w:t>went</w:t>
      </w:r>
      <w:r w:rsidR="00545E9B">
        <w:t xml:space="preserve"> on to show that there </w:t>
      </w:r>
      <w:r w:rsidR="00465E10">
        <w:t>was</w:t>
      </w:r>
      <w:r w:rsidR="00545E9B">
        <w:t xml:space="preserve"> a </w:t>
      </w:r>
      <w:r w:rsidR="00F45562">
        <w:t>dramatic increase in risk of Pneumonia and similar infections amongst welders, with the IARC suggesting that ‘there is strong evidence to suggest that welding fumes induce chronic inflammation of organs and are immunosuppressive’.</w:t>
      </w:r>
      <w:r w:rsidR="00F45562">
        <w:rPr>
          <w:rStyle w:val="FootnoteReference"/>
        </w:rPr>
        <w:footnoteReference w:id="6"/>
      </w:r>
    </w:p>
    <w:p w:rsidR="00810651" w:rsidRDefault="00F45562" w:rsidP="00336D98">
      <w:r>
        <w:t xml:space="preserve">Following the publication of these findings, a series of smaller investigations have been carried out. Whilst the extent to which exposure to welding fumes can negatively affect the health of operators has been some matter of debate, the </w:t>
      </w:r>
      <w:proofErr w:type="gramStart"/>
      <w:r>
        <w:t>general consensus</w:t>
      </w:r>
      <w:proofErr w:type="gramEnd"/>
      <w:r>
        <w:t xml:space="preserve"> derived from these studies is that ‘in exposed humans, pulmonary, cardio-vascular, ocular, and neurological effects can be observed’.</w:t>
      </w:r>
      <w:r>
        <w:rPr>
          <w:rStyle w:val="FootnoteReference"/>
        </w:rPr>
        <w:footnoteReference w:id="7"/>
      </w:r>
      <w:r>
        <w:t xml:space="preserve"> </w:t>
      </w:r>
      <w:r w:rsidR="009F06EC">
        <w:t xml:space="preserve">Whilst these studies often examined alternative risks associated with welding (such as UV exposure), not only fumes, </w:t>
      </w:r>
      <w:proofErr w:type="spellStart"/>
      <w:r w:rsidR="009F06EC">
        <w:t>Uzun</w:t>
      </w:r>
      <w:proofErr w:type="spellEnd"/>
      <w:r w:rsidR="009F06EC">
        <w:t xml:space="preserve"> et al have suggested that ‘the fumes and noxious gases formed during the welding process are to be considered to be the most harmful exposure in comparison with the other by-products of welding’.</w:t>
      </w:r>
      <w:r w:rsidR="009F06EC">
        <w:rPr>
          <w:rStyle w:val="FootnoteReference"/>
        </w:rPr>
        <w:footnoteReference w:id="8"/>
      </w:r>
      <w:r w:rsidR="009F06EC">
        <w:t xml:space="preserve"> As well as the aforementioned ailments, findings have also drawn links to the development of </w:t>
      </w:r>
      <w:r w:rsidR="000D501D">
        <w:t xml:space="preserve">asthma, chronic bronchitis, and pulmonary </w:t>
      </w:r>
      <w:proofErr w:type="spellStart"/>
      <w:r w:rsidR="000D501D">
        <w:t>edema</w:t>
      </w:r>
      <w:proofErr w:type="spellEnd"/>
      <w:r w:rsidR="000D501D">
        <w:t>, suggesting that prolonged exposure seems to cause significant damage to the lining of cells within the respiratory system. Indeed, Rana et al have even suggested that inhalation of welding fumes can contribute towards the risk of developing significant neurodegenerative diseases, or NDGDs, such as Parkinson’s disease and Multiple Sclerosis.</w:t>
      </w:r>
      <w:r w:rsidR="000D501D">
        <w:rPr>
          <w:rStyle w:val="FootnoteReference"/>
        </w:rPr>
        <w:footnoteReference w:id="9"/>
      </w:r>
      <w:r w:rsidR="00810651">
        <w:t xml:space="preserve"> These illnesses, degenerative in nature and characterised by a progressive </w:t>
      </w:r>
      <w:r w:rsidR="00164990">
        <w:t>deterioration</w:t>
      </w:r>
      <w:r w:rsidR="00810651">
        <w:t xml:space="preserve"> of the function and structure of one’s central nervous system, coupled with the IRAC’s initial </w:t>
      </w:r>
      <w:r w:rsidR="00164990">
        <w:t xml:space="preserve">findings, </w:t>
      </w:r>
      <w:r w:rsidR="00810651">
        <w:t>have prove</w:t>
      </w:r>
      <w:r w:rsidR="00164990">
        <w:t xml:space="preserve">n </w:t>
      </w:r>
      <w:r w:rsidR="00810651">
        <w:t>more than enough to prompt action from the legislative bodies.</w:t>
      </w:r>
    </w:p>
    <w:p w:rsidR="00F45562" w:rsidRDefault="00F45562" w:rsidP="00545E9B">
      <w:pPr>
        <w:ind w:firstLine="720"/>
        <w:jc w:val="center"/>
      </w:pPr>
    </w:p>
    <w:p w:rsidR="00336D98" w:rsidRDefault="00336D98" w:rsidP="00336D98"/>
    <w:p w:rsidR="00F45562" w:rsidRDefault="00336D98" w:rsidP="00336D98">
      <w:pPr>
        <w:rPr>
          <w:b/>
          <w:u w:val="single"/>
        </w:rPr>
      </w:pPr>
      <w:r>
        <w:rPr>
          <w:b/>
          <w:u w:val="single"/>
        </w:rPr>
        <w:lastRenderedPageBreak/>
        <w:t>WHAT DOES THE LEGISLATION SAY?</w:t>
      </w:r>
    </w:p>
    <w:p w:rsidR="00336D98" w:rsidRDefault="00336D98" w:rsidP="00336D98">
      <w:r>
        <w:t>Working from the facts put forward by the research completed, the legislative bodies have moved quickly to implement a regime by which safe practice is carried out when working within ‘Hot Work’ areas. Suggestions that ‘moderate and high exposures to welding fumes</w:t>
      </w:r>
      <w:r w:rsidR="00CF00EE">
        <w:t xml:space="preserve"> were associated with a significant excess in risk’ when considering cancer development, put forward not only by the IARC in line with the World Health Organisation, but also independent investigators, have led to a robust programme being installed by the HSE across the manufacturing sector in the United Kingdom.</w:t>
      </w:r>
      <w:r w:rsidR="00CF00EE">
        <w:rPr>
          <w:rStyle w:val="FootnoteReference"/>
        </w:rPr>
        <w:footnoteReference w:id="10"/>
      </w:r>
      <w:r w:rsidR="00CF00EE">
        <w:t xml:space="preserve"> This </w:t>
      </w:r>
      <w:r w:rsidR="003C57A4">
        <w:t xml:space="preserve">brief </w:t>
      </w:r>
      <w:r w:rsidR="00CF00EE">
        <w:t xml:space="preserve">section of the report will be focussed around that programme of work – what it says and what it means for our manufacturers. </w:t>
      </w:r>
    </w:p>
    <w:p w:rsidR="00CF00EE" w:rsidRDefault="00FE79A0" w:rsidP="00336D98">
      <w:r>
        <w:t>The information included below is a summary of the key points raised by the HSE within t</w:t>
      </w:r>
      <w:r w:rsidR="00517BA2">
        <w:t xml:space="preserve">he </w:t>
      </w:r>
      <w:proofErr w:type="gramStart"/>
      <w:r w:rsidR="00517BA2">
        <w:t>aforementioned safety</w:t>
      </w:r>
      <w:proofErr w:type="gramEnd"/>
      <w:r w:rsidR="00517BA2">
        <w:t xml:space="preserve"> bulletin; STSU1 (2019).</w:t>
      </w:r>
      <w:r w:rsidR="00517BA2">
        <w:rPr>
          <w:rStyle w:val="FootnoteReference"/>
        </w:rPr>
        <w:footnoteReference w:id="11"/>
      </w:r>
      <w:r w:rsidR="00517BA2">
        <w:t xml:space="preserve"> Further information relating to the key policy changes are available on the HSE website:</w:t>
      </w:r>
    </w:p>
    <w:p w:rsidR="00517BA2" w:rsidRDefault="00517BA2" w:rsidP="00517BA2">
      <w:pPr>
        <w:pStyle w:val="ListParagraph"/>
        <w:numPr>
          <w:ilvl w:val="0"/>
          <w:numId w:val="1"/>
        </w:numPr>
        <w:rPr>
          <w:b/>
        </w:rPr>
      </w:pPr>
      <w:r w:rsidRPr="00517BA2">
        <w:rPr>
          <w:b/>
        </w:rPr>
        <w:t>Control of cancer risk will require suitable engineering controls for all welding activities indoors</w:t>
      </w:r>
      <w:r>
        <w:rPr>
          <w:b/>
        </w:rPr>
        <w:t xml:space="preserve"> (LEVs – Local Exhaust Ventilation)</w:t>
      </w:r>
    </w:p>
    <w:p w:rsidR="00517BA2" w:rsidRDefault="00517BA2" w:rsidP="00517BA2">
      <w:pPr>
        <w:pStyle w:val="ListParagraph"/>
        <w:numPr>
          <w:ilvl w:val="0"/>
          <w:numId w:val="1"/>
        </w:numPr>
        <w:rPr>
          <w:b/>
        </w:rPr>
      </w:pPr>
      <w:r>
        <w:rPr>
          <w:b/>
        </w:rPr>
        <w:t>Where local ventilation alone does not adequately control exposure, it should be supplemented by adequate and suitable RPE (Respiratory Protective Equipment) to protect against residual fumes</w:t>
      </w:r>
    </w:p>
    <w:p w:rsidR="00517BA2" w:rsidRDefault="00517BA2" w:rsidP="00517BA2">
      <w:pPr>
        <w:pStyle w:val="ListParagraph"/>
        <w:numPr>
          <w:ilvl w:val="0"/>
          <w:numId w:val="1"/>
        </w:numPr>
        <w:rPr>
          <w:b/>
        </w:rPr>
      </w:pPr>
      <w:r>
        <w:rPr>
          <w:b/>
        </w:rPr>
        <w:t>Appropriate RPE should be provided for outdoor welding. You should ensure that welders are suitably instructed and trained in use of controls</w:t>
      </w:r>
    </w:p>
    <w:p w:rsidR="00517BA2" w:rsidRDefault="00517BA2" w:rsidP="00517BA2">
      <w:pPr>
        <w:pStyle w:val="ListParagraph"/>
        <w:numPr>
          <w:ilvl w:val="0"/>
          <w:numId w:val="1"/>
        </w:numPr>
        <w:rPr>
          <w:b/>
        </w:rPr>
      </w:pPr>
      <w:r>
        <w:rPr>
          <w:b/>
        </w:rPr>
        <w:t>Risk Assessments and Safe Working Documents should be amended to reflect these changes</w:t>
      </w:r>
    </w:p>
    <w:p w:rsidR="00517BA2" w:rsidRDefault="00517BA2" w:rsidP="00517BA2">
      <w:pPr>
        <w:pStyle w:val="ListParagraph"/>
        <w:rPr>
          <w:b/>
        </w:rPr>
      </w:pPr>
    </w:p>
    <w:p w:rsidR="00517BA2" w:rsidRDefault="00517BA2" w:rsidP="00517BA2">
      <w:pPr>
        <w:pStyle w:val="ListParagraph"/>
        <w:ind w:left="0"/>
      </w:pPr>
      <w:r>
        <w:t xml:space="preserve">It is now a legal requirement for </w:t>
      </w:r>
      <w:r w:rsidR="003C57A4">
        <w:t>companies</w:t>
      </w:r>
      <w:r>
        <w:t xml:space="preserve"> to abide by the</w:t>
      </w:r>
      <w:r w:rsidR="003C57A4">
        <w:t>se</w:t>
      </w:r>
      <w:r>
        <w:t xml:space="preserve"> guidelines, and </w:t>
      </w:r>
      <w:r w:rsidR="003C57A4">
        <w:t xml:space="preserve">having been given </w:t>
      </w:r>
      <w:proofErr w:type="gramStart"/>
      <w:r w:rsidR="003C57A4">
        <w:t>a period of time</w:t>
      </w:r>
      <w:proofErr w:type="gramEnd"/>
      <w:r w:rsidR="003C57A4">
        <w:t xml:space="preserve"> in order to implement the relevant operational changes since the bulletin was launched earlier in the year, the legislator will now start to begin to follow up on these actions set. In line with the Health &amp; Safety at Work Act (1974), the following of these guidelines, whilst sitting primarily with the employer, does put into law the requirements of the employee also. Whilst the employer sits as the ‘system owner’, responsible for putting in place the equipment and conditions to satisfy the legislative requirement(s), the employee is now legally required to make ‘full and proper use’ of the equipment which they have been provided.</w:t>
      </w:r>
      <w:r w:rsidR="003C57A4">
        <w:rPr>
          <w:rStyle w:val="FootnoteReference"/>
        </w:rPr>
        <w:footnoteReference w:id="12"/>
      </w:r>
      <w:r w:rsidR="003C57A4">
        <w:t xml:space="preserve"> The final section of this report will now attempt to shed light on the means by which this is to be carried out.</w:t>
      </w:r>
    </w:p>
    <w:p w:rsidR="00851CC6" w:rsidRDefault="00851CC6" w:rsidP="00517BA2">
      <w:pPr>
        <w:pStyle w:val="ListParagraph"/>
        <w:ind w:left="0"/>
      </w:pPr>
    </w:p>
    <w:p w:rsidR="00851CC6" w:rsidRDefault="00851CC6" w:rsidP="00517BA2">
      <w:pPr>
        <w:pStyle w:val="ListParagraph"/>
        <w:ind w:left="0"/>
      </w:pPr>
    </w:p>
    <w:p w:rsidR="00851CC6" w:rsidRDefault="00851CC6" w:rsidP="00517BA2">
      <w:pPr>
        <w:pStyle w:val="ListParagraph"/>
        <w:ind w:left="0"/>
      </w:pPr>
    </w:p>
    <w:p w:rsidR="00851CC6" w:rsidRDefault="00851CC6" w:rsidP="00517BA2">
      <w:pPr>
        <w:pStyle w:val="ListParagraph"/>
        <w:ind w:left="0"/>
      </w:pPr>
    </w:p>
    <w:p w:rsidR="00851CC6" w:rsidRDefault="00851CC6" w:rsidP="00517BA2">
      <w:pPr>
        <w:pStyle w:val="ListParagraph"/>
        <w:ind w:left="0"/>
      </w:pPr>
    </w:p>
    <w:p w:rsidR="00851CC6" w:rsidRDefault="00851CC6" w:rsidP="00517BA2">
      <w:pPr>
        <w:pStyle w:val="ListParagraph"/>
        <w:ind w:left="0"/>
      </w:pPr>
    </w:p>
    <w:p w:rsidR="00851CC6" w:rsidRDefault="00851CC6" w:rsidP="00517BA2">
      <w:pPr>
        <w:pStyle w:val="ListParagraph"/>
        <w:ind w:left="0"/>
      </w:pPr>
    </w:p>
    <w:p w:rsidR="00851CC6" w:rsidRDefault="00851CC6" w:rsidP="00517BA2">
      <w:pPr>
        <w:pStyle w:val="ListParagraph"/>
        <w:ind w:left="0"/>
      </w:pPr>
    </w:p>
    <w:p w:rsidR="00851CC6" w:rsidRDefault="00851CC6" w:rsidP="00517BA2">
      <w:pPr>
        <w:pStyle w:val="ListParagraph"/>
        <w:ind w:left="0"/>
      </w:pPr>
    </w:p>
    <w:p w:rsidR="00851CC6" w:rsidRDefault="00851CC6" w:rsidP="00517BA2">
      <w:pPr>
        <w:pStyle w:val="ListParagraph"/>
        <w:ind w:left="0"/>
        <w:rPr>
          <w:b/>
          <w:u w:val="single"/>
        </w:rPr>
      </w:pPr>
    </w:p>
    <w:p w:rsidR="00851CC6" w:rsidRDefault="00851CC6" w:rsidP="00517BA2">
      <w:pPr>
        <w:pStyle w:val="ListParagraph"/>
        <w:ind w:left="0"/>
        <w:rPr>
          <w:b/>
          <w:u w:val="single"/>
        </w:rPr>
      </w:pPr>
      <w:r>
        <w:rPr>
          <w:b/>
          <w:u w:val="single"/>
        </w:rPr>
        <w:lastRenderedPageBreak/>
        <w:t>IMPLEMENTING CHANGE</w:t>
      </w:r>
    </w:p>
    <w:p w:rsidR="00C01883" w:rsidRDefault="00D35E19" w:rsidP="00851CC6">
      <w:r>
        <w:t>Whilst the science suggests that exposure levels are affected by several factors, including but not limited to; the type of welding being carried out, the voltage/currents being used, and the ‘torch time’, the legislation remains the same – Local Exhaust Ventilation</w:t>
      </w:r>
      <w:r w:rsidR="0050395C">
        <w:t xml:space="preserve"> (LEV)</w:t>
      </w:r>
      <w:r>
        <w:t xml:space="preserve"> and Respiratory Protective Equipment </w:t>
      </w:r>
      <w:r w:rsidR="0050395C">
        <w:t xml:space="preserve">(RPE) </w:t>
      </w:r>
      <w:r>
        <w:t>are to be used at all times</w:t>
      </w:r>
      <w:r w:rsidR="0050395C">
        <w:t xml:space="preserve"> when fumes are present</w:t>
      </w:r>
      <w:r>
        <w:t xml:space="preserve">. </w:t>
      </w:r>
      <w:r w:rsidR="0050395C">
        <w:t>The following section of this essay will focus upon providing a brief explanation of what is meant by both LEV and RPE systems:</w:t>
      </w:r>
    </w:p>
    <w:p w:rsidR="0050395C" w:rsidRDefault="0050395C" w:rsidP="0050395C">
      <w:pPr>
        <w:pStyle w:val="ListParagraph"/>
        <w:numPr>
          <w:ilvl w:val="0"/>
          <w:numId w:val="1"/>
        </w:numPr>
      </w:pPr>
      <w:r>
        <w:rPr>
          <w:b/>
        </w:rPr>
        <w:t xml:space="preserve">Local Exhaust Ventilation: </w:t>
      </w:r>
      <w:r>
        <w:t>The primary objective of a local exhaust ventilation system is to remove the contaminant from the air as it is generated at source. These systems can be either fixed in location – such as within a fabrication bay, or mobile, allowing for use outside as well as within enclosed spaces (welding tools are also now available with built in LEV systems).</w:t>
      </w:r>
      <w:r>
        <w:rPr>
          <w:rStyle w:val="FootnoteReference"/>
        </w:rPr>
        <w:footnoteReference w:id="13"/>
      </w:r>
      <w:r>
        <w:t xml:space="preserve"> Most LEV systems are made up of the same constituent parts – a hood, duct, air cleaner, air mover and vent/outlet. As stated, it is now a legal requirement to deploy LEV systems when carrying out </w:t>
      </w:r>
      <w:r w:rsidR="003A4514">
        <w:t>welding activities – this includes outdoor welding. Where LEV alone does not adequately control fume exposure, it is a requirement that RPE is provided and worn. This is particularly true of outdoor activities, with the impact of LEV systems significantly reduced in outdoor conditions.</w:t>
      </w:r>
    </w:p>
    <w:p w:rsidR="00C01883" w:rsidRDefault="003A4514" w:rsidP="00851CC6">
      <w:pPr>
        <w:pStyle w:val="ListParagraph"/>
        <w:numPr>
          <w:ilvl w:val="0"/>
          <w:numId w:val="1"/>
        </w:numPr>
      </w:pPr>
      <w:r w:rsidRPr="0058710B">
        <w:rPr>
          <w:b/>
        </w:rPr>
        <w:t>Respiratory Protective Equipment:</w:t>
      </w:r>
      <w:r>
        <w:t xml:space="preserve"> </w:t>
      </w:r>
      <w:r w:rsidR="0058710B">
        <w:t xml:space="preserve">RPE will often take one of two forms – light or heavy duty. An example of a ‘light’ protective measure would be a basic P3 dust mask – these have now been deemed unsuitable for welding by the HSE, so the ‘heavier’ option has become the standard. These measures will often take the form of a fitted helmet, either connected to a filter contained with an adjoining back pack, such as the </w:t>
      </w:r>
      <w:proofErr w:type="spellStart"/>
      <w:r w:rsidR="0058710B">
        <w:t>Sundstram</w:t>
      </w:r>
      <w:proofErr w:type="spellEnd"/>
      <w:r w:rsidR="0058710B">
        <w:t xml:space="preserve"> helmets often used within Coke Oven operations, or containing a built-in filter system. RPE is split into 2 categories – ‘adequate’ and ‘suitable’. Adequate RPE is correct for the hazard in that it reduces the exposure. Suitable RPE is not only correct for the hazard, but is also specifically fitted for the wearer, suitable for the task at hand, and appropriate for the working environment. </w:t>
      </w:r>
      <w:r w:rsidR="00164990">
        <w:t>Generally,</w:t>
      </w:r>
      <w:r w:rsidR="0058710B">
        <w:t xml:space="preserve"> we will see </w:t>
      </w:r>
      <w:r w:rsidR="00FB282E">
        <w:t xml:space="preserve">more </w:t>
      </w:r>
      <w:r w:rsidR="0058710B">
        <w:t>‘adequate’ RPE system</w:t>
      </w:r>
      <w:r w:rsidR="00164990">
        <w:t>s</w:t>
      </w:r>
      <w:r w:rsidR="0058710B">
        <w:t xml:space="preserve"> in use as ‘suitable’ RPE systems will often need to be designed bespoke for the area in which the fumes are present.</w:t>
      </w:r>
    </w:p>
    <w:p w:rsidR="00336D98" w:rsidRDefault="00D35E19" w:rsidP="00851CC6">
      <w:r>
        <w:t>Whilst this has now been drafted into law, it is important to ensure that you do not forget your fundamentals in terms of Health &amp; Safety management. Personal Protective Equipment, such as RPE</w:t>
      </w:r>
      <w:r w:rsidR="00C01883">
        <w:t>,</w:t>
      </w:r>
      <w:r>
        <w:t xml:space="preserve"> is </w:t>
      </w:r>
      <w:r>
        <w:rPr>
          <w:u w:val="single"/>
        </w:rPr>
        <w:t>always</w:t>
      </w:r>
      <w:r>
        <w:t xml:space="preserve"> the last line of defence in terms of ensuring safe practice. A review of the ‘</w:t>
      </w:r>
      <w:r w:rsidR="00C01883">
        <w:t>hierarchy</w:t>
      </w:r>
      <w:r>
        <w:t xml:space="preserve"> of control’ will remind you that PPE/RPE should only be considered ‘when inhalation risk remains after you have put in place other reasonable controls’.</w:t>
      </w:r>
      <w:r w:rsidR="00C01883">
        <w:rPr>
          <w:rStyle w:val="FootnoteReference"/>
        </w:rPr>
        <w:footnoteReference w:id="14"/>
      </w:r>
      <w:r w:rsidR="00C01883">
        <w:t xml:space="preserve"> Indeed, prior to looking at fitting fixed LEV systems, managers should firstly look to eliminate the source of emission, substitute the material being used, and/or reduce the size of the source. Only once these options have been exhausted should exhausting be sourced. </w:t>
      </w:r>
    </w:p>
    <w:p w:rsidR="0058710B" w:rsidRDefault="0058710B" w:rsidP="00851CC6">
      <w:r>
        <w:t xml:space="preserve">Purchasing and making use of ventilation equipment is only one aspect of implementation. </w:t>
      </w:r>
      <w:proofErr w:type="gramStart"/>
      <w:r>
        <w:t>Generally speaking, there</w:t>
      </w:r>
      <w:proofErr w:type="gramEnd"/>
      <w:r>
        <w:t xml:space="preserve"> are </w:t>
      </w:r>
      <w:r w:rsidR="00F54FCA">
        <w:t>several</w:t>
      </w:r>
      <w:r>
        <w:t xml:space="preserve"> fundamental </w:t>
      </w:r>
      <w:r w:rsidR="00BD68BD">
        <w:t xml:space="preserve">facets </w:t>
      </w:r>
      <w:r w:rsidR="00F54FCA">
        <w:t xml:space="preserve">that need to be considered when looking at control measures. Arguably the most important of these is the development and deployment of administrative controls. In most cases, this will cover the fundamental workings ‘behind the scenes’ that put in place the conditions that allow for successful use of </w:t>
      </w:r>
      <w:r w:rsidR="00F54FCA">
        <w:lastRenderedPageBreak/>
        <w:t xml:space="preserve">your LEV/RPE systems. A.A. </w:t>
      </w:r>
      <w:proofErr w:type="spellStart"/>
      <w:r w:rsidR="00F54FCA">
        <w:t>Chughtai</w:t>
      </w:r>
      <w:proofErr w:type="spellEnd"/>
      <w:r w:rsidR="00F54FCA">
        <w:t xml:space="preserve"> and W. Khan have stated that ‘administrative control measures include the developing of policies and procedures, implementing triage protocols, and providing health and safety education and training’.</w:t>
      </w:r>
      <w:r w:rsidR="00F54FCA">
        <w:rPr>
          <w:rStyle w:val="FootnoteReference"/>
        </w:rPr>
        <w:footnoteReference w:id="15"/>
      </w:r>
      <w:r w:rsidR="00F54FCA">
        <w:t xml:space="preserve"> Within large scale organisations, this work will often involve the creation of a new maintenance concept with adequate inspection mapping</w:t>
      </w:r>
      <w:r w:rsidR="005664F4">
        <w:t xml:space="preserve">, as well as the roll out of a new training programme. As well as this, standard COSHH regulations dictate that regular risk assessments are carried out around welding activities, as well as statutory health surveillance for all welders on-site. Speaking from experience this has certainly been the case within the Central Engineering function at TATA. </w:t>
      </w:r>
    </w:p>
    <w:p w:rsidR="0050395C" w:rsidRDefault="0050395C" w:rsidP="00851CC6"/>
    <w:p w:rsidR="00F45562" w:rsidRDefault="00F45562" w:rsidP="00545E9B">
      <w:pPr>
        <w:ind w:firstLine="720"/>
        <w:jc w:val="center"/>
      </w:pPr>
    </w:p>
    <w:p w:rsidR="00F45562" w:rsidRDefault="00F45562" w:rsidP="00545E9B">
      <w:pPr>
        <w:ind w:firstLine="720"/>
        <w:jc w:val="center"/>
      </w:pPr>
    </w:p>
    <w:p w:rsidR="005664F4" w:rsidRDefault="005664F4" w:rsidP="00545E9B">
      <w:pPr>
        <w:ind w:firstLine="720"/>
        <w:jc w:val="center"/>
      </w:pPr>
    </w:p>
    <w:p w:rsidR="005664F4" w:rsidRDefault="005664F4" w:rsidP="00545E9B">
      <w:pPr>
        <w:ind w:firstLine="720"/>
        <w:jc w:val="center"/>
      </w:pPr>
    </w:p>
    <w:p w:rsidR="005664F4" w:rsidRDefault="005664F4" w:rsidP="00545E9B">
      <w:pPr>
        <w:ind w:firstLine="720"/>
        <w:jc w:val="center"/>
      </w:pPr>
    </w:p>
    <w:p w:rsidR="005664F4" w:rsidRDefault="005664F4" w:rsidP="00545E9B">
      <w:pPr>
        <w:ind w:firstLine="720"/>
        <w:jc w:val="center"/>
      </w:pPr>
    </w:p>
    <w:p w:rsidR="005664F4" w:rsidRDefault="005664F4" w:rsidP="00545E9B">
      <w:pPr>
        <w:ind w:firstLine="720"/>
        <w:jc w:val="center"/>
      </w:pPr>
    </w:p>
    <w:p w:rsidR="005664F4" w:rsidRDefault="005664F4" w:rsidP="00545E9B">
      <w:pPr>
        <w:ind w:firstLine="720"/>
        <w:jc w:val="center"/>
      </w:pPr>
    </w:p>
    <w:p w:rsidR="005664F4" w:rsidRDefault="005664F4" w:rsidP="00545E9B">
      <w:pPr>
        <w:ind w:firstLine="720"/>
        <w:jc w:val="center"/>
      </w:pPr>
    </w:p>
    <w:p w:rsidR="005664F4" w:rsidRDefault="005664F4" w:rsidP="00545E9B">
      <w:pPr>
        <w:ind w:firstLine="720"/>
        <w:jc w:val="center"/>
      </w:pPr>
    </w:p>
    <w:p w:rsidR="005664F4" w:rsidRDefault="005664F4" w:rsidP="00545E9B">
      <w:pPr>
        <w:ind w:firstLine="720"/>
        <w:jc w:val="center"/>
      </w:pPr>
    </w:p>
    <w:p w:rsidR="005664F4" w:rsidRDefault="005664F4" w:rsidP="00545E9B">
      <w:pPr>
        <w:ind w:firstLine="720"/>
        <w:jc w:val="center"/>
      </w:pPr>
    </w:p>
    <w:p w:rsidR="005664F4" w:rsidRDefault="005664F4" w:rsidP="00545E9B">
      <w:pPr>
        <w:ind w:firstLine="720"/>
        <w:jc w:val="center"/>
      </w:pPr>
    </w:p>
    <w:p w:rsidR="005664F4" w:rsidRDefault="005664F4" w:rsidP="00545E9B">
      <w:pPr>
        <w:ind w:firstLine="720"/>
        <w:jc w:val="center"/>
      </w:pPr>
    </w:p>
    <w:p w:rsidR="005664F4" w:rsidRDefault="005664F4" w:rsidP="00545E9B">
      <w:pPr>
        <w:ind w:firstLine="720"/>
        <w:jc w:val="center"/>
      </w:pPr>
    </w:p>
    <w:p w:rsidR="005664F4" w:rsidRDefault="005664F4" w:rsidP="00545E9B">
      <w:pPr>
        <w:ind w:firstLine="720"/>
        <w:jc w:val="center"/>
      </w:pPr>
    </w:p>
    <w:p w:rsidR="005664F4" w:rsidRDefault="005664F4" w:rsidP="00545E9B">
      <w:pPr>
        <w:ind w:firstLine="720"/>
        <w:jc w:val="center"/>
      </w:pPr>
    </w:p>
    <w:p w:rsidR="005664F4" w:rsidRDefault="005664F4" w:rsidP="00545E9B">
      <w:pPr>
        <w:ind w:firstLine="720"/>
        <w:jc w:val="center"/>
      </w:pPr>
    </w:p>
    <w:p w:rsidR="005664F4" w:rsidRDefault="005664F4" w:rsidP="00545E9B">
      <w:pPr>
        <w:ind w:firstLine="720"/>
        <w:jc w:val="center"/>
      </w:pPr>
    </w:p>
    <w:p w:rsidR="005664F4" w:rsidRDefault="005664F4" w:rsidP="00545E9B">
      <w:pPr>
        <w:ind w:firstLine="720"/>
        <w:jc w:val="center"/>
      </w:pPr>
    </w:p>
    <w:p w:rsidR="005664F4" w:rsidRDefault="005664F4" w:rsidP="00545E9B">
      <w:pPr>
        <w:ind w:firstLine="720"/>
        <w:jc w:val="center"/>
      </w:pPr>
    </w:p>
    <w:p w:rsidR="005664F4" w:rsidRDefault="005664F4" w:rsidP="00545E9B">
      <w:pPr>
        <w:ind w:firstLine="720"/>
        <w:jc w:val="center"/>
      </w:pPr>
    </w:p>
    <w:p w:rsidR="005664F4" w:rsidRDefault="005664F4" w:rsidP="00545E9B">
      <w:pPr>
        <w:ind w:firstLine="720"/>
        <w:jc w:val="center"/>
      </w:pPr>
    </w:p>
    <w:p w:rsidR="005664F4" w:rsidRDefault="005664F4" w:rsidP="005664F4">
      <w:pPr>
        <w:rPr>
          <w:b/>
          <w:u w:val="single"/>
        </w:rPr>
      </w:pPr>
      <w:r>
        <w:rPr>
          <w:b/>
          <w:u w:val="single"/>
        </w:rPr>
        <w:lastRenderedPageBreak/>
        <w:t>CLOSING REMARKS</w:t>
      </w:r>
    </w:p>
    <w:p w:rsidR="000A3AAE" w:rsidRDefault="007A73D4" w:rsidP="005664F4">
      <w:r>
        <w:t xml:space="preserve">The purpose of this report was to highlight the developments in safe working around welding practices following the roll out of an IARC report in 2018-2019. </w:t>
      </w:r>
      <w:r w:rsidR="000A3AAE">
        <w:t xml:space="preserve">The IARC, working in-line with the World Health Organisation, put forward a series of findings which confirmed that prolonged exposure to welding fumes led to a range of long-term illnesses, not least a significant amount of cancers. </w:t>
      </w:r>
    </w:p>
    <w:p w:rsidR="005664F4" w:rsidRDefault="007A73D4" w:rsidP="005664F4">
      <w:r>
        <w:t xml:space="preserve">The HSE Bulletin issued in February 2019, a direct response to these findings, put in place a series of actions for manufacturing </w:t>
      </w:r>
      <w:r w:rsidR="001309CA">
        <w:t xml:space="preserve">businesses within the United Kingdom. </w:t>
      </w:r>
      <w:r w:rsidR="000A3AAE">
        <w:t>The primary directive, as discussed in the body of this report, is concerning the roll-out of ventilation systems in the form of LEV and RPE systems. A comprehensive programme of work, incorporating the creation of maintenance and training policies, would go hand in hand with the provision of this equipment.</w:t>
      </w:r>
    </w:p>
    <w:p w:rsidR="000A3AAE" w:rsidRDefault="000A3AAE" w:rsidP="005664F4">
      <w:r>
        <w:t>Moving forward, businesses throughout the United Kingdom should be preparing for HSE visits in which the auditing of welding fume controls will form a significant portion of the focus. The legislator has provided the best part of a year’s grace in order to allow businesses to put in place the actions stated back in February – should expectations not be met</w:t>
      </w:r>
      <w:r w:rsidR="00FB282E">
        <w:t xml:space="preserve">, </w:t>
      </w:r>
      <w:r>
        <w:t xml:space="preserve">then managers can expect to face sanctions in line with more established COSHH failings – see DSEAR regulations for reference. </w:t>
      </w:r>
      <w:r w:rsidR="000A1926">
        <w:t xml:space="preserve">Whilst it remains an unfortunate fact that many have been failed in the past as the result of not truly understanding the risks associated with welding fumes, we must now ensure that we remain compliant in order to protect not only ourselves, but also our colleagues. </w:t>
      </w:r>
      <w:bookmarkStart w:id="1" w:name="_GoBack"/>
      <w:bookmarkEnd w:id="1"/>
    </w:p>
    <w:p w:rsidR="005664F4" w:rsidRDefault="005664F4" w:rsidP="005664F4"/>
    <w:p w:rsidR="005664F4" w:rsidRDefault="005664F4" w:rsidP="005664F4"/>
    <w:p w:rsidR="005664F4" w:rsidRDefault="005664F4" w:rsidP="005664F4"/>
    <w:p w:rsidR="005664F4" w:rsidRDefault="005664F4" w:rsidP="005664F4"/>
    <w:p w:rsidR="005664F4" w:rsidRDefault="005664F4" w:rsidP="005664F4"/>
    <w:p w:rsidR="005664F4" w:rsidRDefault="005664F4" w:rsidP="005664F4"/>
    <w:p w:rsidR="005664F4" w:rsidRDefault="005664F4" w:rsidP="005664F4"/>
    <w:p w:rsidR="005664F4" w:rsidRDefault="005664F4" w:rsidP="005664F4"/>
    <w:p w:rsidR="005664F4" w:rsidRDefault="005664F4" w:rsidP="005664F4"/>
    <w:p w:rsidR="005664F4" w:rsidRDefault="005664F4" w:rsidP="005664F4"/>
    <w:p w:rsidR="005664F4" w:rsidRDefault="005664F4" w:rsidP="005664F4"/>
    <w:p w:rsidR="005664F4" w:rsidRDefault="005664F4" w:rsidP="005664F4"/>
    <w:p w:rsidR="005664F4" w:rsidRDefault="005664F4" w:rsidP="005664F4"/>
    <w:p w:rsidR="005664F4" w:rsidRDefault="005664F4" w:rsidP="005664F4"/>
    <w:p w:rsidR="005664F4" w:rsidRDefault="005664F4" w:rsidP="005664F4"/>
    <w:p w:rsidR="005664F4" w:rsidRDefault="005664F4" w:rsidP="005664F4"/>
    <w:p w:rsidR="005664F4" w:rsidRDefault="005664F4" w:rsidP="005664F4"/>
    <w:p w:rsidR="005664F4" w:rsidRDefault="005664F4" w:rsidP="005664F4">
      <w:pPr>
        <w:rPr>
          <w:b/>
          <w:u w:val="single"/>
        </w:rPr>
      </w:pPr>
      <w:r>
        <w:rPr>
          <w:b/>
          <w:u w:val="single"/>
        </w:rPr>
        <w:lastRenderedPageBreak/>
        <w:t>BIBLIOGRAPHY</w:t>
      </w:r>
    </w:p>
    <w:p w:rsidR="000A1926" w:rsidRDefault="000A1926" w:rsidP="005664F4">
      <w:proofErr w:type="spellStart"/>
      <w:r>
        <w:t>Chughtai</w:t>
      </w:r>
      <w:proofErr w:type="spellEnd"/>
      <w:r>
        <w:t xml:space="preserve">, A.A., Khan, W., </w:t>
      </w:r>
      <w:r>
        <w:t xml:space="preserve">‘Use of Personal Protective Equipment to Protect Against Respiratory Infections in Pakistan: A Systematic Review’, </w:t>
      </w:r>
      <w:r>
        <w:rPr>
          <w:i/>
        </w:rPr>
        <w:t>Journal of Infection and Public Health</w:t>
      </w:r>
      <w:r>
        <w:t>, Vol.12 (2019),</w:t>
      </w:r>
      <w:r>
        <w:t xml:space="preserve"> pp. 522-527</w:t>
      </w:r>
    </w:p>
    <w:p w:rsidR="000A1926" w:rsidRDefault="000A1926" w:rsidP="005664F4">
      <w:r>
        <w:t xml:space="preserve">Health &amp; Safety Executive, </w:t>
      </w:r>
      <w:r w:rsidRPr="001B664D">
        <w:rPr>
          <w:i/>
        </w:rPr>
        <w:t>Safety Bulletin: STSU1</w:t>
      </w:r>
      <w:r>
        <w:t>, (2019)</w:t>
      </w:r>
    </w:p>
    <w:p w:rsidR="000A1926" w:rsidRDefault="000A1926" w:rsidP="005664F4">
      <w:r>
        <w:t xml:space="preserve">Health &amp; Safety Executive, </w:t>
      </w:r>
      <w:r>
        <w:rPr>
          <w:i/>
        </w:rPr>
        <w:t>HSG53: Respiratory Protective Equipment at Work: A Practical Guide</w:t>
      </w:r>
      <w:r>
        <w:t>, 4</w:t>
      </w:r>
      <w:r w:rsidRPr="00C01883">
        <w:rPr>
          <w:vertAlign w:val="superscript"/>
        </w:rPr>
        <w:t>th</w:t>
      </w:r>
      <w:r>
        <w:t xml:space="preserve"> Edition (London, 2013)</w:t>
      </w:r>
    </w:p>
    <w:p w:rsidR="000A1926" w:rsidRDefault="000A1926" w:rsidP="005664F4">
      <w:r>
        <w:t xml:space="preserve">Health &amp; Safety Executive, </w:t>
      </w:r>
      <w:r>
        <w:rPr>
          <w:i/>
        </w:rPr>
        <w:t>HSG258: Controlling Airborne Contaminates at Work: A Guide to Local Exhaust Ventilation (LEV)</w:t>
      </w:r>
      <w:r>
        <w:t>, 3</w:t>
      </w:r>
      <w:r w:rsidRPr="003C57A4">
        <w:rPr>
          <w:vertAlign w:val="superscript"/>
        </w:rPr>
        <w:t>rd</w:t>
      </w:r>
      <w:r>
        <w:t xml:space="preserve"> Edition (London, 2017)</w:t>
      </w:r>
    </w:p>
    <w:p w:rsidR="000A1926" w:rsidRDefault="000A1926" w:rsidP="005664F4">
      <w:proofErr w:type="spellStart"/>
      <w:r>
        <w:t>Michalek</w:t>
      </w:r>
      <w:proofErr w:type="spellEnd"/>
      <w:r>
        <w:t>, I.M., Martinsen, J.I.</w:t>
      </w:r>
      <w:r w:rsidRPr="000A1926">
        <w:t xml:space="preserve"> </w:t>
      </w:r>
      <w:proofErr w:type="spellStart"/>
      <w:r>
        <w:t>Weiderpasse</w:t>
      </w:r>
      <w:proofErr w:type="spellEnd"/>
      <w:r>
        <w:t xml:space="preserve">, </w:t>
      </w:r>
      <w:r>
        <w:t xml:space="preserve">‘Heavy Metals, Welding Fumes, and other Occupational Exposures, and the Risk of Kidney Cancer: A Population-based Nested Case-Control Study in Three Nordic Countries’, </w:t>
      </w:r>
      <w:r>
        <w:rPr>
          <w:i/>
        </w:rPr>
        <w:t>Environmental Research</w:t>
      </w:r>
      <w:r>
        <w:t>, Vol.173 (2019),</w:t>
      </w:r>
      <w:r>
        <w:t xml:space="preserve"> pp.117-123</w:t>
      </w:r>
    </w:p>
    <w:p w:rsidR="000A1926" w:rsidRDefault="000A1926" w:rsidP="005664F4">
      <w:r>
        <w:t xml:space="preserve">Rana, H.K., Akhtar, R., </w:t>
      </w:r>
      <w:proofErr w:type="spellStart"/>
      <w:r>
        <w:t>Lio</w:t>
      </w:r>
      <w:proofErr w:type="spellEnd"/>
      <w:r>
        <w:t xml:space="preserve">, P., </w:t>
      </w:r>
      <w:r>
        <w:t xml:space="preserve">‘Genetic Effects of Welding Fumes on the Development of Respiratory System Diseases’, </w:t>
      </w:r>
      <w:r>
        <w:rPr>
          <w:i/>
        </w:rPr>
        <w:t>Computers in Biology &amp; Medicine</w:t>
      </w:r>
      <w:r>
        <w:t>, Vol.108 (2019)</w:t>
      </w:r>
      <w:r>
        <w:t>, pp.142-149</w:t>
      </w:r>
    </w:p>
    <w:p w:rsidR="000A1926" w:rsidRDefault="000A1926" w:rsidP="005664F4">
      <w:r>
        <w:t xml:space="preserve">Rana, H.K., Akhtar, R., </w:t>
      </w:r>
      <w:proofErr w:type="spellStart"/>
      <w:r>
        <w:t>Lio</w:t>
      </w:r>
      <w:proofErr w:type="spellEnd"/>
      <w:r>
        <w:t>, P</w:t>
      </w:r>
      <w:r>
        <w:t xml:space="preserve">., </w:t>
      </w:r>
      <w:r>
        <w:t xml:space="preserve">‘Genetic Effects of Welding Fumes on the Progression of Neurodegenerative Diseases’, </w:t>
      </w:r>
      <w:r>
        <w:rPr>
          <w:i/>
        </w:rPr>
        <w:t>Neurotoxicology</w:t>
      </w:r>
      <w:r>
        <w:t>, Vol.71 (2019)</w:t>
      </w:r>
      <w:r>
        <w:t>, pp.93-101</w:t>
      </w:r>
    </w:p>
    <w:p w:rsidR="000A1926" w:rsidRDefault="000A1926" w:rsidP="005664F4">
      <w:proofErr w:type="spellStart"/>
      <w:r>
        <w:t>Taity</w:t>
      </w:r>
      <w:proofErr w:type="spellEnd"/>
      <w:r>
        <w:t xml:space="preserve">, J.T., </w:t>
      </w:r>
      <w:r>
        <w:rPr>
          <w:i/>
        </w:rPr>
        <w:t>Industrial Hygiene Engineering: Recognition, Measurement, Evaluation and Control</w:t>
      </w:r>
      <w:r>
        <w:t xml:space="preserve"> (Cincinnati, 1998)</w:t>
      </w:r>
      <w:r>
        <w:t xml:space="preserve"> </w:t>
      </w:r>
    </w:p>
    <w:p w:rsidR="00663A55" w:rsidRDefault="00663A55" w:rsidP="005664F4">
      <w:proofErr w:type="spellStart"/>
      <w:r>
        <w:t>Uzun</w:t>
      </w:r>
      <w:proofErr w:type="spellEnd"/>
      <w:r>
        <w:t xml:space="preserve">, O., Ince, O., </w:t>
      </w:r>
      <w:proofErr w:type="spellStart"/>
      <w:r>
        <w:t>Bakalov</w:t>
      </w:r>
      <w:proofErr w:type="spellEnd"/>
      <w:r>
        <w:t xml:space="preserve">, V., Tuna, T., </w:t>
      </w:r>
      <w:r>
        <w:t xml:space="preserve">‘Case Report: Massive </w:t>
      </w:r>
      <w:proofErr w:type="spellStart"/>
      <w:r>
        <w:t>Hemoptysis</w:t>
      </w:r>
      <w:proofErr w:type="spellEnd"/>
      <w:r>
        <w:t xml:space="preserve"> Due to Welding Fumes’, </w:t>
      </w:r>
      <w:r>
        <w:rPr>
          <w:i/>
        </w:rPr>
        <w:t>Respiratory Medicine Case Reports</w:t>
      </w:r>
      <w:r>
        <w:t>, Vol.5 (2012)</w:t>
      </w:r>
      <w:r>
        <w:t>, pp. 1-3</w:t>
      </w:r>
    </w:p>
    <w:p w:rsidR="00663A55" w:rsidRDefault="00663A55" w:rsidP="005664F4">
      <w:r>
        <w:t xml:space="preserve">World </w:t>
      </w:r>
      <w:proofErr w:type="spellStart"/>
      <w:r>
        <w:t>Heath</w:t>
      </w:r>
      <w:proofErr w:type="spellEnd"/>
      <w:r>
        <w:t xml:space="preserve"> Organisation, ‘Welding, Molybdenum Troxide, and Indium Tin Oxide’, </w:t>
      </w:r>
      <w:r>
        <w:rPr>
          <w:i/>
        </w:rPr>
        <w:t>IARC Monographs on the Evaluation of Carcinogenic Risks to Humans</w:t>
      </w:r>
      <w:r>
        <w:t>, Vol.118 (2018)</w:t>
      </w:r>
      <w:r>
        <w:t>, pp. 255-263</w:t>
      </w:r>
    </w:p>
    <w:p w:rsidR="000A1926" w:rsidRDefault="000A1926" w:rsidP="005664F4"/>
    <w:p w:rsidR="000A1926" w:rsidRDefault="000A1926" w:rsidP="005664F4"/>
    <w:p w:rsidR="000A1926" w:rsidRDefault="000A1926" w:rsidP="005664F4"/>
    <w:p w:rsidR="000A1926" w:rsidRDefault="000A1926" w:rsidP="005664F4"/>
    <w:p w:rsidR="000A1926" w:rsidRDefault="000A1926" w:rsidP="005664F4"/>
    <w:p w:rsidR="000A1926" w:rsidRPr="005664F4" w:rsidRDefault="000A1926" w:rsidP="005664F4">
      <w:pPr>
        <w:rPr>
          <w:b/>
          <w:u w:val="single"/>
        </w:rPr>
      </w:pPr>
    </w:p>
    <w:sectPr w:rsidR="000A1926" w:rsidRPr="005664F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73D4" w:rsidRDefault="007A73D4" w:rsidP="001540BD">
      <w:pPr>
        <w:spacing w:after="0" w:line="240" w:lineRule="auto"/>
      </w:pPr>
      <w:r>
        <w:separator/>
      </w:r>
    </w:p>
  </w:endnote>
  <w:endnote w:type="continuationSeparator" w:id="0">
    <w:p w:rsidR="007A73D4" w:rsidRDefault="007A73D4" w:rsidP="00154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6037118"/>
      <w:docPartObj>
        <w:docPartGallery w:val="Page Numbers (Bottom of Page)"/>
        <w:docPartUnique/>
      </w:docPartObj>
    </w:sdtPr>
    <w:sdtEndPr>
      <w:rPr>
        <w:noProof/>
      </w:rPr>
    </w:sdtEndPr>
    <w:sdtContent>
      <w:p w:rsidR="007A73D4" w:rsidRDefault="007A73D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A73D4" w:rsidRDefault="007A73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73D4" w:rsidRDefault="007A73D4" w:rsidP="001540BD">
      <w:pPr>
        <w:spacing w:after="0" w:line="240" w:lineRule="auto"/>
      </w:pPr>
      <w:r>
        <w:separator/>
      </w:r>
    </w:p>
  </w:footnote>
  <w:footnote w:type="continuationSeparator" w:id="0">
    <w:p w:rsidR="007A73D4" w:rsidRDefault="007A73D4" w:rsidP="001540BD">
      <w:pPr>
        <w:spacing w:after="0" w:line="240" w:lineRule="auto"/>
      </w:pPr>
      <w:r>
        <w:continuationSeparator/>
      </w:r>
    </w:p>
  </w:footnote>
  <w:footnote w:id="1">
    <w:p w:rsidR="007A73D4" w:rsidRPr="003B581F" w:rsidRDefault="007A73D4">
      <w:pPr>
        <w:pStyle w:val="FootnoteText"/>
      </w:pPr>
      <w:r>
        <w:rPr>
          <w:rStyle w:val="FootnoteReference"/>
        </w:rPr>
        <w:footnoteRef/>
      </w:r>
      <w:r>
        <w:t xml:space="preserve"> World Heath Organisation, ‘Welding, Molybdenum Troxide, and Indium Tin Oxide’, </w:t>
      </w:r>
      <w:r>
        <w:rPr>
          <w:i/>
        </w:rPr>
        <w:t>IARC Monographs on the Evaluation of Carcinogenic Risks to Humans</w:t>
      </w:r>
      <w:r>
        <w:t>, Vol.118 (2018), p. 255</w:t>
      </w:r>
    </w:p>
  </w:footnote>
  <w:footnote w:id="2">
    <w:p w:rsidR="007A73D4" w:rsidRDefault="007A73D4">
      <w:pPr>
        <w:pStyle w:val="FootnoteText"/>
      </w:pPr>
      <w:r>
        <w:rPr>
          <w:rStyle w:val="FootnoteReference"/>
        </w:rPr>
        <w:footnoteRef/>
      </w:r>
      <w:r>
        <w:t xml:space="preserve"> WHO, ‘Welding, Molybdenum Troxide, and Indium Tin Oxide’, pp. 255-256</w:t>
      </w:r>
    </w:p>
  </w:footnote>
  <w:footnote w:id="3">
    <w:p w:rsidR="007A73D4" w:rsidRPr="001B664D" w:rsidRDefault="007A73D4">
      <w:pPr>
        <w:pStyle w:val="FootnoteText"/>
      </w:pPr>
      <w:r>
        <w:rPr>
          <w:rStyle w:val="FootnoteReference"/>
        </w:rPr>
        <w:footnoteRef/>
      </w:r>
      <w:r>
        <w:t xml:space="preserve"> Health &amp; Safety Executive, </w:t>
      </w:r>
      <w:r w:rsidRPr="001B664D">
        <w:rPr>
          <w:i/>
        </w:rPr>
        <w:t>Safety Bulletin: STSU1</w:t>
      </w:r>
      <w:r>
        <w:t>, (2019)</w:t>
      </w:r>
    </w:p>
  </w:footnote>
  <w:footnote w:id="4">
    <w:p w:rsidR="007A73D4" w:rsidRDefault="007A73D4">
      <w:pPr>
        <w:pStyle w:val="FootnoteText"/>
      </w:pPr>
      <w:r>
        <w:rPr>
          <w:rStyle w:val="FootnoteReference"/>
        </w:rPr>
        <w:footnoteRef/>
      </w:r>
      <w:r>
        <w:t xml:space="preserve"> WHO, ‘Welding, Molybdenum Troxide, and Indium Tin Oxide’, p. 257</w:t>
      </w:r>
    </w:p>
  </w:footnote>
  <w:footnote w:id="5">
    <w:p w:rsidR="007A73D4" w:rsidRDefault="007A73D4">
      <w:pPr>
        <w:pStyle w:val="FootnoteText"/>
      </w:pPr>
      <w:r>
        <w:rPr>
          <w:rStyle w:val="FootnoteReference"/>
        </w:rPr>
        <w:footnoteRef/>
      </w:r>
      <w:r>
        <w:t xml:space="preserve"> </w:t>
      </w:r>
      <w:bookmarkStart w:id="0" w:name="_Hlk25258538"/>
      <w:r>
        <w:t>WHO, ‘Welding, Molybdenum Troxide, and Indium Tin Oxide’, pp. 257-258</w:t>
      </w:r>
      <w:bookmarkEnd w:id="0"/>
    </w:p>
  </w:footnote>
  <w:footnote w:id="6">
    <w:p w:rsidR="007A73D4" w:rsidRDefault="007A73D4">
      <w:pPr>
        <w:pStyle w:val="FootnoteText"/>
      </w:pPr>
      <w:r>
        <w:rPr>
          <w:rStyle w:val="FootnoteReference"/>
        </w:rPr>
        <w:footnoteRef/>
      </w:r>
      <w:r>
        <w:t xml:space="preserve"> WHO, ‘Welding, Molybdenum Troxide, and Indium Tin Oxide’, p. 263</w:t>
      </w:r>
    </w:p>
  </w:footnote>
  <w:footnote w:id="7">
    <w:p w:rsidR="007A73D4" w:rsidRPr="00F45562" w:rsidRDefault="007A73D4">
      <w:pPr>
        <w:pStyle w:val="FootnoteText"/>
      </w:pPr>
      <w:r>
        <w:rPr>
          <w:rStyle w:val="FootnoteReference"/>
        </w:rPr>
        <w:footnoteRef/>
      </w:r>
      <w:r>
        <w:t xml:space="preserve"> H.K. Rana, R. Akhtar, P. </w:t>
      </w:r>
      <w:proofErr w:type="spellStart"/>
      <w:r>
        <w:t>Lio</w:t>
      </w:r>
      <w:proofErr w:type="spellEnd"/>
      <w:r>
        <w:t xml:space="preserve">, ‘Genetic Effects of Welding Fumes on the Development of Respiratory System Diseases’, </w:t>
      </w:r>
      <w:r>
        <w:rPr>
          <w:i/>
        </w:rPr>
        <w:t>Computers in Biology &amp; Medicine</w:t>
      </w:r>
      <w:r>
        <w:t>, Vol.108 (2019), p. 148</w:t>
      </w:r>
    </w:p>
  </w:footnote>
  <w:footnote w:id="8">
    <w:p w:rsidR="007A73D4" w:rsidRPr="009F06EC" w:rsidRDefault="007A73D4">
      <w:pPr>
        <w:pStyle w:val="FootnoteText"/>
      </w:pPr>
      <w:r>
        <w:rPr>
          <w:rStyle w:val="FootnoteReference"/>
        </w:rPr>
        <w:footnoteRef/>
      </w:r>
      <w:r>
        <w:t xml:space="preserve"> O. </w:t>
      </w:r>
      <w:proofErr w:type="spellStart"/>
      <w:r>
        <w:t>Uzun</w:t>
      </w:r>
      <w:proofErr w:type="spellEnd"/>
      <w:r>
        <w:t xml:space="preserve">, O. Ince, V. </w:t>
      </w:r>
      <w:proofErr w:type="spellStart"/>
      <w:r>
        <w:t>Bakalov</w:t>
      </w:r>
      <w:proofErr w:type="spellEnd"/>
      <w:r>
        <w:t xml:space="preserve">, T. Tuna, ‘Case Report: Massive </w:t>
      </w:r>
      <w:proofErr w:type="spellStart"/>
      <w:r>
        <w:t>Hemoptysis</w:t>
      </w:r>
      <w:proofErr w:type="spellEnd"/>
      <w:r>
        <w:t xml:space="preserve"> Due to Welding Fumes’, </w:t>
      </w:r>
      <w:r>
        <w:rPr>
          <w:i/>
        </w:rPr>
        <w:t>Respiratory Medicine Case Reports</w:t>
      </w:r>
      <w:r>
        <w:t>, Vol.5 (2012), p. 2</w:t>
      </w:r>
    </w:p>
  </w:footnote>
  <w:footnote w:id="9">
    <w:p w:rsidR="007A73D4" w:rsidRPr="00810651" w:rsidRDefault="007A73D4">
      <w:pPr>
        <w:pStyle w:val="FootnoteText"/>
      </w:pPr>
      <w:r>
        <w:rPr>
          <w:rStyle w:val="FootnoteReference"/>
        </w:rPr>
        <w:footnoteRef/>
      </w:r>
      <w:r>
        <w:t xml:space="preserve"> H.K. Rana, R. Akhtar, P. </w:t>
      </w:r>
      <w:proofErr w:type="spellStart"/>
      <w:r>
        <w:t>Lio</w:t>
      </w:r>
      <w:proofErr w:type="spellEnd"/>
      <w:r>
        <w:t xml:space="preserve">, ‘Genetic Effects of Welding Fumes on the Progression of Neurodegenerative Diseases’, </w:t>
      </w:r>
      <w:r>
        <w:rPr>
          <w:i/>
        </w:rPr>
        <w:t>Neurotoxicology</w:t>
      </w:r>
      <w:r>
        <w:t>, Vol.71 (2019), p.93</w:t>
      </w:r>
    </w:p>
  </w:footnote>
  <w:footnote w:id="10">
    <w:p w:rsidR="007A73D4" w:rsidRPr="00CF00EE" w:rsidRDefault="007A73D4">
      <w:pPr>
        <w:pStyle w:val="FootnoteText"/>
      </w:pPr>
      <w:r>
        <w:rPr>
          <w:rStyle w:val="FootnoteReference"/>
        </w:rPr>
        <w:footnoteRef/>
      </w:r>
      <w:r>
        <w:t xml:space="preserve"> I.M. </w:t>
      </w:r>
      <w:proofErr w:type="spellStart"/>
      <w:r>
        <w:t>Michalek</w:t>
      </w:r>
      <w:proofErr w:type="spellEnd"/>
      <w:r>
        <w:t xml:space="preserve">, J.I. Martinsen, E. </w:t>
      </w:r>
      <w:proofErr w:type="spellStart"/>
      <w:r>
        <w:t>Weiderpasse</w:t>
      </w:r>
      <w:proofErr w:type="spellEnd"/>
      <w:r>
        <w:t xml:space="preserve">, ‘Heavy Metals, Welding Fumes, and other Occupational Exposures, and the Risk of Kidney Cancer: A Population-based Nested Case-Control Study in Three Nordic Countries’, </w:t>
      </w:r>
      <w:r>
        <w:rPr>
          <w:i/>
        </w:rPr>
        <w:t>Environmental Research</w:t>
      </w:r>
      <w:r>
        <w:t>, Vol.173 (2019), p. 118</w:t>
      </w:r>
    </w:p>
  </w:footnote>
  <w:footnote w:id="11">
    <w:p w:rsidR="007A73D4" w:rsidRDefault="007A73D4">
      <w:pPr>
        <w:pStyle w:val="FootnoteText"/>
      </w:pPr>
      <w:r>
        <w:rPr>
          <w:rStyle w:val="FootnoteReference"/>
        </w:rPr>
        <w:footnoteRef/>
      </w:r>
      <w:r>
        <w:t xml:space="preserve"> HSE, </w:t>
      </w:r>
      <w:r w:rsidRPr="001B664D">
        <w:rPr>
          <w:i/>
        </w:rPr>
        <w:t>Safety Bulletin: STSU1</w:t>
      </w:r>
    </w:p>
  </w:footnote>
  <w:footnote w:id="12">
    <w:p w:rsidR="007A73D4" w:rsidRPr="003C57A4" w:rsidRDefault="007A73D4">
      <w:pPr>
        <w:pStyle w:val="FootnoteText"/>
      </w:pPr>
      <w:r>
        <w:rPr>
          <w:rStyle w:val="FootnoteReference"/>
        </w:rPr>
        <w:footnoteRef/>
      </w:r>
      <w:r>
        <w:t xml:space="preserve"> Health &amp; Safety Executive, </w:t>
      </w:r>
      <w:r>
        <w:rPr>
          <w:i/>
        </w:rPr>
        <w:t>HSG258: Controlling Airborne Contaminates at Work: A Guide to Local Exhaust Ventilation (LEV)</w:t>
      </w:r>
      <w:r>
        <w:t>, 3</w:t>
      </w:r>
      <w:r w:rsidRPr="003C57A4">
        <w:rPr>
          <w:vertAlign w:val="superscript"/>
        </w:rPr>
        <w:t>rd</w:t>
      </w:r>
      <w:r>
        <w:t xml:space="preserve"> Edition (London, 2017), p. 7</w:t>
      </w:r>
    </w:p>
  </w:footnote>
  <w:footnote w:id="13">
    <w:p w:rsidR="007A73D4" w:rsidRPr="0050395C" w:rsidRDefault="007A73D4">
      <w:pPr>
        <w:pStyle w:val="FootnoteText"/>
      </w:pPr>
      <w:r>
        <w:rPr>
          <w:rStyle w:val="FootnoteReference"/>
        </w:rPr>
        <w:footnoteRef/>
      </w:r>
      <w:r>
        <w:t xml:space="preserve"> J.T. </w:t>
      </w:r>
      <w:proofErr w:type="spellStart"/>
      <w:r>
        <w:t>Taity</w:t>
      </w:r>
      <w:proofErr w:type="spellEnd"/>
      <w:r>
        <w:t xml:space="preserve">, </w:t>
      </w:r>
      <w:r>
        <w:rPr>
          <w:i/>
        </w:rPr>
        <w:t>Industrial Hygiene Engineering: Recognition, Measurement, Evaluation and Control</w:t>
      </w:r>
      <w:r>
        <w:t xml:space="preserve"> (Cincinnati, 1998), p.153</w:t>
      </w:r>
    </w:p>
  </w:footnote>
  <w:footnote w:id="14">
    <w:p w:rsidR="007A73D4" w:rsidRPr="00C01883" w:rsidRDefault="007A73D4">
      <w:pPr>
        <w:pStyle w:val="FootnoteText"/>
      </w:pPr>
      <w:r>
        <w:rPr>
          <w:rStyle w:val="FootnoteReference"/>
        </w:rPr>
        <w:footnoteRef/>
      </w:r>
      <w:r>
        <w:t xml:space="preserve"> Health &amp; Safety Executive, </w:t>
      </w:r>
      <w:r>
        <w:rPr>
          <w:i/>
        </w:rPr>
        <w:t>HSG53: Respiratory Protective Equipment at Work: A Practical Guide</w:t>
      </w:r>
      <w:r>
        <w:t>, 4</w:t>
      </w:r>
      <w:r w:rsidRPr="00C01883">
        <w:rPr>
          <w:vertAlign w:val="superscript"/>
        </w:rPr>
        <w:t>th</w:t>
      </w:r>
      <w:r>
        <w:t xml:space="preserve"> Edition (London, 2013), p. 8</w:t>
      </w:r>
    </w:p>
  </w:footnote>
  <w:footnote w:id="15">
    <w:p w:rsidR="007A73D4" w:rsidRPr="00F54FCA" w:rsidRDefault="007A73D4">
      <w:pPr>
        <w:pStyle w:val="FootnoteText"/>
      </w:pPr>
      <w:r>
        <w:rPr>
          <w:rStyle w:val="FootnoteReference"/>
        </w:rPr>
        <w:footnoteRef/>
      </w:r>
      <w:r>
        <w:t xml:space="preserve"> A.A. </w:t>
      </w:r>
      <w:proofErr w:type="spellStart"/>
      <w:r>
        <w:t>Chughtai</w:t>
      </w:r>
      <w:proofErr w:type="spellEnd"/>
      <w:r>
        <w:t xml:space="preserve">, W. Khan, ‘Use of Personal Protective Equipment to Protect Against Respiratory Infections in Pakistan: A Systematic Review’, </w:t>
      </w:r>
      <w:r>
        <w:rPr>
          <w:i/>
        </w:rPr>
        <w:t>Journal of Infection and Public Health</w:t>
      </w:r>
      <w:r>
        <w:t>, Vol.12 (2019), p.523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C8294C"/>
    <w:multiLevelType w:val="hybridMultilevel"/>
    <w:tmpl w:val="8C2264C4"/>
    <w:lvl w:ilvl="0" w:tplc="52C00C7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0BD"/>
    <w:rsid w:val="0004377E"/>
    <w:rsid w:val="000A1926"/>
    <w:rsid w:val="000A3AAE"/>
    <w:rsid w:val="000D501D"/>
    <w:rsid w:val="001309CA"/>
    <w:rsid w:val="001540BD"/>
    <w:rsid w:val="00164990"/>
    <w:rsid w:val="001B664D"/>
    <w:rsid w:val="002A3C91"/>
    <w:rsid w:val="00336D98"/>
    <w:rsid w:val="00373307"/>
    <w:rsid w:val="003A4514"/>
    <w:rsid w:val="003B581F"/>
    <w:rsid w:val="003B5D89"/>
    <w:rsid w:val="003C57A4"/>
    <w:rsid w:val="003F544B"/>
    <w:rsid w:val="00465E10"/>
    <w:rsid w:val="0050395C"/>
    <w:rsid w:val="00517BA2"/>
    <w:rsid w:val="005235E7"/>
    <w:rsid w:val="00545E9B"/>
    <w:rsid w:val="005664F4"/>
    <w:rsid w:val="0058710B"/>
    <w:rsid w:val="00663A55"/>
    <w:rsid w:val="00672E98"/>
    <w:rsid w:val="0068596B"/>
    <w:rsid w:val="006F130B"/>
    <w:rsid w:val="007A73D4"/>
    <w:rsid w:val="007C31F1"/>
    <w:rsid w:val="00810651"/>
    <w:rsid w:val="00830114"/>
    <w:rsid w:val="00851CC6"/>
    <w:rsid w:val="008861C1"/>
    <w:rsid w:val="009F06EC"/>
    <w:rsid w:val="00B14AB9"/>
    <w:rsid w:val="00B5011B"/>
    <w:rsid w:val="00BD68BD"/>
    <w:rsid w:val="00C01883"/>
    <w:rsid w:val="00C47B92"/>
    <w:rsid w:val="00CF00EE"/>
    <w:rsid w:val="00D03BA4"/>
    <w:rsid w:val="00D35E19"/>
    <w:rsid w:val="00DF7445"/>
    <w:rsid w:val="00E54172"/>
    <w:rsid w:val="00E54D4C"/>
    <w:rsid w:val="00EE6821"/>
    <w:rsid w:val="00F45562"/>
    <w:rsid w:val="00F54FCA"/>
    <w:rsid w:val="00FB282E"/>
    <w:rsid w:val="00FE79A0"/>
    <w:rsid w:val="00FF69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722D07"/>
  <w15:chartTrackingRefBased/>
  <w15:docId w15:val="{33DF3972-978B-4703-856F-571B43F83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BalloonText">
    <w:name w:val="Balloon Text"/>
    <w:basedOn w:val="Normal"/>
    <w:link w:val="BalloonTextChar"/>
    <w:uiPriority w:val="99"/>
    <w:semiHidden/>
    <w:unhideWhenUsed/>
    <w:rsid w:val="001540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40BD"/>
    <w:rPr>
      <w:rFonts w:ascii="Segoe UI" w:hAnsi="Segoe UI" w:cs="Segoe UI"/>
      <w:sz w:val="18"/>
      <w:szCs w:val="18"/>
    </w:rPr>
  </w:style>
  <w:style w:type="paragraph" w:styleId="Header">
    <w:name w:val="header"/>
    <w:basedOn w:val="Normal"/>
    <w:link w:val="HeaderChar"/>
    <w:uiPriority w:val="99"/>
    <w:unhideWhenUsed/>
    <w:rsid w:val="001540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40BD"/>
    <w:rPr>
      <w:rFonts w:ascii="Arial" w:hAnsi="Arial"/>
    </w:rPr>
  </w:style>
  <w:style w:type="paragraph" w:styleId="Footer">
    <w:name w:val="footer"/>
    <w:basedOn w:val="Normal"/>
    <w:link w:val="FooterChar"/>
    <w:uiPriority w:val="99"/>
    <w:unhideWhenUsed/>
    <w:rsid w:val="001540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40BD"/>
    <w:rPr>
      <w:rFonts w:ascii="Arial" w:hAnsi="Arial"/>
    </w:rPr>
  </w:style>
  <w:style w:type="paragraph" w:styleId="FootnoteText">
    <w:name w:val="footnote text"/>
    <w:basedOn w:val="Normal"/>
    <w:link w:val="FootnoteTextChar"/>
    <w:uiPriority w:val="99"/>
    <w:semiHidden/>
    <w:unhideWhenUsed/>
    <w:rsid w:val="003B581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B581F"/>
    <w:rPr>
      <w:rFonts w:ascii="Arial" w:hAnsi="Arial"/>
      <w:sz w:val="20"/>
      <w:szCs w:val="20"/>
    </w:rPr>
  </w:style>
  <w:style w:type="character" w:styleId="FootnoteReference">
    <w:name w:val="footnote reference"/>
    <w:basedOn w:val="DefaultParagraphFont"/>
    <w:uiPriority w:val="99"/>
    <w:semiHidden/>
    <w:unhideWhenUsed/>
    <w:rsid w:val="003B58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5685ED-7CB1-4ECB-9D44-F2F82E891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D149513A</Template>
  <TotalTime>0</TotalTime>
  <Pages>10</Pages>
  <Words>2610</Words>
  <Characters>14343</Characters>
  <Application>Microsoft Office Word</Application>
  <DocSecurity>0</DocSecurity>
  <Lines>551</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McGinty, Callum</dc:creator>
  <cp:keywords/>
  <dc:description/>
  <cp:lastModifiedBy>McGinty, Callum</cp:lastModifiedBy>
  <cp:revision>10</cp:revision>
  <dcterms:created xsi:type="dcterms:W3CDTF">2019-11-20T17:40:00Z</dcterms:created>
  <dcterms:modified xsi:type="dcterms:W3CDTF">2019-11-21T23:07:00Z</dcterms:modified>
</cp:coreProperties>
</file>