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header3.xml" ContentType="application/vnd.openxmlformats-officedocument.wordprocessingml.header+xml"/>
  <Override PartName="/word/theme/theme1.xml" ContentType="application/vnd.openxmlformats-officedocument.theme+xml"/>
  <Override PartName="/word/footer4.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customXml/itemProps2.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document.xml" ContentType="application/vnd.openxmlformats-officedocument.wordprocessingml.document.main+xml"/>
  <Override PartName="/customXml/itemProps1.xml" ContentType="application/vnd.openxmlformats-officedocument.customXmlProperties+xml"/>
  <Override PartName="/word/footer2.xml" ContentType="application/vnd.openxmlformats-officedocument.wordprocessingml.footer+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pBdr>
          <w:left w:val="nil"/>
          <w:right w:val="nil"/>
          <w:top w:val="nil"/>
          <w:bottom w:val="nil"/>
          <w:between w:val="nil"/>
        </w:pBdr>
        <w:spacing w:before="4" w:lineRule="auto" w:line="360"/>
        <w:rPr>
          <w:color w:val="000000"/>
          <w:sz w:val="4"/>
          <w:szCs w:val="4"/>
        </w:rPr>
      </w:pPr>
    </w:p>
    <w:p>
      <w:pPr>
        <w:pStyle w:val="style0"/>
        <w:pBdr>
          <w:left w:val="nil"/>
          <w:right w:val="nil"/>
          <w:top w:val="nil"/>
          <w:bottom w:val="nil"/>
          <w:between w:val="nil"/>
        </w:pBdr>
        <w:spacing w:lineRule="auto" w:line="360"/>
        <w:ind w:left="307"/>
        <w:jc w:val="center"/>
        <w:rPr>
          <w:color w:val="000000"/>
          <w:sz w:val="20"/>
          <w:szCs w:val="20"/>
        </w:rPr>
      </w:pPr>
      <w:r>
        <w:rPr>
          <w:noProof/>
        </w:rPr>
        <w:drawing>
          <wp:inline distL="0" distT="0" distB="0" distR="0">
            <wp:extent cx="3209925" cy="1340066"/>
            <wp:effectExtent l="0" t="0" r="0" b="0"/>
            <wp:docPr id="1026" name="Picture 20" descr="University of Wales Trinity Saint David launches new digital ..."/>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0"/>
                    <pic:cNvPicPr/>
                  </pic:nvPicPr>
                  <pic:blipFill>
                    <a:blip r:embed="rId2" cstate="print"/>
                    <a:srcRect l="0" t="0" r="0" b="0"/>
                    <a:stretch/>
                  </pic:blipFill>
                  <pic:spPr>
                    <a:xfrm rot="0">
                      <a:off x="0" y="0"/>
                      <a:ext cx="3209925" cy="1340066"/>
                    </a:xfrm>
                    <a:prstGeom prst="rect"/>
                    <a:ln>
                      <a:noFill/>
                    </a:ln>
                  </pic:spPr>
                </pic:pic>
              </a:graphicData>
            </a:graphic>
          </wp:inline>
        </w:drawing>
      </w:r>
    </w:p>
    <w:p>
      <w:pPr>
        <w:pStyle w:val="style0"/>
        <w:spacing w:before="1" w:lineRule="auto" w:line="600"/>
        <w:ind w:right="138"/>
        <w:jc w:val="center"/>
        <w:rPr>
          <w:b/>
          <w:bCs/>
          <w:sz w:val="40"/>
          <w:szCs w:val="40"/>
        </w:rPr>
      </w:pPr>
      <w:r>
        <w:rPr>
          <w:b/>
          <w:bCs/>
          <w:sz w:val="40"/>
          <w:szCs w:val="40"/>
        </w:rPr>
        <w:t>Title</w:t>
      </w:r>
    </w:p>
    <w:p>
      <w:pPr>
        <w:pStyle w:val="style0"/>
        <w:spacing w:lineRule="auto" w:line="600"/>
        <w:ind w:left="567" w:right="606"/>
        <w:jc w:val="left"/>
        <w:rPr>
          <w:color w:val="000000"/>
          <w:sz w:val="18"/>
          <w:szCs w:val="18"/>
        </w:rPr>
      </w:pPr>
      <w:r>
        <w:rPr>
          <w:b/>
          <w:bCs/>
          <w:sz w:val="32"/>
          <w:szCs w:val="32"/>
        </w:rPr>
        <w:t xml:space="preserve">Strategy </w:t>
      </w:r>
      <w:r>
        <w:rPr>
          <w:b/>
          <w:bCs/>
          <w:sz w:val="32"/>
          <w:szCs w:val="32"/>
        </w:rPr>
        <w:t>to Reduce</w:t>
      </w:r>
      <w:r>
        <w:rPr>
          <w:b/>
          <w:bCs/>
          <w:sz w:val="32"/>
          <w:szCs w:val="32"/>
        </w:rPr>
        <w:t xml:space="preserve"> </w:t>
      </w:r>
      <w:r>
        <w:rPr>
          <w:b/>
          <w:bCs/>
          <w:sz w:val="32"/>
          <w:szCs w:val="32"/>
        </w:rPr>
        <w:t>Childhood Obesity in the London</w:t>
      </w:r>
      <w:r>
        <w:rPr>
          <w:b/>
          <w:bCs/>
          <w:sz w:val="32"/>
          <w:szCs w:val="32"/>
          <w:lang w:val="en-US"/>
        </w:rPr>
        <w:t xml:space="preserve"> </w:t>
      </w:r>
      <w:r>
        <w:rPr>
          <w:b/>
          <w:bCs/>
          <w:sz w:val="32"/>
          <w:szCs w:val="32"/>
        </w:rPr>
        <w:t>Borough of Tower Hamlets</w:t>
      </w:r>
    </w:p>
    <w:p>
      <w:pPr>
        <w:pStyle w:val="style0"/>
        <w:spacing w:lineRule="auto" w:line="600"/>
        <w:ind w:left="567" w:right="606"/>
        <w:jc w:val="left"/>
        <w:rPr>
          <w:b/>
          <w:bCs/>
          <w:color w:val="000000"/>
          <w:sz w:val="32"/>
          <w:szCs w:val="32"/>
          <w:lang w:val="en-US"/>
        </w:rPr>
      </w:pPr>
      <w:r>
        <w:rPr>
          <w:b/>
          <w:bCs/>
          <w:color w:val="000000"/>
          <w:sz w:val="32"/>
          <w:szCs w:val="32"/>
          <w:lang w:val="en-US"/>
        </w:rPr>
        <w:t xml:space="preserve">Name - Monalikumari Ishwarbhai Tandel </w:t>
      </w:r>
    </w:p>
    <w:p>
      <w:pPr>
        <w:pStyle w:val="style0"/>
        <w:spacing w:lineRule="auto" w:line="600"/>
        <w:ind w:left="567" w:right="606"/>
        <w:jc w:val="left"/>
        <w:rPr>
          <w:color w:val="000000"/>
          <w:sz w:val="18"/>
          <w:szCs w:val="18"/>
        </w:rPr>
      </w:pPr>
      <w:r>
        <w:rPr>
          <w:b/>
          <w:bCs/>
          <w:color w:val="000000"/>
          <w:sz w:val="32"/>
          <w:szCs w:val="32"/>
          <w:lang w:val="en-US"/>
        </w:rPr>
        <w:t>Student ID- 2505012</w:t>
      </w:r>
    </w:p>
    <w:p>
      <w:pPr>
        <w:pStyle w:val="style0"/>
        <w:pBdr>
          <w:left w:val="nil"/>
          <w:right w:val="nil"/>
          <w:top w:val="nil"/>
          <w:bottom w:val="nil"/>
          <w:between w:val="nil"/>
        </w:pBdr>
        <w:spacing w:before="153" w:lineRule="auto" w:line="360"/>
        <w:jc w:val="both"/>
        <w:rPr>
          <w:sz w:val="24"/>
          <w:szCs w:val="24"/>
        </w:rPr>
      </w:pPr>
    </w:p>
    <w:p>
      <w:pPr>
        <w:pStyle w:val="style0"/>
        <w:pBdr>
          <w:left w:val="nil"/>
          <w:right w:val="nil"/>
          <w:top w:val="nil"/>
          <w:bottom w:val="nil"/>
          <w:between w:val="nil"/>
        </w:pBdr>
        <w:spacing w:before="153" w:lineRule="auto" w:line="360"/>
        <w:jc w:val="both"/>
        <w:rPr>
          <w:sz w:val="24"/>
          <w:szCs w:val="24"/>
        </w:rPr>
        <w:sectPr>
          <w:headerReference w:type="default" r:id="rId3"/>
          <w:footerReference w:type="default" r:id="rId4"/>
          <w:pgSz w:w="11910" w:h="16840" w:orient="portrait"/>
          <w:pgMar w:top="1900" w:right="992" w:bottom="1240" w:left="1133" w:header="1451" w:footer="1048" w:gutter="0"/>
          <w:cols w:space="720"/>
        </w:sectPr>
      </w:pPr>
    </w:p>
    <w:bookmarkStart w:id="0" w:name="_Toc223302864"/>
    <w:p>
      <w:pPr>
        <w:pStyle w:val="style1"/>
        <w:spacing w:before="0"/>
        <w:rPr/>
      </w:pPr>
      <w:r>
        <w:rPr>
          <w:rFonts w:eastAsia="Arial"/>
        </w:rPr>
        <w:t>Strategy</w:t>
      </w:r>
      <w:bookmarkEnd w:id="0"/>
    </w:p>
    <w:p>
      <w:pPr>
        <w:pStyle w:val="style0"/>
        <w:pBdr>
          <w:left w:val="nil"/>
          <w:right w:val="nil"/>
          <w:top w:val="nil"/>
          <w:bottom w:val="nil"/>
          <w:between w:val="nil"/>
        </w:pBdr>
        <w:spacing w:before="164" w:lineRule="auto" w:line="360"/>
        <w:ind w:left="307" w:right="533"/>
        <w:jc w:val="both"/>
        <w:rPr>
          <w:sz w:val="24"/>
          <w:szCs w:val="24"/>
        </w:rPr>
      </w:pPr>
      <w:r>
        <w:rPr>
          <w:sz w:val="24"/>
          <w:szCs w:val="24"/>
        </w:rPr>
        <w:t>The partnership and service integration strategy towards the childhood obesity in the London Borough of Tower Hamlets is founded on a whole-systems, staged model as per the priorities of Integrated Care Systems (Salm et al., 2023). They need to tackle the problem of early intervention and long-term prevention since nearly 11% of Reception children are obese and the proportion of obese remains higher in Year 6. The strategy integrates community intervention and environment, as well as clinical follow-up.</w:t>
      </w:r>
    </w:p>
    <w:p>
      <w:pPr>
        <w:pStyle w:val="style0"/>
        <w:pBdr>
          <w:left w:val="nil"/>
          <w:right w:val="nil"/>
          <w:top w:val="nil"/>
          <w:bottom w:val="nil"/>
          <w:between w:val="nil"/>
        </w:pBdr>
        <w:spacing w:before="164" w:lineRule="auto" w:line="360"/>
        <w:ind w:left="307" w:right="533"/>
        <w:jc w:val="both"/>
        <w:rPr>
          <w:sz w:val="24"/>
          <w:szCs w:val="24"/>
        </w:rPr>
      </w:pPr>
      <w:r>
        <w:rPr>
          <w:sz w:val="24"/>
          <w:szCs w:val="24"/>
        </w:rPr>
        <w:t>The outlined timeline has a structured plan and has indicators that will be measured:</w:t>
      </w:r>
    </w:p>
    <w:tbl>
      <w:tblPr>
        <w:tblStyle w:val="style4101"/>
        <w:tblW w:w="8880" w:type="dxa"/>
        <w:tblBorders>
          <w:top w:val="nil"/>
          <w:left w:val="nil"/>
          <w:bottom w:val="nil"/>
          <w:right w:val="nil"/>
          <w:insideH w:val="nil"/>
          <w:insideV w:val="nil"/>
        </w:tblBorders>
        <w:tblLayout w:type="fixed"/>
        <w:tblLook w:val="0600" w:firstRow="0" w:lastRow="0" w:firstColumn="0" w:lastColumn="0" w:noHBand="1" w:noVBand="1"/>
      </w:tblPr>
      <w:tblGrid>
        <w:gridCol w:w="1230"/>
        <w:gridCol w:w="1140"/>
        <w:gridCol w:w="2790"/>
        <w:gridCol w:w="1500"/>
        <w:gridCol w:w="2220"/>
      </w:tblGrid>
      <w:tr>
        <w:trPr>
          <w:trHeight w:val="735" w:hRule="atLeast"/>
        </w:trPr>
        <w:tc>
          <w:tcPr>
            <w:tcW w:w="1230" w:type="dxa"/>
            <w:tcBorders>
              <w:top w:val="single" w:sz="5" w:space="0" w:color="000000"/>
              <w:left w:val="single" w:sz="5" w:space="0" w:color="000000"/>
              <w:bottom w:val="single" w:sz="5" w:space="0" w:color="000000"/>
              <w:right w:val="single" w:sz="5" w:space="0" w:color="000000"/>
            </w:tcBorders>
            <w:shd w:val="clear" w:color="auto" w:fill="a5a5a5"/>
            <w:tcMar>
              <w:top w:w="0" w:type="dxa"/>
              <w:left w:w="100" w:type="dxa"/>
              <w:bottom w:w="0" w:type="dxa"/>
              <w:right w:w="100" w:type="dxa"/>
            </w:tcMar>
          </w:tcPr>
          <w:p>
            <w:pPr>
              <w:pStyle w:val="style0"/>
              <w:spacing w:lineRule="auto" w:line="360"/>
              <w:jc w:val="both"/>
              <w:rPr>
                <w:b/>
                <w:bCs/>
              </w:rPr>
            </w:pPr>
            <w:r>
              <w:rPr>
                <w:b/>
                <w:bCs/>
              </w:rPr>
              <w:t>Phase</w:t>
            </w:r>
          </w:p>
        </w:tc>
        <w:tc>
          <w:tcPr>
            <w:tcW w:w="1140" w:type="dxa"/>
            <w:tcBorders>
              <w:top w:val="single" w:sz="5" w:space="0" w:color="000000"/>
              <w:left w:val="nil"/>
              <w:bottom w:val="single" w:sz="5" w:space="0" w:color="000000"/>
              <w:right w:val="single" w:sz="5" w:space="0" w:color="000000"/>
            </w:tcBorders>
            <w:shd w:val="clear" w:color="auto" w:fill="a5a5a5"/>
            <w:tcMar>
              <w:top w:w="0" w:type="dxa"/>
              <w:left w:w="100" w:type="dxa"/>
              <w:bottom w:w="0" w:type="dxa"/>
              <w:right w:w="100" w:type="dxa"/>
            </w:tcMar>
          </w:tcPr>
          <w:p>
            <w:pPr>
              <w:pStyle w:val="style0"/>
              <w:spacing w:lineRule="auto" w:line="360"/>
              <w:jc w:val="both"/>
              <w:rPr>
                <w:b/>
                <w:bCs/>
              </w:rPr>
            </w:pPr>
            <w:r>
              <w:rPr>
                <w:b/>
                <w:bCs/>
              </w:rPr>
              <w:t>Timeline</w:t>
            </w:r>
          </w:p>
        </w:tc>
        <w:tc>
          <w:tcPr>
            <w:tcW w:w="2790" w:type="dxa"/>
            <w:tcBorders>
              <w:top w:val="single" w:sz="5" w:space="0" w:color="000000"/>
              <w:left w:val="nil"/>
              <w:bottom w:val="single" w:sz="5" w:space="0" w:color="000000"/>
              <w:right w:val="single" w:sz="5" w:space="0" w:color="000000"/>
            </w:tcBorders>
            <w:shd w:val="clear" w:color="auto" w:fill="a5a5a5"/>
            <w:tcMar>
              <w:top w:w="0" w:type="dxa"/>
              <w:left w:w="100" w:type="dxa"/>
              <w:bottom w:w="0" w:type="dxa"/>
              <w:right w:w="100" w:type="dxa"/>
            </w:tcMar>
          </w:tcPr>
          <w:p>
            <w:pPr>
              <w:pStyle w:val="style0"/>
              <w:spacing w:lineRule="auto" w:line="360"/>
              <w:jc w:val="both"/>
              <w:rPr>
                <w:b/>
                <w:bCs/>
              </w:rPr>
            </w:pPr>
            <w:r>
              <w:rPr>
                <w:b/>
                <w:bCs/>
              </w:rPr>
              <w:t>Key Actions</w:t>
            </w:r>
          </w:p>
        </w:tc>
        <w:tc>
          <w:tcPr>
            <w:tcW w:w="1500" w:type="dxa"/>
            <w:tcBorders>
              <w:top w:val="single" w:sz="5" w:space="0" w:color="000000"/>
              <w:left w:val="nil"/>
              <w:bottom w:val="single" w:sz="5" w:space="0" w:color="000000"/>
              <w:right w:val="single" w:sz="5" w:space="0" w:color="000000"/>
            </w:tcBorders>
            <w:shd w:val="clear" w:color="auto" w:fill="a5a5a5"/>
            <w:tcMar>
              <w:top w:w="0" w:type="dxa"/>
              <w:left w:w="100" w:type="dxa"/>
              <w:bottom w:w="0" w:type="dxa"/>
              <w:right w:w="100" w:type="dxa"/>
            </w:tcMar>
          </w:tcPr>
          <w:p>
            <w:pPr>
              <w:pStyle w:val="style0"/>
              <w:spacing w:lineRule="auto" w:line="360"/>
              <w:jc w:val="both"/>
              <w:rPr>
                <w:b/>
                <w:bCs/>
              </w:rPr>
            </w:pPr>
            <w:r>
              <w:rPr>
                <w:b/>
                <w:bCs/>
              </w:rPr>
              <w:t>Evaluation Moment</w:t>
            </w:r>
          </w:p>
        </w:tc>
        <w:tc>
          <w:tcPr>
            <w:tcW w:w="2220" w:type="dxa"/>
            <w:tcBorders>
              <w:top w:val="single" w:sz="5" w:space="0" w:color="000000"/>
              <w:left w:val="nil"/>
              <w:bottom w:val="single" w:sz="5" w:space="0" w:color="000000"/>
              <w:right w:val="single" w:sz="5" w:space="0" w:color="000000"/>
            </w:tcBorders>
            <w:shd w:val="clear" w:color="auto" w:fill="a5a5a5"/>
            <w:tcMar>
              <w:top w:w="0" w:type="dxa"/>
              <w:left w:w="100" w:type="dxa"/>
              <w:bottom w:w="0" w:type="dxa"/>
              <w:right w:w="100" w:type="dxa"/>
            </w:tcMar>
          </w:tcPr>
          <w:p>
            <w:pPr>
              <w:pStyle w:val="style0"/>
              <w:spacing w:lineRule="auto" w:line="360"/>
              <w:jc w:val="both"/>
              <w:rPr>
                <w:b/>
                <w:bCs/>
              </w:rPr>
            </w:pPr>
            <w:r>
              <w:rPr>
                <w:b/>
                <w:bCs/>
              </w:rPr>
              <w:t>Indicators</w:t>
            </w:r>
          </w:p>
        </w:tc>
      </w:tr>
      <w:tr>
        <w:tblPrEx/>
        <w:trPr>
          <w:trHeight w:val="1766" w:hRule="atLeast"/>
        </w:trPr>
        <w:tc>
          <w:tcPr>
            <w:tcW w:w="12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pPr>
              <w:pStyle w:val="style0"/>
              <w:spacing w:lineRule="auto" w:line="360"/>
              <w:jc w:val="both"/>
              <w:rPr>
                <w:b/>
                <w:bCs/>
              </w:rPr>
            </w:pPr>
            <w:r>
              <w:rPr>
                <w:b/>
                <w:bCs/>
              </w:rPr>
              <w:t>Short-term</w:t>
            </w:r>
          </w:p>
        </w:tc>
        <w:tc>
          <w:tcPr>
            <w:tcW w:w="1140" w:type="dxa"/>
            <w:tcBorders>
              <w:top w:val="nil"/>
              <w:left w:val="nil"/>
              <w:bottom w:val="single" w:sz="5" w:space="0" w:color="000000"/>
              <w:right w:val="single" w:sz="5" w:space="0" w:color="000000"/>
            </w:tcBorders>
            <w:tcMar>
              <w:top w:w="0" w:type="dxa"/>
              <w:left w:w="100" w:type="dxa"/>
              <w:bottom w:w="0" w:type="dxa"/>
              <w:right w:w="100" w:type="dxa"/>
            </w:tcMar>
          </w:tcPr>
          <w:p>
            <w:pPr>
              <w:pStyle w:val="style0"/>
              <w:spacing w:lineRule="auto" w:line="360"/>
              <w:jc w:val="both"/>
              <w:rPr/>
            </w:pPr>
            <w:r>
              <w:t>0–2 years</w:t>
            </w:r>
          </w:p>
        </w:tc>
        <w:tc>
          <w:tcPr>
            <w:tcW w:w="2790" w:type="dxa"/>
            <w:tcBorders>
              <w:top w:val="nil"/>
              <w:left w:val="nil"/>
              <w:bottom w:val="single" w:sz="5" w:space="0" w:color="000000"/>
              <w:right w:val="single" w:sz="5" w:space="0" w:color="000000"/>
            </w:tcBorders>
            <w:tcMar>
              <w:top w:w="0" w:type="dxa"/>
              <w:left w:w="100" w:type="dxa"/>
              <w:bottom w:w="0" w:type="dxa"/>
              <w:right w:w="100" w:type="dxa"/>
            </w:tcMar>
          </w:tcPr>
          <w:p>
            <w:pPr>
              <w:pStyle w:val="style0"/>
              <w:spacing w:lineRule="auto" w:line="360"/>
              <w:jc w:val="both"/>
              <w:rPr/>
            </w:pPr>
            <w:r>
              <w:t>Improve follow-up from the National Child Measurement Programme; expand family weight programmes in high-</w:t>
            </w:r>
            <w:r>
              <w:t>risk wards</w:t>
            </w:r>
            <w:r>
              <w:t xml:space="preserve"> (Sallis et al., 2019)</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pPr>
              <w:pStyle w:val="style0"/>
              <w:spacing w:lineRule="auto" w:line="360"/>
              <w:jc w:val="both"/>
              <w:rPr/>
            </w:pPr>
            <w:r>
              <w:t>Annual review</w:t>
            </w:r>
          </w:p>
        </w:tc>
        <w:tc>
          <w:tcPr>
            <w:tcW w:w="2220" w:type="dxa"/>
            <w:tcBorders>
              <w:top w:val="nil"/>
              <w:left w:val="nil"/>
              <w:bottom w:val="single" w:sz="5" w:space="0" w:color="000000"/>
              <w:right w:val="single" w:sz="5" w:space="0" w:color="000000"/>
            </w:tcBorders>
            <w:tcMar>
              <w:top w:w="0" w:type="dxa"/>
              <w:left w:w="100" w:type="dxa"/>
              <w:bottom w:w="0" w:type="dxa"/>
              <w:right w:w="100" w:type="dxa"/>
            </w:tcMar>
          </w:tcPr>
          <w:p>
            <w:pPr>
              <w:pStyle w:val="style0"/>
              <w:spacing w:lineRule="auto" w:line="360"/>
              <w:jc w:val="both"/>
              <w:rPr/>
            </w:pPr>
            <w:r>
              <w:rPr>
                <w:rFonts w:eastAsia="Gungsuh"/>
              </w:rPr>
              <w:t>≥70% referral uptake; attendance rates; baseline BMI centile change (Sallis et al., 2019)</w:t>
            </w:r>
          </w:p>
        </w:tc>
      </w:tr>
      <w:tr>
        <w:tblPrEx/>
        <w:trPr>
          <w:trHeight w:val="1410" w:hRule="atLeast"/>
        </w:trPr>
        <w:tc>
          <w:tcPr>
            <w:tcW w:w="12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pPr>
              <w:pStyle w:val="style0"/>
              <w:spacing w:lineRule="auto" w:line="360"/>
              <w:jc w:val="both"/>
              <w:rPr>
                <w:b/>
                <w:bCs/>
              </w:rPr>
            </w:pPr>
            <w:r>
              <w:rPr>
                <w:b/>
                <w:bCs/>
              </w:rPr>
              <w:t>Medium-term</w:t>
            </w:r>
          </w:p>
        </w:tc>
        <w:tc>
          <w:tcPr>
            <w:tcW w:w="1140" w:type="dxa"/>
            <w:tcBorders>
              <w:top w:val="nil"/>
              <w:left w:val="nil"/>
              <w:bottom w:val="single" w:sz="5" w:space="0" w:color="000000"/>
              <w:right w:val="single" w:sz="5" w:space="0" w:color="000000"/>
            </w:tcBorders>
            <w:tcMar>
              <w:top w:w="0" w:type="dxa"/>
              <w:left w:w="100" w:type="dxa"/>
              <w:bottom w:w="0" w:type="dxa"/>
              <w:right w:w="100" w:type="dxa"/>
            </w:tcMar>
          </w:tcPr>
          <w:p>
            <w:pPr>
              <w:pStyle w:val="style0"/>
              <w:spacing w:lineRule="auto" w:line="360"/>
              <w:jc w:val="both"/>
              <w:rPr/>
            </w:pPr>
            <w:r>
              <w:t>3–5 years</w:t>
            </w:r>
          </w:p>
        </w:tc>
        <w:tc>
          <w:tcPr>
            <w:tcW w:w="2790" w:type="dxa"/>
            <w:tcBorders>
              <w:top w:val="nil"/>
              <w:left w:val="nil"/>
              <w:bottom w:val="single" w:sz="5" w:space="0" w:color="000000"/>
              <w:right w:val="single" w:sz="5" w:space="0" w:color="000000"/>
            </w:tcBorders>
            <w:tcMar>
              <w:top w:w="0" w:type="dxa"/>
              <w:left w:w="100" w:type="dxa"/>
              <w:bottom w:w="0" w:type="dxa"/>
              <w:right w:w="100" w:type="dxa"/>
            </w:tcMar>
          </w:tcPr>
          <w:p>
            <w:pPr>
              <w:pStyle w:val="style0"/>
              <w:spacing w:lineRule="auto" w:line="360"/>
              <w:jc w:val="both"/>
              <w:rPr/>
            </w:pPr>
            <w:r>
              <w:t>Embed healthy food standards in schools; increase access to safe physical activity spaces.</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pPr>
              <w:pStyle w:val="style0"/>
              <w:spacing w:lineRule="auto" w:line="360"/>
              <w:jc w:val="both"/>
              <w:rPr/>
            </w:pPr>
            <w:r>
              <w:t>Year 3 and Year 5 review</w:t>
            </w:r>
          </w:p>
        </w:tc>
        <w:tc>
          <w:tcPr>
            <w:tcW w:w="2220" w:type="dxa"/>
            <w:tcBorders>
              <w:top w:val="nil"/>
              <w:left w:val="nil"/>
              <w:bottom w:val="single" w:sz="5" w:space="0" w:color="000000"/>
              <w:right w:val="single" w:sz="5" w:space="0" w:color="000000"/>
            </w:tcBorders>
            <w:tcMar>
              <w:top w:w="0" w:type="dxa"/>
              <w:left w:w="100" w:type="dxa"/>
              <w:bottom w:w="0" w:type="dxa"/>
              <w:right w:w="100" w:type="dxa"/>
            </w:tcMar>
          </w:tcPr>
          <w:p>
            <w:pPr>
              <w:pStyle w:val="style0"/>
              <w:spacing w:lineRule="auto" w:line="360"/>
              <w:jc w:val="both"/>
              <w:rPr/>
            </w:pPr>
            <w:r>
              <w:t>Reduction in Reception obesity by 2%; increased physical activity participation</w:t>
            </w:r>
          </w:p>
        </w:tc>
      </w:tr>
      <w:tr>
        <w:tblPrEx/>
        <w:trPr>
          <w:trHeight w:val="446" w:hRule="atLeast"/>
        </w:trPr>
        <w:tc>
          <w:tcPr>
            <w:tcW w:w="12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pPr>
              <w:pStyle w:val="style0"/>
              <w:spacing w:lineRule="auto" w:line="360"/>
              <w:jc w:val="both"/>
              <w:rPr>
                <w:b/>
                <w:bCs/>
              </w:rPr>
            </w:pPr>
            <w:r>
              <w:rPr>
                <w:b/>
                <w:bCs/>
              </w:rPr>
              <w:t>Long-term</w:t>
            </w:r>
          </w:p>
        </w:tc>
        <w:tc>
          <w:tcPr>
            <w:tcW w:w="1140" w:type="dxa"/>
            <w:tcBorders>
              <w:top w:val="nil"/>
              <w:left w:val="nil"/>
              <w:bottom w:val="single" w:sz="5" w:space="0" w:color="000000"/>
              <w:right w:val="single" w:sz="5" w:space="0" w:color="000000"/>
            </w:tcBorders>
            <w:tcMar>
              <w:top w:w="0" w:type="dxa"/>
              <w:left w:w="100" w:type="dxa"/>
              <w:bottom w:w="0" w:type="dxa"/>
              <w:right w:w="100" w:type="dxa"/>
            </w:tcMar>
          </w:tcPr>
          <w:p>
            <w:pPr>
              <w:pStyle w:val="style0"/>
              <w:spacing w:lineRule="auto" w:line="360"/>
              <w:jc w:val="both"/>
              <w:rPr/>
            </w:pPr>
            <w:r>
              <w:t>5+ years</w:t>
            </w:r>
          </w:p>
        </w:tc>
        <w:tc>
          <w:tcPr>
            <w:tcW w:w="2790" w:type="dxa"/>
            <w:tcBorders>
              <w:top w:val="nil"/>
              <w:left w:val="nil"/>
              <w:bottom w:val="single" w:sz="5" w:space="0" w:color="000000"/>
              <w:right w:val="single" w:sz="5" w:space="0" w:color="000000"/>
            </w:tcBorders>
            <w:tcMar>
              <w:top w:w="0" w:type="dxa"/>
              <w:left w:w="100" w:type="dxa"/>
              <w:bottom w:w="0" w:type="dxa"/>
              <w:right w:w="100" w:type="dxa"/>
            </w:tcMar>
          </w:tcPr>
          <w:p>
            <w:pPr>
              <w:pStyle w:val="style0"/>
              <w:spacing w:lineRule="auto" w:line="360"/>
              <w:jc w:val="both"/>
              <w:rPr/>
            </w:pPr>
            <w:r>
              <w:t>Reduce the inequality gap between deprived wards and the England average (Sallis et al., 2019)</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pPr>
              <w:pStyle w:val="style0"/>
              <w:spacing w:lineRule="auto" w:line="360"/>
              <w:jc w:val="both"/>
              <w:rPr/>
            </w:pPr>
            <w:r>
              <w:t>5-year population review</w:t>
            </w:r>
          </w:p>
        </w:tc>
        <w:tc>
          <w:tcPr>
            <w:tcW w:w="2220" w:type="dxa"/>
            <w:tcBorders>
              <w:top w:val="nil"/>
              <w:left w:val="nil"/>
              <w:bottom w:val="single" w:sz="5" w:space="0" w:color="000000"/>
              <w:right w:val="single" w:sz="5" w:space="0" w:color="000000"/>
            </w:tcBorders>
            <w:tcMar>
              <w:top w:w="0" w:type="dxa"/>
              <w:left w:w="100" w:type="dxa"/>
              <w:bottom w:w="0" w:type="dxa"/>
              <w:right w:w="100" w:type="dxa"/>
            </w:tcMar>
          </w:tcPr>
          <w:p>
            <w:pPr>
              <w:pStyle w:val="style0"/>
              <w:spacing w:lineRule="auto" w:line="360"/>
              <w:jc w:val="both"/>
              <w:rPr/>
            </w:pPr>
            <w:r>
              <w:t>Sustained downward obesity trend; reduced obesity-related admissions (Sallis et al., 2019)</w:t>
            </w:r>
          </w:p>
        </w:tc>
      </w:tr>
    </w:tbl>
    <w:p>
      <w:pPr>
        <w:pStyle w:val="style0"/>
        <w:pBdr>
          <w:left w:val="nil"/>
          <w:right w:val="nil"/>
          <w:top w:val="nil"/>
          <w:bottom w:val="nil"/>
          <w:between w:val="nil"/>
        </w:pBdr>
        <w:spacing w:before="164" w:lineRule="auto" w:line="360"/>
        <w:ind w:right="533"/>
        <w:jc w:val="both"/>
        <w:rPr>
          <w:sz w:val="24"/>
          <w:szCs w:val="24"/>
        </w:rPr>
      </w:pPr>
      <w:r>
        <w:rPr>
          <w:sz w:val="24"/>
          <w:szCs w:val="24"/>
        </w:rPr>
        <w:t>An integrative strategy will be the implementation of a Going Digital between schools and GPs and the NHS North East London Integrated Care Board, which means shared information dashboards, where real-time referral tracking and monitoring of outcomes would be possible. Parental participation is enhanced by using digital tools of engagement (SMS reminders, virtual workshops, etc.) (Owens, Ravi and Hunter, 2023).The major challenges are that there is a funding shortage, a workforce, language issues, and the danger of expanding disparities if the services are offered to motivated families (Owens, Ravi and Hunter, 2023). Effective governance, shared budgets, and culturally oriented interaction strategies have to help address these obstacles to ensure the maintenance of the partnership's effectiveness.</w:t>
      </w:r>
    </w:p>
    <w:p>
      <w:pPr>
        <w:pStyle w:val="style1"/>
        <w:rPr>
          <w:rFonts w:eastAsia="Arial"/>
        </w:rPr>
      </w:pPr>
      <w:r>
        <w:rPr>
          <w:rFonts w:eastAsia="Arial"/>
        </w:rPr>
        <w:t>Reference List</w:t>
      </w:r>
    </w:p>
    <w:p>
      <w:pPr>
        <w:pStyle w:val="style0"/>
        <w:rPr/>
      </w:pPr>
    </w:p>
    <w:p>
      <w:pPr>
        <w:pStyle w:val="style0"/>
        <w:widowControl/>
        <w:spacing w:after="240" w:lineRule="auto" w:line="360"/>
        <w:jc w:val="both"/>
        <w:rPr>
          <w:sz w:val="24"/>
          <w:szCs w:val="24"/>
        </w:rPr>
      </w:pPr>
      <w:r>
        <w:rPr>
          <w:sz w:val="24"/>
          <w:szCs w:val="24"/>
        </w:rPr>
        <w:t xml:space="preserve">Sallis, A., Porter, L., Tan, K., Howard, R., Brown, L., Jones, A., Ells, L., Adamson, A., Taylor, R., Vlaev, I. and Chadborn, T. (2019). Improving child weight management uptake through enhanced National Child Measurement Programme parental feedback letters: A randomised controlled trial. </w:t>
      </w:r>
      <w:r>
        <w:rPr>
          <w:i/>
          <w:iCs/>
          <w:sz w:val="24"/>
          <w:szCs w:val="24"/>
        </w:rPr>
        <w:t>Preventive Medicine</w:t>
      </w:r>
      <w:r>
        <w:rPr>
          <w:sz w:val="24"/>
          <w:szCs w:val="24"/>
        </w:rPr>
        <w:t xml:space="preserve">, [online] 121, pp.128–135. </w:t>
      </w:r>
      <w:r>
        <w:rPr>
          <w:sz w:val="24"/>
          <w:szCs w:val="24"/>
        </w:rPr>
        <w:t>doi:https</w:t>
      </w:r>
      <w:r>
        <w:rPr>
          <w:sz w:val="24"/>
          <w:szCs w:val="24"/>
        </w:rPr>
        <w:t>://doi.org/10.1016/j.ypmed.2019.01.023.</w:t>
      </w:r>
    </w:p>
    <w:p>
      <w:pPr>
        <w:pStyle w:val="style0"/>
        <w:widowControl/>
        <w:spacing w:after="240" w:lineRule="auto" w:line="360"/>
        <w:jc w:val="both"/>
        <w:rPr>
          <w:sz w:val="24"/>
          <w:szCs w:val="24"/>
        </w:rPr>
      </w:pPr>
      <w:r>
        <w:rPr>
          <w:sz w:val="24"/>
          <w:szCs w:val="24"/>
        </w:rPr>
        <w:t xml:space="preserve">Salm, L., Nisbett, N., Cuming, K., </w:t>
      </w:r>
      <w:r>
        <w:rPr>
          <w:sz w:val="24"/>
          <w:szCs w:val="24"/>
        </w:rPr>
        <w:t>Hrynick</w:t>
      </w:r>
      <w:r>
        <w:rPr>
          <w:sz w:val="24"/>
          <w:szCs w:val="24"/>
        </w:rPr>
        <w:t xml:space="preserve">, T., </w:t>
      </w:r>
      <w:r>
        <w:rPr>
          <w:sz w:val="24"/>
          <w:szCs w:val="24"/>
        </w:rPr>
        <w:t>Lulache</w:t>
      </w:r>
      <w:r>
        <w:rPr>
          <w:sz w:val="24"/>
          <w:szCs w:val="24"/>
        </w:rPr>
        <w:t xml:space="preserve">, A. and MacGregor, H. (2023). A whole system approach to childhood obesity: how a supportive environment was created in the city of Brighton and Hove, United Kingdom. </w:t>
      </w:r>
      <w:r>
        <w:rPr>
          <w:i/>
          <w:iCs/>
          <w:sz w:val="24"/>
          <w:szCs w:val="24"/>
        </w:rPr>
        <w:t>Food Security</w:t>
      </w:r>
      <w:r>
        <w:rPr>
          <w:sz w:val="24"/>
          <w:szCs w:val="24"/>
        </w:rPr>
        <w:t xml:space="preserve">, [online] 15. </w:t>
      </w:r>
      <w:r>
        <w:rPr>
          <w:sz w:val="24"/>
          <w:szCs w:val="24"/>
        </w:rPr>
        <w:t>doi:https</w:t>
      </w:r>
      <w:r>
        <w:rPr>
          <w:sz w:val="24"/>
          <w:szCs w:val="24"/>
        </w:rPr>
        <w:t>://doi.org/10.1007/s12571-023-01361-9.</w:t>
      </w:r>
    </w:p>
    <w:p>
      <w:pPr>
        <w:pStyle w:val="style0"/>
        <w:widowControl/>
        <w:spacing w:after="240" w:lineRule="auto" w:line="360"/>
        <w:jc w:val="both"/>
        <w:rPr>
          <w:sz w:val="24"/>
          <w:szCs w:val="24"/>
        </w:rPr>
      </w:pPr>
      <w:r>
        <w:rPr>
          <w:sz w:val="24"/>
          <w:szCs w:val="24"/>
        </w:rPr>
        <w:t xml:space="preserve">Owens, M.A., Ravi, V.V. and Hunter, E.J. (2023). Digital Inclusion as a Lens for Equitable Parent Engagement. </w:t>
      </w:r>
      <w:r>
        <w:rPr>
          <w:i/>
          <w:iCs/>
          <w:sz w:val="24"/>
          <w:szCs w:val="24"/>
        </w:rPr>
        <w:t>TechTrends</w:t>
      </w:r>
      <w:r>
        <w:rPr>
          <w:sz w:val="24"/>
          <w:szCs w:val="24"/>
        </w:rPr>
        <w:t xml:space="preserve">. [online] </w:t>
      </w:r>
      <w:r>
        <w:rPr>
          <w:sz w:val="24"/>
          <w:szCs w:val="24"/>
        </w:rPr>
        <w:t>doi:https</w:t>
      </w:r>
      <w:r>
        <w:rPr>
          <w:sz w:val="24"/>
          <w:szCs w:val="24"/>
        </w:rPr>
        <w:t>://doi.org/10.1007/s11528-023-00859-5.</w:t>
      </w:r>
      <w:r>
        <w:rPr>
          <w:sz w:val="24"/>
          <w:szCs w:val="24"/>
        </w:rPr>
        <w:t xml:space="preserve"> </w:t>
      </w:r>
    </w:p>
    <w:sectPr>
      <w:headerReference w:type="default" r:id="rId5"/>
      <w:footerReference w:type="default" r:id="rId6"/>
      <w:pgSz w:w="11910" w:h="16840" w:orient="portrait"/>
      <w:pgMar w:top="1900" w:right="992" w:bottom="1240" w:left="1133" w:header="1191" w:footer="1048" w:gutter="0"/>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Georgia">
    <w:altName w:val="Georgia"/>
    <w:panose1 w:val="02040502050004020303"/>
    <w:charset w:val="00"/>
    <w:family w:val="roman"/>
    <w:pitch w:val="variable"/>
    <w:sig w:usb0="00000287" w:usb1="00000000" w:usb2="00000000" w:usb3="00000000" w:csb0="0000009F" w:csb1="00000000"/>
  </w:font>
  <w:font w:name="Cambria">
    <w:altName w:val="Cambria"/>
    <w:panose1 w:val="02040503050004030204"/>
    <w:charset w:val="00"/>
    <w:family w:val="roman"/>
    <w:pitch w:val="variable"/>
    <w:sig w:usb0="E00006FF" w:usb1="420024FF" w:usb2="02000000" w:usb3="00000000" w:csb0="0000019F" w:csb1="00000000"/>
  </w:font>
  <w:font w:name="SimSun">
    <w:altName w:val="宋体"/>
    <w:panose1 w:val="02010600030001010101"/>
    <w:charset w:val="86"/>
    <w:family w:val="auto"/>
    <w:pitch w:val="variable"/>
    <w:sig w:usb0="00000203" w:usb1="288F0000" w:usb2="00000016" w:usb3="00000000" w:csb0="00040001" w:csb1="00000000"/>
  </w:font>
  <w:font w:name="Shruti">
    <w:altName w:val="Shruti"/>
    <w:panose1 w:val="020b0502040002020203"/>
    <w:charset w:val="00"/>
    <w:family w:val="swiss"/>
    <w:pitch w:val="variable"/>
    <w:sig w:usb0="00040003" w:usb1="00000000" w:usb2="00000000" w:usb3="00000000" w:csb0="00000001" w:csb1="00000000"/>
  </w:font>
  <w:font w:name="Calibri">
    <w:altName w:val="Calibri"/>
    <w:panose1 w:val="020f0502020002030204"/>
    <w:charset w:val="00"/>
    <w:family w:val="swiss"/>
    <w:pitch w:val="variable"/>
    <w:sig w:usb0="E4002EFF" w:usb1="C2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Gungsuh">
    <w:altName w:val="Gungsuh"/>
    <w:panose1 w:val="02030600000001010101"/>
    <w:charset w:val="81"/>
    <w:family w:val="roman"/>
    <w:pitch w:val="variable"/>
    <w:sig w:usb0="B00002AF" w:usb1="69D77CFB" w:usb2="00000030" w:usb3="00000000" w:csb0="0008009F" w:csb1="00000000"/>
  </w:font>
  <w:font w:name="宋体">
    <w:altName w:val=""/>
    <w:panose1 w:val="00000000000000000000"/>
    <w:charset w:val="00"/>
    <w:family w:val="auto"/>
    <w:pitch w:val="default"/>
    <w:sig w:usb0="E0002AFF" w:usb1="C0007841" w:usb2="00000009" w:usb3="00000000" w:csb0="000001F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pBdr>
        <w:left w:val="nil"/>
        <w:right w:val="nil"/>
        <w:top w:val="nil"/>
        <w:bottom w:val="nil"/>
        <w:between w:val="nil"/>
      </w:pBdr>
      <w:spacing w:lineRule="auto" w:line="14"/>
      <w:rPr>
        <w:color w:val="000000"/>
        <w:sz w:val="20"/>
        <w:szCs w:val="20"/>
      </w:rPr>
    </w:pPr>
    <w:r>
      <w:rPr>
        <w:noProof/>
      </w:rPr>
      <mc:AlternateContent>
        <mc:Choice Requires="wps">
          <w:drawing>
            <wp:anchor distT="0" distB="0" distL="0" distR="0" simplePos="false" relativeHeight="3" behindDoc="true" locked="false" layoutInCell="true" allowOverlap="true">
              <wp:simplePos x="0" y="0"/>
              <wp:positionH relativeFrom="column">
                <wp:posOffset>2976309</wp:posOffset>
              </wp:positionH>
              <wp:positionV relativeFrom="paragraph">
                <wp:posOffset>9883606</wp:posOffset>
              </wp:positionV>
              <wp:extent cx="183514" cy="205740"/>
              <wp:effectExtent l="0" t="0" r="0" b="0"/>
              <wp:wrapNone/>
              <wp:docPr id="4098" name="Rectangle 26"/>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183514" cy="205740"/>
                      </a:xfrm>
                      <a:prstGeom prst="rect"/>
                      <a:ln>
                        <a:noFill/>
                      </a:ln>
                    </wps:spPr>
                    <wps:txbx id="4098">
                      <w:txbxContent>
                        <w:p>
                          <w:pPr>
                            <w:pStyle w:val="style0"/>
                            <w:spacing w:before="12"/>
                            <w:ind w:left="60"/>
                            <w:textDirection w:val="btLr"/>
                            <w:rPr/>
                          </w:pPr>
                          <w:r>
                            <w:rPr>
                              <w:rFonts w:ascii="Arial" w:cs="Arial" w:eastAsia="Arial" w:hAnsi="Arial"/>
                              <w:color w:val="000000"/>
                              <w:sz w:val="24"/>
                            </w:rPr>
                            <w:t xml:space="preserve"> PAGE 5</w:t>
                          </w:r>
                        </w:p>
                      </w:txbxContent>
                    </wps:txbx>
                    <wps:bodyPr lIns="0" rIns="0" tIns="0" bIns="0" anchor="t" wrap="square">
                      <a:prstTxWarp prst="textNoShape"/>
                      <a:noAutofit/>
                    </wps:bodyPr>
                  </wps:wsp>
                </a:graphicData>
              </a:graphic>
            </wp:anchor>
          </w:drawing>
        </mc:Choice>
        <mc:Fallback>
          <w:pict>
            <v:rect id="4098" filled="f" stroked="f" style="position:absolute;margin-left:234.36pt;margin-top:778.24pt;width:14.45pt;height:16.2pt;z-index:-2147483644;mso-position-horizontal-relative:text;mso-position-vertical-relative:text;mso-width-relative:page;mso-height-relative:page;mso-wrap-distance-left:0.0pt;mso-wrap-distance-right:0.0pt;visibility:visible;">
              <v:stroke on="f"/>
              <v:fill/>
              <v:textbox inset="0.0pt,0.0pt,0.0pt,0.0pt">
                <w:txbxContent>
                  <w:p>
                    <w:pPr>
                      <w:pStyle w:val="style0"/>
                      <w:spacing w:before="12"/>
                      <w:ind w:left="60"/>
                      <w:textDirection w:val="btLr"/>
                      <w:rPr/>
                    </w:pPr>
                    <w:r>
                      <w:rPr>
                        <w:rFonts w:ascii="Arial" w:cs="Arial" w:eastAsia="Arial" w:hAnsi="Arial"/>
                        <w:color w:val="000000"/>
                        <w:sz w:val="24"/>
                      </w:rPr>
                      <w:t xml:space="preserve"> PAGE 5</w:t>
                    </w:r>
                  </w:p>
                </w:txbxContent>
              </v:textbox>
            </v:rect>
          </w:pict>
        </mc:Fallback>
      </mc:AlternateContent>
    </w:r>
  </w:p>
</w:ftr>
</file>

<file path=word/footer4.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pBdr>
        <w:left w:val="nil"/>
        <w:right w:val="nil"/>
        <w:top w:val="nil"/>
        <w:bottom w:val="nil"/>
        <w:between w:val="nil"/>
      </w:pBdr>
      <w:spacing w:lineRule="auto" w:line="14"/>
      <w:rPr>
        <w:color w:val="000000"/>
        <w:sz w:val="20"/>
        <w:szCs w:val="20"/>
      </w:rPr>
    </w:pPr>
    <w:r>
      <w:rPr>
        <w:noProof/>
      </w:rPr>
      <mc:AlternateContent>
        <mc:Choice Requires="wps">
          <w:drawing>
            <wp:anchor distT="0" distB="0" distL="0" distR="0" simplePos="false" relativeHeight="5" behindDoc="true" locked="false" layoutInCell="true" allowOverlap="true">
              <wp:simplePos x="0" y="0"/>
              <wp:positionH relativeFrom="column">
                <wp:posOffset>2935034</wp:posOffset>
              </wp:positionH>
              <wp:positionV relativeFrom="paragraph">
                <wp:posOffset>9883606</wp:posOffset>
              </wp:positionV>
              <wp:extent cx="269875" cy="205740"/>
              <wp:effectExtent l="0" t="0" r="0" b="0"/>
              <wp:wrapNone/>
              <wp:docPr id="4100" name="Rectangle 2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269875" cy="205740"/>
                      </a:xfrm>
                      <a:prstGeom prst="rect"/>
                      <a:ln>
                        <a:noFill/>
                      </a:ln>
                    </wps:spPr>
                    <wps:txbx id="4100">
                      <w:txbxContent>
                        <w:p>
                          <w:pPr>
                            <w:pStyle w:val="style0"/>
                            <w:spacing w:before="12"/>
                            <w:ind w:left="60"/>
                            <w:textDirection w:val="btLr"/>
                            <w:rPr/>
                          </w:pPr>
                          <w:r>
                            <w:rPr>
                              <w:rFonts w:ascii="Arial" w:cs="Arial" w:eastAsia="Arial" w:hAnsi="Arial"/>
                              <w:color w:val="000000"/>
                              <w:sz w:val="24"/>
                            </w:rPr>
                            <w:t xml:space="preserve"> PAGE 10</w:t>
                          </w:r>
                        </w:p>
                      </w:txbxContent>
                    </wps:txbx>
                    <wps:bodyPr lIns="0" rIns="0" tIns="0" bIns="0" anchor="t" wrap="square">
                      <a:prstTxWarp prst="textNoShape"/>
                      <a:noAutofit/>
                    </wps:bodyPr>
                  </wps:wsp>
                </a:graphicData>
              </a:graphic>
            </wp:anchor>
          </w:drawing>
        </mc:Choice>
        <mc:Fallback>
          <w:pict>
            <v:rect id="4100" filled="f" stroked="f" style="position:absolute;margin-left:231.11pt;margin-top:778.24pt;width:21.25pt;height:16.2pt;z-index:-2147483642;mso-position-horizontal-relative:text;mso-position-vertical-relative:text;mso-width-relative:page;mso-height-relative:page;mso-wrap-distance-left:0.0pt;mso-wrap-distance-right:0.0pt;visibility:visible;">
              <v:stroke on="f"/>
              <v:fill/>
              <v:textbox inset="0.0pt,0.0pt,0.0pt,0.0pt">
                <w:txbxContent>
                  <w:p>
                    <w:pPr>
                      <w:pStyle w:val="style0"/>
                      <w:spacing w:before="12"/>
                      <w:ind w:left="60"/>
                      <w:textDirection w:val="btLr"/>
                      <w:rPr/>
                    </w:pPr>
                    <w:r>
                      <w:rPr>
                        <w:rFonts w:ascii="Arial" w:cs="Arial" w:eastAsia="Arial" w:hAnsi="Arial"/>
                        <w:color w:val="000000"/>
                        <w:sz w:val="24"/>
                      </w:rPr>
                      <w:t xml:space="preserve"> PAGE 10</w:t>
                    </w:r>
                  </w:p>
                </w:txbxContent>
              </v:textbox>
            </v:rect>
          </w:pict>
        </mc:Fallback>
      </mc:AlternateContent>
    </w: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pBdr>
        <w:left w:val="nil"/>
        <w:right w:val="nil"/>
        <w:top w:val="nil"/>
        <w:bottom w:val="nil"/>
        <w:between w:val="nil"/>
      </w:pBdr>
      <w:spacing w:lineRule="auto" w:line="14"/>
      <w:rPr>
        <w:color w:val="000000"/>
        <w:sz w:val="20"/>
        <w:szCs w:val="20"/>
      </w:rPr>
    </w:pPr>
    <w:r>
      <w:rPr>
        <w:noProof/>
        <w:color w:val="000000"/>
        <w:sz w:val="20"/>
        <w:szCs w:val="20"/>
      </w:rPr>
      <mc:AlternateContent>
        <mc:Choice Requires="wps">
          <w:drawing>
            <wp:anchor distT="0" distB="0" distL="0" distR="0" simplePos="false" relativeHeight="2" behindDoc="true" locked="false" layoutInCell="true" allowOverlap="true">
              <wp:simplePos x="0" y="0"/>
              <wp:positionH relativeFrom="page">
                <wp:posOffset>897255</wp:posOffset>
              </wp:positionH>
              <wp:positionV relativeFrom="page">
                <wp:posOffset>903866</wp:posOffset>
              </wp:positionV>
              <wp:extent cx="1866263" cy="262253"/>
              <wp:effectExtent l="0" t="0" r="0" b="0"/>
              <wp:wrapNone/>
              <wp:docPr id="4097" name="Rectangle 39"/>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1866263" cy="262253"/>
                      </a:xfrm>
                      <a:prstGeom prst="rect"/>
                      <a:ln>
                        <a:noFill/>
                      </a:ln>
                    </wps:spPr>
                    <wps:txbx id="4097">
                      <w:txbxContent>
                        <w:p>
                          <w:pPr>
                            <w:pStyle w:val="style0"/>
                            <w:spacing w:before="8"/>
                            <w:ind w:left="20" w:firstLine="20"/>
                            <w:textDirection w:val="btLr"/>
                            <w:rPr/>
                          </w:pPr>
                        </w:p>
                      </w:txbxContent>
                    </wps:txbx>
                    <wps:bodyPr lIns="0" rIns="0" tIns="0" bIns="0" anchor="t" wrap="square">
                      <a:prstTxWarp prst="textNoShape"/>
                      <a:noAutofit/>
                    </wps:bodyPr>
                  </wps:wsp>
                </a:graphicData>
              </a:graphic>
            </wp:anchor>
          </w:drawing>
        </mc:Choice>
        <mc:Fallback>
          <w:pict>
            <v:rect id="4097" filled="f" stroked="f" style="position:absolute;margin-left:70.65pt;margin-top:71.17pt;width:146.95pt;height:20.65pt;z-index:-2147483645;mso-position-horizontal-relative:page;mso-position-vertical-relative:page;mso-width-relative:page;mso-height-relative:page;mso-wrap-distance-left:0.0pt;mso-wrap-distance-right:0.0pt;visibility:visible;">
              <v:stroke on="f"/>
              <v:fill/>
              <v:textbox inset="0.0pt,0.0pt,0.0pt,0.0pt">
                <w:txbxContent>
                  <w:p>
                    <w:pPr>
                      <w:pStyle w:val="style0"/>
                      <w:spacing w:before="8"/>
                      <w:ind w:left="20" w:firstLine="20"/>
                      <w:textDirection w:val="btLr"/>
                      <w:rPr/>
                    </w:pPr>
                  </w:p>
                </w:txbxContent>
              </v:textbox>
            </v:rect>
          </w:pict>
        </mc:Fallback>
      </mc:AlternateContent>
    </w:r>
  </w:p>
</w:hdr>
</file>

<file path=word/header3.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pBdr>
        <w:left w:val="nil"/>
        <w:right w:val="nil"/>
        <w:top w:val="nil"/>
        <w:bottom w:val="nil"/>
        <w:between w:val="nil"/>
      </w:pBdr>
      <w:spacing w:lineRule="auto" w:line="14"/>
      <w:rPr>
        <w:color w:val="000000"/>
        <w:sz w:val="20"/>
        <w:szCs w:val="20"/>
      </w:rPr>
    </w:pPr>
    <w:r>
      <w:rPr>
        <w:noProof/>
        <w:color w:val="000000"/>
        <w:sz w:val="20"/>
        <w:szCs w:val="20"/>
      </w:rPr>
      <mc:AlternateContent>
        <mc:Choice Requires="wps">
          <w:drawing>
            <wp:anchor distT="0" distB="0" distL="0" distR="0" simplePos="false" relativeHeight="4" behindDoc="true" locked="false" layoutInCell="true" allowOverlap="true">
              <wp:simplePos x="0" y="0"/>
              <wp:positionH relativeFrom="page">
                <wp:posOffset>897255</wp:posOffset>
              </wp:positionH>
              <wp:positionV relativeFrom="page">
                <wp:posOffset>903866</wp:posOffset>
              </wp:positionV>
              <wp:extent cx="1440180" cy="262253"/>
              <wp:effectExtent l="0" t="0" r="0" b="0"/>
              <wp:wrapNone/>
              <wp:docPr id="4099" name="Rectangle 27"/>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1440180" cy="262253"/>
                      </a:xfrm>
                      <a:prstGeom prst="rect"/>
                      <a:ln>
                        <a:noFill/>
                      </a:ln>
                    </wps:spPr>
                    <wps:txbx id="4099">
                      <w:txbxContent>
                        <w:p>
                          <w:pPr>
                            <w:pStyle w:val="style0"/>
                            <w:spacing w:before="8"/>
                            <w:ind w:left="20" w:firstLine="20"/>
                            <w:textDirection w:val="btLr"/>
                            <w:rPr/>
                          </w:pPr>
                        </w:p>
                      </w:txbxContent>
                    </wps:txbx>
                    <wps:bodyPr lIns="0" rIns="0" tIns="0" bIns="0" anchor="t" wrap="square">
                      <a:prstTxWarp prst="textNoShape"/>
                      <a:noAutofit/>
                    </wps:bodyPr>
                  </wps:wsp>
                </a:graphicData>
              </a:graphic>
            </wp:anchor>
          </w:drawing>
        </mc:Choice>
        <mc:Fallback>
          <w:pict>
            <v:rect id="4099" filled="f" stroked="f" style="position:absolute;margin-left:70.65pt;margin-top:71.17pt;width:113.4pt;height:20.65pt;z-index:-2147483643;mso-position-horizontal-relative:page;mso-position-vertical-relative:page;mso-width-relative:page;mso-height-relative:page;mso-wrap-distance-left:0.0pt;mso-wrap-distance-right:0.0pt;visibility:visible;">
              <v:stroke on="f"/>
              <v:fill/>
              <v:textbox inset="0.0pt,0.0pt,0.0pt,0.0pt">
                <w:txbxContent>
                  <w:p>
                    <w:pPr>
                      <w:pStyle w:val="style0"/>
                      <w:spacing w:before="8"/>
                      <w:ind w:left="20" w:firstLine="20"/>
                      <w:textDirection w:val="btLr"/>
                      <w:rPr/>
                    </w:pPr>
                  </w:p>
                </w:txbxContent>
              </v:textbox>
            </v:rect>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gu-IN"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2"/>
        <w:szCs w:val="22"/>
        <w:lang w:val="en-IN" w:bidi="ar-SA" w:eastAsia="zh-CN"/>
      </w:rPr>
    </w:rPrDefault>
    <w:pPrDefault>
      <w:pPr>
        <w:widowControl w:val="false"/>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spacing w:before="480" w:after="120"/>
      <w:outlineLvl w:val="0"/>
    </w:pPr>
    <w:rPr>
      <w:b/>
      <w:bCs/>
      <w:sz w:val="28"/>
      <w:szCs w:val="48"/>
    </w:rPr>
  </w:style>
  <w:style w:type="paragraph" w:styleId="style2">
    <w:name w:val="heading 2"/>
    <w:basedOn w:val="style0"/>
    <w:next w:val="style0"/>
    <w:qFormat/>
    <w:uiPriority w:val="9"/>
    <w:pPr>
      <w:keepNext/>
      <w:keepLines/>
      <w:spacing w:before="360" w:after="80"/>
      <w:outlineLvl w:val="1"/>
    </w:pPr>
    <w:rPr>
      <w:b/>
      <w:bCs/>
      <w:sz w:val="36"/>
      <w:szCs w:val="36"/>
    </w:rPr>
  </w:style>
  <w:style w:type="paragraph" w:styleId="style3">
    <w:name w:val="heading 3"/>
    <w:basedOn w:val="style0"/>
    <w:next w:val="style0"/>
    <w:qFormat/>
    <w:uiPriority w:val="9"/>
    <w:pPr>
      <w:keepNext/>
      <w:keepLines/>
      <w:spacing w:before="280" w:after="80"/>
      <w:outlineLvl w:val="2"/>
    </w:pPr>
    <w:rPr>
      <w:b/>
      <w:bCs/>
      <w:sz w:val="28"/>
      <w:szCs w:val="28"/>
    </w:rPr>
  </w:style>
  <w:style w:type="paragraph" w:styleId="style4">
    <w:name w:val="heading 4"/>
    <w:basedOn w:val="style0"/>
    <w:next w:val="style0"/>
    <w:qFormat/>
    <w:uiPriority w:val="9"/>
    <w:pPr>
      <w:keepNext/>
      <w:keepLines/>
      <w:spacing w:before="240" w:after="40"/>
      <w:outlineLvl w:val="3"/>
    </w:pPr>
    <w:rPr>
      <w:b/>
      <w:bCs/>
      <w:sz w:val="24"/>
      <w:szCs w:val="24"/>
    </w:rPr>
  </w:style>
  <w:style w:type="paragraph" w:styleId="style5">
    <w:name w:val="heading 5"/>
    <w:basedOn w:val="style0"/>
    <w:next w:val="style0"/>
    <w:qFormat/>
    <w:uiPriority w:val="9"/>
    <w:pPr>
      <w:keepNext/>
      <w:keepLines/>
      <w:spacing w:before="220" w:after="40"/>
      <w:outlineLvl w:val="4"/>
    </w:pPr>
    <w:rPr>
      <w:b/>
      <w:bCs/>
    </w:rPr>
  </w:style>
  <w:style w:type="paragraph" w:styleId="style6">
    <w:name w:val="heading 6"/>
    <w:basedOn w:val="style0"/>
    <w:next w:val="style0"/>
    <w:qFormat/>
    <w:uiPriority w:val="9"/>
    <w:pPr>
      <w:keepNext/>
      <w:keepLines/>
      <w:spacing w:before="200" w:after="40"/>
      <w:outlineLvl w:val="5"/>
    </w:pPr>
    <w:rPr>
      <w:b/>
      <w:bCs/>
      <w:sz w:val="20"/>
      <w:szCs w:val="20"/>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keepNext/>
      <w:keepLines/>
      <w:spacing w:before="480" w:after="120"/>
    </w:pPr>
    <w:rPr>
      <w:b/>
      <w:bCs/>
      <w:sz w:val="72"/>
      <w:szCs w:val="72"/>
    </w:rPr>
  </w:style>
  <w:style w:type="paragraph" w:styleId="style66">
    <w:name w:val="Body Text"/>
    <w:basedOn w:val="style0"/>
    <w:next w:val="style66"/>
    <w:qFormat/>
    <w:uiPriority w:val="1"/>
    <w:pPr/>
    <w:rPr>
      <w:sz w:val="24"/>
      <w:szCs w:val="24"/>
    </w:rPr>
  </w:style>
  <w:style w:type="paragraph" w:styleId="style179">
    <w:name w:val="List Paragraph"/>
    <w:basedOn w:val="style0"/>
    <w:next w:val="style179"/>
    <w:qFormat/>
    <w:uiPriority w:val="1"/>
    <w:pPr/>
  </w:style>
  <w:style w:type="paragraph" w:customStyle="1" w:styleId="style4098">
    <w:name w:val="Table Paragraph"/>
    <w:basedOn w:val="style0"/>
    <w:next w:val="style4098"/>
    <w:qFormat/>
    <w:uiPriority w:val="1"/>
    <w:pPr/>
  </w:style>
  <w:style w:type="paragraph" w:styleId="style94">
    <w:name w:val="Normal (Web)"/>
    <w:basedOn w:val="style0"/>
    <w:next w:val="style94"/>
    <w:uiPriority w:val="99"/>
    <w:pPr>
      <w:widowControl/>
      <w:spacing w:before="100" w:beforeAutospacing="true" w:after="100" w:afterAutospacing="true"/>
    </w:pPr>
    <w:rPr>
      <w:sz w:val="24"/>
      <w:szCs w:val="24"/>
      <w:lang w:eastAsia="en-IN"/>
    </w:rPr>
  </w:style>
  <w:style w:type="character" w:styleId="style85">
    <w:name w:val="Hyperlink"/>
    <w:basedOn w:val="style65"/>
    <w:next w:val="style85"/>
    <w:uiPriority w:val="99"/>
    <w:rPr>
      <w:color w:val="0000ff"/>
      <w:u w:val="single"/>
    </w:rPr>
  </w:style>
  <w:style w:type="paragraph" w:styleId="style31">
    <w:name w:val="header"/>
    <w:basedOn w:val="style0"/>
    <w:next w:val="style31"/>
    <w:link w:val="style4099"/>
    <w:uiPriority w:val="99"/>
    <w:pPr>
      <w:tabs>
        <w:tab w:val="center" w:leader="none" w:pos="4513"/>
        <w:tab w:val="right" w:leader="none" w:pos="9026"/>
      </w:tabs>
    </w:pPr>
    <w:rPr/>
  </w:style>
  <w:style w:type="character" w:customStyle="1" w:styleId="style4099">
    <w:name w:val="Header Char_1c0a2ac3-2fce-431d-b409-e20a73b47729"/>
    <w:basedOn w:val="style65"/>
    <w:next w:val="style4099"/>
    <w:link w:val="style31"/>
    <w:uiPriority w:val="99"/>
    <w:rPr>
      <w:rFonts w:ascii="Times New Roman" w:cs="Times New Roman" w:eastAsia="Times New Roman" w:hAnsi="Times New Roman"/>
    </w:rPr>
  </w:style>
  <w:style w:type="paragraph" w:styleId="style32">
    <w:name w:val="footer"/>
    <w:basedOn w:val="style0"/>
    <w:next w:val="style32"/>
    <w:link w:val="style4100"/>
    <w:uiPriority w:val="99"/>
    <w:pPr>
      <w:tabs>
        <w:tab w:val="center" w:leader="none" w:pos="4513"/>
        <w:tab w:val="right" w:leader="none" w:pos="9026"/>
      </w:tabs>
    </w:pPr>
    <w:rPr/>
  </w:style>
  <w:style w:type="character" w:customStyle="1" w:styleId="style4100">
    <w:name w:val="Footer Char_4857b15a-451a-4e09-b9fb-a008bd441c8b"/>
    <w:basedOn w:val="style65"/>
    <w:next w:val="style4100"/>
    <w:link w:val="style32"/>
    <w:uiPriority w:val="99"/>
    <w:rPr>
      <w:rFonts w:ascii="Times New Roman" w:cs="Times New Roman" w:eastAsia="Times New Roman" w:hAnsi="Times New Roman"/>
    </w:rPr>
  </w:style>
  <w:style w:type="paragraph" w:styleId="style74">
    <w:name w:val="Subtitle"/>
    <w:basedOn w:val="style0"/>
    <w:next w:val="style0"/>
    <w:qFormat/>
    <w:uiPriority w:val="11"/>
    <w:pPr>
      <w:keepNext/>
      <w:keepLines/>
      <w:spacing w:before="360" w:after="80"/>
    </w:pPr>
    <w:rPr>
      <w:rFonts w:ascii="Georgia" w:cs="Georgia" w:eastAsia="Georgia" w:hAnsi="Georgia"/>
      <w:i/>
      <w:iCs/>
      <w:color w:val="666666"/>
      <w:sz w:val="48"/>
      <w:szCs w:val="48"/>
    </w:rPr>
  </w:style>
  <w:style w:type="table" w:customStyle="1" w:styleId="style4101">
    <w:basedOn w:val="style105"/>
    <w:next w:val="style4101"/>
    <w:pPr/>
    <w:rPr/>
    <w:tblPr>
      <w:tblStyleRowBandSize w:val="1"/>
      <w:tblStyleColBandSize w:val="1"/>
    </w:tblPr>
    <w:tcPr>
      <w:tcBorders/>
    </w:tcPr>
  </w:style>
  <w:style w:type="table" w:customStyle="1" w:styleId="style4102">
    <w:basedOn w:val="style105"/>
    <w:next w:val="style4102"/>
    <w:pPr/>
    <w:rPr/>
    <w:tblPr>
      <w:tblStyleRowBandSize w:val="1"/>
      <w:tblStyleColBandSize w:val="1"/>
    </w:tblPr>
    <w:tcPr>
      <w:tcBorders/>
    </w:tcPr>
  </w:style>
  <w:style w:type="paragraph" w:styleId="style266">
    <w:name w:val="TOC Heading"/>
    <w:basedOn w:val="style1"/>
    <w:next w:val="style0"/>
    <w:qFormat/>
    <w:uiPriority w:val="39"/>
    <w:pPr>
      <w:widowControl/>
      <w:spacing w:before="240" w:after="0" w:lineRule="auto" w:line="259"/>
      <w:outlineLvl w:val="9"/>
    </w:pPr>
    <w:rPr>
      <w:rFonts w:ascii="Cambria" w:cs="Shruti" w:eastAsia="宋体" w:hAnsi="Cambria"/>
      <w:b w:val="false"/>
      <w:bCs w:val="false"/>
      <w:color w:val="365f91"/>
      <w:sz w:val="32"/>
      <w:szCs w:val="32"/>
      <w:lang w:val="en-US" w:eastAsia="en-US"/>
    </w:rPr>
  </w:style>
  <w:style w:type="paragraph" w:styleId="style20">
    <w:name w:val="toc 2"/>
    <w:basedOn w:val="style0"/>
    <w:next w:val="style0"/>
    <w:uiPriority w:val="39"/>
    <w:pPr>
      <w:widowControl/>
      <w:spacing w:after="100" w:lineRule="auto" w:line="259"/>
      <w:ind w:left="220"/>
    </w:pPr>
    <w:rPr>
      <w:rFonts w:ascii="Calibri" w:eastAsia="宋体" w:hAnsi="Calibri"/>
      <w:lang w:val="en-US" w:eastAsia="en-US"/>
    </w:rPr>
  </w:style>
  <w:style w:type="paragraph" w:styleId="style19">
    <w:name w:val="toc 1"/>
    <w:basedOn w:val="style0"/>
    <w:next w:val="style0"/>
    <w:uiPriority w:val="39"/>
    <w:pPr>
      <w:widowControl/>
      <w:spacing w:after="100" w:lineRule="auto" w:line="259"/>
    </w:pPr>
    <w:rPr>
      <w:rFonts w:ascii="Calibri" w:eastAsia="宋体" w:hAnsi="Calibri"/>
      <w:lang w:val="en-US" w:eastAsia="en-US"/>
    </w:rPr>
  </w:style>
  <w:style w:type="paragraph" w:styleId="style21">
    <w:name w:val="toc 3"/>
    <w:basedOn w:val="style0"/>
    <w:next w:val="style0"/>
    <w:uiPriority w:val="39"/>
    <w:pPr>
      <w:widowControl/>
      <w:spacing w:after="100" w:lineRule="auto" w:line="259"/>
      <w:ind w:left="440"/>
    </w:pPr>
    <w:rPr>
      <w:rFonts w:ascii="Calibri" w:eastAsia="宋体" w:hAnsi="Calibri"/>
      <w:lang w:val="en-US" w:eastAsia="en-US"/>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header" Target="header1.xml"/><Relationship Id="rId4" Type="http://schemas.openxmlformats.org/officeDocument/2006/relationships/footer" Target="footer2.xml"/><Relationship Id="rId11" Type="http://schemas.openxmlformats.org/officeDocument/2006/relationships/customXml" Target="../customXml/item1.xml"/><Relationship Id="rId10" Type="http://schemas.openxmlformats.org/officeDocument/2006/relationships/theme" Target="theme/theme1.xml"/><Relationship Id="rId12" Type="http://schemas.openxmlformats.org/officeDocument/2006/relationships/customXml" Target="../customXml/item2.xml"/><Relationship Id="rId9" Type="http://schemas.openxmlformats.org/officeDocument/2006/relationships/settings" Target="settings.xml"/><Relationship Id="rId5" Type="http://schemas.openxmlformats.org/officeDocument/2006/relationships/header" Target="header3.xml"/><Relationship Id="rId6" Type="http://schemas.openxmlformats.org/officeDocument/2006/relationships/footer" Target="footer4.xml"/><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WA6zqJAAnEJC/tyoPar5yfM2g==">CgMxLjAaFAoBMBIPCg0IB0IJEgdHdW5nc3VoMg9pZC51cHA2bmRhOGFscW4yDmguc3NpbjBwb2Yybm52Mg9pZC5uY2NyeTFmcTUyMGE4AHIhMXI4Q0RnVzVmb1lzOGJqZGo5T3lBa09lNVhtR1BJNjVZ</go:docsCustomData>
</go:gDocsCustomXmlDataStorage>
</file>

<file path=customXml/itemProps1.xml><?xml version="1.0" encoding="utf-8"?>
<ds:datastoreItem xmlns:ds="http://schemas.openxmlformats.org/officeDocument/2006/customXml" ds:itemID="{083574BC-991B-46A7-9EFD-6135C71C149C}">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Words>455</Words>
  <Pages>3</Pages>
  <Characters>2762</Characters>
  <Application>WPS Office</Application>
  <DocSecurity>0</DocSecurity>
  <Paragraphs>57</Paragraphs>
  <ScaleCrop>false</ScaleCrop>
  <LinksUpToDate>false</LinksUpToDate>
  <CharactersWithSpaces>3184</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2026-03-11T20:49:50Z</dcterms:created>
  <dc:creator>Eleni Koutsogeorgou</dc:creator>
  <lastModifiedBy>RMX2040</lastModifiedBy>
  <dcterms:modified xsi:type="dcterms:W3CDTF">2026-03-11T20:49:51Z</dcterms:modified>
  <revision>8</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2026-02-12T00:00:00Z</vt:filetime>
  </property>
  <property fmtid="{D5CDD505-2E9C-101B-9397-08002B2CF9AE}" pid="3" name="Creator">
    <vt:lpwstr>Microsoft Word</vt:lpwstr>
  </property>
  <property fmtid="{D5CDD505-2E9C-101B-9397-08002B2CF9AE}" pid="4" name="LastSaved">
    <vt:filetime>2026-02-27T00:00:00Z</vt:filetime>
  </property>
  <property fmtid="{D5CDD505-2E9C-101B-9397-08002B2CF9AE}" pid="5" name="ICV">
    <vt:lpwstr>c9532414aeee42a69f542e6fe6029fe7</vt:lpwstr>
  </property>
</Properties>
</file>