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2C919" w14:textId="4BA1B149" w:rsidR="009D04D8" w:rsidRPr="00C77670" w:rsidRDefault="009D04D8" w:rsidP="009D04D8">
      <w:pPr>
        <w:spacing w:after="0" w:line="240" w:lineRule="auto"/>
        <w:rPr>
          <w:rFonts w:ascii="Arial" w:eastAsia="Times New Roman" w:hAnsi="Arial" w:cs="Arial"/>
          <w:color w:val="77206D" w:themeColor="accent5" w:themeShade="BF"/>
          <w:kern w:val="0"/>
          <w:lang w:val="en-PK" w:eastAsia="en-PK"/>
          <w14:ligatures w14:val="none"/>
        </w:rPr>
      </w:pPr>
    </w:p>
    <w:p w14:paraId="2949AA5C" w14:textId="77777777" w:rsidR="009D04D8" w:rsidRPr="00C77670" w:rsidRDefault="009D04D8" w:rsidP="00C77670">
      <w:pPr>
        <w:rPr>
          <w:rFonts w:ascii="Arial" w:hAnsi="Arial" w:cs="Arial"/>
          <w:b/>
          <w:bCs/>
          <w:i/>
          <w:iCs/>
          <w:color w:val="77206D" w:themeColor="accent5" w:themeShade="BF"/>
          <w:sz w:val="22"/>
          <w:szCs w:val="22"/>
          <w:u w:val="single"/>
          <w:lang w:val="en-PK" w:eastAsia="en-PK"/>
        </w:rPr>
      </w:pPr>
      <w:r w:rsidRPr="00C77670">
        <w:rPr>
          <w:rFonts w:ascii="Arial" w:hAnsi="Arial" w:cs="Arial"/>
          <w:b/>
          <w:bCs/>
          <w:i/>
          <w:iCs/>
          <w:color w:val="77206D" w:themeColor="accent5" w:themeShade="BF"/>
          <w:sz w:val="22"/>
          <w:szCs w:val="22"/>
          <w:highlight w:val="darkGray"/>
          <w:u w:val="single"/>
          <w:lang w:val="en-PK" w:eastAsia="en-PK"/>
        </w:rPr>
        <w:t>Component 2 Assignment: Evaluation of Person-Centred Care and Partnership Working in UK Health and Social Care</w:t>
      </w:r>
    </w:p>
    <w:p w14:paraId="7689E49E" w14:textId="77777777" w:rsidR="009D04D8" w:rsidRPr="00C77670" w:rsidRDefault="009D04D8" w:rsidP="00C77670">
      <w:pPr>
        <w:rPr>
          <w:rFonts w:ascii="Arial" w:eastAsia="Times New Roman" w:hAnsi="Arial" w:cs="Arial"/>
          <w:b/>
          <w:bCs/>
          <w:i/>
          <w:iCs/>
          <w:color w:val="0D0D0D" w:themeColor="text1" w:themeTint="F2"/>
          <w:kern w:val="36"/>
          <w:sz w:val="22"/>
          <w:szCs w:val="22"/>
          <w:u w:val="single"/>
          <w:lang w:val="en-PK" w:eastAsia="en-PK"/>
          <w14:ligatures w14:val="none"/>
        </w:rPr>
      </w:pPr>
    </w:p>
    <w:p w14:paraId="6531F7F1" w14:textId="60E181A4" w:rsidR="009D04D8" w:rsidRPr="00C77670" w:rsidRDefault="009D04D8" w:rsidP="00C77670">
      <w:pPr>
        <w:rPr>
          <w:rFonts w:ascii="Arial" w:eastAsia="Times New Roman" w:hAnsi="Arial" w:cs="Arial"/>
          <w:b/>
          <w:bCs/>
          <w:i/>
          <w:iCs/>
          <w:color w:val="0D0D0D" w:themeColor="text1" w:themeTint="F2"/>
          <w:kern w:val="0"/>
          <w:sz w:val="22"/>
          <w:szCs w:val="22"/>
          <w:u w:val="single"/>
          <w:lang w:val="en-PK" w:eastAsia="en-PK"/>
          <w14:ligatures w14:val="none"/>
        </w:rPr>
      </w:pPr>
      <w:r w:rsidRPr="00C77670">
        <w:rPr>
          <w:rFonts w:ascii="Arial" w:eastAsia="Times New Roman" w:hAnsi="Arial" w:cs="Arial"/>
          <w:b/>
          <w:bCs/>
          <w:i/>
          <w:iCs/>
          <w:color w:val="0D0D0D" w:themeColor="text1" w:themeTint="F2"/>
          <w:kern w:val="0"/>
          <w:sz w:val="22"/>
          <w:szCs w:val="22"/>
          <w:u w:val="single"/>
          <w:bdr w:val="none" w:sz="0" w:space="0" w:color="auto" w:frame="1"/>
          <w:lang w:val="en-PK" w:eastAsia="en-PK"/>
          <w14:ligatures w14:val="none"/>
        </w:rPr>
        <w:t>Student Name:</w:t>
      </w:r>
      <w:r w:rsidRPr="00C77670">
        <w:rPr>
          <w:rFonts w:ascii="Arial" w:eastAsia="Times New Roman" w:hAnsi="Arial" w:cs="Arial"/>
          <w:b/>
          <w:bCs/>
          <w:i/>
          <w:iCs/>
          <w:color w:val="0D0D0D" w:themeColor="text1" w:themeTint="F2"/>
          <w:kern w:val="0"/>
          <w:sz w:val="22"/>
          <w:szCs w:val="22"/>
          <w:u w:val="single"/>
          <w:lang w:val="en-PK" w:eastAsia="en-PK"/>
          <w14:ligatures w14:val="none"/>
        </w:rPr>
        <w:t xml:space="preserve"> Fizza Rizwan</w:t>
      </w:r>
    </w:p>
    <w:p w14:paraId="6313E1C1" w14:textId="67C5B15F" w:rsidR="009D04D8" w:rsidRPr="00C77670" w:rsidRDefault="009D04D8" w:rsidP="00C77670">
      <w:pPr>
        <w:rPr>
          <w:rFonts w:ascii="Arial" w:eastAsia="Times New Roman" w:hAnsi="Arial" w:cs="Arial"/>
          <w:b/>
          <w:bCs/>
          <w:i/>
          <w:iCs/>
          <w:color w:val="0D0D0D" w:themeColor="text1" w:themeTint="F2"/>
          <w:kern w:val="0"/>
          <w:sz w:val="22"/>
          <w:szCs w:val="22"/>
          <w:u w:val="single"/>
          <w:lang w:val="en-PK" w:eastAsia="en-PK"/>
          <w14:ligatures w14:val="none"/>
        </w:rPr>
      </w:pPr>
      <w:r w:rsidRPr="00C77670">
        <w:rPr>
          <w:rFonts w:ascii="Arial" w:eastAsia="Times New Roman" w:hAnsi="Arial" w:cs="Arial"/>
          <w:b/>
          <w:bCs/>
          <w:i/>
          <w:iCs/>
          <w:color w:val="0D0D0D" w:themeColor="text1" w:themeTint="F2"/>
          <w:kern w:val="0"/>
          <w:sz w:val="22"/>
          <w:szCs w:val="22"/>
          <w:u w:val="single"/>
          <w:bdr w:val="none" w:sz="0" w:space="0" w:color="auto" w:frame="1"/>
          <w:lang w:val="en-PK" w:eastAsia="en-PK"/>
          <w14:ligatures w14:val="none"/>
        </w:rPr>
        <w:t>Student ID:</w:t>
      </w:r>
      <w:r w:rsidRPr="00C77670">
        <w:rPr>
          <w:rFonts w:ascii="Arial" w:eastAsia="Times New Roman" w:hAnsi="Arial" w:cs="Arial"/>
          <w:b/>
          <w:bCs/>
          <w:i/>
          <w:iCs/>
          <w:color w:val="0D0D0D" w:themeColor="text1" w:themeTint="F2"/>
          <w:kern w:val="0"/>
          <w:sz w:val="22"/>
          <w:szCs w:val="22"/>
          <w:u w:val="single"/>
          <w:lang w:val="en-PK" w:eastAsia="en-PK"/>
          <w14:ligatures w14:val="none"/>
        </w:rPr>
        <w:t xml:space="preserve"> 2422238</w:t>
      </w:r>
    </w:p>
    <w:p w14:paraId="2F65FF4B" w14:textId="40D933E9" w:rsidR="00C77670" w:rsidRPr="00C77670" w:rsidRDefault="009D04D8" w:rsidP="00C77670">
      <w:pPr>
        <w:rPr>
          <w:rFonts w:ascii="Arial" w:eastAsia="Times New Roman" w:hAnsi="Arial" w:cs="Arial"/>
          <w:b/>
          <w:bCs/>
          <w:i/>
          <w:iCs/>
          <w:color w:val="0D0D0D" w:themeColor="text1" w:themeTint="F2"/>
          <w:kern w:val="0"/>
          <w:sz w:val="22"/>
          <w:szCs w:val="22"/>
          <w:u w:val="single"/>
          <w:lang w:val="en-PK" w:eastAsia="en-PK"/>
          <w14:ligatures w14:val="none"/>
        </w:rPr>
      </w:pPr>
      <w:r w:rsidRPr="00C77670">
        <w:rPr>
          <w:rFonts w:ascii="Arial" w:eastAsia="Times New Roman" w:hAnsi="Arial" w:cs="Arial"/>
          <w:b/>
          <w:bCs/>
          <w:i/>
          <w:iCs/>
          <w:color w:val="0D0D0D" w:themeColor="text1" w:themeTint="F2"/>
          <w:kern w:val="0"/>
          <w:sz w:val="22"/>
          <w:szCs w:val="22"/>
          <w:u w:val="single"/>
          <w:bdr w:val="none" w:sz="0" w:space="0" w:color="auto" w:frame="1"/>
          <w:lang w:val="en-PK" w:eastAsia="en-PK"/>
          <w14:ligatures w14:val="none"/>
        </w:rPr>
        <w:t>Module Code:</w:t>
      </w:r>
      <w:r w:rsidRPr="00C77670">
        <w:rPr>
          <w:rFonts w:ascii="Arial" w:eastAsia="Times New Roman" w:hAnsi="Arial" w:cs="Arial"/>
          <w:b/>
          <w:bCs/>
          <w:i/>
          <w:iCs/>
          <w:color w:val="0D0D0D" w:themeColor="text1" w:themeTint="F2"/>
          <w:kern w:val="0"/>
          <w:sz w:val="22"/>
          <w:szCs w:val="22"/>
          <w:u w:val="single"/>
          <w:lang w:val="en-PK" w:eastAsia="en-PK"/>
          <w14:ligatures w14:val="none"/>
        </w:rPr>
        <w:t xml:space="preserve"> BMHP501</w:t>
      </w:r>
      <w:r w:rsidR="005F07F4">
        <w:rPr>
          <w:rFonts w:ascii="Arial" w:eastAsia="Times New Roman" w:hAnsi="Arial" w:cs="Arial"/>
          <w:b/>
          <w:bCs/>
          <w:i/>
          <w:iCs/>
          <w:color w:val="0D0D0D" w:themeColor="text1" w:themeTint="F2"/>
          <w:kern w:val="0"/>
          <w:sz w:val="22"/>
          <w:szCs w:val="22"/>
          <w:u w:val="single"/>
          <w:lang w:val="en-PK" w:eastAsia="en-PK"/>
          <w14:ligatures w14:val="none"/>
        </w:rPr>
        <w:t>6</w:t>
      </w:r>
    </w:p>
    <w:p w14:paraId="7B9C7F7D" w14:textId="0DA5DEEE" w:rsidR="009D04D8" w:rsidRPr="00C77670" w:rsidRDefault="009D04D8" w:rsidP="00C77670">
      <w:pPr>
        <w:rPr>
          <w:rFonts w:ascii="Arial" w:eastAsia="Times New Roman" w:hAnsi="Arial" w:cs="Arial"/>
          <w:b/>
          <w:bCs/>
          <w:i/>
          <w:iCs/>
          <w:color w:val="0D0D0D" w:themeColor="text1" w:themeTint="F2"/>
          <w:kern w:val="0"/>
          <w:sz w:val="22"/>
          <w:szCs w:val="22"/>
          <w:u w:val="single"/>
          <w:lang w:val="en-PK" w:eastAsia="en-PK"/>
          <w14:ligatures w14:val="none"/>
        </w:rPr>
      </w:pPr>
      <w:r w:rsidRPr="00C77670">
        <w:rPr>
          <w:rFonts w:ascii="Arial" w:eastAsia="Times New Roman" w:hAnsi="Arial" w:cs="Arial"/>
          <w:b/>
          <w:bCs/>
          <w:i/>
          <w:iCs/>
          <w:color w:val="0D0D0D" w:themeColor="text1" w:themeTint="F2"/>
          <w:kern w:val="0"/>
          <w:sz w:val="22"/>
          <w:szCs w:val="22"/>
          <w:u w:val="single"/>
          <w:lang w:val="en-PK" w:eastAsia="en-PK"/>
          <w14:ligatures w14:val="none"/>
        </w:rPr>
        <w:t xml:space="preserve"> </w:t>
      </w:r>
      <w:r w:rsidRPr="00C77670">
        <w:rPr>
          <w:rFonts w:ascii="Arial" w:eastAsia="Times New Roman" w:hAnsi="Arial" w:cs="Arial"/>
          <w:b/>
          <w:bCs/>
          <w:i/>
          <w:iCs/>
          <w:color w:val="0D0D0D" w:themeColor="text1" w:themeTint="F2"/>
          <w:kern w:val="0"/>
          <w:sz w:val="22"/>
          <w:szCs w:val="22"/>
          <w:u w:val="single"/>
          <w:bdr w:val="none" w:sz="0" w:space="0" w:color="auto" w:frame="1"/>
          <w:lang w:val="en-PK" w:eastAsia="en-PK"/>
          <w14:ligatures w14:val="none"/>
        </w:rPr>
        <w:t>Module Title:</w:t>
      </w:r>
      <w:r w:rsidRPr="00C77670">
        <w:rPr>
          <w:rFonts w:ascii="Arial" w:eastAsia="Times New Roman" w:hAnsi="Arial" w:cs="Arial"/>
          <w:b/>
          <w:bCs/>
          <w:i/>
          <w:iCs/>
          <w:color w:val="0D0D0D" w:themeColor="text1" w:themeTint="F2"/>
          <w:kern w:val="0"/>
          <w:sz w:val="22"/>
          <w:szCs w:val="22"/>
          <w:u w:val="single"/>
          <w:lang w:val="en-PK" w:eastAsia="en-PK"/>
          <w14:ligatures w14:val="none"/>
        </w:rPr>
        <w:t xml:space="preserve"> Principles of Health and Social Care Practice</w:t>
      </w:r>
    </w:p>
    <w:p w14:paraId="0A1962F1" w14:textId="01A8DA76" w:rsidR="009D04D8" w:rsidRPr="00C77670" w:rsidRDefault="009D04D8" w:rsidP="00C77670">
      <w:pPr>
        <w:rPr>
          <w:rFonts w:ascii="Arial" w:eastAsia="Times New Roman" w:hAnsi="Arial" w:cs="Arial"/>
          <w:b/>
          <w:bCs/>
          <w:i/>
          <w:iCs/>
          <w:color w:val="0D0D0D" w:themeColor="text1" w:themeTint="F2"/>
          <w:kern w:val="0"/>
          <w:sz w:val="22"/>
          <w:szCs w:val="22"/>
          <w:u w:val="single"/>
          <w:lang w:val="en-PK" w:eastAsia="en-PK"/>
          <w14:ligatures w14:val="none"/>
        </w:rPr>
      </w:pPr>
      <w:r w:rsidRPr="00C77670">
        <w:rPr>
          <w:rFonts w:ascii="Arial" w:eastAsia="Times New Roman" w:hAnsi="Arial" w:cs="Arial"/>
          <w:b/>
          <w:bCs/>
          <w:i/>
          <w:iCs/>
          <w:color w:val="0D0D0D" w:themeColor="text1" w:themeTint="F2"/>
          <w:kern w:val="0"/>
          <w:sz w:val="22"/>
          <w:szCs w:val="22"/>
          <w:u w:val="single"/>
          <w:bdr w:val="none" w:sz="0" w:space="0" w:color="auto" w:frame="1"/>
          <w:lang w:val="en-PK" w:eastAsia="en-PK"/>
          <w14:ligatures w14:val="none"/>
        </w:rPr>
        <w:t>Lecturer:</w:t>
      </w:r>
      <w:r w:rsidRPr="00C77670">
        <w:rPr>
          <w:rFonts w:ascii="Arial" w:eastAsia="Times New Roman" w:hAnsi="Arial" w:cs="Arial"/>
          <w:b/>
          <w:bCs/>
          <w:i/>
          <w:iCs/>
          <w:color w:val="0D0D0D" w:themeColor="text1" w:themeTint="F2"/>
          <w:kern w:val="0"/>
          <w:sz w:val="22"/>
          <w:szCs w:val="22"/>
          <w:u w:val="single"/>
          <w:lang w:val="en-PK" w:eastAsia="en-PK"/>
          <w14:ligatures w14:val="none"/>
        </w:rPr>
        <w:t xml:space="preserve"> Rizwan Nadim</w:t>
      </w:r>
    </w:p>
    <w:p w14:paraId="647D8589" w14:textId="77777777" w:rsidR="009D04D8" w:rsidRPr="00C77670" w:rsidRDefault="009D04D8" w:rsidP="00C77670">
      <w:pPr>
        <w:rPr>
          <w:rFonts w:ascii="Arial" w:eastAsia="Times New Roman" w:hAnsi="Arial" w:cs="Arial"/>
          <w:color w:val="1F1F1F"/>
          <w:kern w:val="0"/>
          <w:sz w:val="22"/>
          <w:szCs w:val="22"/>
          <w:lang w:val="en-PK" w:eastAsia="en-PK"/>
          <w14:ligatures w14:val="none"/>
        </w:rPr>
      </w:pPr>
    </w:p>
    <w:p w14:paraId="77FC8F37" w14:textId="77777777" w:rsidR="009D04D8" w:rsidRPr="00C77670" w:rsidRDefault="009D04D8" w:rsidP="00C77670">
      <w:pPr>
        <w:rPr>
          <w:rFonts w:ascii="Arial" w:eastAsia="Times New Roman" w:hAnsi="Arial" w:cs="Arial"/>
          <w:color w:val="1F1F1F"/>
          <w:kern w:val="0"/>
          <w:sz w:val="22"/>
          <w:szCs w:val="22"/>
          <w:lang w:val="en-PK" w:eastAsia="en-PK"/>
          <w14:ligatures w14:val="none"/>
        </w:rPr>
      </w:pPr>
    </w:p>
    <w:p w14:paraId="75884243"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7CC63969"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0CDCEFAB"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3171948E"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1CCF5B52"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434BD7A6"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50F9E379"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7BA9D717"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44844B0F"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1BF7A47E"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4F16C10C"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7EBEC035"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23BFD5F1"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5A8367A0"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5BA2A0D5"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054645E9"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0FBDA99B"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45D831E6"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0171EF0F"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39749B22"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7052AFA9"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75580F23"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7A5B4BA3"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7285FB7A"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30CF6E1F"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0EF7FF0C"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311F8814"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16F6CB3D"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636E7CAF"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6DCD8745" w14:textId="77777777" w:rsidR="009D04D8" w:rsidRDefault="009D04D8" w:rsidP="009D04D8">
      <w:pPr>
        <w:spacing w:after="0" w:line="240" w:lineRule="auto"/>
        <w:rPr>
          <w:rFonts w:ascii="Arial" w:eastAsia="Times New Roman" w:hAnsi="Arial" w:cs="Arial"/>
          <w:color w:val="1F1F1F"/>
          <w:kern w:val="0"/>
          <w:lang w:val="en-PK" w:eastAsia="en-PK"/>
          <w14:ligatures w14:val="none"/>
        </w:rPr>
      </w:pPr>
    </w:p>
    <w:p w14:paraId="45D844F5" w14:textId="77777777" w:rsidR="009D04D8" w:rsidRPr="009D04D8" w:rsidRDefault="009D04D8" w:rsidP="009D04D8">
      <w:pPr>
        <w:spacing w:after="0" w:line="240" w:lineRule="auto"/>
        <w:rPr>
          <w:rFonts w:ascii="Arial" w:eastAsia="Times New Roman" w:hAnsi="Arial" w:cs="Arial"/>
          <w:color w:val="1F1F1F"/>
          <w:kern w:val="0"/>
          <w:lang w:val="en-PK" w:eastAsia="en-PK"/>
          <w14:ligatures w14:val="none"/>
        </w:rPr>
      </w:pPr>
    </w:p>
    <w:p w14:paraId="0894DC2A" w14:textId="77777777" w:rsidR="00C77670" w:rsidRDefault="00C77670" w:rsidP="009D04D8">
      <w:pPr>
        <w:rPr>
          <w:rFonts w:ascii="Arial" w:hAnsi="Arial" w:cs="Arial"/>
          <w:b/>
          <w:bCs/>
          <w:i/>
          <w:iCs/>
          <w:sz w:val="22"/>
          <w:szCs w:val="22"/>
          <w:highlight w:val="yellow"/>
          <w:u w:val="single"/>
          <w:lang w:val="en-PK" w:eastAsia="en-PK"/>
        </w:rPr>
      </w:pPr>
    </w:p>
    <w:p w14:paraId="0CE2C9D7" w14:textId="77777777" w:rsidR="00C77670" w:rsidRDefault="00C77670" w:rsidP="009D04D8">
      <w:pPr>
        <w:rPr>
          <w:rFonts w:ascii="Arial" w:hAnsi="Arial" w:cs="Arial"/>
          <w:b/>
          <w:bCs/>
          <w:i/>
          <w:iCs/>
          <w:sz w:val="22"/>
          <w:szCs w:val="22"/>
          <w:highlight w:val="yellow"/>
          <w:u w:val="single"/>
          <w:lang w:val="en-PK" w:eastAsia="en-PK"/>
        </w:rPr>
      </w:pPr>
    </w:p>
    <w:p w14:paraId="1E3D93DD" w14:textId="5B84B363" w:rsidR="00C77670" w:rsidRDefault="009D04D8" w:rsidP="009D04D8">
      <w:pPr>
        <w:rPr>
          <w:rFonts w:ascii="Arial" w:hAnsi="Arial" w:cs="Arial"/>
          <w:b/>
          <w:bCs/>
          <w:i/>
          <w:iCs/>
          <w:sz w:val="22"/>
          <w:szCs w:val="22"/>
          <w:u w:val="single"/>
          <w:lang w:val="en-PK" w:eastAsia="en-PK"/>
        </w:rPr>
      </w:pPr>
      <w:r w:rsidRPr="009D04D8">
        <w:rPr>
          <w:rFonts w:ascii="Arial" w:hAnsi="Arial" w:cs="Arial"/>
          <w:b/>
          <w:bCs/>
          <w:i/>
          <w:iCs/>
          <w:sz w:val="22"/>
          <w:szCs w:val="22"/>
          <w:highlight w:val="yellow"/>
          <w:u w:val="single"/>
          <w:lang w:val="en-PK" w:eastAsia="en-PK"/>
        </w:rPr>
        <w:lastRenderedPageBreak/>
        <w:t>Introductio</w:t>
      </w:r>
      <w:r>
        <w:rPr>
          <w:rFonts w:ascii="Arial" w:hAnsi="Arial" w:cs="Arial"/>
          <w:b/>
          <w:bCs/>
          <w:i/>
          <w:iCs/>
          <w:sz w:val="22"/>
          <w:szCs w:val="22"/>
          <w:u w:val="single"/>
          <w:lang w:val="en-PK" w:eastAsia="en-PK"/>
        </w:rPr>
        <w:t>n</w:t>
      </w:r>
      <w:r w:rsidR="00C77670">
        <w:rPr>
          <w:rFonts w:ascii="Arial" w:hAnsi="Arial" w:cs="Arial"/>
          <w:b/>
          <w:bCs/>
          <w:i/>
          <w:iCs/>
          <w:sz w:val="22"/>
          <w:szCs w:val="22"/>
          <w:u w:val="single"/>
          <w:lang w:val="en-PK" w:eastAsia="en-PK"/>
        </w:rPr>
        <w:t>:</w:t>
      </w:r>
    </w:p>
    <w:p w14:paraId="04FDB2DF" w14:textId="2D1B2FD1" w:rsidR="009D04D8" w:rsidRPr="00C77670" w:rsidRDefault="009D04D8" w:rsidP="009D04D8">
      <w:pPr>
        <w:rPr>
          <w:rFonts w:ascii="Arial" w:hAnsi="Arial" w:cs="Arial"/>
          <w:sz w:val="22"/>
          <w:szCs w:val="22"/>
          <w:lang w:val="en-PK" w:eastAsia="en-PK"/>
        </w:rPr>
      </w:pPr>
      <w:r w:rsidRPr="009D04D8">
        <w:rPr>
          <w:rFonts w:ascii="Arial" w:hAnsi="Arial" w:cs="Arial"/>
          <w:sz w:val="22"/>
          <w:szCs w:val="22"/>
          <w:lang w:val="en-PK" w:eastAsia="en-PK"/>
        </w:rPr>
        <w:t>Per</w:t>
      </w:r>
      <w:r w:rsidR="00C77670">
        <w:rPr>
          <w:rFonts w:ascii="Arial" w:hAnsi="Arial" w:cs="Arial"/>
          <w:sz w:val="22"/>
          <w:szCs w:val="22"/>
          <w:lang w:val="en-PK" w:eastAsia="en-PK"/>
        </w:rPr>
        <w:t>s</w:t>
      </w:r>
      <w:r w:rsidRPr="009D04D8">
        <w:rPr>
          <w:rFonts w:ascii="Arial" w:hAnsi="Arial" w:cs="Arial"/>
          <w:sz w:val="22"/>
          <w:szCs w:val="22"/>
          <w:lang w:val="en-PK" w:eastAsia="en-PK"/>
        </w:rPr>
        <w:t>on-centred</w:t>
      </w:r>
      <w:r w:rsidRPr="009D04D8">
        <w:rPr>
          <w:rFonts w:ascii="Arial" w:hAnsi="Arial" w:cs="Arial"/>
          <w:sz w:val="22"/>
          <w:szCs w:val="22"/>
          <w:lang w:val="en-PK" w:eastAsia="en-PK"/>
        </w:rPr>
        <w:t xml:space="preserve"> care (PCC) and partnership working (PW) are two of the most essential principles in modern UK health and social care practice. In the past, care services across the United Kingdom followed an old medical model where doctors and nurses made almost every decision without consulting the patient. Today, health and social care </w:t>
      </w:r>
      <w:proofErr w:type="gramStart"/>
      <w:r w:rsidRPr="009D04D8">
        <w:rPr>
          <w:rFonts w:ascii="Arial" w:hAnsi="Arial" w:cs="Arial"/>
          <w:sz w:val="22"/>
          <w:szCs w:val="22"/>
          <w:lang w:val="en-PK" w:eastAsia="en-PK"/>
        </w:rPr>
        <w:t>focuses</w:t>
      </w:r>
      <w:proofErr w:type="gramEnd"/>
      <w:r w:rsidRPr="009D04D8">
        <w:rPr>
          <w:rFonts w:ascii="Arial" w:hAnsi="Arial" w:cs="Arial"/>
          <w:sz w:val="22"/>
          <w:szCs w:val="22"/>
          <w:lang w:val="en-PK" w:eastAsia="en-PK"/>
        </w:rPr>
        <w:t xml:space="preserve"> on putting the individual at the centre of every choice about their daily life, health treatment, and personal support. Treating individuals as equal partners in their own care makes care services safer, more respectful, and much more effective.</w:t>
      </w:r>
    </w:p>
    <w:p w14:paraId="13C3D7A0"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 xml:space="preserve">Partnership working is closely linked to person-centred care. Health and social care services are delivered by many different organisations, including the NHS, local authority social services, private care homes, and voluntary groups. Because no single healthcare professional can meet </w:t>
      </w:r>
      <w:proofErr w:type="gramStart"/>
      <w:r w:rsidRPr="009D04D8">
        <w:rPr>
          <w:rFonts w:ascii="Arial" w:hAnsi="Arial" w:cs="Arial"/>
          <w:sz w:val="22"/>
          <w:szCs w:val="22"/>
          <w:lang w:val="en-PK" w:eastAsia="en-PK"/>
        </w:rPr>
        <w:t>all of</w:t>
      </w:r>
      <w:proofErr w:type="gramEnd"/>
      <w:r w:rsidRPr="009D04D8">
        <w:rPr>
          <w:rFonts w:ascii="Arial" w:hAnsi="Arial" w:cs="Arial"/>
          <w:sz w:val="22"/>
          <w:szCs w:val="22"/>
          <w:lang w:val="en-PK" w:eastAsia="en-PK"/>
        </w:rPr>
        <w:t xml:space="preserve"> a service user's complex needs alone, doctors, social workers, nurses, care assistants, and family members must communicate clearly and work together as a united team.</w:t>
      </w:r>
    </w:p>
    <w:p w14:paraId="5B33DAF5"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 xml:space="preserve">This report provides a clear evaluation of person-centred care and partnership working across UK care practice. It defines person-centred care, explores its main advantages, and examines the real daily challenges care workers face. It critically examines Tom Kitwood’s Person-Centred Care Model, which explains why protecting emotional identity and personhood is essential. Furthermore, the report </w:t>
      </w:r>
      <w:proofErr w:type="spellStart"/>
      <w:r w:rsidRPr="009D04D8">
        <w:rPr>
          <w:rFonts w:ascii="Arial" w:hAnsi="Arial" w:cs="Arial"/>
          <w:sz w:val="22"/>
          <w:szCs w:val="22"/>
          <w:lang w:val="en-PK" w:eastAsia="en-PK"/>
        </w:rPr>
        <w:t>analyzes</w:t>
      </w:r>
      <w:proofErr w:type="spellEnd"/>
      <w:r w:rsidRPr="009D04D8">
        <w:rPr>
          <w:rFonts w:ascii="Arial" w:hAnsi="Arial" w:cs="Arial"/>
          <w:sz w:val="22"/>
          <w:szCs w:val="22"/>
          <w:lang w:val="en-PK" w:eastAsia="en-PK"/>
        </w:rPr>
        <w:t xml:space="preserve"> key ethical principles, explores partnership working in a residential care home setting, discusses relevant UK laws and policies, and provides four practical recommendations for future care practice.</w:t>
      </w:r>
    </w:p>
    <w:p w14:paraId="6F63CDEE" w14:textId="77777777" w:rsidR="009D04D8" w:rsidRPr="009D04D8" w:rsidRDefault="009D04D8" w:rsidP="009D04D8">
      <w:pPr>
        <w:rPr>
          <w:rFonts w:ascii="Arial" w:hAnsi="Arial" w:cs="Arial"/>
          <w:b/>
          <w:bCs/>
          <w:i/>
          <w:iCs/>
          <w:sz w:val="22"/>
          <w:szCs w:val="22"/>
          <w:u w:val="single"/>
          <w:lang w:val="en-PK" w:eastAsia="en-PK"/>
        </w:rPr>
      </w:pPr>
      <w:r w:rsidRPr="009D04D8">
        <w:rPr>
          <w:rFonts w:ascii="Arial" w:hAnsi="Arial" w:cs="Arial"/>
          <w:b/>
          <w:bCs/>
          <w:i/>
          <w:iCs/>
          <w:sz w:val="22"/>
          <w:szCs w:val="22"/>
          <w:highlight w:val="green"/>
          <w:u w:val="single"/>
          <w:lang w:val="en-PK" w:eastAsia="en-PK"/>
        </w:rPr>
        <w:t>a) Define Person-Centred Care and Identify the Main Benefits and Limitations</w:t>
      </w:r>
    </w:p>
    <w:p w14:paraId="62E01700"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Person-centred care can be defined as an approach that treats each service user as a unique individual with their own needs, preferences, cultural background, and values. Rather than focusing only on a person's medical diagnosis, disability, or physical symptoms, care workers look at the whole person. The service user is actively involved in planning and choosing their own support, making sure that decisions match what matters most to them.</w:t>
      </w:r>
    </w:p>
    <w:p w14:paraId="49DF386F"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In traditional care models, practice was often 'task-orientated'. This meant staff focused mainly on finishing physical chores quickly, such as giving out medication, helping with meals, or washing service users, without spending time talking to them. Person-centred care changes this by giving service users control over their daily routines, promoting their dignity, and helping them remain as independent as possible.</w:t>
      </w:r>
    </w:p>
    <w:p w14:paraId="1384E793"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Main Benefits of Person-Centred Care</w:t>
      </w:r>
    </w:p>
    <w:p w14:paraId="6CB49F6F"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Better Quality of Life and Happiness:</w:t>
      </w:r>
      <w:r w:rsidRPr="009D04D8">
        <w:rPr>
          <w:rFonts w:ascii="Arial" w:hAnsi="Arial" w:cs="Arial"/>
          <w:sz w:val="22"/>
          <w:szCs w:val="22"/>
          <w:lang w:val="en-PK" w:eastAsia="en-PK"/>
        </w:rPr>
        <w:t xml:space="preserve"> When service users are involved in choices, such as deciding when to wake up, what to wear, or what meals to eat, they feel respected, valued, and happier with their care.</w:t>
      </w:r>
    </w:p>
    <w:p w14:paraId="68554588"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Improved Health Results:</w:t>
      </w:r>
      <w:r w:rsidRPr="009D04D8">
        <w:rPr>
          <w:rFonts w:ascii="Arial" w:hAnsi="Arial" w:cs="Arial"/>
          <w:sz w:val="22"/>
          <w:szCs w:val="22"/>
          <w:lang w:val="en-PK" w:eastAsia="en-PK"/>
        </w:rPr>
        <w:t xml:space="preserve"> Care plans tailored to individual needs lead to better health outcomes. People are much more likely to follow medical advice and take medication when they understand their care plan and help create it.</w:t>
      </w:r>
    </w:p>
    <w:p w14:paraId="2A5954F0"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Stronger Trust and Communication:</w:t>
      </w:r>
      <w:r w:rsidRPr="009D04D8">
        <w:rPr>
          <w:rFonts w:ascii="Arial" w:hAnsi="Arial" w:cs="Arial"/>
          <w:sz w:val="22"/>
          <w:szCs w:val="22"/>
          <w:lang w:val="en-PK" w:eastAsia="en-PK"/>
        </w:rPr>
        <w:t xml:space="preserve"> Open communication builds strong trust between care staff, service users, and families. This trust makes it easier for service users to share fears and helps staff notice health changes early.</w:t>
      </w:r>
    </w:p>
    <w:p w14:paraId="401C4F8F"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lastRenderedPageBreak/>
        <w:t>Promotes Fairness and Diversity:</w:t>
      </w:r>
      <w:r w:rsidRPr="009D04D8">
        <w:rPr>
          <w:rFonts w:ascii="Arial" w:hAnsi="Arial" w:cs="Arial"/>
          <w:sz w:val="22"/>
          <w:szCs w:val="22"/>
          <w:lang w:val="en-PK" w:eastAsia="en-PK"/>
        </w:rPr>
        <w:t xml:space="preserve"> Person-centred care values every person's culture, religion, language, and background. This prevents discrimination and ensures care is equal and inclusive for everyone.</w:t>
      </w:r>
    </w:p>
    <w:p w14:paraId="1924E8A9"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Main Limitations and Challenges</w:t>
      </w:r>
    </w:p>
    <w:p w14:paraId="37FE485A"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Staff Shortages and Lack of Time:</w:t>
      </w:r>
      <w:r w:rsidRPr="009D04D8">
        <w:rPr>
          <w:rFonts w:ascii="Arial" w:hAnsi="Arial" w:cs="Arial"/>
          <w:sz w:val="22"/>
          <w:szCs w:val="22"/>
          <w:lang w:val="en-PK" w:eastAsia="en-PK"/>
        </w:rPr>
        <w:t xml:space="preserve"> High workloads and staff shortages are huge obstacles in UK care homes and hospitals. Person-centred care requires time to talk and listen, which is difficult when staff are rushed.</w:t>
      </w:r>
    </w:p>
    <w:p w14:paraId="312A7DF0"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Communication Difficulties:</w:t>
      </w:r>
      <w:r w:rsidRPr="009D04D8">
        <w:rPr>
          <w:rFonts w:ascii="Arial" w:hAnsi="Arial" w:cs="Arial"/>
          <w:sz w:val="22"/>
          <w:szCs w:val="22"/>
          <w:lang w:val="en-PK" w:eastAsia="en-PK"/>
        </w:rPr>
        <w:t xml:space="preserve"> Conditions such as dementia, stroke, learning disabilities, or language barriers make communication harder. Staff need extra training and patience to understand non-verbal communication.</w:t>
      </w:r>
    </w:p>
    <w:p w14:paraId="462E207A"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Financial and Resource Limits:</w:t>
      </w:r>
      <w:r w:rsidRPr="009D04D8">
        <w:rPr>
          <w:rFonts w:ascii="Arial" w:hAnsi="Arial" w:cs="Arial"/>
          <w:sz w:val="22"/>
          <w:szCs w:val="22"/>
          <w:lang w:val="en-PK" w:eastAsia="en-PK"/>
        </w:rPr>
        <w:t xml:space="preserve"> Limited funding in social care means providers cannot always offer every option, special activity, or piece of equipment a service user might prefer.</w:t>
      </w:r>
    </w:p>
    <w:p w14:paraId="72A0BC50"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Even though staff shortages and limited resources create challenges in daily care, the advantages of person-centred care are far greater than its limitations. Putting the individual at the heart of care remains the best way to deliver high-quality support.</w:t>
      </w:r>
    </w:p>
    <w:p w14:paraId="1B653AA8" w14:textId="0B289BA2" w:rsidR="009D04D8" w:rsidRPr="009D04D8" w:rsidRDefault="009D04D8" w:rsidP="009D04D8">
      <w:pPr>
        <w:rPr>
          <w:rFonts w:ascii="Arial" w:hAnsi="Arial" w:cs="Arial"/>
          <w:b/>
          <w:bCs/>
          <w:i/>
          <w:iCs/>
          <w:sz w:val="22"/>
          <w:szCs w:val="22"/>
          <w:u w:val="single"/>
          <w:lang w:val="en-PK" w:eastAsia="en-PK"/>
        </w:rPr>
      </w:pPr>
      <w:proofErr w:type="spellStart"/>
      <w:r w:rsidRPr="009D04D8">
        <w:rPr>
          <w:rFonts w:ascii="Arial" w:hAnsi="Arial" w:cs="Arial"/>
          <w:sz w:val="22"/>
          <w:szCs w:val="22"/>
          <w:lang w:val="en-PK" w:eastAsia="en-PK"/>
        </w:rPr>
        <w:t>b</w:t>
      </w:r>
      <w:r w:rsidRPr="009D04D8">
        <w:rPr>
          <w:rFonts w:ascii="Arial" w:hAnsi="Arial" w:cs="Arial"/>
          <w:b/>
          <w:bCs/>
          <w:i/>
          <w:iCs/>
          <w:sz w:val="22"/>
          <w:szCs w:val="22"/>
          <w:highlight w:val="cyan"/>
          <w:u w:val="single"/>
          <w:lang w:val="en-PK" w:eastAsia="en-PK"/>
        </w:rPr>
        <w:t>Critically</w:t>
      </w:r>
      <w:proofErr w:type="spellEnd"/>
      <w:r w:rsidRPr="009D04D8">
        <w:rPr>
          <w:rFonts w:ascii="Arial" w:hAnsi="Arial" w:cs="Arial"/>
          <w:b/>
          <w:bCs/>
          <w:i/>
          <w:iCs/>
          <w:sz w:val="22"/>
          <w:szCs w:val="22"/>
          <w:highlight w:val="cyan"/>
          <w:u w:val="single"/>
          <w:lang w:val="en-PK" w:eastAsia="en-PK"/>
        </w:rPr>
        <w:t xml:space="preserve"> Examine a Theory That Underpins Person-Centred Care</w:t>
      </w:r>
      <w:r>
        <w:rPr>
          <w:rFonts w:ascii="Arial" w:hAnsi="Arial" w:cs="Arial"/>
          <w:b/>
          <w:bCs/>
          <w:i/>
          <w:iCs/>
          <w:sz w:val="22"/>
          <w:szCs w:val="22"/>
          <w:u w:val="single"/>
          <w:lang w:val="en-PK" w:eastAsia="en-PK"/>
        </w:rPr>
        <w:t>:</w:t>
      </w:r>
    </w:p>
    <w:p w14:paraId="15880099"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 xml:space="preserve">A major theory supporting person-centred care is Professor Tom Kitwood’s Person-Centred Care Model, developed in the 1990s. </w:t>
      </w:r>
      <w:proofErr w:type="spellStart"/>
      <w:r w:rsidRPr="009D04D8">
        <w:rPr>
          <w:rFonts w:ascii="Arial" w:hAnsi="Arial" w:cs="Arial"/>
          <w:sz w:val="22"/>
          <w:szCs w:val="22"/>
          <w:lang w:val="en-PK" w:eastAsia="en-PK"/>
        </w:rPr>
        <w:t>Kitwood</w:t>
      </w:r>
      <w:proofErr w:type="spellEnd"/>
      <w:r w:rsidRPr="009D04D8">
        <w:rPr>
          <w:rFonts w:ascii="Arial" w:hAnsi="Arial" w:cs="Arial"/>
          <w:sz w:val="22"/>
          <w:szCs w:val="22"/>
          <w:lang w:val="en-PK" w:eastAsia="en-PK"/>
        </w:rPr>
        <w:t xml:space="preserve"> focused mainly on care for people living with dementia, but his ideas now apply across all health and social care sectors. Before </w:t>
      </w:r>
      <w:proofErr w:type="spellStart"/>
      <w:r w:rsidRPr="009D04D8">
        <w:rPr>
          <w:rFonts w:ascii="Arial" w:hAnsi="Arial" w:cs="Arial"/>
          <w:sz w:val="22"/>
          <w:szCs w:val="22"/>
          <w:lang w:val="en-PK" w:eastAsia="en-PK"/>
        </w:rPr>
        <w:t>Kitwood’s</w:t>
      </w:r>
      <w:proofErr w:type="spellEnd"/>
      <w:r w:rsidRPr="009D04D8">
        <w:rPr>
          <w:rFonts w:ascii="Arial" w:hAnsi="Arial" w:cs="Arial"/>
          <w:sz w:val="22"/>
          <w:szCs w:val="22"/>
          <w:lang w:val="en-PK" w:eastAsia="en-PK"/>
        </w:rPr>
        <w:t xml:space="preserve"> work, dementia care was based almost entirely on a medical model, where a person's </w:t>
      </w:r>
      <w:proofErr w:type="spellStart"/>
      <w:r w:rsidRPr="009D04D8">
        <w:rPr>
          <w:rFonts w:ascii="Arial" w:hAnsi="Arial" w:cs="Arial"/>
          <w:sz w:val="22"/>
          <w:szCs w:val="22"/>
          <w:lang w:val="en-PK" w:eastAsia="en-PK"/>
        </w:rPr>
        <w:t>behavior</w:t>
      </w:r>
      <w:proofErr w:type="spellEnd"/>
      <w:r w:rsidRPr="009D04D8">
        <w:rPr>
          <w:rFonts w:ascii="Arial" w:hAnsi="Arial" w:cs="Arial"/>
          <w:sz w:val="22"/>
          <w:szCs w:val="22"/>
          <w:lang w:val="en-PK" w:eastAsia="en-PK"/>
        </w:rPr>
        <w:t xml:space="preserve"> was explained only by physical brain disease.</w:t>
      </w:r>
    </w:p>
    <w:p w14:paraId="1D8B9E96" w14:textId="77777777" w:rsidR="009D04D8" w:rsidRPr="009D04D8" w:rsidRDefault="009D04D8" w:rsidP="009D04D8">
      <w:pPr>
        <w:rPr>
          <w:rFonts w:ascii="Arial" w:hAnsi="Arial" w:cs="Arial"/>
          <w:sz w:val="22"/>
          <w:szCs w:val="22"/>
          <w:lang w:val="en-PK" w:eastAsia="en-PK"/>
        </w:rPr>
      </w:pPr>
      <w:proofErr w:type="spellStart"/>
      <w:r w:rsidRPr="009D04D8">
        <w:rPr>
          <w:rFonts w:ascii="Arial" w:hAnsi="Arial" w:cs="Arial"/>
          <w:sz w:val="22"/>
          <w:szCs w:val="22"/>
          <w:lang w:val="en-PK" w:eastAsia="en-PK"/>
        </w:rPr>
        <w:t>Kitwood</w:t>
      </w:r>
      <w:proofErr w:type="spellEnd"/>
      <w:r w:rsidRPr="009D04D8">
        <w:rPr>
          <w:rFonts w:ascii="Arial" w:hAnsi="Arial" w:cs="Arial"/>
          <w:sz w:val="22"/>
          <w:szCs w:val="22"/>
          <w:lang w:val="en-PK" w:eastAsia="en-PK"/>
        </w:rPr>
        <w:t xml:space="preserve"> challenged this narrow view by introducing the concept of 'personhood'. He defined personhood as a standing or status given to a human being by others through respect, relationships, and empathy. He argued that a person's emotional and social environment is just as important as their physical health. </w:t>
      </w:r>
      <w:proofErr w:type="spellStart"/>
      <w:r w:rsidRPr="009D04D8">
        <w:rPr>
          <w:rFonts w:ascii="Arial" w:hAnsi="Arial" w:cs="Arial"/>
          <w:sz w:val="22"/>
          <w:szCs w:val="22"/>
          <w:lang w:val="en-PK" w:eastAsia="en-PK"/>
        </w:rPr>
        <w:t>Kitwood</w:t>
      </w:r>
      <w:proofErr w:type="spellEnd"/>
      <w:r w:rsidRPr="009D04D8">
        <w:rPr>
          <w:rFonts w:ascii="Arial" w:hAnsi="Arial" w:cs="Arial"/>
          <w:sz w:val="22"/>
          <w:szCs w:val="22"/>
          <w:lang w:val="en-PK" w:eastAsia="en-PK"/>
        </w:rPr>
        <w:t xml:space="preserve"> identified five core psychological needs essential for personhood: love, comfort, identity, attachment, and inclusion.</w:t>
      </w:r>
    </w:p>
    <w:p w14:paraId="104FB264"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 xml:space="preserve">Strengths of </w:t>
      </w:r>
      <w:proofErr w:type="spellStart"/>
      <w:r w:rsidRPr="009D04D8">
        <w:rPr>
          <w:rFonts w:ascii="Arial" w:hAnsi="Arial" w:cs="Arial"/>
          <w:sz w:val="22"/>
          <w:szCs w:val="22"/>
          <w:lang w:val="en-PK" w:eastAsia="en-PK"/>
        </w:rPr>
        <w:t>Kitwood’s</w:t>
      </w:r>
      <w:proofErr w:type="spellEnd"/>
      <w:r w:rsidRPr="009D04D8">
        <w:rPr>
          <w:rFonts w:ascii="Arial" w:hAnsi="Arial" w:cs="Arial"/>
          <w:sz w:val="22"/>
          <w:szCs w:val="22"/>
          <w:lang w:val="en-PK" w:eastAsia="en-PK"/>
        </w:rPr>
        <w:t xml:space="preserve"> Model</w:t>
      </w:r>
    </w:p>
    <w:p w14:paraId="5C7B6E42"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Focuses on Emotional Wellbeing:</w:t>
      </w:r>
      <w:r w:rsidRPr="009D04D8">
        <w:rPr>
          <w:rFonts w:ascii="Arial" w:hAnsi="Arial" w:cs="Arial"/>
          <w:sz w:val="22"/>
          <w:szCs w:val="22"/>
          <w:lang w:val="en-PK" w:eastAsia="en-PK"/>
        </w:rPr>
        <w:t xml:space="preserve"> </w:t>
      </w:r>
      <w:proofErr w:type="spellStart"/>
      <w:r w:rsidRPr="009D04D8">
        <w:rPr>
          <w:rFonts w:ascii="Arial" w:hAnsi="Arial" w:cs="Arial"/>
          <w:sz w:val="22"/>
          <w:szCs w:val="22"/>
          <w:lang w:val="en-PK" w:eastAsia="en-PK"/>
        </w:rPr>
        <w:t>Kitwood</w:t>
      </w:r>
      <w:proofErr w:type="spellEnd"/>
      <w:r w:rsidRPr="009D04D8">
        <w:rPr>
          <w:rFonts w:ascii="Arial" w:hAnsi="Arial" w:cs="Arial"/>
          <w:sz w:val="22"/>
          <w:szCs w:val="22"/>
          <w:lang w:val="en-PK" w:eastAsia="en-PK"/>
        </w:rPr>
        <w:t xml:space="preserve"> proved that medical treatments alone are not enough. Paying attention to </w:t>
      </w:r>
      <w:proofErr w:type="gramStart"/>
      <w:r w:rsidRPr="009D04D8">
        <w:rPr>
          <w:rFonts w:ascii="Arial" w:hAnsi="Arial" w:cs="Arial"/>
          <w:sz w:val="22"/>
          <w:szCs w:val="22"/>
          <w:lang w:val="en-PK" w:eastAsia="en-PK"/>
        </w:rPr>
        <w:t>emotional feelings</w:t>
      </w:r>
      <w:proofErr w:type="gramEnd"/>
      <w:r w:rsidRPr="009D04D8">
        <w:rPr>
          <w:rFonts w:ascii="Arial" w:hAnsi="Arial" w:cs="Arial"/>
          <w:sz w:val="22"/>
          <w:szCs w:val="22"/>
          <w:lang w:val="en-PK" w:eastAsia="en-PK"/>
        </w:rPr>
        <w:t>, personal relationships, and life history greatly improves quality of life.</w:t>
      </w:r>
    </w:p>
    <w:p w14:paraId="0641C235"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Stops Negative Staff Habits:</w:t>
      </w:r>
      <w:r w:rsidRPr="009D04D8">
        <w:rPr>
          <w:rFonts w:ascii="Arial" w:hAnsi="Arial" w:cs="Arial"/>
          <w:sz w:val="22"/>
          <w:szCs w:val="22"/>
          <w:lang w:val="en-PK" w:eastAsia="en-PK"/>
        </w:rPr>
        <w:t xml:space="preserve"> He pointed out negative staff </w:t>
      </w:r>
      <w:proofErr w:type="spellStart"/>
      <w:r w:rsidRPr="009D04D8">
        <w:rPr>
          <w:rFonts w:ascii="Arial" w:hAnsi="Arial" w:cs="Arial"/>
          <w:sz w:val="22"/>
          <w:szCs w:val="22"/>
          <w:lang w:val="en-PK" w:eastAsia="en-PK"/>
        </w:rPr>
        <w:t>behaviors</w:t>
      </w:r>
      <w:proofErr w:type="spellEnd"/>
      <w:r w:rsidRPr="009D04D8">
        <w:rPr>
          <w:rFonts w:ascii="Arial" w:hAnsi="Arial" w:cs="Arial"/>
          <w:sz w:val="22"/>
          <w:szCs w:val="22"/>
          <w:lang w:val="en-PK" w:eastAsia="en-PK"/>
        </w:rPr>
        <w:t>—such as ignoring residents, speaking down to them, or treating them as helpless—which damage self-worth. Eliminating these habits creates a far more compassionate environment.</w:t>
      </w:r>
    </w:p>
    <w:p w14:paraId="23C411C5"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Involves Families as Partners:</w:t>
      </w:r>
      <w:r w:rsidRPr="009D04D8">
        <w:rPr>
          <w:rFonts w:ascii="Arial" w:hAnsi="Arial" w:cs="Arial"/>
          <w:sz w:val="22"/>
          <w:szCs w:val="22"/>
          <w:lang w:val="en-PK" w:eastAsia="en-PK"/>
        </w:rPr>
        <w:t xml:space="preserve"> The model encourages staff to work closely with family members, who know the resident's personal life story, preferences, and personality best.</w:t>
      </w:r>
    </w:p>
    <w:p w14:paraId="33EA73FB"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 xml:space="preserve">Limitations of </w:t>
      </w:r>
      <w:proofErr w:type="spellStart"/>
      <w:r w:rsidRPr="009D04D8">
        <w:rPr>
          <w:rFonts w:ascii="Arial" w:hAnsi="Arial" w:cs="Arial"/>
          <w:sz w:val="22"/>
          <w:szCs w:val="22"/>
          <w:lang w:val="en-PK" w:eastAsia="en-PK"/>
        </w:rPr>
        <w:t>Kitwood’s</w:t>
      </w:r>
      <w:proofErr w:type="spellEnd"/>
      <w:r w:rsidRPr="009D04D8">
        <w:rPr>
          <w:rFonts w:ascii="Arial" w:hAnsi="Arial" w:cs="Arial"/>
          <w:sz w:val="22"/>
          <w:szCs w:val="22"/>
          <w:lang w:val="en-PK" w:eastAsia="en-PK"/>
        </w:rPr>
        <w:t xml:space="preserve"> Model</w:t>
      </w:r>
    </w:p>
    <w:p w14:paraId="44702D9D"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Requires Consistent Care Staff:</w:t>
      </w:r>
      <w:r w:rsidRPr="009D04D8">
        <w:rPr>
          <w:rFonts w:ascii="Arial" w:hAnsi="Arial" w:cs="Arial"/>
          <w:sz w:val="22"/>
          <w:szCs w:val="22"/>
          <w:lang w:val="en-PK" w:eastAsia="en-PK"/>
        </w:rPr>
        <w:t xml:space="preserve"> Building deep personal connections requires stable staff teams. High staff turnover and agency usage make it difficult for workers to build long-term trust with residents.</w:t>
      </w:r>
    </w:p>
    <w:p w14:paraId="1E92BA2D"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lastRenderedPageBreak/>
        <w:t>Hard to Measure Progress:</w:t>
      </w:r>
      <w:r w:rsidRPr="009D04D8">
        <w:rPr>
          <w:rFonts w:ascii="Arial" w:hAnsi="Arial" w:cs="Arial"/>
          <w:sz w:val="22"/>
          <w:szCs w:val="22"/>
          <w:lang w:val="en-PK" w:eastAsia="en-PK"/>
        </w:rPr>
        <w:t xml:space="preserve"> Unlike physical measurements like blood pressure or body temperature, emotional wellbeing and personhood are harder to record clearly in formal care reports.</w:t>
      </w:r>
    </w:p>
    <w:p w14:paraId="7DFD1787"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Overall, Tom Kitwood’s theory remains a powerful foundation for UK social care practice. It proves that every human being retains their value and deserves compassion, respect, and dignity regardless of illness.</w:t>
      </w:r>
    </w:p>
    <w:p w14:paraId="717C854F" w14:textId="26538E72" w:rsidR="009D04D8" w:rsidRPr="009D04D8" w:rsidRDefault="009D04D8" w:rsidP="009D04D8">
      <w:pPr>
        <w:rPr>
          <w:rFonts w:ascii="Arial" w:hAnsi="Arial" w:cs="Arial"/>
          <w:b/>
          <w:bCs/>
          <w:i/>
          <w:iCs/>
          <w:sz w:val="22"/>
          <w:szCs w:val="22"/>
          <w:u w:val="single"/>
          <w:lang w:val="en-PK" w:eastAsia="en-PK"/>
        </w:rPr>
      </w:pPr>
      <w:r w:rsidRPr="009D04D8">
        <w:rPr>
          <w:rFonts w:ascii="Arial" w:hAnsi="Arial" w:cs="Arial"/>
          <w:b/>
          <w:bCs/>
          <w:i/>
          <w:iCs/>
          <w:sz w:val="22"/>
          <w:szCs w:val="22"/>
          <w:highlight w:val="magenta"/>
          <w:u w:val="single"/>
          <w:lang w:val="en-PK" w:eastAsia="en-PK"/>
        </w:rPr>
        <w:t>c) Analyse the Ethical Fundamentals of Health and Social Care</w:t>
      </w:r>
      <w:r>
        <w:rPr>
          <w:rFonts w:ascii="Arial" w:hAnsi="Arial" w:cs="Arial"/>
          <w:b/>
          <w:bCs/>
          <w:i/>
          <w:iCs/>
          <w:sz w:val="22"/>
          <w:szCs w:val="22"/>
          <w:u w:val="single"/>
          <w:lang w:val="en-PK" w:eastAsia="en-PK"/>
        </w:rPr>
        <w:t>:</w:t>
      </w:r>
    </w:p>
    <w:p w14:paraId="51131DDC"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Ethics are moral rules that help health and social care workers make right and safe decisions every day. Ethical practice ensures care is delivered fairly, safely, and with respect for human rights. Care workers often face difficult ethical choices where they must balance client choices with safety rules. The five key ethical principles are autonomy, beneficence, non-maleficence, justice, and confidentiality.</w:t>
      </w:r>
    </w:p>
    <w:p w14:paraId="656D6BFE"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1. Autonomy</w:t>
      </w:r>
    </w:p>
    <w:p w14:paraId="31D4DEC5"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Autonomy means respecting a person's right to make choices about their own care and lifestyle. Care workers must give clear, simple information so individuals can make informed decisions. If an adult service user has mental capacity, their choice must be respected—even if staff personally think the decision is unwise.</w:t>
      </w:r>
    </w:p>
    <w:p w14:paraId="4E72E9D5"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2. Beneficence</w:t>
      </w:r>
    </w:p>
    <w:p w14:paraId="2981680C"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Beneficence means acting in the best interests of the service user. Care workers have a duty to actively promote health, relieve suffering, and support emotional wellbeing so individuals live a good quality life.</w:t>
      </w:r>
    </w:p>
    <w:p w14:paraId="64815BC4"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3. Non-Maleficence</w:t>
      </w:r>
    </w:p>
    <w:p w14:paraId="51AA4C03"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Non-maleficence means doing no harm. Staff must carry out careful risk assessments, follow safety rules, and report any signs of abuse, neglect, or unsafe conditions immediately to protect service users.</w:t>
      </w:r>
    </w:p>
    <w:p w14:paraId="0D32F8D1"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4. Justice</w:t>
      </w:r>
    </w:p>
    <w:p w14:paraId="778028B6"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 xml:space="preserve">Justice means treating everyone fairly and equally without prejudice. Care services must be provided </w:t>
      </w:r>
      <w:proofErr w:type="gramStart"/>
      <w:r w:rsidRPr="009D04D8">
        <w:rPr>
          <w:rFonts w:ascii="Arial" w:hAnsi="Arial" w:cs="Arial"/>
          <w:sz w:val="22"/>
          <w:szCs w:val="22"/>
          <w:lang w:val="en-PK" w:eastAsia="en-PK"/>
        </w:rPr>
        <w:t>fairly regardless</w:t>
      </w:r>
      <w:proofErr w:type="gramEnd"/>
      <w:r w:rsidRPr="009D04D8">
        <w:rPr>
          <w:rFonts w:ascii="Arial" w:hAnsi="Arial" w:cs="Arial"/>
          <w:sz w:val="22"/>
          <w:szCs w:val="22"/>
          <w:lang w:val="en-PK" w:eastAsia="en-PK"/>
        </w:rPr>
        <w:t xml:space="preserve"> of age, disability, gender, ethnicity, religion, or social background.</w:t>
      </w:r>
    </w:p>
    <w:p w14:paraId="0AA6D691"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5. Confidentiality</w:t>
      </w:r>
    </w:p>
    <w:p w14:paraId="3D82234F"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Confidentiality means keeping personal and medical details safe and private. Staff must never discuss service users casually outside work. Information should only be shared with colleagues who need it to provide care or when required by law.</w:t>
      </w:r>
    </w:p>
    <w:p w14:paraId="4491751A" w14:textId="77777777" w:rsidR="009D04D8" w:rsidRPr="009D04D8" w:rsidRDefault="009D04D8" w:rsidP="009D04D8">
      <w:pPr>
        <w:rPr>
          <w:rFonts w:ascii="Arial" w:hAnsi="Arial" w:cs="Arial"/>
          <w:b/>
          <w:bCs/>
          <w:i/>
          <w:iCs/>
          <w:sz w:val="22"/>
          <w:szCs w:val="22"/>
          <w:u w:val="single"/>
          <w:lang w:val="en-PK" w:eastAsia="en-PK"/>
        </w:rPr>
      </w:pPr>
      <w:r w:rsidRPr="009D04D8">
        <w:rPr>
          <w:rFonts w:ascii="Arial" w:hAnsi="Arial" w:cs="Arial"/>
          <w:b/>
          <w:bCs/>
          <w:i/>
          <w:iCs/>
          <w:sz w:val="22"/>
          <w:szCs w:val="22"/>
          <w:highlight w:val="blue"/>
          <w:u w:val="single"/>
          <w:lang w:val="en-PK" w:eastAsia="en-PK"/>
        </w:rPr>
        <w:t>d) Evaluate Partnership Working in Health and Social Care</w:t>
      </w:r>
    </w:p>
    <w:p w14:paraId="1B463366"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Partnership working means different healthcare professionals, care agencies, service users, and family members working together in a coordinated team. In the UK, multidisciplinary teams (MDTs) bring together GPs, nurses, social workers, occupational therapists (OTs), physiotherapists, care assistants, and voluntary services.</w:t>
      </w:r>
    </w:p>
    <w:p w14:paraId="6F2E986F"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Advantages of Partnership Working</w:t>
      </w:r>
    </w:p>
    <w:p w14:paraId="699AC5FE"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lastRenderedPageBreak/>
        <w:t>Complete and Joined-Up Support:</w:t>
      </w:r>
      <w:r w:rsidRPr="009D04D8">
        <w:rPr>
          <w:rFonts w:ascii="Arial" w:hAnsi="Arial" w:cs="Arial"/>
          <w:sz w:val="22"/>
          <w:szCs w:val="22"/>
          <w:lang w:val="en-PK" w:eastAsia="en-PK"/>
        </w:rPr>
        <w:t xml:space="preserve"> Combining the skills of different professionals ensures that physical, emotional, and social needs are all met together.</w:t>
      </w:r>
    </w:p>
    <w:p w14:paraId="71AAA239"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Better Communication and Safety:</w:t>
      </w:r>
      <w:r w:rsidRPr="009D04D8">
        <w:rPr>
          <w:rFonts w:ascii="Arial" w:hAnsi="Arial" w:cs="Arial"/>
          <w:sz w:val="22"/>
          <w:szCs w:val="22"/>
          <w:lang w:val="en-PK" w:eastAsia="en-PK"/>
        </w:rPr>
        <w:t xml:space="preserve"> Regular team meetings reduce clinical mistakes and ensure important health changes are not missed.</w:t>
      </w:r>
    </w:p>
    <w:p w14:paraId="3A1E55B3"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Saves Time and Prevents Duplication:</w:t>
      </w:r>
      <w:r w:rsidRPr="009D04D8">
        <w:rPr>
          <w:rFonts w:ascii="Arial" w:hAnsi="Arial" w:cs="Arial"/>
          <w:sz w:val="22"/>
          <w:szCs w:val="22"/>
          <w:lang w:val="en-PK" w:eastAsia="en-PK"/>
        </w:rPr>
        <w:t xml:space="preserve"> Good teamwork prevents repeated work. A single shared assessment saves time for staff and avoids frustrating the service user.</w:t>
      </w:r>
    </w:p>
    <w:p w14:paraId="38CA8A92"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Smoother Transitions:</w:t>
      </w:r>
      <w:r w:rsidRPr="009D04D8">
        <w:rPr>
          <w:rFonts w:ascii="Arial" w:hAnsi="Arial" w:cs="Arial"/>
          <w:sz w:val="22"/>
          <w:szCs w:val="22"/>
          <w:lang w:val="en-PK" w:eastAsia="en-PK"/>
        </w:rPr>
        <w:t xml:space="preserve"> When a person moves from hospital back home or into a care home, teamwork ensures medication and equipment are ready immediately.</w:t>
      </w:r>
    </w:p>
    <w:p w14:paraId="4D32D503"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Challenges in Partnership Working</w:t>
      </w:r>
    </w:p>
    <w:p w14:paraId="3222A2FE"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Incompatible Computer Systems:</w:t>
      </w:r>
      <w:r w:rsidRPr="009D04D8">
        <w:rPr>
          <w:rFonts w:ascii="Arial" w:hAnsi="Arial" w:cs="Arial"/>
          <w:sz w:val="22"/>
          <w:szCs w:val="22"/>
          <w:lang w:val="en-PK" w:eastAsia="en-PK"/>
        </w:rPr>
        <w:t xml:space="preserve"> Hospitals, GPs, and social care offices often use separate IT systems that cannot share information easily, causing delays.</w:t>
      </w:r>
    </w:p>
    <w:p w14:paraId="75D3A803"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Different Professional Priorities:</w:t>
      </w:r>
      <w:r w:rsidRPr="009D04D8">
        <w:rPr>
          <w:rFonts w:ascii="Arial" w:hAnsi="Arial" w:cs="Arial"/>
          <w:sz w:val="22"/>
          <w:szCs w:val="22"/>
          <w:lang w:val="en-PK" w:eastAsia="en-PK"/>
        </w:rPr>
        <w:t xml:space="preserve"> Different professionals can disagree on care goals—for instance, a doctor may focus purely on medicine, while a social worker focuses on social support.</w:t>
      </w:r>
    </w:p>
    <w:p w14:paraId="53E16EB4"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High Workloads:</w:t>
      </w:r>
      <w:r w:rsidRPr="009D04D8">
        <w:rPr>
          <w:rFonts w:ascii="Arial" w:hAnsi="Arial" w:cs="Arial"/>
          <w:sz w:val="22"/>
          <w:szCs w:val="22"/>
          <w:lang w:val="en-PK" w:eastAsia="en-PK"/>
        </w:rPr>
        <w:t xml:space="preserve"> When staff are overloaded with daily tasks, finding time for multi-agency meetings can be difficult.</w:t>
      </w:r>
    </w:p>
    <w:p w14:paraId="0A60D3B9"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Despite these practical challenges, partnership working is essential because it stops vulnerable people from falling through the gaps of a complex health and social care system.</w:t>
      </w:r>
    </w:p>
    <w:p w14:paraId="3FA71C00" w14:textId="445CAD1C" w:rsidR="009D04D8" w:rsidRPr="009D04D8" w:rsidRDefault="009D04D8" w:rsidP="009D04D8">
      <w:pPr>
        <w:rPr>
          <w:rFonts w:ascii="Arial" w:hAnsi="Arial" w:cs="Arial"/>
          <w:b/>
          <w:bCs/>
          <w:i/>
          <w:iCs/>
          <w:sz w:val="22"/>
          <w:szCs w:val="22"/>
          <w:u w:val="single"/>
          <w:lang w:val="en-PK" w:eastAsia="en-PK"/>
        </w:rPr>
      </w:pPr>
      <w:r w:rsidRPr="009D04D8">
        <w:rPr>
          <w:rFonts w:ascii="Arial" w:hAnsi="Arial" w:cs="Arial"/>
          <w:sz w:val="22"/>
          <w:szCs w:val="22"/>
          <w:lang w:val="en-PK" w:eastAsia="en-PK"/>
        </w:rPr>
        <w:t xml:space="preserve">e) </w:t>
      </w:r>
      <w:r w:rsidRPr="009D04D8">
        <w:rPr>
          <w:rFonts w:ascii="Arial" w:hAnsi="Arial" w:cs="Arial"/>
          <w:b/>
          <w:bCs/>
          <w:i/>
          <w:iCs/>
          <w:sz w:val="22"/>
          <w:szCs w:val="22"/>
          <w:highlight w:val="green"/>
          <w:u w:val="single"/>
          <w:lang w:val="en-PK" w:eastAsia="en-PK"/>
        </w:rPr>
        <w:t>Partnership Working in a Residential Care Home</w:t>
      </w:r>
      <w:r>
        <w:rPr>
          <w:rFonts w:ascii="Arial" w:hAnsi="Arial" w:cs="Arial"/>
          <w:b/>
          <w:bCs/>
          <w:i/>
          <w:iCs/>
          <w:sz w:val="22"/>
          <w:szCs w:val="22"/>
          <w:u w:val="single"/>
          <w:lang w:val="en-PK" w:eastAsia="en-PK"/>
        </w:rPr>
        <w:t>:</w:t>
      </w:r>
    </w:p>
    <w:p w14:paraId="08EA03E5"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A residential care home provides a practical setting to see partnership working in action. Care home residents often have multiple, long-term health conditions that require care from several specialists working closely together.</w:t>
      </w:r>
    </w:p>
    <w:p w14:paraId="14A41E25"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For example, consider an 82-year-old resident living with moderate dementia and type 2 diabetes. Managing their care requires daily teamwork across a multidisciplinary team:</w:t>
      </w:r>
    </w:p>
    <w:p w14:paraId="77251C86"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Care Home Workers:</w:t>
      </w:r>
      <w:r w:rsidRPr="009D04D8">
        <w:rPr>
          <w:rFonts w:ascii="Arial" w:hAnsi="Arial" w:cs="Arial"/>
          <w:sz w:val="22"/>
          <w:szCs w:val="22"/>
          <w:lang w:val="en-PK" w:eastAsia="en-PK"/>
        </w:rPr>
        <w:t xml:space="preserve"> Assist with daily washing, meals, and mobility. Because they spend the most time with the resident, care workers are the first to notice changes in health or mood.</w:t>
      </w:r>
    </w:p>
    <w:p w14:paraId="65C42B87"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GP and District Nurse:</w:t>
      </w:r>
      <w:r w:rsidRPr="009D04D8">
        <w:rPr>
          <w:rFonts w:ascii="Arial" w:hAnsi="Arial" w:cs="Arial"/>
          <w:sz w:val="22"/>
          <w:szCs w:val="22"/>
          <w:lang w:val="en-PK" w:eastAsia="en-PK"/>
        </w:rPr>
        <w:t xml:space="preserve"> The GP manages medical treatment and prescriptions. The district nurse visits to check blood sugar levels and manage wound care.</w:t>
      </w:r>
    </w:p>
    <w:p w14:paraId="31C6B4C8"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Dietitian:</w:t>
      </w:r>
      <w:r w:rsidRPr="009D04D8">
        <w:rPr>
          <w:rFonts w:ascii="Arial" w:hAnsi="Arial" w:cs="Arial"/>
          <w:sz w:val="22"/>
          <w:szCs w:val="22"/>
          <w:lang w:val="en-PK" w:eastAsia="en-PK"/>
        </w:rPr>
        <w:t xml:space="preserve"> Plans healthy meals that manage diabetes while catering to the resident's personal food tastes and swallowing abilities.</w:t>
      </w:r>
    </w:p>
    <w:p w14:paraId="2F123539"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Occupational Therapist:</w:t>
      </w:r>
      <w:r w:rsidRPr="009D04D8">
        <w:rPr>
          <w:rFonts w:ascii="Arial" w:hAnsi="Arial" w:cs="Arial"/>
          <w:sz w:val="22"/>
          <w:szCs w:val="22"/>
          <w:lang w:val="en-PK" w:eastAsia="en-PK"/>
        </w:rPr>
        <w:t xml:space="preserve"> Assesses room safety, providing mobility aids or special chairs to prevent falls.</w:t>
      </w:r>
    </w:p>
    <w:p w14:paraId="68909A01"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Family Members:</w:t>
      </w:r>
      <w:r w:rsidRPr="009D04D8">
        <w:rPr>
          <w:rFonts w:ascii="Arial" w:hAnsi="Arial" w:cs="Arial"/>
          <w:sz w:val="22"/>
          <w:szCs w:val="22"/>
          <w:lang w:val="en-PK" w:eastAsia="en-PK"/>
        </w:rPr>
        <w:t xml:space="preserve"> Share valuable details about the resident's </w:t>
      </w:r>
      <w:proofErr w:type="gramStart"/>
      <w:r w:rsidRPr="009D04D8">
        <w:rPr>
          <w:rFonts w:ascii="Arial" w:hAnsi="Arial" w:cs="Arial"/>
          <w:sz w:val="22"/>
          <w:szCs w:val="22"/>
          <w:lang w:val="en-PK" w:eastAsia="en-PK"/>
        </w:rPr>
        <w:t>past history</w:t>
      </w:r>
      <w:proofErr w:type="gramEnd"/>
      <w:r w:rsidRPr="009D04D8">
        <w:rPr>
          <w:rFonts w:ascii="Arial" w:hAnsi="Arial" w:cs="Arial"/>
          <w:sz w:val="22"/>
          <w:szCs w:val="22"/>
          <w:lang w:val="en-PK" w:eastAsia="en-PK"/>
        </w:rPr>
        <w:t>, daily habits, and communication preferences.</w:t>
      </w:r>
    </w:p>
    <w:p w14:paraId="0E711173"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Regular review meetings allow this team to discuss progress, solve problems quickly, and adjust care plans, keeping the resident safe and avoiding unnecessary hospital trips.</w:t>
      </w:r>
    </w:p>
    <w:p w14:paraId="22B730A3" w14:textId="670B86A6" w:rsidR="009D04D8" w:rsidRPr="009D04D8" w:rsidRDefault="009D04D8" w:rsidP="009D04D8">
      <w:pPr>
        <w:rPr>
          <w:rFonts w:ascii="Arial" w:hAnsi="Arial" w:cs="Arial"/>
          <w:b/>
          <w:bCs/>
          <w:i/>
          <w:iCs/>
          <w:sz w:val="22"/>
          <w:szCs w:val="22"/>
          <w:u w:val="single"/>
          <w:lang w:val="en-PK" w:eastAsia="en-PK"/>
        </w:rPr>
      </w:pPr>
      <w:r w:rsidRPr="009D04D8">
        <w:rPr>
          <w:rFonts w:ascii="Arial" w:hAnsi="Arial" w:cs="Arial"/>
          <w:b/>
          <w:bCs/>
          <w:i/>
          <w:iCs/>
          <w:sz w:val="22"/>
          <w:szCs w:val="22"/>
          <w:highlight w:val="yellow"/>
          <w:u w:val="single"/>
          <w:lang w:val="en-PK" w:eastAsia="en-PK"/>
        </w:rPr>
        <w:t>f) Relevant Policy and Legislation</w:t>
      </w:r>
      <w:r>
        <w:rPr>
          <w:rFonts w:ascii="Arial" w:hAnsi="Arial" w:cs="Arial"/>
          <w:b/>
          <w:bCs/>
          <w:i/>
          <w:iCs/>
          <w:sz w:val="22"/>
          <w:szCs w:val="22"/>
          <w:u w:val="single"/>
          <w:lang w:val="en-PK" w:eastAsia="en-PK"/>
        </w:rPr>
        <w:t>:</w:t>
      </w:r>
    </w:p>
    <w:p w14:paraId="68D1981B"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lastRenderedPageBreak/>
        <w:t>Several UK laws and national policies ensure that person-centred care and partnership working are legal requirements in daily care:</w:t>
      </w:r>
    </w:p>
    <w:p w14:paraId="4BC53B2B"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The Care Act 2014:</w:t>
      </w:r>
      <w:r w:rsidRPr="009D04D8">
        <w:rPr>
          <w:rFonts w:ascii="Arial" w:hAnsi="Arial" w:cs="Arial"/>
          <w:sz w:val="22"/>
          <w:szCs w:val="22"/>
          <w:lang w:val="en-PK" w:eastAsia="en-PK"/>
        </w:rPr>
        <w:t xml:space="preserve"> The main law for adult social care in England. It puts individual wellbeing at the heart of care, requiring local authorities to involve people in decisions and work in partnership with the NHS.</w:t>
      </w:r>
    </w:p>
    <w:p w14:paraId="687BC805"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The Health and Social Care Act 2012:</w:t>
      </w:r>
      <w:r w:rsidRPr="009D04D8">
        <w:rPr>
          <w:rFonts w:ascii="Arial" w:hAnsi="Arial" w:cs="Arial"/>
          <w:sz w:val="22"/>
          <w:szCs w:val="22"/>
          <w:lang w:val="en-PK" w:eastAsia="en-PK"/>
        </w:rPr>
        <w:t xml:space="preserve"> Encourages NHS organisations, local councils, and social care providers to integrate services and work together.</w:t>
      </w:r>
    </w:p>
    <w:p w14:paraId="6FB55B21"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The Mental Capacity Act 2005:</w:t>
      </w:r>
      <w:r w:rsidRPr="009D04D8">
        <w:rPr>
          <w:rFonts w:ascii="Arial" w:hAnsi="Arial" w:cs="Arial"/>
          <w:sz w:val="22"/>
          <w:szCs w:val="22"/>
          <w:lang w:val="en-PK" w:eastAsia="en-PK"/>
        </w:rPr>
        <w:t xml:space="preserve"> Protects people who lack the mental capacity to make specific choices. It states capacity must be assumed unless proven otherwise, and decisions must be made in the person's best interests.</w:t>
      </w:r>
    </w:p>
    <w:p w14:paraId="1B75EFBC"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The Data Protection Act 2018 (UK GDPR):</w:t>
      </w:r>
      <w:r w:rsidRPr="009D04D8">
        <w:rPr>
          <w:rFonts w:ascii="Arial" w:hAnsi="Arial" w:cs="Arial"/>
          <w:sz w:val="22"/>
          <w:szCs w:val="22"/>
          <w:lang w:val="en-PK" w:eastAsia="en-PK"/>
        </w:rPr>
        <w:t xml:space="preserve"> Keeps personal data secure while providing legal rules for sharing details safely during partnership working.</w:t>
      </w:r>
    </w:p>
    <w:p w14:paraId="167AC4C2"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Care Quality Commission (CQC) Regulation 9:</w:t>
      </w:r>
      <w:r w:rsidRPr="009D04D8">
        <w:rPr>
          <w:rFonts w:ascii="Arial" w:hAnsi="Arial" w:cs="Arial"/>
          <w:sz w:val="22"/>
          <w:szCs w:val="22"/>
          <w:lang w:val="en-PK" w:eastAsia="en-PK"/>
        </w:rPr>
        <w:t xml:space="preserve"> Legally requires health and care providers to deliver individualised, person-centred care.</w:t>
      </w:r>
    </w:p>
    <w:p w14:paraId="7EDB088F" w14:textId="0B8C7007" w:rsidR="009D04D8" w:rsidRPr="009D04D8" w:rsidRDefault="009D04D8" w:rsidP="009D04D8">
      <w:pPr>
        <w:rPr>
          <w:rFonts w:ascii="Arial" w:hAnsi="Arial" w:cs="Arial"/>
          <w:b/>
          <w:bCs/>
          <w:i/>
          <w:iCs/>
          <w:sz w:val="22"/>
          <w:szCs w:val="22"/>
          <w:u w:val="single"/>
          <w:lang w:val="en-PK" w:eastAsia="en-PK"/>
        </w:rPr>
      </w:pPr>
      <w:r w:rsidRPr="009D04D8">
        <w:rPr>
          <w:rFonts w:ascii="Arial" w:hAnsi="Arial" w:cs="Arial"/>
          <w:b/>
          <w:bCs/>
          <w:i/>
          <w:iCs/>
          <w:sz w:val="22"/>
          <w:szCs w:val="22"/>
          <w:highlight w:val="green"/>
          <w:u w:val="single"/>
          <w:lang w:val="en-PK" w:eastAsia="en-PK"/>
        </w:rPr>
        <w:t>g) Recommendations for Future Practice</w:t>
      </w:r>
      <w:r>
        <w:rPr>
          <w:rFonts w:ascii="Arial" w:hAnsi="Arial" w:cs="Arial"/>
          <w:b/>
          <w:bCs/>
          <w:i/>
          <w:iCs/>
          <w:sz w:val="22"/>
          <w:szCs w:val="22"/>
          <w:u w:val="single"/>
          <w:lang w:val="en-PK" w:eastAsia="en-PK"/>
        </w:rPr>
        <w:t>:</w:t>
      </w:r>
    </w:p>
    <w:p w14:paraId="33E45E18"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To strengthen person-centred care and partnership working in UK health and social care, four simple recommendations are made:</w:t>
      </w:r>
    </w:p>
    <w:p w14:paraId="5AFA9A34"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Implement Shared Digital Records:</w:t>
      </w:r>
      <w:r w:rsidRPr="009D04D8">
        <w:rPr>
          <w:rFonts w:ascii="Arial" w:hAnsi="Arial" w:cs="Arial"/>
          <w:sz w:val="22"/>
          <w:szCs w:val="22"/>
          <w:lang w:val="en-PK" w:eastAsia="en-PK"/>
        </w:rPr>
        <w:t xml:space="preserve"> The government should fund linked digital IT systems so GPs, hospital staff, and care homes can share records safely and quickly.</w:t>
      </w:r>
    </w:p>
    <w:p w14:paraId="5AFAB4C6"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Provide Joint Staff Training:</w:t>
      </w:r>
      <w:r w:rsidRPr="009D04D8">
        <w:rPr>
          <w:rFonts w:ascii="Arial" w:hAnsi="Arial" w:cs="Arial"/>
          <w:sz w:val="22"/>
          <w:szCs w:val="22"/>
          <w:lang w:val="en-PK" w:eastAsia="en-PK"/>
        </w:rPr>
        <w:t xml:space="preserve"> Train health workers, social workers, and care staff together to build better communication and inter-professional trust.</w:t>
      </w:r>
    </w:p>
    <w:p w14:paraId="5EF601BF"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Increase Family and Client Involvement:</w:t>
      </w:r>
      <w:r w:rsidRPr="009D04D8">
        <w:rPr>
          <w:rFonts w:ascii="Arial" w:hAnsi="Arial" w:cs="Arial"/>
          <w:sz w:val="22"/>
          <w:szCs w:val="22"/>
          <w:lang w:val="en-PK" w:eastAsia="en-PK"/>
        </w:rPr>
        <w:t xml:space="preserve"> Care providers should regularly involve service users and family members when planning and reviewing care services.</w:t>
      </w:r>
    </w:p>
    <w:p w14:paraId="1EADD2DB"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bdr w:val="none" w:sz="0" w:space="0" w:color="auto" w:frame="1"/>
          <w:lang w:val="en-PK" w:eastAsia="en-PK"/>
        </w:rPr>
        <w:t>Increase Social Care Funding:</w:t>
      </w:r>
      <w:r w:rsidRPr="009D04D8">
        <w:rPr>
          <w:rFonts w:ascii="Arial" w:hAnsi="Arial" w:cs="Arial"/>
          <w:sz w:val="22"/>
          <w:szCs w:val="22"/>
          <w:lang w:val="en-PK" w:eastAsia="en-PK"/>
        </w:rPr>
        <w:t xml:space="preserve"> Provide more funding and better wages for social care staff to reduce turnover, giving workers time for person-centred care.</w:t>
      </w:r>
    </w:p>
    <w:p w14:paraId="0D7EE691" w14:textId="2BC9168F" w:rsidR="009D04D8" w:rsidRPr="009D04D8" w:rsidRDefault="009D04D8" w:rsidP="009D04D8">
      <w:pPr>
        <w:rPr>
          <w:rFonts w:ascii="Arial" w:hAnsi="Arial" w:cs="Arial"/>
          <w:b/>
          <w:bCs/>
          <w:i/>
          <w:iCs/>
          <w:sz w:val="22"/>
          <w:szCs w:val="22"/>
          <w:u w:val="single"/>
          <w:lang w:val="en-PK" w:eastAsia="en-PK"/>
        </w:rPr>
      </w:pPr>
      <w:r w:rsidRPr="009D04D8">
        <w:rPr>
          <w:rFonts w:ascii="Arial" w:hAnsi="Arial" w:cs="Arial"/>
          <w:b/>
          <w:bCs/>
          <w:i/>
          <w:iCs/>
          <w:sz w:val="22"/>
          <w:szCs w:val="22"/>
          <w:highlight w:val="cyan"/>
          <w:u w:val="single"/>
          <w:lang w:val="en-PK" w:eastAsia="en-PK"/>
        </w:rPr>
        <w:t>Conclusion</w:t>
      </w:r>
      <w:r>
        <w:rPr>
          <w:rFonts w:ascii="Arial" w:hAnsi="Arial" w:cs="Arial"/>
          <w:b/>
          <w:bCs/>
          <w:i/>
          <w:iCs/>
          <w:sz w:val="22"/>
          <w:szCs w:val="22"/>
          <w:u w:val="single"/>
          <w:lang w:val="en-PK" w:eastAsia="en-PK"/>
        </w:rPr>
        <w:t>:</w:t>
      </w:r>
    </w:p>
    <w:p w14:paraId="585FF555"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In conclusion, person-centred care and partnership working are fundamental to delivering safe, high-quality health and social care in the UK. Person-centred care ensures individuals are treated with dignity, respect, and fairness, giving them control over their own support. Tom Kitwood’s theory proves that caring for emotional identity and personhood is as essential as clinical treatment.</w:t>
      </w:r>
    </w:p>
    <w:p w14:paraId="7453A19B" w14:textId="77777777" w:rsidR="009D04D8" w:rsidRPr="009D04D8" w:rsidRDefault="009D04D8" w:rsidP="009D04D8">
      <w:pPr>
        <w:rPr>
          <w:rFonts w:ascii="Arial" w:hAnsi="Arial" w:cs="Arial"/>
          <w:sz w:val="22"/>
          <w:szCs w:val="22"/>
          <w:lang w:val="en-PK" w:eastAsia="en-PK"/>
        </w:rPr>
      </w:pPr>
      <w:r w:rsidRPr="009D04D8">
        <w:rPr>
          <w:rFonts w:ascii="Arial" w:hAnsi="Arial" w:cs="Arial"/>
          <w:sz w:val="22"/>
          <w:szCs w:val="22"/>
          <w:lang w:val="en-PK" w:eastAsia="en-PK"/>
        </w:rPr>
        <w:t>Ethical principles like autonomy, beneficence, non-maleficence, justice, and confidentiality guide care workers in making safe, moral decisions. Meanwhile, partnership working brings doctors, nurses, social workers, care staff, and families together into one team, improving care quality and patient safety, as seen in care home settings.</w:t>
      </w:r>
    </w:p>
    <w:p w14:paraId="76246E78" w14:textId="1908B6E4" w:rsidR="00C77670" w:rsidRPr="00C77670" w:rsidRDefault="009D04D8" w:rsidP="00C77670">
      <w:pPr>
        <w:rPr>
          <w:rFonts w:ascii="Arial" w:hAnsi="Arial" w:cs="Arial"/>
          <w:sz w:val="22"/>
          <w:szCs w:val="22"/>
          <w:lang w:val="en-PK" w:eastAsia="en-PK"/>
        </w:rPr>
      </w:pPr>
      <w:r w:rsidRPr="009D04D8">
        <w:rPr>
          <w:rFonts w:ascii="Arial" w:hAnsi="Arial" w:cs="Arial"/>
          <w:sz w:val="22"/>
          <w:szCs w:val="22"/>
          <w:lang w:val="en-PK" w:eastAsia="en-PK"/>
        </w:rPr>
        <w:t xml:space="preserve">UK laws like the Care Act 2014 and Mental Capacity Act 2005 provide strong legal support for these practices. Although staff shortages, heavy workloads, and separate computer systems create practical challenges, investing in shared technology, joint training, family </w:t>
      </w:r>
      <w:r w:rsidRPr="009D04D8">
        <w:rPr>
          <w:rFonts w:ascii="Arial" w:hAnsi="Arial" w:cs="Arial"/>
          <w:sz w:val="22"/>
          <w:szCs w:val="22"/>
          <w:lang w:val="en-PK" w:eastAsia="en-PK"/>
        </w:rPr>
        <w:lastRenderedPageBreak/>
        <w:t xml:space="preserve">involvement, and staff funding will ensure that UK health and social care </w:t>
      </w:r>
      <w:proofErr w:type="gramStart"/>
      <w:r w:rsidRPr="009D04D8">
        <w:rPr>
          <w:rFonts w:ascii="Arial" w:hAnsi="Arial" w:cs="Arial"/>
          <w:sz w:val="22"/>
          <w:szCs w:val="22"/>
          <w:lang w:val="en-PK" w:eastAsia="en-PK"/>
        </w:rPr>
        <w:t>continues</w:t>
      </w:r>
      <w:proofErr w:type="gramEnd"/>
      <w:r w:rsidRPr="009D04D8">
        <w:rPr>
          <w:rFonts w:ascii="Arial" w:hAnsi="Arial" w:cs="Arial"/>
          <w:sz w:val="22"/>
          <w:szCs w:val="22"/>
          <w:lang w:val="en-PK" w:eastAsia="en-PK"/>
        </w:rPr>
        <w:t xml:space="preserve"> to provide high-quality, person-centred</w:t>
      </w:r>
    </w:p>
    <w:p w14:paraId="6EAEE761" w14:textId="668A9CF4" w:rsidR="00C77670" w:rsidRPr="00C77670" w:rsidRDefault="00C77670" w:rsidP="00C77670">
      <w:pPr>
        <w:rPr>
          <w:rFonts w:ascii="Arial" w:hAnsi="Arial" w:cs="Arial"/>
          <w:b/>
          <w:bCs/>
          <w:i/>
          <w:iCs/>
          <w:sz w:val="22"/>
          <w:szCs w:val="22"/>
          <w:u w:val="single"/>
          <w:lang w:val="en-PK" w:eastAsia="en-PK"/>
        </w:rPr>
      </w:pPr>
      <w:r w:rsidRPr="00C77670">
        <w:rPr>
          <w:rFonts w:ascii="Arial" w:hAnsi="Arial" w:cs="Arial"/>
          <w:b/>
          <w:bCs/>
          <w:i/>
          <w:iCs/>
          <w:sz w:val="22"/>
          <w:szCs w:val="22"/>
          <w:highlight w:val="yellow"/>
          <w:u w:val="single"/>
          <w:lang w:val="en-PK" w:eastAsia="en-PK"/>
        </w:rPr>
        <w:t>References</w:t>
      </w:r>
      <w:r>
        <w:rPr>
          <w:rFonts w:ascii="Arial" w:hAnsi="Arial" w:cs="Arial"/>
          <w:b/>
          <w:bCs/>
          <w:i/>
          <w:iCs/>
          <w:sz w:val="22"/>
          <w:szCs w:val="22"/>
          <w:u w:val="single"/>
          <w:lang w:val="en-PK" w:eastAsia="en-PK"/>
        </w:rPr>
        <w:t>:</w:t>
      </w:r>
    </w:p>
    <w:p w14:paraId="46EF62C2" w14:textId="77777777" w:rsidR="00C77670" w:rsidRPr="00C77670" w:rsidRDefault="00C77670" w:rsidP="00C77670">
      <w:pPr>
        <w:pStyle w:val="ListParagraph"/>
        <w:numPr>
          <w:ilvl w:val="0"/>
          <w:numId w:val="15"/>
        </w:numPr>
        <w:rPr>
          <w:rFonts w:ascii="Arial" w:hAnsi="Arial" w:cs="Arial"/>
          <w:sz w:val="22"/>
          <w:szCs w:val="22"/>
          <w:lang w:val="en-PK" w:eastAsia="en-PK"/>
        </w:rPr>
      </w:pPr>
      <w:r w:rsidRPr="00C77670">
        <w:rPr>
          <w:rFonts w:ascii="Arial" w:hAnsi="Arial" w:cs="Arial"/>
          <w:sz w:val="22"/>
          <w:szCs w:val="22"/>
          <w:bdr w:val="none" w:sz="0" w:space="0" w:color="auto" w:frame="1"/>
          <w:lang w:val="en-PK" w:eastAsia="en-PK"/>
        </w:rPr>
        <w:t>Care Act 2014.</w:t>
      </w:r>
      <w:r w:rsidRPr="00C77670">
        <w:rPr>
          <w:rFonts w:ascii="Arial" w:hAnsi="Arial" w:cs="Arial"/>
          <w:sz w:val="22"/>
          <w:szCs w:val="22"/>
          <w:lang w:val="en-PK" w:eastAsia="en-PK"/>
        </w:rPr>
        <w:t xml:space="preserve"> (2014) </w:t>
      </w:r>
      <w:r w:rsidRPr="00C77670">
        <w:rPr>
          <w:rFonts w:ascii="Arial" w:hAnsi="Arial" w:cs="Arial"/>
          <w:i/>
          <w:iCs/>
          <w:sz w:val="22"/>
          <w:szCs w:val="22"/>
          <w:bdr w:val="none" w:sz="0" w:space="0" w:color="auto" w:frame="1"/>
          <w:lang w:val="en-PK" w:eastAsia="en-PK"/>
        </w:rPr>
        <w:t>Care Act 2014 (c. 23)</w:t>
      </w:r>
      <w:r w:rsidRPr="00C77670">
        <w:rPr>
          <w:rFonts w:ascii="Arial" w:hAnsi="Arial" w:cs="Arial"/>
          <w:sz w:val="22"/>
          <w:szCs w:val="22"/>
          <w:lang w:val="en-PK" w:eastAsia="en-PK"/>
        </w:rPr>
        <w:t xml:space="preserve">. London: HMSO. Available at: </w:t>
      </w:r>
      <w:hyperlink r:id="rId8" w:tgtFrame="_blank" w:history="1">
        <w:r w:rsidRPr="00C77670">
          <w:rPr>
            <w:rFonts w:ascii="Arial" w:hAnsi="Arial" w:cs="Arial"/>
            <w:color w:val="000000"/>
            <w:sz w:val="22"/>
            <w:szCs w:val="22"/>
            <w:u w:val="single"/>
            <w:bdr w:val="none" w:sz="0" w:space="0" w:color="auto" w:frame="1"/>
            <w:lang w:val="en-PK" w:eastAsia="en-PK"/>
          </w:rPr>
          <w:t>https://www.legislation.gov.uk/ukpga/2014/23/contents</w:t>
        </w:r>
      </w:hyperlink>
    </w:p>
    <w:p w14:paraId="68AC8351" w14:textId="77777777" w:rsidR="00C77670" w:rsidRPr="00C77670" w:rsidRDefault="00C77670" w:rsidP="00C77670">
      <w:pPr>
        <w:pStyle w:val="ListParagraph"/>
        <w:numPr>
          <w:ilvl w:val="0"/>
          <w:numId w:val="15"/>
        </w:numPr>
        <w:rPr>
          <w:rFonts w:ascii="Arial" w:hAnsi="Arial" w:cs="Arial"/>
          <w:sz w:val="22"/>
          <w:szCs w:val="22"/>
          <w:lang w:val="en-PK" w:eastAsia="en-PK"/>
        </w:rPr>
      </w:pPr>
      <w:r w:rsidRPr="00C77670">
        <w:rPr>
          <w:rFonts w:ascii="Arial" w:hAnsi="Arial" w:cs="Arial"/>
          <w:sz w:val="22"/>
          <w:szCs w:val="22"/>
          <w:bdr w:val="none" w:sz="0" w:space="0" w:color="auto" w:frame="1"/>
          <w:lang w:val="en-PK" w:eastAsia="en-PK"/>
        </w:rPr>
        <w:t>Care Quality Commission</w:t>
      </w:r>
      <w:r w:rsidRPr="00C77670">
        <w:rPr>
          <w:rFonts w:ascii="Arial" w:hAnsi="Arial" w:cs="Arial"/>
          <w:sz w:val="22"/>
          <w:szCs w:val="22"/>
          <w:lang w:val="en-PK" w:eastAsia="en-PK"/>
        </w:rPr>
        <w:t xml:space="preserve"> (2025) </w:t>
      </w:r>
      <w:r w:rsidRPr="00C77670">
        <w:rPr>
          <w:rFonts w:ascii="Arial" w:hAnsi="Arial" w:cs="Arial"/>
          <w:i/>
          <w:iCs/>
          <w:sz w:val="22"/>
          <w:szCs w:val="22"/>
          <w:bdr w:val="none" w:sz="0" w:space="0" w:color="auto" w:frame="1"/>
          <w:lang w:val="en-PK" w:eastAsia="en-PK"/>
        </w:rPr>
        <w:t>Regulation 9: Person-centred care</w:t>
      </w:r>
      <w:r w:rsidRPr="00C77670">
        <w:rPr>
          <w:rFonts w:ascii="Arial" w:hAnsi="Arial" w:cs="Arial"/>
          <w:sz w:val="22"/>
          <w:szCs w:val="22"/>
          <w:lang w:val="en-PK" w:eastAsia="en-PK"/>
        </w:rPr>
        <w:t xml:space="preserve">. Newcastle: CQC. Available at: </w:t>
      </w:r>
      <w:hyperlink r:id="rId9" w:tgtFrame="_blank" w:history="1">
        <w:r w:rsidRPr="00C77670">
          <w:rPr>
            <w:rFonts w:ascii="Arial" w:hAnsi="Arial" w:cs="Arial"/>
            <w:color w:val="000000"/>
            <w:sz w:val="22"/>
            <w:szCs w:val="22"/>
            <w:u w:val="single"/>
            <w:bdr w:val="none" w:sz="0" w:space="0" w:color="auto" w:frame="1"/>
            <w:lang w:val="en-PK" w:eastAsia="en-PK"/>
          </w:rPr>
          <w:t>https://www.cqc.org.uk/guidance-regulation/providers/regulations-service-providers-and-managers/health-social-care-act/regulation-9</w:t>
        </w:r>
      </w:hyperlink>
    </w:p>
    <w:p w14:paraId="3D36A845" w14:textId="77777777" w:rsidR="00C77670" w:rsidRPr="00C77670" w:rsidRDefault="00C77670" w:rsidP="00C77670">
      <w:pPr>
        <w:pStyle w:val="ListParagraph"/>
        <w:numPr>
          <w:ilvl w:val="0"/>
          <w:numId w:val="15"/>
        </w:numPr>
        <w:rPr>
          <w:rFonts w:ascii="Arial" w:hAnsi="Arial" w:cs="Arial"/>
          <w:sz w:val="22"/>
          <w:szCs w:val="22"/>
          <w:lang w:val="en-PK" w:eastAsia="en-PK"/>
        </w:rPr>
      </w:pPr>
      <w:r w:rsidRPr="00C77670">
        <w:rPr>
          <w:rFonts w:ascii="Arial" w:hAnsi="Arial" w:cs="Arial"/>
          <w:sz w:val="22"/>
          <w:szCs w:val="22"/>
          <w:bdr w:val="none" w:sz="0" w:space="0" w:color="auto" w:frame="1"/>
          <w:lang w:val="en-PK" w:eastAsia="en-PK"/>
        </w:rPr>
        <w:t>Data Protection Act 2018.</w:t>
      </w:r>
      <w:r w:rsidRPr="00C77670">
        <w:rPr>
          <w:rFonts w:ascii="Arial" w:hAnsi="Arial" w:cs="Arial"/>
          <w:sz w:val="22"/>
          <w:szCs w:val="22"/>
          <w:lang w:val="en-PK" w:eastAsia="en-PK"/>
        </w:rPr>
        <w:t xml:space="preserve"> (2018) </w:t>
      </w:r>
      <w:r w:rsidRPr="00C77670">
        <w:rPr>
          <w:rFonts w:ascii="Arial" w:hAnsi="Arial" w:cs="Arial"/>
          <w:i/>
          <w:iCs/>
          <w:sz w:val="22"/>
          <w:szCs w:val="22"/>
          <w:bdr w:val="none" w:sz="0" w:space="0" w:color="auto" w:frame="1"/>
          <w:lang w:val="en-PK" w:eastAsia="en-PK"/>
        </w:rPr>
        <w:t>Data Protection Act 2018 (c. 12)</w:t>
      </w:r>
      <w:r w:rsidRPr="00C77670">
        <w:rPr>
          <w:rFonts w:ascii="Arial" w:hAnsi="Arial" w:cs="Arial"/>
          <w:sz w:val="22"/>
          <w:szCs w:val="22"/>
          <w:lang w:val="en-PK" w:eastAsia="en-PK"/>
        </w:rPr>
        <w:t xml:space="preserve">. London: HMSO. Available at: </w:t>
      </w:r>
      <w:hyperlink r:id="rId10" w:tgtFrame="_blank" w:history="1">
        <w:r w:rsidRPr="00C77670">
          <w:rPr>
            <w:rFonts w:ascii="Arial" w:hAnsi="Arial" w:cs="Arial"/>
            <w:color w:val="000000"/>
            <w:sz w:val="22"/>
            <w:szCs w:val="22"/>
            <w:u w:val="single"/>
            <w:bdr w:val="none" w:sz="0" w:space="0" w:color="auto" w:frame="1"/>
            <w:lang w:val="en-PK" w:eastAsia="en-PK"/>
          </w:rPr>
          <w:t>https://www.legislation.gov.uk/ukpga/2018/12/contents</w:t>
        </w:r>
      </w:hyperlink>
    </w:p>
    <w:p w14:paraId="74E243D8" w14:textId="77777777" w:rsidR="00C77670" w:rsidRPr="00C77670" w:rsidRDefault="00C77670" w:rsidP="00C77670">
      <w:pPr>
        <w:pStyle w:val="ListParagraph"/>
        <w:numPr>
          <w:ilvl w:val="0"/>
          <w:numId w:val="15"/>
        </w:numPr>
        <w:rPr>
          <w:rFonts w:ascii="Arial" w:hAnsi="Arial" w:cs="Arial"/>
          <w:sz w:val="22"/>
          <w:szCs w:val="22"/>
          <w:lang w:val="en-PK" w:eastAsia="en-PK"/>
        </w:rPr>
      </w:pPr>
      <w:r w:rsidRPr="00C77670">
        <w:rPr>
          <w:rFonts w:ascii="Arial" w:hAnsi="Arial" w:cs="Arial"/>
          <w:sz w:val="22"/>
          <w:szCs w:val="22"/>
          <w:bdr w:val="none" w:sz="0" w:space="0" w:color="auto" w:frame="1"/>
          <w:lang w:val="en-PK" w:eastAsia="en-PK"/>
        </w:rPr>
        <w:t>Health and Social Care Act 2012.</w:t>
      </w:r>
      <w:r w:rsidRPr="00C77670">
        <w:rPr>
          <w:rFonts w:ascii="Arial" w:hAnsi="Arial" w:cs="Arial"/>
          <w:sz w:val="22"/>
          <w:szCs w:val="22"/>
          <w:lang w:val="en-PK" w:eastAsia="en-PK"/>
        </w:rPr>
        <w:t xml:space="preserve"> (2012) </w:t>
      </w:r>
      <w:r w:rsidRPr="00C77670">
        <w:rPr>
          <w:rFonts w:ascii="Arial" w:hAnsi="Arial" w:cs="Arial"/>
          <w:i/>
          <w:iCs/>
          <w:sz w:val="22"/>
          <w:szCs w:val="22"/>
          <w:bdr w:val="none" w:sz="0" w:space="0" w:color="auto" w:frame="1"/>
          <w:lang w:val="en-PK" w:eastAsia="en-PK"/>
        </w:rPr>
        <w:t>Health and Social Care Act 2012 (c. 7)</w:t>
      </w:r>
      <w:r w:rsidRPr="00C77670">
        <w:rPr>
          <w:rFonts w:ascii="Arial" w:hAnsi="Arial" w:cs="Arial"/>
          <w:sz w:val="22"/>
          <w:szCs w:val="22"/>
          <w:lang w:val="en-PK" w:eastAsia="en-PK"/>
        </w:rPr>
        <w:t xml:space="preserve">. London: HMSO. Available at: </w:t>
      </w:r>
      <w:hyperlink r:id="rId11" w:tgtFrame="_blank" w:history="1">
        <w:r w:rsidRPr="00C77670">
          <w:rPr>
            <w:rFonts w:ascii="Arial" w:hAnsi="Arial" w:cs="Arial"/>
            <w:color w:val="000000"/>
            <w:sz w:val="22"/>
            <w:szCs w:val="22"/>
            <w:u w:val="single"/>
            <w:bdr w:val="none" w:sz="0" w:space="0" w:color="auto" w:frame="1"/>
            <w:lang w:val="en-PK" w:eastAsia="en-PK"/>
          </w:rPr>
          <w:t>https://www.legislation.gov.uk/ukpga/2012/7/contents</w:t>
        </w:r>
      </w:hyperlink>
    </w:p>
    <w:p w14:paraId="27519B13" w14:textId="77777777" w:rsidR="00C77670" w:rsidRPr="00C77670" w:rsidRDefault="00C77670" w:rsidP="00C77670">
      <w:pPr>
        <w:pStyle w:val="ListParagraph"/>
        <w:numPr>
          <w:ilvl w:val="0"/>
          <w:numId w:val="15"/>
        </w:numPr>
        <w:rPr>
          <w:rFonts w:ascii="Arial" w:hAnsi="Arial" w:cs="Arial"/>
          <w:sz w:val="22"/>
          <w:szCs w:val="22"/>
          <w:lang w:val="en-PK" w:eastAsia="en-PK"/>
        </w:rPr>
      </w:pPr>
      <w:proofErr w:type="spellStart"/>
      <w:r w:rsidRPr="00C77670">
        <w:rPr>
          <w:rFonts w:ascii="Arial" w:hAnsi="Arial" w:cs="Arial"/>
          <w:sz w:val="22"/>
          <w:szCs w:val="22"/>
          <w:bdr w:val="none" w:sz="0" w:space="0" w:color="auto" w:frame="1"/>
          <w:lang w:val="en-PK" w:eastAsia="en-PK"/>
        </w:rPr>
        <w:t>Kitwood</w:t>
      </w:r>
      <w:proofErr w:type="spellEnd"/>
      <w:r w:rsidRPr="00C77670">
        <w:rPr>
          <w:rFonts w:ascii="Arial" w:hAnsi="Arial" w:cs="Arial"/>
          <w:sz w:val="22"/>
          <w:szCs w:val="22"/>
          <w:bdr w:val="none" w:sz="0" w:space="0" w:color="auto" w:frame="1"/>
          <w:lang w:val="en-PK" w:eastAsia="en-PK"/>
        </w:rPr>
        <w:t>, T.</w:t>
      </w:r>
      <w:r w:rsidRPr="00C77670">
        <w:rPr>
          <w:rFonts w:ascii="Arial" w:hAnsi="Arial" w:cs="Arial"/>
          <w:sz w:val="22"/>
          <w:szCs w:val="22"/>
          <w:lang w:val="en-PK" w:eastAsia="en-PK"/>
        </w:rPr>
        <w:t xml:space="preserve"> (1997) </w:t>
      </w:r>
      <w:r w:rsidRPr="00C77670">
        <w:rPr>
          <w:rFonts w:ascii="Arial" w:hAnsi="Arial" w:cs="Arial"/>
          <w:i/>
          <w:iCs/>
          <w:sz w:val="22"/>
          <w:szCs w:val="22"/>
          <w:bdr w:val="none" w:sz="0" w:space="0" w:color="auto" w:frame="1"/>
          <w:lang w:val="en-PK" w:eastAsia="en-PK"/>
        </w:rPr>
        <w:t>Dementia reconsidered: The person comes first</w:t>
      </w:r>
      <w:r w:rsidRPr="00C77670">
        <w:rPr>
          <w:rFonts w:ascii="Arial" w:hAnsi="Arial" w:cs="Arial"/>
          <w:sz w:val="22"/>
          <w:szCs w:val="22"/>
          <w:lang w:val="en-PK" w:eastAsia="en-PK"/>
        </w:rPr>
        <w:t>. Buckingham: Open University Press.</w:t>
      </w:r>
    </w:p>
    <w:p w14:paraId="00B6E712" w14:textId="77777777" w:rsidR="00C77670" w:rsidRPr="00C77670" w:rsidRDefault="00C77670" w:rsidP="00C77670">
      <w:pPr>
        <w:pStyle w:val="ListParagraph"/>
        <w:numPr>
          <w:ilvl w:val="0"/>
          <w:numId w:val="15"/>
        </w:numPr>
        <w:rPr>
          <w:rFonts w:ascii="Arial" w:hAnsi="Arial" w:cs="Arial"/>
          <w:sz w:val="22"/>
          <w:szCs w:val="22"/>
          <w:lang w:val="en-PK" w:eastAsia="en-PK"/>
        </w:rPr>
      </w:pPr>
      <w:r w:rsidRPr="00C77670">
        <w:rPr>
          <w:rFonts w:ascii="Arial" w:hAnsi="Arial" w:cs="Arial"/>
          <w:sz w:val="22"/>
          <w:szCs w:val="22"/>
          <w:bdr w:val="none" w:sz="0" w:space="0" w:color="auto" w:frame="1"/>
          <w:lang w:val="en-PK" w:eastAsia="en-PK"/>
        </w:rPr>
        <w:t>McCormack, B. and McCance, T.</w:t>
      </w:r>
      <w:r w:rsidRPr="00C77670">
        <w:rPr>
          <w:rFonts w:ascii="Arial" w:hAnsi="Arial" w:cs="Arial"/>
          <w:sz w:val="22"/>
          <w:szCs w:val="22"/>
          <w:lang w:val="en-PK" w:eastAsia="en-PK"/>
        </w:rPr>
        <w:t xml:space="preserve"> (2017) </w:t>
      </w:r>
      <w:r w:rsidRPr="00C77670">
        <w:rPr>
          <w:rFonts w:ascii="Arial" w:hAnsi="Arial" w:cs="Arial"/>
          <w:i/>
          <w:iCs/>
          <w:sz w:val="22"/>
          <w:szCs w:val="22"/>
          <w:bdr w:val="none" w:sz="0" w:space="0" w:color="auto" w:frame="1"/>
          <w:lang w:val="en-PK" w:eastAsia="en-PK"/>
        </w:rPr>
        <w:t>Person-centred practice in nursing and health care</w:t>
      </w:r>
      <w:r w:rsidRPr="00C77670">
        <w:rPr>
          <w:rFonts w:ascii="Arial" w:hAnsi="Arial" w:cs="Arial"/>
          <w:sz w:val="22"/>
          <w:szCs w:val="22"/>
          <w:lang w:val="en-PK" w:eastAsia="en-PK"/>
        </w:rPr>
        <w:t xml:space="preserve">. 2nd </w:t>
      </w:r>
      <w:proofErr w:type="spellStart"/>
      <w:r w:rsidRPr="00C77670">
        <w:rPr>
          <w:rFonts w:ascii="Arial" w:hAnsi="Arial" w:cs="Arial"/>
          <w:sz w:val="22"/>
          <w:szCs w:val="22"/>
          <w:lang w:val="en-PK" w:eastAsia="en-PK"/>
        </w:rPr>
        <w:t>edn</w:t>
      </w:r>
      <w:proofErr w:type="spellEnd"/>
      <w:r w:rsidRPr="00C77670">
        <w:rPr>
          <w:rFonts w:ascii="Arial" w:hAnsi="Arial" w:cs="Arial"/>
          <w:sz w:val="22"/>
          <w:szCs w:val="22"/>
          <w:lang w:val="en-PK" w:eastAsia="en-PK"/>
        </w:rPr>
        <w:t>. Oxford: Wiley-Blackwell.</w:t>
      </w:r>
    </w:p>
    <w:p w14:paraId="03CB55BD" w14:textId="77777777" w:rsidR="00C77670" w:rsidRPr="00C77670" w:rsidRDefault="00C77670" w:rsidP="00C77670">
      <w:pPr>
        <w:pStyle w:val="ListParagraph"/>
        <w:numPr>
          <w:ilvl w:val="0"/>
          <w:numId w:val="15"/>
        </w:numPr>
        <w:rPr>
          <w:rFonts w:ascii="Arial" w:hAnsi="Arial" w:cs="Arial"/>
          <w:sz w:val="22"/>
          <w:szCs w:val="22"/>
          <w:lang w:val="en-PK" w:eastAsia="en-PK"/>
        </w:rPr>
      </w:pPr>
      <w:r w:rsidRPr="00C77670">
        <w:rPr>
          <w:rFonts w:ascii="Arial" w:hAnsi="Arial" w:cs="Arial"/>
          <w:sz w:val="22"/>
          <w:szCs w:val="22"/>
          <w:bdr w:val="none" w:sz="0" w:space="0" w:color="auto" w:frame="1"/>
          <w:lang w:val="en-PK" w:eastAsia="en-PK"/>
        </w:rPr>
        <w:t>Mental Capacity Act 2005.</w:t>
      </w:r>
      <w:r w:rsidRPr="00C77670">
        <w:rPr>
          <w:rFonts w:ascii="Arial" w:hAnsi="Arial" w:cs="Arial"/>
          <w:sz w:val="22"/>
          <w:szCs w:val="22"/>
          <w:lang w:val="en-PK" w:eastAsia="en-PK"/>
        </w:rPr>
        <w:t xml:space="preserve"> (2005) </w:t>
      </w:r>
      <w:r w:rsidRPr="00C77670">
        <w:rPr>
          <w:rFonts w:ascii="Arial" w:hAnsi="Arial" w:cs="Arial"/>
          <w:i/>
          <w:iCs/>
          <w:sz w:val="22"/>
          <w:szCs w:val="22"/>
          <w:bdr w:val="none" w:sz="0" w:space="0" w:color="auto" w:frame="1"/>
          <w:lang w:val="en-PK" w:eastAsia="en-PK"/>
        </w:rPr>
        <w:t>Mental Capacity Act 2005 (c. 9)</w:t>
      </w:r>
      <w:r w:rsidRPr="00C77670">
        <w:rPr>
          <w:rFonts w:ascii="Arial" w:hAnsi="Arial" w:cs="Arial"/>
          <w:sz w:val="22"/>
          <w:szCs w:val="22"/>
          <w:lang w:val="en-PK" w:eastAsia="en-PK"/>
        </w:rPr>
        <w:t xml:space="preserve">. London: HMSO. Available at: </w:t>
      </w:r>
      <w:hyperlink r:id="rId12" w:tgtFrame="_blank" w:history="1">
        <w:r w:rsidRPr="00C77670">
          <w:rPr>
            <w:rFonts w:ascii="Arial" w:hAnsi="Arial" w:cs="Arial"/>
            <w:color w:val="000000"/>
            <w:sz w:val="22"/>
            <w:szCs w:val="22"/>
            <w:u w:val="single"/>
            <w:bdr w:val="none" w:sz="0" w:space="0" w:color="auto" w:frame="1"/>
            <w:lang w:val="en-PK" w:eastAsia="en-PK"/>
          </w:rPr>
          <w:t>https://www.legislation.gov.uk/ukpga/2005/9/contents</w:t>
        </w:r>
      </w:hyperlink>
    </w:p>
    <w:p w14:paraId="2AA4EFFB" w14:textId="77777777" w:rsidR="00C77670" w:rsidRPr="00C77670" w:rsidRDefault="00C77670" w:rsidP="00C77670">
      <w:pPr>
        <w:pStyle w:val="ListParagraph"/>
        <w:numPr>
          <w:ilvl w:val="0"/>
          <w:numId w:val="15"/>
        </w:numPr>
        <w:rPr>
          <w:rFonts w:ascii="Arial" w:hAnsi="Arial" w:cs="Arial"/>
          <w:sz w:val="22"/>
          <w:szCs w:val="22"/>
          <w:lang w:val="en-PK" w:eastAsia="en-PK"/>
        </w:rPr>
      </w:pPr>
      <w:r w:rsidRPr="00C77670">
        <w:rPr>
          <w:rFonts w:ascii="Arial" w:hAnsi="Arial" w:cs="Arial"/>
          <w:sz w:val="22"/>
          <w:szCs w:val="22"/>
          <w:bdr w:val="none" w:sz="0" w:space="0" w:color="auto" w:frame="1"/>
          <w:lang w:val="en-PK" w:eastAsia="en-PK"/>
        </w:rPr>
        <w:t>Mental Capacity Act Code of Practice.</w:t>
      </w:r>
      <w:r w:rsidRPr="00C77670">
        <w:rPr>
          <w:rFonts w:ascii="Arial" w:hAnsi="Arial" w:cs="Arial"/>
          <w:sz w:val="22"/>
          <w:szCs w:val="22"/>
          <w:lang w:val="en-PK" w:eastAsia="en-PK"/>
        </w:rPr>
        <w:t xml:space="preserve"> (2007) London: Department for Constitutional Affairs / GOV.UK. Available at: </w:t>
      </w:r>
      <w:hyperlink r:id="rId13" w:tgtFrame="_blank" w:history="1">
        <w:r w:rsidRPr="00C77670">
          <w:rPr>
            <w:rFonts w:ascii="Arial" w:hAnsi="Arial" w:cs="Arial"/>
            <w:color w:val="000000"/>
            <w:sz w:val="22"/>
            <w:szCs w:val="22"/>
            <w:u w:val="single"/>
            <w:bdr w:val="none" w:sz="0" w:space="0" w:color="auto" w:frame="1"/>
            <w:lang w:val="en-PK" w:eastAsia="en-PK"/>
          </w:rPr>
          <w:t>https://www.gov.uk/government/publications/mental-capacity-act-code-of-practice</w:t>
        </w:r>
      </w:hyperlink>
    </w:p>
    <w:p w14:paraId="149737A0" w14:textId="77777777" w:rsidR="00C77670" w:rsidRPr="00C77670" w:rsidRDefault="00C77670" w:rsidP="00C77670">
      <w:pPr>
        <w:pStyle w:val="ListParagraph"/>
        <w:numPr>
          <w:ilvl w:val="0"/>
          <w:numId w:val="15"/>
        </w:numPr>
        <w:rPr>
          <w:rFonts w:ascii="Arial" w:hAnsi="Arial" w:cs="Arial"/>
          <w:sz w:val="22"/>
          <w:szCs w:val="22"/>
          <w:lang w:val="en-PK" w:eastAsia="en-PK"/>
        </w:rPr>
      </w:pPr>
      <w:r w:rsidRPr="00C77670">
        <w:rPr>
          <w:rFonts w:ascii="Arial" w:hAnsi="Arial" w:cs="Arial"/>
          <w:sz w:val="22"/>
          <w:szCs w:val="22"/>
          <w:bdr w:val="none" w:sz="0" w:space="0" w:color="auto" w:frame="1"/>
          <w:lang w:val="en-PK" w:eastAsia="en-PK"/>
        </w:rPr>
        <w:t>National Institute for Health and Care Excellence</w:t>
      </w:r>
      <w:r w:rsidRPr="00C77670">
        <w:rPr>
          <w:rFonts w:ascii="Arial" w:hAnsi="Arial" w:cs="Arial"/>
          <w:sz w:val="22"/>
          <w:szCs w:val="22"/>
          <w:lang w:val="en-PK" w:eastAsia="en-PK"/>
        </w:rPr>
        <w:t xml:space="preserve"> (2018) </w:t>
      </w:r>
      <w:r w:rsidRPr="00C77670">
        <w:rPr>
          <w:rFonts w:ascii="Arial" w:hAnsi="Arial" w:cs="Arial"/>
          <w:i/>
          <w:iCs/>
          <w:sz w:val="22"/>
          <w:szCs w:val="22"/>
          <w:bdr w:val="none" w:sz="0" w:space="0" w:color="auto" w:frame="1"/>
          <w:lang w:val="en-PK" w:eastAsia="en-PK"/>
        </w:rPr>
        <w:t>Decision-making and mental capacity (NICE Guideline NG108)</w:t>
      </w:r>
      <w:r w:rsidRPr="00C77670">
        <w:rPr>
          <w:rFonts w:ascii="Arial" w:hAnsi="Arial" w:cs="Arial"/>
          <w:sz w:val="22"/>
          <w:szCs w:val="22"/>
          <w:lang w:val="en-PK" w:eastAsia="en-PK"/>
        </w:rPr>
        <w:t xml:space="preserve">. London: NICE. Available at: </w:t>
      </w:r>
      <w:hyperlink r:id="rId14" w:tgtFrame="_blank" w:history="1">
        <w:r w:rsidRPr="00C77670">
          <w:rPr>
            <w:rFonts w:ascii="Arial" w:hAnsi="Arial" w:cs="Arial"/>
            <w:color w:val="000000"/>
            <w:sz w:val="22"/>
            <w:szCs w:val="22"/>
            <w:u w:val="single"/>
            <w:bdr w:val="none" w:sz="0" w:space="0" w:color="auto" w:frame="1"/>
            <w:lang w:val="en-PK" w:eastAsia="en-PK"/>
          </w:rPr>
          <w:t>https://www.nice.org.uk/guidance/ng108</w:t>
        </w:r>
      </w:hyperlink>
    </w:p>
    <w:p w14:paraId="083DBB99" w14:textId="77777777" w:rsidR="00C77670" w:rsidRPr="00C77670" w:rsidRDefault="00C77670" w:rsidP="00C77670">
      <w:pPr>
        <w:pStyle w:val="ListParagraph"/>
        <w:numPr>
          <w:ilvl w:val="0"/>
          <w:numId w:val="15"/>
        </w:numPr>
        <w:rPr>
          <w:rFonts w:ascii="Arial" w:hAnsi="Arial" w:cs="Arial"/>
          <w:sz w:val="22"/>
          <w:szCs w:val="22"/>
          <w:lang w:val="en-PK" w:eastAsia="en-PK"/>
        </w:rPr>
      </w:pPr>
      <w:r w:rsidRPr="00C77670">
        <w:rPr>
          <w:rFonts w:ascii="Arial" w:hAnsi="Arial" w:cs="Arial"/>
          <w:sz w:val="22"/>
          <w:szCs w:val="22"/>
          <w:bdr w:val="none" w:sz="0" w:space="0" w:color="auto" w:frame="1"/>
          <w:lang w:val="en-PK" w:eastAsia="en-PK"/>
        </w:rPr>
        <w:t>The Health Foundation</w:t>
      </w:r>
      <w:r w:rsidRPr="00C77670">
        <w:rPr>
          <w:rFonts w:ascii="Arial" w:hAnsi="Arial" w:cs="Arial"/>
          <w:sz w:val="22"/>
          <w:szCs w:val="22"/>
          <w:lang w:val="en-PK" w:eastAsia="en-PK"/>
        </w:rPr>
        <w:t xml:space="preserve"> (2014) </w:t>
      </w:r>
      <w:r w:rsidRPr="00C77670">
        <w:rPr>
          <w:rFonts w:ascii="Arial" w:hAnsi="Arial" w:cs="Arial"/>
          <w:i/>
          <w:iCs/>
          <w:sz w:val="22"/>
          <w:szCs w:val="22"/>
          <w:bdr w:val="none" w:sz="0" w:space="0" w:color="auto" w:frame="1"/>
          <w:lang w:val="en-PK" w:eastAsia="en-PK"/>
        </w:rPr>
        <w:t>Person-centred care made simple</w:t>
      </w:r>
      <w:r w:rsidRPr="00C77670">
        <w:rPr>
          <w:rFonts w:ascii="Arial" w:hAnsi="Arial" w:cs="Arial"/>
          <w:sz w:val="22"/>
          <w:szCs w:val="22"/>
          <w:lang w:val="en-PK" w:eastAsia="en-PK"/>
        </w:rPr>
        <w:t xml:space="preserve">. London: The Health Foundation. Available at: </w:t>
      </w:r>
      <w:hyperlink r:id="rId15" w:tgtFrame="_blank" w:history="1">
        <w:r w:rsidRPr="00C77670">
          <w:rPr>
            <w:rFonts w:ascii="Arial" w:hAnsi="Arial" w:cs="Arial"/>
            <w:color w:val="000000"/>
            <w:sz w:val="22"/>
            <w:szCs w:val="22"/>
            <w:u w:val="single"/>
            <w:bdr w:val="none" w:sz="0" w:space="0" w:color="auto" w:frame="1"/>
            <w:lang w:val="en-PK" w:eastAsia="en-PK"/>
          </w:rPr>
          <w:t>https://www.health.org.uk/publications/person-centred-care-made-simple</w:t>
        </w:r>
      </w:hyperlink>
    </w:p>
    <w:p w14:paraId="40096517" w14:textId="77777777" w:rsidR="00847EB8" w:rsidRPr="00C77670" w:rsidRDefault="00847EB8" w:rsidP="00C77670">
      <w:pPr>
        <w:rPr>
          <w:rFonts w:ascii="Arial" w:hAnsi="Arial" w:cs="Arial"/>
          <w:sz w:val="22"/>
          <w:szCs w:val="22"/>
        </w:rPr>
      </w:pPr>
    </w:p>
    <w:sectPr w:rsidR="00847EB8" w:rsidRPr="00C77670" w:rsidSect="00C77670">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A3773" w14:textId="77777777" w:rsidR="001E130C" w:rsidRDefault="001E130C" w:rsidP="009D04D8">
      <w:pPr>
        <w:spacing w:after="0" w:line="240" w:lineRule="auto"/>
      </w:pPr>
      <w:r>
        <w:separator/>
      </w:r>
    </w:p>
  </w:endnote>
  <w:endnote w:type="continuationSeparator" w:id="0">
    <w:p w14:paraId="5A09D6E3" w14:textId="77777777" w:rsidR="001E130C" w:rsidRDefault="001E130C" w:rsidP="009D04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0390383"/>
      <w:docPartObj>
        <w:docPartGallery w:val="Page Numbers (Bottom of Page)"/>
        <w:docPartUnique/>
      </w:docPartObj>
    </w:sdtPr>
    <w:sdtEndPr>
      <w:rPr>
        <w:noProof/>
      </w:rPr>
    </w:sdtEndPr>
    <w:sdtContent>
      <w:p w14:paraId="3CD8E131" w14:textId="3685812A" w:rsidR="00C77670" w:rsidRDefault="00C776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A1B9A0" w14:textId="77777777" w:rsidR="009D04D8" w:rsidRDefault="009D0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A494DB" w14:textId="77777777" w:rsidR="001E130C" w:rsidRDefault="001E130C" w:rsidP="009D04D8">
      <w:pPr>
        <w:spacing w:after="0" w:line="240" w:lineRule="auto"/>
      </w:pPr>
      <w:r>
        <w:separator/>
      </w:r>
    </w:p>
  </w:footnote>
  <w:footnote w:type="continuationSeparator" w:id="0">
    <w:p w14:paraId="6C802E80" w14:textId="77777777" w:rsidR="001E130C" w:rsidRDefault="001E130C" w:rsidP="009D04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E7CC8"/>
    <w:multiLevelType w:val="multilevel"/>
    <w:tmpl w:val="D430F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C13CFD"/>
    <w:multiLevelType w:val="hybridMultilevel"/>
    <w:tmpl w:val="A62C6C86"/>
    <w:lvl w:ilvl="0" w:tplc="2000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BD2087F"/>
    <w:multiLevelType w:val="multilevel"/>
    <w:tmpl w:val="29D41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B077E1"/>
    <w:multiLevelType w:val="multilevel"/>
    <w:tmpl w:val="82AEC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F22FA8"/>
    <w:multiLevelType w:val="hybridMultilevel"/>
    <w:tmpl w:val="DC960194"/>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2464413"/>
    <w:multiLevelType w:val="multilevel"/>
    <w:tmpl w:val="8294D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900BFE"/>
    <w:multiLevelType w:val="multilevel"/>
    <w:tmpl w:val="89589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985360"/>
    <w:multiLevelType w:val="hybridMultilevel"/>
    <w:tmpl w:val="95185F4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53B87FF2"/>
    <w:multiLevelType w:val="multilevel"/>
    <w:tmpl w:val="55284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4D1EB4"/>
    <w:multiLevelType w:val="multilevel"/>
    <w:tmpl w:val="39B8A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A7446D"/>
    <w:multiLevelType w:val="multilevel"/>
    <w:tmpl w:val="86E2F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163E79"/>
    <w:multiLevelType w:val="multilevel"/>
    <w:tmpl w:val="ABFA1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616B20"/>
    <w:multiLevelType w:val="multilevel"/>
    <w:tmpl w:val="04707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F83FB3"/>
    <w:multiLevelType w:val="hybridMultilevel"/>
    <w:tmpl w:val="01C093D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7EB118D1"/>
    <w:multiLevelType w:val="multilevel"/>
    <w:tmpl w:val="6BFA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5448394">
    <w:abstractNumId w:val="5"/>
  </w:num>
  <w:num w:numId="2" w16cid:durableId="290941635">
    <w:abstractNumId w:val="8"/>
  </w:num>
  <w:num w:numId="3" w16cid:durableId="2055736480">
    <w:abstractNumId w:val="2"/>
  </w:num>
  <w:num w:numId="4" w16cid:durableId="454715741">
    <w:abstractNumId w:val="14"/>
  </w:num>
  <w:num w:numId="5" w16cid:durableId="693383446">
    <w:abstractNumId w:val="9"/>
  </w:num>
  <w:num w:numId="6" w16cid:durableId="1852908338">
    <w:abstractNumId w:val="6"/>
  </w:num>
  <w:num w:numId="7" w16cid:durableId="383910884">
    <w:abstractNumId w:val="10"/>
  </w:num>
  <w:num w:numId="8" w16cid:durableId="603611486">
    <w:abstractNumId w:val="11"/>
  </w:num>
  <w:num w:numId="9" w16cid:durableId="1714113673">
    <w:abstractNumId w:val="3"/>
  </w:num>
  <w:num w:numId="10" w16cid:durableId="1866867001">
    <w:abstractNumId w:val="12"/>
  </w:num>
  <w:num w:numId="11" w16cid:durableId="614600420">
    <w:abstractNumId w:val="13"/>
  </w:num>
  <w:num w:numId="12" w16cid:durableId="1776094413">
    <w:abstractNumId w:val="1"/>
  </w:num>
  <w:num w:numId="13" w16cid:durableId="1600792822">
    <w:abstractNumId w:val="4"/>
  </w:num>
  <w:num w:numId="14" w16cid:durableId="1793137431">
    <w:abstractNumId w:val="0"/>
  </w:num>
  <w:num w:numId="15" w16cid:durableId="7610282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4D8"/>
    <w:rsid w:val="001E130C"/>
    <w:rsid w:val="00240873"/>
    <w:rsid w:val="003E3491"/>
    <w:rsid w:val="005F07F4"/>
    <w:rsid w:val="00694044"/>
    <w:rsid w:val="00847EB8"/>
    <w:rsid w:val="008D47E8"/>
    <w:rsid w:val="009D04D8"/>
    <w:rsid w:val="00C77670"/>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202473"/>
  <w15:chartTrackingRefBased/>
  <w15:docId w15:val="{DF3B7E70-B8E3-4ADE-9FC3-DB0402396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4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04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04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04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04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04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04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04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04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4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04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04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04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04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04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04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04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04D8"/>
    <w:rPr>
      <w:rFonts w:eastAsiaTheme="majorEastAsia" w:cstheme="majorBidi"/>
      <w:color w:val="272727" w:themeColor="text1" w:themeTint="D8"/>
    </w:rPr>
  </w:style>
  <w:style w:type="paragraph" w:styleId="Title">
    <w:name w:val="Title"/>
    <w:basedOn w:val="Normal"/>
    <w:next w:val="Normal"/>
    <w:link w:val="TitleChar"/>
    <w:uiPriority w:val="10"/>
    <w:qFormat/>
    <w:rsid w:val="009D04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4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04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04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04D8"/>
    <w:pPr>
      <w:spacing w:before="160"/>
      <w:jc w:val="center"/>
    </w:pPr>
    <w:rPr>
      <w:i/>
      <w:iCs/>
      <w:color w:val="404040" w:themeColor="text1" w:themeTint="BF"/>
    </w:rPr>
  </w:style>
  <w:style w:type="character" w:customStyle="1" w:styleId="QuoteChar">
    <w:name w:val="Quote Char"/>
    <w:basedOn w:val="DefaultParagraphFont"/>
    <w:link w:val="Quote"/>
    <w:uiPriority w:val="29"/>
    <w:rsid w:val="009D04D8"/>
    <w:rPr>
      <w:i/>
      <w:iCs/>
      <w:color w:val="404040" w:themeColor="text1" w:themeTint="BF"/>
    </w:rPr>
  </w:style>
  <w:style w:type="paragraph" w:styleId="ListParagraph">
    <w:name w:val="List Paragraph"/>
    <w:basedOn w:val="Normal"/>
    <w:uiPriority w:val="34"/>
    <w:qFormat/>
    <w:rsid w:val="009D04D8"/>
    <w:pPr>
      <w:ind w:left="720"/>
      <w:contextualSpacing/>
    </w:pPr>
  </w:style>
  <w:style w:type="character" w:styleId="IntenseEmphasis">
    <w:name w:val="Intense Emphasis"/>
    <w:basedOn w:val="DefaultParagraphFont"/>
    <w:uiPriority w:val="21"/>
    <w:qFormat/>
    <w:rsid w:val="009D04D8"/>
    <w:rPr>
      <w:i/>
      <w:iCs/>
      <w:color w:val="0F4761" w:themeColor="accent1" w:themeShade="BF"/>
    </w:rPr>
  </w:style>
  <w:style w:type="paragraph" w:styleId="IntenseQuote">
    <w:name w:val="Intense Quote"/>
    <w:basedOn w:val="Normal"/>
    <w:next w:val="Normal"/>
    <w:link w:val="IntenseQuoteChar"/>
    <w:uiPriority w:val="30"/>
    <w:qFormat/>
    <w:rsid w:val="009D04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04D8"/>
    <w:rPr>
      <w:i/>
      <w:iCs/>
      <w:color w:val="0F4761" w:themeColor="accent1" w:themeShade="BF"/>
    </w:rPr>
  </w:style>
  <w:style w:type="character" w:styleId="IntenseReference">
    <w:name w:val="Intense Reference"/>
    <w:basedOn w:val="DefaultParagraphFont"/>
    <w:uiPriority w:val="32"/>
    <w:qFormat/>
    <w:rsid w:val="009D04D8"/>
    <w:rPr>
      <w:b/>
      <w:bCs/>
      <w:smallCaps/>
      <w:color w:val="0F4761" w:themeColor="accent1" w:themeShade="BF"/>
      <w:spacing w:val="5"/>
    </w:rPr>
  </w:style>
  <w:style w:type="paragraph" w:styleId="Header">
    <w:name w:val="header"/>
    <w:basedOn w:val="Normal"/>
    <w:link w:val="HeaderChar"/>
    <w:uiPriority w:val="99"/>
    <w:unhideWhenUsed/>
    <w:rsid w:val="009D04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4D8"/>
  </w:style>
  <w:style w:type="paragraph" w:styleId="Footer">
    <w:name w:val="footer"/>
    <w:basedOn w:val="Normal"/>
    <w:link w:val="FooterChar"/>
    <w:uiPriority w:val="99"/>
    <w:unhideWhenUsed/>
    <w:rsid w:val="009D04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4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gov.uk/government/publications/mental-capacity-act-code-of-practi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05/9/conten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2/7/contents" TargetMode="External"/><Relationship Id="rId5" Type="http://schemas.openxmlformats.org/officeDocument/2006/relationships/webSettings" Target="webSettings.xml"/><Relationship Id="rId15" Type="http://schemas.openxmlformats.org/officeDocument/2006/relationships/hyperlink" Target="https://www.health.org.uk/publications/person-centred-care-made-simple" TargetMode="External"/><Relationship Id="rId10" Type="http://schemas.openxmlformats.org/officeDocument/2006/relationships/hyperlink" Target="https://www.legislation.gov.uk/ukpga/2018/12/contents" TargetMode="External"/><Relationship Id="rId4" Type="http://schemas.openxmlformats.org/officeDocument/2006/relationships/settings" Target="settings.xml"/><Relationship Id="rId9" Type="http://schemas.openxmlformats.org/officeDocument/2006/relationships/hyperlink" Target="https://www.cqc.org.uk/guidance-regulation/providers/regulations-service-providers-and-managers/health-social-care-act/regulation-9" TargetMode="External"/><Relationship Id="rId14" Type="http://schemas.openxmlformats.org/officeDocument/2006/relationships/hyperlink" Target="https://www.nice.org.uk/guidance/ng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256BD-434C-403C-9908-4011E0EA9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2453</Words>
  <Characters>14526</Characters>
  <Application>Microsoft Office Word</Application>
  <DocSecurity>0</DocSecurity>
  <Lines>279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Fizza Rizwan</dc:creator>
  <cp:keywords/>
  <dc:description/>
  <cp:lastModifiedBy>Fizza Rizwan</cp:lastModifiedBy>
  <cp:revision>2</cp:revision>
  <dcterms:created xsi:type="dcterms:W3CDTF">2026-07-25T23:40:00Z</dcterms:created>
  <dcterms:modified xsi:type="dcterms:W3CDTF">2026-07-25T23:40:00Z</dcterms:modified>
</cp:coreProperties>
</file>