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02A3C9" w14:textId="77777777" w:rsidR="001E006E" w:rsidRDefault="001E006E" w:rsidP="001E006E">
      <w:pPr>
        <w:spacing w:line="276" w:lineRule="auto"/>
        <w:jc w:val="left"/>
        <w:rPr>
          <w:rFonts w:ascii="Times New Roman" w:eastAsiaTheme="majorEastAsia" w:hAnsi="Times New Roman" w:cstheme="majorBidi"/>
          <w:b/>
          <w:bCs/>
          <w:sz w:val="32"/>
          <w:szCs w:val="28"/>
        </w:rPr>
      </w:pPr>
      <w:bookmarkStart w:id="0" w:name="_Toc191942792"/>
      <w:r w:rsidRPr="00F158E6">
        <w:rPr>
          <w:rFonts w:cs="Arial"/>
          <w:noProof/>
          <w:szCs w:val="24"/>
        </w:rPr>
        <w:drawing>
          <wp:inline distT="0" distB="0" distL="0" distR="0" wp14:anchorId="526C8954" wp14:editId="28DD4744">
            <wp:extent cx="2865120" cy="1584960"/>
            <wp:effectExtent l="0" t="0" r="0" b="0"/>
            <wp:docPr id="2018712185" name="Picture 2"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 logo with black 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65120" cy="1584960"/>
                    </a:xfrm>
                    <a:prstGeom prst="rect">
                      <a:avLst/>
                    </a:prstGeom>
                    <a:noFill/>
                    <a:ln>
                      <a:noFill/>
                    </a:ln>
                  </pic:spPr>
                </pic:pic>
              </a:graphicData>
            </a:graphic>
          </wp:inline>
        </w:drawing>
      </w:r>
    </w:p>
    <w:p w14:paraId="0C52533A" w14:textId="77777777" w:rsidR="001E006E" w:rsidRPr="00F158E6" w:rsidRDefault="001E006E" w:rsidP="001E006E">
      <w:pPr>
        <w:rPr>
          <w:rFonts w:cs="Arial"/>
          <w:szCs w:val="24"/>
        </w:rPr>
      </w:pPr>
      <w:r w:rsidRPr="00F158E6">
        <w:rPr>
          <w:rFonts w:cs="Arial"/>
          <w:b/>
          <w:bCs/>
          <w:szCs w:val="24"/>
        </w:rPr>
        <w:t xml:space="preserve">Student Name: </w:t>
      </w:r>
      <w:r w:rsidRPr="00F158E6">
        <w:rPr>
          <w:rFonts w:cs="Arial"/>
          <w:szCs w:val="24"/>
        </w:rPr>
        <w:t>Mihai-Daniel Mihalcea</w:t>
      </w:r>
    </w:p>
    <w:p w14:paraId="4D4F9FA0" w14:textId="77777777" w:rsidR="001E006E" w:rsidRPr="00F158E6" w:rsidRDefault="001E006E" w:rsidP="001E006E">
      <w:pPr>
        <w:rPr>
          <w:rFonts w:cs="Arial"/>
          <w:szCs w:val="24"/>
        </w:rPr>
      </w:pPr>
      <w:r w:rsidRPr="00F158E6">
        <w:rPr>
          <w:rFonts w:cs="Arial"/>
          <w:b/>
          <w:bCs/>
          <w:szCs w:val="24"/>
        </w:rPr>
        <w:t xml:space="preserve">Student ID: </w:t>
      </w:r>
      <w:r w:rsidRPr="00F158E6">
        <w:rPr>
          <w:rFonts w:cs="Arial"/>
          <w:szCs w:val="24"/>
        </w:rPr>
        <w:t>2244870</w:t>
      </w:r>
    </w:p>
    <w:p w14:paraId="02ABA8E0" w14:textId="77777777" w:rsidR="001E006E" w:rsidRPr="00F158E6" w:rsidRDefault="001E006E" w:rsidP="001E006E">
      <w:pPr>
        <w:rPr>
          <w:rFonts w:cs="Arial"/>
          <w:szCs w:val="24"/>
        </w:rPr>
      </w:pPr>
      <w:r w:rsidRPr="00F158E6">
        <w:rPr>
          <w:rFonts w:cs="Arial"/>
          <w:b/>
          <w:bCs/>
          <w:szCs w:val="24"/>
        </w:rPr>
        <w:t>Module</w:t>
      </w:r>
      <w:r w:rsidRPr="00F158E6">
        <w:rPr>
          <w:rFonts w:cs="Arial"/>
          <w:szCs w:val="24"/>
        </w:rPr>
        <w:t>: Management &amp; Organisational Behaviour (BMIH5004)</w:t>
      </w:r>
    </w:p>
    <w:p w14:paraId="0E7A547F" w14:textId="5CFCACEC" w:rsidR="001E006E" w:rsidRPr="00F158E6" w:rsidRDefault="001E006E" w:rsidP="001E006E">
      <w:pPr>
        <w:rPr>
          <w:rFonts w:cs="Arial"/>
          <w:szCs w:val="24"/>
        </w:rPr>
      </w:pPr>
      <w:r w:rsidRPr="00F158E6">
        <w:rPr>
          <w:rFonts w:cs="Arial"/>
          <w:b/>
          <w:bCs/>
          <w:szCs w:val="24"/>
        </w:rPr>
        <w:t xml:space="preserve">Word count: </w:t>
      </w:r>
      <w:r w:rsidR="006E7169" w:rsidRPr="006E7169">
        <w:rPr>
          <w:rFonts w:cs="Arial"/>
          <w:szCs w:val="24"/>
        </w:rPr>
        <w:t>2081</w:t>
      </w:r>
    </w:p>
    <w:p w14:paraId="06084BAF" w14:textId="77777777" w:rsidR="001E006E" w:rsidRPr="00F158E6" w:rsidRDefault="001E006E" w:rsidP="001E006E">
      <w:pPr>
        <w:rPr>
          <w:rFonts w:cs="Arial"/>
          <w:b/>
          <w:bCs/>
          <w:szCs w:val="24"/>
        </w:rPr>
      </w:pPr>
      <w:r w:rsidRPr="00F158E6">
        <w:rPr>
          <w:rFonts w:cs="Arial"/>
          <w:b/>
          <w:bCs/>
          <w:szCs w:val="24"/>
        </w:rPr>
        <w:t xml:space="preserve">Tutor: </w:t>
      </w:r>
      <w:r w:rsidRPr="00F158E6">
        <w:rPr>
          <w:rFonts w:cs="Arial"/>
          <w:szCs w:val="24"/>
        </w:rPr>
        <w:t>Antoinette Milne</w:t>
      </w:r>
      <w:r w:rsidRPr="00F158E6">
        <w:rPr>
          <w:rFonts w:cs="Arial"/>
          <w:b/>
          <w:bCs/>
          <w:szCs w:val="24"/>
        </w:rPr>
        <w:t xml:space="preserve"> </w:t>
      </w:r>
    </w:p>
    <w:p w14:paraId="074C1DE4" w14:textId="77777777" w:rsidR="001E006E" w:rsidRPr="00F158E6" w:rsidRDefault="001E006E" w:rsidP="001E006E">
      <w:pPr>
        <w:rPr>
          <w:rFonts w:cs="Arial"/>
          <w:szCs w:val="24"/>
        </w:rPr>
      </w:pPr>
      <w:r w:rsidRPr="00F158E6">
        <w:rPr>
          <w:rFonts w:cs="Arial"/>
          <w:b/>
          <w:bCs/>
          <w:szCs w:val="24"/>
        </w:rPr>
        <w:t xml:space="preserve">Module Lead: </w:t>
      </w:r>
      <w:r w:rsidRPr="00F158E6">
        <w:rPr>
          <w:rFonts w:cs="Arial"/>
          <w:szCs w:val="24"/>
        </w:rPr>
        <w:t>Daniel Payne</w:t>
      </w:r>
    </w:p>
    <w:p w14:paraId="0E2378D7" w14:textId="77777777" w:rsidR="001E006E" w:rsidRDefault="001E006E" w:rsidP="001E006E">
      <w:pPr>
        <w:spacing w:line="276" w:lineRule="auto"/>
        <w:jc w:val="left"/>
        <w:rPr>
          <w:rFonts w:ascii="Times New Roman" w:eastAsiaTheme="majorEastAsia" w:hAnsi="Times New Roman" w:cstheme="majorBidi"/>
          <w:b/>
          <w:bCs/>
          <w:sz w:val="32"/>
          <w:szCs w:val="28"/>
        </w:rPr>
      </w:pPr>
    </w:p>
    <w:p w14:paraId="01DF8EC0" w14:textId="77777777" w:rsidR="001E006E" w:rsidRDefault="001E006E" w:rsidP="001E006E">
      <w:pPr>
        <w:spacing w:line="276" w:lineRule="auto"/>
        <w:jc w:val="left"/>
        <w:rPr>
          <w:rFonts w:ascii="Times New Roman" w:eastAsiaTheme="majorEastAsia" w:hAnsi="Times New Roman" w:cstheme="majorBidi"/>
          <w:b/>
          <w:bCs/>
          <w:sz w:val="32"/>
          <w:szCs w:val="28"/>
        </w:rPr>
      </w:pPr>
    </w:p>
    <w:p w14:paraId="78740987" w14:textId="77777777" w:rsidR="001E006E" w:rsidRDefault="001E006E" w:rsidP="001E006E">
      <w:pPr>
        <w:spacing w:line="276" w:lineRule="auto"/>
        <w:jc w:val="left"/>
        <w:rPr>
          <w:rFonts w:ascii="Times New Roman" w:eastAsiaTheme="majorEastAsia" w:hAnsi="Times New Roman" w:cstheme="majorBidi"/>
          <w:b/>
          <w:bCs/>
          <w:sz w:val="32"/>
          <w:szCs w:val="28"/>
        </w:rPr>
      </w:pPr>
    </w:p>
    <w:p w14:paraId="169E7F93" w14:textId="77777777" w:rsidR="001E006E" w:rsidRPr="00F158E6" w:rsidRDefault="001E006E" w:rsidP="001E006E">
      <w:pPr>
        <w:rPr>
          <w:rFonts w:cs="Arial"/>
          <w:b/>
          <w:szCs w:val="24"/>
        </w:rPr>
      </w:pPr>
      <w:r w:rsidRPr="00F158E6">
        <w:rPr>
          <w:rFonts w:cs="Arial"/>
          <w:b/>
          <w:szCs w:val="24"/>
        </w:rPr>
        <w:t>Al Acknowledgement:</w:t>
      </w:r>
    </w:p>
    <w:p w14:paraId="5990FACD" w14:textId="2617954E" w:rsidR="001E006E" w:rsidRPr="00F158E6" w:rsidRDefault="001E006E" w:rsidP="001E006E">
      <w:pPr>
        <w:rPr>
          <w:rFonts w:cs="Arial"/>
          <w:szCs w:val="24"/>
        </w:rPr>
      </w:pPr>
      <w:r w:rsidRPr="00F158E6">
        <w:rPr>
          <w:rFonts w:cs="Arial"/>
          <w:szCs w:val="24"/>
        </w:rPr>
        <w:t xml:space="preserve">I acknowledge the use of Copilot (https://copilot.microsoft.com/) on </w:t>
      </w:r>
      <w:r>
        <w:rPr>
          <w:rFonts w:cs="Arial"/>
          <w:szCs w:val="24"/>
        </w:rPr>
        <w:t xml:space="preserve">March </w:t>
      </w:r>
      <w:r w:rsidR="0067607B">
        <w:rPr>
          <w:rFonts w:cs="Arial"/>
          <w:szCs w:val="24"/>
        </w:rPr>
        <w:t>6</w:t>
      </w:r>
      <w:r>
        <w:rPr>
          <w:rFonts w:cs="Arial"/>
          <w:szCs w:val="24"/>
        </w:rPr>
        <w:t>, 2025,</w:t>
      </w:r>
      <w:r w:rsidRPr="00F158E6">
        <w:rPr>
          <w:rFonts w:cs="Arial"/>
          <w:szCs w:val="24"/>
        </w:rPr>
        <w:t xml:space="preserve"> to check my work using the prompt(s):</w:t>
      </w:r>
    </w:p>
    <w:p w14:paraId="29F2607E" w14:textId="77777777" w:rsidR="001E006E" w:rsidRPr="00F158E6" w:rsidRDefault="001E006E" w:rsidP="001E006E">
      <w:pPr>
        <w:rPr>
          <w:rFonts w:cs="Arial"/>
          <w:szCs w:val="24"/>
        </w:rPr>
      </w:pPr>
      <w:r w:rsidRPr="00F158E6">
        <w:rPr>
          <w:rFonts w:cs="Arial"/>
          <w:szCs w:val="24"/>
        </w:rPr>
        <w:t xml:space="preserve"> 1. 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r w:rsidRPr="00F158E6">
        <w:rPr>
          <w:rFonts w:cs="Arial"/>
          <w:szCs w:val="24"/>
        </w:rPr>
        <w:br w:type="page"/>
      </w:r>
    </w:p>
    <w:p w14:paraId="29283EFF" w14:textId="77777777" w:rsidR="00462B60" w:rsidRPr="00462B60" w:rsidRDefault="000F1888" w:rsidP="00462B60">
      <w:pPr>
        <w:pStyle w:val="Heading1"/>
      </w:pPr>
      <w:r w:rsidRPr="00462B60">
        <w:lastRenderedPageBreak/>
        <w:t>Executive Summary</w:t>
      </w:r>
      <w:bookmarkEnd w:id="0"/>
    </w:p>
    <w:p w14:paraId="08058745" w14:textId="77777777" w:rsidR="00462B60" w:rsidRPr="00B97EA3" w:rsidRDefault="000F1888" w:rsidP="00462B60">
      <w:pPr>
        <w:spacing w:after="160"/>
        <w:rPr>
          <w:rFonts w:cs="Arial"/>
        </w:rPr>
      </w:pPr>
      <w:r w:rsidRPr="00462B60">
        <w:rPr>
          <w:rFonts w:cs="Arial"/>
        </w:rPr>
        <w:t>This paper will discuss Marriott International's structure, culture, objectives, recent changes, and direction of the firm. It also looks at how the structure creates a global framework, but with the capacity for local flexibility, people-orientation leads to employee motivation. In particular, the article focuses on the aspects of sustainability and digital transformation in Marriott's operations and their benefits regarding brand relevance and business performance. Growth and diversification are the most significant aspects used to evaluate strategic direction, with references to the portfolio, and digital innovation. Lastly, the recommendations given are strategic for competitiveness improvement, such as AI-based individualisation and circular economy strategies, for Marriott to remain an industry leader in a constantly changing global marketplace.</w:t>
      </w:r>
    </w:p>
    <w:p w14:paraId="5723123F" w14:textId="77777777" w:rsidR="004E3346" w:rsidRPr="00DA4D71" w:rsidRDefault="004E3346" w:rsidP="00DA4D71">
      <w:pPr>
        <w:spacing w:after="160"/>
        <w:jc w:val="center"/>
        <w:rPr>
          <w:rFonts w:ascii="Times New Roman" w:eastAsia="Calibri" w:hAnsi="Times New Roman" w:cs="Times New Roman"/>
          <w:color w:val="000000"/>
          <w:sz w:val="28"/>
          <w:lang w:val="en-GB"/>
        </w:rPr>
      </w:pPr>
    </w:p>
    <w:p w14:paraId="777FCCDB" w14:textId="77777777" w:rsidR="00DA4D71" w:rsidRPr="00796A33" w:rsidRDefault="000F1888">
      <w:pPr>
        <w:spacing w:line="276" w:lineRule="auto"/>
        <w:jc w:val="left"/>
        <w:rPr>
          <w:rFonts w:ascii="Times New Roman" w:eastAsia="Calibri" w:hAnsi="Times New Roman" w:cs="Times New Roman"/>
          <w:b/>
          <w:bCs/>
          <w:color w:val="000000"/>
          <w:sz w:val="28"/>
          <w:lang w:val="en-GB"/>
        </w:rPr>
      </w:pPr>
      <w:r w:rsidRPr="00796A33">
        <w:rPr>
          <w:rFonts w:ascii="Times New Roman" w:eastAsia="Calibri" w:hAnsi="Times New Roman" w:cs="Times New Roman"/>
          <w:b/>
          <w:bCs/>
          <w:color w:val="000000"/>
          <w:sz w:val="28"/>
          <w:lang w:val="en-GB"/>
        </w:rPr>
        <w:br w:type="page"/>
      </w:r>
    </w:p>
    <w:p w14:paraId="7CE2E2D1" w14:textId="77777777" w:rsidR="003477F5" w:rsidRDefault="003477F5">
      <w:pPr>
        <w:spacing w:line="276" w:lineRule="auto"/>
        <w:jc w:val="left"/>
        <w:rPr>
          <w:rFonts w:ascii="Times New Roman" w:eastAsiaTheme="majorEastAsia" w:hAnsi="Times New Roman" w:cstheme="majorBidi"/>
          <w:b/>
          <w:bCs/>
          <w:sz w:val="32"/>
          <w:szCs w:val="28"/>
        </w:rPr>
      </w:pPr>
    </w:p>
    <w:sdt>
      <w:sdtPr>
        <w:rPr>
          <w:rFonts w:ascii="Arial" w:eastAsiaTheme="minorHAnsi" w:hAnsi="Arial" w:cstheme="minorBidi"/>
          <w:b w:val="0"/>
          <w:bCs w:val="0"/>
          <w:color w:val="auto"/>
          <w:sz w:val="24"/>
          <w:szCs w:val="22"/>
          <w:lang w:eastAsia="en-US"/>
        </w:rPr>
        <w:id w:val="-1396660435"/>
        <w:docPartObj>
          <w:docPartGallery w:val="Table of Contents"/>
          <w:docPartUnique/>
        </w:docPartObj>
      </w:sdtPr>
      <w:sdtEndPr>
        <w:rPr>
          <w:noProof/>
        </w:rPr>
      </w:sdtEndPr>
      <w:sdtContent>
        <w:p w14:paraId="27247678" w14:textId="77777777" w:rsidR="00EC52B5" w:rsidRDefault="00EC52B5">
          <w:pPr>
            <w:pStyle w:val="TOCHeading"/>
          </w:pPr>
          <w:r>
            <w:t>Table of Contents</w:t>
          </w:r>
        </w:p>
        <w:p w14:paraId="3CE1ADE3" w14:textId="77777777" w:rsidR="00EC52B5" w:rsidRDefault="00EC52B5">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191942792" w:history="1">
            <w:r w:rsidRPr="000A5F62">
              <w:rPr>
                <w:rStyle w:val="Hyperlink"/>
                <w:noProof/>
              </w:rPr>
              <w:t>Executive Summary</w:t>
            </w:r>
            <w:r>
              <w:rPr>
                <w:noProof/>
                <w:webHidden/>
              </w:rPr>
              <w:tab/>
            </w:r>
            <w:r>
              <w:rPr>
                <w:noProof/>
                <w:webHidden/>
              </w:rPr>
              <w:fldChar w:fldCharType="begin"/>
            </w:r>
            <w:r>
              <w:rPr>
                <w:noProof/>
                <w:webHidden/>
              </w:rPr>
              <w:instrText xml:space="preserve"> PAGEREF _Toc191942792 \h </w:instrText>
            </w:r>
            <w:r>
              <w:rPr>
                <w:noProof/>
                <w:webHidden/>
              </w:rPr>
            </w:r>
            <w:r>
              <w:rPr>
                <w:noProof/>
                <w:webHidden/>
              </w:rPr>
              <w:fldChar w:fldCharType="separate"/>
            </w:r>
            <w:r>
              <w:rPr>
                <w:noProof/>
                <w:webHidden/>
              </w:rPr>
              <w:t>2</w:t>
            </w:r>
            <w:r>
              <w:rPr>
                <w:noProof/>
                <w:webHidden/>
              </w:rPr>
              <w:fldChar w:fldCharType="end"/>
            </w:r>
          </w:hyperlink>
        </w:p>
        <w:p w14:paraId="38D8C491" w14:textId="77777777" w:rsidR="00EC52B5" w:rsidRDefault="00EC52B5">
          <w:pPr>
            <w:pStyle w:val="TOC1"/>
            <w:tabs>
              <w:tab w:val="right" w:leader="dot" w:pos="9350"/>
            </w:tabs>
            <w:rPr>
              <w:rFonts w:asciiTheme="minorHAnsi" w:eastAsiaTheme="minorEastAsia" w:hAnsiTheme="minorHAnsi"/>
              <w:noProof/>
              <w:sz w:val="22"/>
            </w:rPr>
          </w:pPr>
          <w:hyperlink w:anchor="_Toc191942793" w:history="1">
            <w:r w:rsidRPr="000A5F62">
              <w:rPr>
                <w:rStyle w:val="Hyperlink"/>
                <w:noProof/>
              </w:rPr>
              <w:t>Introduction</w:t>
            </w:r>
            <w:r>
              <w:rPr>
                <w:noProof/>
                <w:webHidden/>
              </w:rPr>
              <w:tab/>
            </w:r>
            <w:r>
              <w:rPr>
                <w:noProof/>
                <w:webHidden/>
              </w:rPr>
              <w:fldChar w:fldCharType="begin"/>
            </w:r>
            <w:r>
              <w:rPr>
                <w:noProof/>
                <w:webHidden/>
              </w:rPr>
              <w:instrText xml:space="preserve"> PAGEREF _Toc191942793 \h </w:instrText>
            </w:r>
            <w:r>
              <w:rPr>
                <w:noProof/>
                <w:webHidden/>
              </w:rPr>
            </w:r>
            <w:r>
              <w:rPr>
                <w:noProof/>
                <w:webHidden/>
              </w:rPr>
              <w:fldChar w:fldCharType="separate"/>
            </w:r>
            <w:r>
              <w:rPr>
                <w:noProof/>
                <w:webHidden/>
              </w:rPr>
              <w:t>4</w:t>
            </w:r>
            <w:r>
              <w:rPr>
                <w:noProof/>
                <w:webHidden/>
              </w:rPr>
              <w:fldChar w:fldCharType="end"/>
            </w:r>
          </w:hyperlink>
        </w:p>
        <w:p w14:paraId="6EF9C61D" w14:textId="77777777" w:rsidR="00EC52B5" w:rsidRDefault="00EC52B5">
          <w:pPr>
            <w:pStyle w:val="TOC1"/>
            <w:tabs>
              <w:tab w:val="right" w:leader="dot" w:pos="9350"/>
            </w:tabs>
            <w:rPr>
              <w:rFonts w:asciiTheme="minorHAnsi" w:eastAsiaTheme="minorEastAsia" w:hAnsiTheme="minorHAnsi"/>
              <w:noProof/>
              <w:sz w:val="22"/>
            </w:rPr>
          </w:pPr>
          <w:hyperlink w:anchor="_Toc191942794" w:history="1">
            <w:r w:rsidRPr="000A5F62">
              <w:rPr>
                <w:rStyle w:val="Hyperlink"/>
                <w:noProof/>
              </w:rPr>
              <w:t>Organisation Structure, Culture, and Goals</w:t>
            </w:r>
            <w:r>
              <w:rPr>
                <w:noProof/>
                <w:webHidden/>
              </w:rPr>
              <w:tab/>
            </w:r>
            <w:r>
              <w:rPr>
                <w:noProof/>
                <w:webHidden/>
              </w:rPr>
              <w:fldChar w:fldCharType="begin"/>
            </w:r>
            <w:r>
              <w:rPr>
                <w:noProof/>
                <w:webHidden/>
              </w:rPr>
              <w:instrText xml:space="preserve"> PAGEREF _Toc191942794 \h </w:instrText>
            </w:r>
            <w:r>
              <w:rPr>
                <w:noProof/>
                <w:webHidden/>
              </w:rPr>
            </w:r>
            <w:r>
              <w:rPr>
                <w:noProof/>
                <w:webHidden/>
              </w:rPr>
              <w:fldChar w:fldCharType="separate"/>
            </w:r>
            <w:r>
              <w:rPr>
                <w:noProof/>
                <w:webHidden/>
              </w:rPr>
              <w:t>5</w:t>
            </w:r>
            <w:r>
              <w:rPr>
                <w:noProof/>
                <w:webHidden/>
              </w:rPr>
              <w:fldChar w:fldCharType="end"/>
            </w:r>
          </w:hyperlink>
        </w:p>
        <w:p w14:paraId="7F3245C3" w14:textId="77777777" w:rsidR="00EC52B5" w:rsidRDefault="00EC52B5">
          <w:pPr>
            <w:pStyle w:val="TOC1"/>
            <w:tabs>
              <w:tab w:val="right" w:leader="dot" w:pos="9350"/>
            </w:tabs>
            <w:rPr>
              <w:rFonts w:asciiTheme="minorHAnsi" w:eastAsiaTheme="minorEastAsia" w:hAnsiTheme="minorHAnsi"/>
              <w:noProof/>
              <w:sz w:val="22"/>
            </w:rPr>
          </w:pPr>
          <w:hyperlink w:anchor="_Toc191942795" w:history="1">
            <w:r w:rsidRPr="000A5F62">
              <w:rPr>
                <w:rStyle w:val="Hyperlink"/>
                <w:noProof/>
              </w:rPr>
              <w:t>Recent Change Initiatives</w:t>
            </w:r>
            <w:r>
              <w:rPr>
                <w:noProof/>
                <w:webHidden/>
              </w:rPr>
              <w:tab/>
            </w:r>
            <w:r>
              <w:rPr>
                <w:noProof/>
                <w:webHidden/>
              </w:rPr>
              <w:fldChar w:fldCharType="begin"/>
            </w:r>
            <w:r>
              <w:rPr>
                <w:noProof/>
                <w:webHidden/>
              </w:rPr>
              <w:instrText xml:space="preserve"> PAGEREF _Toc191942795 \h </w:instrText>
            </w:r>
            <w:r>
              <w:rPr>
                <w:noProof/>
                <w:webHidden/>
              </w:rPr>
            </w:r>
            <w:r>
              <w:rPr>
                <w:noProof/>
                <w:webHidden/>
              </w:rPr>
              <w:fldChar w:fldCharType="separate"/>
            </w:r>
            <w:r>
              <w:rPr>
                <w:noProof/>
                <w:webHidden/>
              </w:rPr>
              <w:t>9</w:t>
            </w:r>
            <w:r>
              <w:rPr>
                <w:noProof/>
                <w:webHidden/>
              </w:rPr>
              <w:fldChar w:fldCharType="end"/>
            </w:r>
          </w:hyperlink>
        </w:p>
        <w:p w14:paraId="46AB342A" w14:textId="77777777" w:rsidR="00EC52B5" w:rsidRDefault="00EC52B5">
          <w:pPr>
            <w:pStyle w:val="TOC2"/>
            <w:tabs>
              <w:tab w:val="right" w:leader="dot" w:pos="9350"/>
            </w:tabs>
            <w:rPr>
              <w:rFonts w:asciiTheme="minorHAnsi" w:eastAsiaTheme="minorEastAsia" w:hAnsiTheme="minorHAnsi"/>
              <w:noProof/>
              <w:sz w:val="22"/>
            </w:rPr>
          </w:pPr>
          <w:hyperlink w:anchor="_Toc191942796" w:history="1">
            <w:r w:rsidRPr="000A5F62">
              <w:rPr>
                <w:rStyle w:val="Hyperlink"/>
                <w:noProof/>
              </w:rPr>
              <w:t>Sustainability Initiatives</w:t>
            </w:r>
            <w:r>
              <w:rPr>
                <w:noProof/>
                <w:webHidden/>
              </w:rPr>
              <w:tab/>
            </w:r>
            <w:r>
              <w:rPr>
                <w:noProof/>
                <w:webHidden/>
              </w:rPr>
              <w:fldChar w:fldCharType="begin"/>
            </w:r>
            <w:r>
              <w:rPr>
                <w:noProof/>
                <w:webHidden/>
              </w:rPr>
              <w:instrText xml:space="preserve"> PAGEREF _Toc191942796 \h </w:instrText>
            </w:r>
            <w:r>
              <w:rPr>
                <w:noProof/>
                <w:webHidden/>
              </w:rPr>
            </w:r>
            <w:r>
              <w:rPr>
                <w:noProof/>
                <w:webHidden/>
              </w:rPr>
              <w:fldChar w:fldCharType="separate"/>
            </w:r>
            <w:r>
              <w:rPr>
                <w:noProof/>
                <w:webHidden/>
              </w:rPr>
              <w:t>9</w:t>
            </w:r>
            <w:r>
              <w:rPr>
                <w:noProof/>
                <w:webHidden/>
              </w:rPr>
              <w:fldChar w:fldCharType="end"/>
            </w:r>
          </w:hyperlink>
        </w:p>
        <w:p w14:paraId="30FCFF82" w14:textId="77777777" w:rsidR="00EC52B5" w:rsidRDefault="00EC52B5">
          <w:pPr>
            <w:pStyle w:val="TOC2"/>
            <w:tabs>
              <w:tab w:val="right" w:leader="dot" w:pos="9350"/>
            </w:tabs>
            <w:rPr>
              <w:rFonts w:asciiTheme="minorHAnsi" w:eastAsiaTheme="minorEastAsia" w:hAnsiTheme="minorHAnsi"/>
              <w:noProof/>
              <w:sz w:val="22"/>
            </w:rPr>
          </w:pPr>
          <w:hyperlink w:anchor="_Toc191942797" w:history="1">
            <w:r w:rsidRPr="000A5F62">
              <w:rPr>
                <w:rStyle w:val="Hyperlink"/>
                <w:noProof/>
              </w:rPr>
              <w:t>Digital Transformation Initiatives</w:t>
            </w:r>
            <w:r>
              <w:rPr>
                <w:noProof/>
                <w:webHidden/>
              </w:rPr>
              <w:tab/>
            </w:r>
            <w:r>
              <w:rPr>
                <w:noProof/>
                <w:webHidden/>
              </w:rPr>
              <w:fldChar w:fldCharType="begin"/>
            </w:r>
            <w:r>
              <w:rPr>
                <w:noProof/>
                <w:webHidden/>
              </w:rPr>
              <w:instrText xml:space="preserve"> PAGEREF _Toc191942797 \h </w:instrText>
            </w:r>
            <w:r>
              <w:rPr>
                <w:noProof/>
                <w:webHidden/>
              </w:rPr>
            </w:r>
            <w:r>
              <w:rPr>
                <w:noProof/>
                <w:webHidden/>
              </w:rPr>
              <w:fldChar w:fldCharType="separate"/>
            </w:r>
            <w:r>
              <w:rPr>
                <w:noProof/>
                <w:webHidden/>
              </w:rPr>
              <w:t>10</w:t>
            </w:r>
            <w:r>
              <w:rPr>
                <w:noProof/>
                <w:webHidden/>
              </w:rPr>
              <w:fldChar w:fldCharType="end"/>
            </w:r>
          </w:hyperlink>
        </w:p>
        <w:p w14:paraId="74E2E64E" w14:textId="77777777" w:rsidR="00EC52B5" w:rsidRDefault="00EC52B5">
          <w:pPr>
            <w:pStyle w:val="TOC2"/>
            <w:tabs>
              <w:tab w:val="right" w:leader="dot" w:pos="9350"/>
            </w:tabs>
            <w:rPr>
              <w:rFonts w:asciiTheme="minorHAnsi" w:eastAsiaTheme="minorEastAsia" w:hAnsiTheme="minorHAnsi"/>
              <w:noProof/>
              <w:sz w:val="22"/>
            </w:rPr>
          </w:pPr>
          <w:hyperlink w:anchor="_Toc191942798" w:history="1">
            <w:r w:rsidRPr="000A5F62">
              <w:rPr>
                <w:rStyle w:val="Hyperlink"/>
                <w:noProof/>
              </w:rPr>
              <w:t>Change Management Evaluation</w:t>
            </w:r>
            <w:r>
              <w:rPr>
                <w:noProof/>
                <w:webHidden/>
              </w:rPr>
              <w:tab/>
            </w:r>
            <w:r>
              <w:rPr>
                <w:noProof/>
                <w:webHidden/>
              </w:rPr>
              <w:fldChar w:fldCharType="begin"/>
            </w:r>
            <w:r>
              <w:rPr>
                <w:noProof/>
                <w:webHidden/>
              </w:rPr>
              <w:instrText xml:space="preserve"> PAGEREF _Toc191942798 \h </w:instrText>
            </w:r>
            <w:r>
              <w:rPr>
                <w:noProof/>
                <w:webHidden/>
              </w:rPr>
            </w:r>
            <w:r>
              <w:rPr>
                <w:noProof/>
                <w:webHidden/>
              </w:rPr>
              <w:fldChar w:fldCharType="separate"/>
            </w:r>
            <w:r>
              <w:rPr>
                <w:noProof/>
                <w:webHidden/>
              </w:rPr>
              <w:t>11</w:t>
            </w:r>
            <w:r>
              <w:rPr>
                <w:noProof/>
                <w:webHidden/>
              </w:rPr>
              <w:fldChar w:fldCharType="end"/>
            </w:r>
          </w:hyperlink>
        </w:p>
        <w:p w14:paraId="3FAA3480" w14:textId="77777777" w:rsidR="00EC52B5" w:rsidRDefault="00EC52B5">
          <w:pPr>
            <w:pStyle w:val="TOC1"/>
            <w:tabs>
              <w:tab w:val="right" w:leader="dot" w:pos="9350"/>
            </w:tabs>
            <w:rPr>
              <w:rFonts w:asciiTheme="minorHAnsi" w:eastAsiaTheme="minorEastAsia" w:hAnsiTheme="minorHAnsi"/>
              <w:noProof/>
              <w:sz w:val="22"/>
            </w:rPr>
          </w:pPr>
          <w:hyperlink w:anchor="_Toc191942799" w:history="1">
            <w:r w:rsidRPr="000A5F62">
              <w:rPr>
                <w:rStyle w:val="Hyperlink"/>
                <w:noProof/>
              </w:rPr>
              <w:t>Strategic Direction</w:t>
            </w:r>
            <w:r>
              <w:rPr>
                <w:noProof/>
                <w:webHidden/>
              </w:rPr>
              <w:tab/>
            </w:r>
            <w:r>
              <w:rPr>
                <w:noProof/>
                <w:webHidden/>
              </w:rPr>
              <w:fldChar w:fldCharType="begin"/>
            </w:r>
            <w:r>
              <w:rPr>
                <w:noProof/>
                <w:webHidden/>
              </w:rPr>
              <w:instrText xml:space="preserve"> PAGEREF _Toc191942799 \h </w:instrText>
            </w:r>
            <w:r>
              <w:rPr>
                <w:noProof/>
                <w:webHidden/>
              </w:rPr>
            </w:r>
            <w:r>
              <w:rPr>
                <w:noProof/>
                <w:webHidden/>
              </w:rPr>
              <w:fldChar w:fldCharType="separate"/>
            </w:r>
            <w:r>
              <w:rPr>
                <w:noProof/>
                <w:webHidden/>
              </w:rPr>
              <w:t>12</w:t>
            </w:r>
            <w:r>
              <w:rPr>
                <w:noProof/>
                <w:webHidden/>
              </w:rPr>
              <w:fldChar w:fldCharType="end"/>
            </w:r>
          </w:hyperlink>
        </w:p>
        <w:p w14:paraId="7FACD735" w14:textId="77777777" w:rsidR="00EC52B5" w:rsidRDefault="00EC52B5">
          <w:pPr>
            <w:pStyle w:val="TOC1"/>
            <w:tabs>
              <w:tab w:val="right" w:leader="dot" w:pos="9350"/>
            </w:tabs>
            <w:rPr>
              <w:rFonts w:asciiTheme="minorHAnsi" w:eastAsiaTheme="minorEastAsia" w:hAnsiTheme="minorHAnsi"/>
              <w:noProof/>
              <w:sz w:val="22"/>
            </w:rPr>
          </w:pPr>
          <w:hyperlink w:anchor="_Toc191942800" w:history="1">
            <w:r w:rsidRPr="000A5F62">
              <w:rPr>
                <w:rStyle w:val="Hyperlink"/>
                <w:noProof/>
              </w:rPr>
              <w:t>Conclusion</w:t>
            </w:r>
            <w:r>
              <w:rPr>
                <w:noProof/>
                <w:webHidden/>
              </w:rPr>
              <w:tab/>
            </w:r>
            <w:r>
              <w:rPr>
                <w:noProof/>
                <w:webHidden/>
              </w:rPr>
              <w:fldChar w:fldCharType="begin"/>
            </w:r>
            <w:r>
              <w:rPr>
                <w:noProof/>
                <w:webHidden/>
              </w:rPr>
              <w:instrText xml:space="preserve"> PAGEREF _Toc191942800 \h </w:instrText>
            </w:r>
            <w:r>
              <w:rPr>
                <w:noProof/>
                <w:webHidden/>
              </w:rPr>
            </w:r>
            <w:r>
              <w:rPr>
                <w:noProof/>
                <w:webHidden/>
              </w:rPr>
              <w:fldChar w:fldCharType="separate"/>
            </w:r>
            <w:r>
              <w:rPr>
                <w:noProof/>
                <w:webHidden/>
              </w:rPr>
              <w:t>14</w:t>
            </w:r>
            <w:r>
              <w:rPr>
                <w:noProof/>
                <w:webHidden/>
              </w:rPr>
              <w:fldChar w:fldCharType="end"/>
            </w:r>
          </w:hyperlink>
        </w:p>
        <w:p w14:paraId="24C8FBC0" w14:textId="77777777" w:rsidR="00EC52B5" w:rsidRDefault="00EC52B5">
          <w:pPr>
            <w:pStyle w:val="TOC1"/>
            <w:tabs>
              <w:tab w:val="right" w:leader="dot" w:pos="9350"/>
            </w:tabs>
            <w:rPr>
              <w:rFonts w:asciiTheme="minorHAnsi" w:eastAsiaTheme="minorEastAsia" w:hAnsiTheme="minorHAnsi"/>
              <w:noProof/>
              <w:sz w:val="22"/>
            </w:rPr>
          </w:pPr>
          <w:hyperlink w:anchor="_Toc191942801" w:history="1">
            <w:r w:rsidRPr="000A5F62">
              <w:rPr>
                <w:rStyle w:val="Hyperlink"/>
                <w:noProof/>
              </w:rPr>
              <w:t>Recommendations</w:t>
            </w:r>
            <w:r>
              <w:rPr>
                <w:noProof/>
                <w:webHidden/>
              </w:rPr>
              <w:tab/>
            </w:r>
            <w:r>
              <w:rPr>
                <w:noProof/>
                <w:webHidden/>
              </w:rPr>
              <w:fldChar w:fldCharType="begin"/>
            </w:r>
            <w:r>
              <w:rPr>
                <w:noProof/>
                <w:webHidden/>
              </w:rPr>
              <w:instrText xml:space="preserve"> PAGEREF _Toc191942801 \h </w:instrText>
            </w:r>
            <w:r>
              <w:rPr>
                <w:noProof/>
                <w:webHidden/>
              </w:rPr>
            </w:r>
            <w:r>
              <w:rPr>
                <w:noProof/>
                <w:webHidden/>
              </w:rPr>
              <w:fldChar w:fldCharType="separate"/>
            </w:r>
            <w:r>
              <w:rPr>
                <w:noProof/>
                <w:webHidden/>
              </w:rPr>
              <w:t>15</w:t>
            </w:r>
            <w:r>
              <w:rPr>
                <w:noProof/>
                <w:webHidden/>
              </w:rPr>
              <w:fldChar w:fldCharType="end"/>
            </w:r>
          </w:hyperlink>
        </w:p>
        <w:p w14:paraId="4D6EB304" w14:textId="77777777" w:rsidR="00EC52B5" w:rsidRDefault="00EC52B5">
          <w:pPr>
            <w:pStyle w:val="TOC1"/>
            <w:tabs>
              <w:tab w:val="right" w:leader="dot" w:pos="9350"/>
            </w:tabs>
            <w:rPr>
              <w:rFonts w:asciiTheme="minorHAnsi" w:eastAsiaTheme="minorEastAsia" w:hAnsiTheme="minorHAnsi"/>
              <w:noProof/>
              <w:sz w:val="22"/>
            </w:rPr>
          </w:pPr>
          <w:hyperlink w:anchor="_Toc191942802" w:history="1">
            <w:r w:rsidRPr="000A5F62">
              <w:rPr>
                <w:rStyle w:val="Hyperlink"/>
                <w:noProof/>
              </w:rPr>
              <w:t>References</w:t>
            </w:r>
            <w:r>
              <w:rPr>
                <w:noProof/>
                <w:webHidden/>
              </w:rPr>
              <w:tab/>
            </w:r>
            <w:r>
              <w:rPr>
                <w:noProof/>
                <w:webHidden/>
              </w:rPr>
              <w:fldChar w:fldCharType="begin"/>
            </w:r>
            <w:r>
              <w:rPr>
                <w:noProof/>
                <w:webHidden/>
              </w:rPr>
              <w:instrText xml:space="preserve"> PAGEREF _Toc191942802 \h </w:instrText>
            </w:r>
            <w:r>
              <w:rPr>
                <w:noProof/>
                <w:webHidden/>
              </w:rPr>
            </w:r>
            <w:r>
              <w:rPr>
                <w:noProof/>
                <w:webHidden/>
              </w:rPr>
              <w:fldChar w:fldCharType="separate"/>
            </w:r>
            <w:r>
              <w:rPr>
                <w:noProof/>
                <w:webHidden/>
              </w:rPr>
              <w:t>16</w:t>
            </w:r>
            <w:r>
              <w:rPr>
                <w:noProof/>
                <w:webHidden/>
              </w:rPr>
              <w:fldChar w:fldCharType="end"/>
            </w:r>
          </w:hyperlink>
        </w:p>
        <w:p w14:paraId="2AD6781F" w14:textId="77777777" w:rsidR="00EC52B5" w:rsidRDefault="00EC52B5">
          <w:r>
            <w:rPr>
              <w:b/>
              <w:bCs/>
              <w:noProof/>
            </w:rPr>
            <w:fldChar w:fldCharType="end"/>
          </w:r>
        </w:p>
      </w:sdtContent>
    </w:sdt>
    <w:p w14:paraId="00CB04AC" w14:textId="77777777" w:rsidR="00462B60" w:rsidRDefault="000F1888">
      <w:pPr>
        <w:spacing w:line="276" w:lineRule="auto"/>
        <w:jc w:val="left"/>
        <w:rPr>
          <w:rFonts w:ascii="Times New Roman" w:eastAsiaTheme="majorEastAsia" w:hAnsi="Times New Roman" w:cstheme="majorBidi"/>
          <w:b/>
          <w:bCs/>
          <w:sz w:val="32"/>
          <w:szCs w:val="28"/>
        </w:rPr>
      </w:pPr>
      <w:r>
        <w:br w:type="page"/>
      </w:r>
    </w:p>
    <w:p w14:paraId="077EF1EF" w14:textId="77777777" w:rsidR="00462B60" w:rsidRDefault="00462B60" w:rsidP="00462B60">
      <w:pPr>
        <w:pStyle w:val="Heading1"/>
        <w:sectPr w:rsidR="00462B60" w:rsidSect="006C1AD1">
          <w:footerReference w:type="default" r:id="rId9"/>
          <w:pgSz w:w="12240" w:h="15840"/>
          <w:pgMar w:top="1440" w:right="1440" w:bottom="1440" w:left="1440" w:header="720" w:footer="720" w:gutter="0"/>
          <w:pgNumType w:start="1"/>
          <w:cols w:space="720"/>
          <w:titlePg/>
          <w:docGrid w:linePitch="360"/>
        </w:sectPr>
      </w:pPr>
    </w:p>
    <w:p w14:paraId="2C142130" w14:textId="77777777" w:rsidR="00C1387C" w:rsidRPr="00462B60" w:rsidRDefault="000F1888" w:rsidP="00462B60">
      <w:pPr>
        <w:pStyle w:val="Heading1"/>
      </w:pPr>
      <w:bookmarkStart w:id="1" w:name="_Toc191942793"/>
      <w:r>
        <w:lastRenderedPageBreak/>
        <w:t>Introduction</w:t>
      </w:r>
      <w:bookmarkEnd w:id="1"/>
    </w:p>
    <w:p w14:paraId="1B49F8BB" w14:textId="77777777" w:rsidR="00C1387C" w:rsidRDefault="000F1888" w:rsidP="00C1387C">
      <w:r w:rsidRPr="00C1387C">
        <w:t>Marriott International is one of the largest global hospitality companies comprising 30 brands in over 130 countries</w:t>
      </w:r>
      <w:r w:rsidR="00A221CB">
        <w:t xml:space="preserve"> </w:t>
      </w:r>
      <w:r w:rsidR="00A221CB" w:rsidRPr="00A221CB">
        <w:t>(Marriott, 2024)</w:t>
      </w:r>
      <w:r w:rsidRPr="00C1387C">
        <w:t>. Marriott has been in the service industry since the year 1927 and has expanded its services across the world with a focus on guest satisfaction, great services, and a firm pillar in the loyalty program, Marriott Bonvoy</w:t>
      </w:r>
      <w:r w:rsidR="00A221CB">
        <w:t xml:space="preserve"> </w:t>
      </w:r>
      <w:r w:rsidR="00A221CB" w:rsidRPr="00A221CB">
        <w:t>(Marriott, 2024)</w:t>
      </w:r>
      <w:r w:rsidRPr="00C1387C">
        <w:t>. New strategies including growth, digital</w:t>
      </w:r>
      <w:r w:rsidR="001D7FD6">
        <w:t>is</w:t>
      </w:r>
      <w:r w:rsidRPr="00C1387C">
        <w:t>ation, and sustainability have ensured that the company attains new heights and becomes part of the most prominent industry players.</w:t>
      </w:r>
      <w:r w:rsidR="007E4AD5">
        <w:t xml:space="preserve"> </w:t>
      </w:r>
      <w:r>
        <w:t>The purpose of this report is to evaluate Marriott International in terms of its organisational model, values, objectives, recent alterations, and development plan. Based on the management and organisational behaviour theories, the report will analyse the way these aspects affect operations, employees, and results. Also, the report will offer the best strategies on how Marriott can improve its competitive strategy in the global hospitality industry.</w:t>
      </w:r>
    </w:p>
    <w:p w14:paraId="7FD7E84C" w14:textId="77777777" w:rsidR="00D405CB" w:rsidRDefault="000F1888">
      <w:pPr>
        <w:spacing w:line="276" w:lineRule="auto"/>
        <w:jc w:val="left"/>
      </w:pPr>
      <w:r>
        <w:rPr>
          <w:noProof/>
        </w:rPr>
        <w:drawing>
          <wp:anchor distT="0" distB="0" distL="114300" distR="114300" simplePos="0" relativeHeight="251658240" behindDoc="1" locked="0" layoutInCell="1" allowOverlap="1" wp14:anchorId="0AF31BFD" wp14:editId="2B855F20">
            <wp:simplePos x="0" y="0"/>
            <wp:positionH relativeFrom="column">
              <wp:posOffset>2184400</wp:posOffset>
            </wp:positionH>
            <wp:positionV relativeFrom="paragraph">
              <wp:posOffset>13335</wp:posOffset>
            </wp:positionV>
            <wp:extent cx="2139950" cy="213995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2139950" cy="213995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9264" behindDoc="0" locked="0" layoutInCell="1" allowOverlap="1" wp14:anchorId="369F1A87" wp14:editId="10C986F6">
                <wp:simplePos x="0" y="0"/>
                <wp:positionH relativeFrom="column">
                  <wp:posOffset>1543792</wp:posOffset>
                </wp:positionH>
                <wp:positionV relativeFrom="paragraph">
                  <wp:posOffset>2210460</wp:posOffset>
                </wp:positionV>
                <wp:extent cx="3538847" cy="403761"/>
                <wp:effectExtent l="0" t="0" r="5080" b="0"/>
                <wp:wrapNone/>
                <wp:docPr id="6" name="Text Box 6"/>
                <wp:cNvGraphicFramePr/>
                <a:graphic xmlns:a="http://schemas.openxmlformats.org/drawingml/2006/main">
                  <a:graphicData uri="http://schemas.microsoft.com/office/word/2010/wordprocessingShape">
                    <wps:wsp>
                      <wps:cNvSpPr txBox="1"/>
                      <wps:spPr>
                        <a:xfrm>
                          <a:off x="0" y="0"/>
                          <a:ext cx="3538847" cy="403761"/>
                        </a:xfrm>
                        <a:prstGeom prst="rect">
                          <a:avLst/>
                        </a:prstGeom>
                        <a:solidFill>
                          <a:prstClr val="white"/>
                        </a:solidFill>
                        <a:ln>
                          <a:noFill/>
                        </a:ln>
                        <a:effectLst/>
                      </wps:spPr>
                      <wps:txbx>
                        <w:txbxContent>
                          <w:p w14:paraId="31138D34" w14:textId="77777777" w:rsidR="00B85CFA" w:rsidRPr="00B85CFA" w:rsidRDefault="000F1888" w:rsidP="00B85CFA">
                            <w:pPr>
                              <w:pStyle w:val="Caption"/>
                              <w:rPr>
                                <w:noProof/>
                                <w:color w:val="auto"/>
                                <w:sz w:val="36"/>
                              </w:rPr>
                            </w:pPr>
                            <w:bookmarkStart w:id="2" w:name="_Toc191941153"/>
                            <w:r w:rsidRPr="00B85CFA">
                              <w:rPr>
                                <w:color w:val="auto"/>
                                <w:sz w:val="24"/>
                              </w:rPr>
                              <w:t xml:space="preserve">Figure </w:t>
                            </w:r>
                            <w:r w:rsidRPr="00B85CFA">
                              <w:rPr>
                                <w:color w:val="auto"/>
                                <w:sz w:val="24"/>
                              </w:rPr>
                              <w:fldChar w:fldCharType="begin"/>
                            </w:r>
                            <w:r w:rsidRPr="00B85CFA">
                              <w:rPr>
                                <w:color w:val="auto"/>
                                <w:sz w:val="24"/>
                              </w:rPr>
                              <w:instrText xml:space="preserve"> SEQ Figure \* ARABIC </w:instrText>
                            </w:r>
                            <w:r w:rsidRPr="00B85CFA">
                              <w:rPr>
                                <w:color w:val="auto"/>
                                <w:sz w:val="24"/>
                              </w:rPr>
                              <w:fldChar w:fldCharType="separate"/>
                            </w:r>
                            <w:r w:rsidR="0068546F">
                              <w:rPr>
                                <w:noProof/>
                                <w:color w:val="auto"/>
                                <w:sz w:val="24"/>
                              </w:rPr>
                              <w:t>1</w:t>
                            </w:r>
                            <w:r w:rsidRPr="00B85CFA">
                              <w:rPr>
                                <w:color w:val="auto"/>
                                <w:sz w:val="24"/>
                              </w:rPr>
                              <w:fldChar w:fldCharType="end"/>
                            </w:r>
                            <w:r w:rsidRPr="00B85CFA">
                              <w:rPr>
                                <w:color w:val="auto"/>
                                <w:sz w:val="24"/>
                              </w:rPr>
                              <w:t>: Marriott International (Marriott, 2024)</w:t>
                            </w:r>
                          </w:p>
                          <w:p w14:paraId="561CD51D" w14:textId="77777777" w:rsidR="00754C5E" w:rsidRDefault="00754C5E"/>
                          <w:p w14:paraId="2B288F7B" w14:textId="77777777" w:rsidR="00B85CFA" w:rsidRPr="00B85CFA" w:rsidRDefault="000F1888" w:rsidP="00B85CFA">
                            <w:pPr>
                              <w:pStyle w:val="Caption"/>
                              <w:rPr>
                                <w:noProof/>
                                <w:color w:val="auto"/>
                                <w:sz w:val="36"/>
                              </w:rPr>
                            </w:pPr>
                            <w:r w:rsidRPr="00B85CFA">
                              <w:rPr>
                                <w:color w:val="auto"/>
                                <w:sz w:val="24"/>
                              </w:rPr>
                              <w:t xml:space="preserve">Figure </w:t>
                            </w:r>
                            <w:r w:rsidRPr="00B85CFA">
                              <w:rPr>
                                <w:color w:val="auto"/>
                                <w:sz w:val="24"/>
                              </w:rPr>
                              <w:fldChar w:fldCharType="begin"/>
                            </w:r>
                            <w:r w:rsidRPr="00B85CFA">
                              <w:rPr>
                                <w:color w:val="auto"/>
                                <w:sz w:val="24"/>
                              </w:rPr>
                              <w:instrText xml:space="preserve"> SEQ Figure \* ARABIC </w:instrText>
                            </w:r>
                            <w:r w:rsidRPr="00B85CFA">
                              <w:rPr>
                                <w:color w:val="auto"/>
                                <w:sz w:val="24"/>
                              </w:rPr>
                              <w:fldChar w:fldCharType="separate"/>
                            </w:r>
                            <w:r w:rsidR="0068546F">
                              <w:rPr>
                                <w:noProof/>
                                <w:color w:val="auto"/>
                                <w:sz w:val="24"/>
                              </w:rPr>
                              <w:t>2</w:t>
                            </w:r>
                            <w:r w:rsidRPr="00B85CFA">
                              <w:rPr>
                                <w:color w:val="auto"/>
                                <w:sz w:val="24"/>
                              </w:rPr>
                              <w:fldChar w:fldCharType="end"/>
                            </w:r>
                            <w:r w:rsidRPr="00B85CFA">
                              <w:rPr>
                                <w:color w:val="auto"/>
                                <w:sz w:val="24"/>
                              </w:rPr>
                              <w:t>: Marriott International (Marriott, 2024)</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369F1A87" id="_x0000_t202" coordsize="21600,21600" o:spt="202" path="m,l,21600r21600,l21600,xe">
                <v:stroke joinstyle="miter"/>
                <v:path gradientshapeok="t" o:connecttype="rect"/>
              </v:shapetype>
              <v:shape id="Text Box 6" o:spid="_x0000_s1026" type="#_x0000_t202" style="position:absolute;margin-left:121.55pt;margin-top:174.05pt;width:278.65pt;height:3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" stroked="f">
                <v:textbox inset="0,0,0,0">
                  <w:txbxContent>
                    <w:p w14:paraId="31138D34" w14:textId="77777777" w:rsidR="00B85CFA" w:rsidRPr="00B85CFA" w:rsidRDefault="000F1888" w:rsidP="00B85CFA">
                      <w:pPr>
                        <w:pStyle w:val="Caption"/>
                        <w:rPr>
                          <w:noProof/>
                          <w:color w:val="auto"/>
                          <w:sz w:val="36"/>
                        </w:rPr>
                      </w:pPr>
                      <w:bookmarkStart w:id="3" w:name="_Toc191941153"/>
                      <w:r w:rsidRPr="00B85CFA">
                        <w:rPr>
                          <w:color w:val="auto"/>
                          <w:sz w:val="24"/>
                        </w:rPr>
                        <w:t xml:space="preserve">Figure </w:t>
                      </w:r>
                      <w:r w:rsidRPr="00B85CFA">
                        <w:rPr>
                          <w:color w:val="auto"/>
                          <w:sz w:val="24"/>
                        </w:rPr>
                        <w:fldChar w:fldCharType="begin"/>
                      </w:r>
                      <w:r w:rsidRPr="00B85CFA">
                        <w:rPr>
                          <w:color w:val="auto"/>
                          <w:sz w:val="24"/>
                        </w:rPr>
                        <w:instrText xml:space="preserve"> SEQ Figure \* ARABIC </w:instrText>
                      </w:r>
                      <w:r w:rsidRPr="00B85CFA">
                        <w:rPr>
                          <w:color w:val="auto"/>
                          <w:sz w:val="24"/>
                        </w:rPr>
                        <w:fldChar w:fldCharType="separate"/>
                      </w:r>
                      <w:r w:rsidR="0068546F">
                        <w:rPr>
                          <w:noProof/>
                          <w:color w:val="auto"/>
                          <w:sz w:val="24"/>
                        </w:rPr>
                        <w:t>1</w:t>
                      </w:r>
                      <w:r w:rsidRPr="00B85CFA">
                        <w:rPr>
                          <w:color w:val="auto"/>
                          <w:sz w:val="24"/>
                        </w:rPr>
                        <w:fldChar w:fldCharType="end"/>
                      </w:r>
                      <w:r w:rsidRPr="00B85CFA">
                        <w:rPr>
                          <w:color w:val="auto"/>
                          <w:sz w:val="24"/>
                        </w:rPr>
                        <w:t>: Marriott International (Marriott, 2024)</w:t>
                      </w:r>
                    </w:p>
                    <w:p w14:paraId="561CD51D" w14:textId="77777777" w:rsidR="00754C5E" w:rsidRDefault="00754C5E"/>
                    <w:p w14:paraId="2B288F7B" w14:textId="77777777" w:rsidR="00B85CFA" w:rsidRPr="00B85CFA" w:rsidRDefault="000F1888" w:rsidP="00B85CFA">
                      <w:pPr>
                        <w:pStyle w:val="Caption"/>
                        <w:rPr>
                          <w:noProof/>
                          <w:color w:val="auto"/>
                          <w:sz w:val="36"/>
                        </w:rPr>
                      </w:pPr>
                      <w:r w:rsidRPr="00B85CFA">
                        <w:rPr>
                          <w:color w:val="auto"/>
                          <w:sz w:val="24"/>
                        </w:rPr>
                        <w:t xml:space="preserve">Figure </w:t>
                      </w:r>
                      <w:r w:rsidRPr="00B85CFA">
                        <w:rPr>
                          <w:color w:val="auto"/>
                          <w:sz w:val="24"/>
                        </w:rPr>
                        <w:fldChar w:fldCharType="begin"/>
                      </w:r>
                      <w:r w:rsidRPr="00B85CFA">
                        <w:rPr>
                          <w:color w:val="auto"/>
                          <w:sz w:val="24"/>
                        </w:rPr>
                        <w:instrText xml:space="preserve"> SEQ Figure \* ARABIC </w:instrText>
                      </w:r>
                      <w:r w:rsidRPr="00B85CFA">
                        <w:rPr>
                          <w:color w:val="auto"/>
                          <w:sz w:val="24"/>
                        </w:rPr>
                        <w:fldChar w:fldCharType="separate"/>
                      </w:r>
                      <w:r w:rsidR="0068546F">
                        <w:rPr>
                          <w:noProof/>
                          <w:color w:val="auto"/>
                          <w:sz w:val="24"/>
                        </w:rPr>
                        <w:t>2</w:t>
                      </w:r>
                      <w:r w:rsidRPr="00B85CFA">
                        <w:rPr>
                          <w:color w:val="auto"/>
                          <w:sz w:val="24"/>
                        </w:rPr>
                        <w:fldChar w:fldCharType="end"/>
                      </w:r>
                      <w:r w:rsidRPr="00B85CFA">
                        <w:rPr>
                          <w:color w:val="auto"/>
                          <w:sz w:val="24"/>
                        </w:rPr>
                        <w:t>: Marriott International (Marriott, 2024)</w:t>
                      </w:r>
                      <w:bookmarkEnd w:id="3"/>
                    </w:p>
                  </w:txbxContent>
                </v:textbox>
              </v:shape>
            </w:pict>
          </mc:Fallback>
        </mc:AlternateContent>
      </w:r>
      <w:r w:rsidR="00ED2BBF">
        <w:br w:type="page"/>
      </w:r>
    </w:p>
    <w:p w14:paraId="18F7A34F" w14:textId="77777777" w:rsidR="00ED0EF4" w:rsidRDefault="000F1888" w:rsidP="00ED0EF4">
      <w:pPr>
        <w:pStyle w:val="Heading1"/>
      </w:pPr>
      <w:bookmarkStart w:id="4" w:name="_Toc191942794"/>
      <w:r w:rsidRPr="00ED0EF4">
        <w:lastRenderedPageBreak/>
        <w:t>Organisatio</w:t>
      </w:r>
      <w:r w:rsidR="001D3DFF">
        <w:t>n Structure, Culture, and Goals</w:t>
      </w:r>
      <w:bookmarkEnd w:id="4"/>
    </w:p>
    <w:p w14:paraId="6F40DAF3" w14:textId="77777777" w:rsidR="00BE484E" w:rsidRPr="00BE484E" w:rsidRDefault="000F1888" w:rsidP="00BE484E">
      <w:r w:rsidRPr="00B42AA1">
        <w:t xml:space="preserve">Marriott International's structure is a </w:t>
      </w:r>
      <w:r w:rsidR="00A221CB">
        <w:t xml:space="preserve">hybrid </w:t>
      </w:r>
      <w:r w:rsidR="000704F3">
        <w:t xml:space="preserve">combining </w:t>
      </w:r>
      <w:r w:rsidRPr="00B42AA1">
        <w:t>matrix and functional type of organ</w:t>
      </w:r>
      <w:r w:rsidR="001D7FD6">
        <w:t>is</w:t>
      </w:r>
      <w:r w:rsidRPr="00B42AA1">
        <w:t xml:space="preserve">ational structure. </w:t>
      </w:r>
      <w:r w:rsidR="00F32421" w:rsidRPr="00B42AA1">
        <w:t xml:space="preserve">These </w:t>
      </w:r>
      <w:r w:rsidR="00F32421">
        <w:t xml:space="preserve">structures integrate functions like </w:t>
      </w:r>
      <w:r w:rsidRPr="00B42AA1">
        <w:t>marketing, selling</w:t>
      </w:r>
      <w:r w:rsidR="00462B60">
        <w:t>,</w:t>
      </w:r>
      <w:r w:rsidRPr="00B42AA1">
        <w:t xml:space="preserve"> and oper</w:t>
      </w:r>
      <w:r w:rsidR="00F32421">
        <w:t>ations</w:t>
      </w:r>
      <w:r w:rsidR="000704F3" w:rsidRPr="000704F3">
        <w:t xml:space="preserve"> (</w:t>
      </w:r>
      <w:r w:rsidR="00462B60">
        <w:t>Armstrong</w:t>
      </w:r>
      <w:r w:rsidR="000704F3">
        <w:t xml:space="preserve">, </w:t>
      </w:r>
      <w:r w:rsidR="000704F3" w:rsidRPr="000704F3">
        <w:t>2021)</w:t>
      </w:r>
      <w:r w:rsidR="00F32421">
        <w:t>.</w:t>
      </w:r>
      <w:r w:rsidRPr="00B42AA1">
        <w:t xml:space="preserve"> </w:t>
      </w:r>
      <w:r w:rsidR="00F32421" w:rsidRPr="00B42AA1">
        <w:t>It</w:t>
      </w:r>
      <w:r w:rsidRPr="00B42AA1">
        <w:t xml:space="preserve"> streamlines the organ</w:t>
      </w:r>
      <w:r w:rsidR="001D7FD6">
        <w:t>is</w:t>
      </w:r>
      <w:r w:rsidRPr="00B42AA1">
        <w:t>ation worldwide, while it allows the company to operate locally. For example, every regional division was established to have its functional departments to be able to meet regional challenges</w:t>
      </w:r>
      <w:r w:rsidR="00596F58">
        <w:t xml:space="preserve"> </w:t>
      </w:r>
      <w:r w:rsidR="00596F58" w:rsidRPr="00596F58">
        <w:t>(Marriott, 2024)</w:t>
      </w:r>
      <w:r w:rsidR="00596F58">
        <w:t xml:space="preserve">. </w:t>
      </w:r>
      <w:r w:rsidRPr="00B42AA1">
        <w:t>Thus, by incorporating this hybrid model, Marriott can meet the objectives of the company and maintain the right amount of standard operating procedures that will allow the organ</w:t>
      </w:r>
      <w:r w:rsidR="001D7FD6">
        <w:t>is</w:t>
      </w:r>
      <w:r w:rsidRPr="00B42AA1">
        <w:t>ation to quickly adapt to the varied conditions of different markets</w:t>
      </w:r>
      <w:r w:rsidR="000704F3" w:rsidRPr="000704F3">
        <w:t xml:space="preserve"> </w:t>
      </w:r>
      <w:r w:rsidR="000704F3">
        <w:t>(Elezaj et al.</w:t>
      </w:r>
      <w:r w:rsidR="000704F3" w:rsidRPr="000704F3">
        <w:t>, 2020)</w:t>
      </w:r>
      <w:r w:rsidRPr="00B42AA1">
        <w:t>. At the same time, it is important to note that many problems may arise from the matrix structure, first of all, role confusion and conflict between regional and functional managers can slow down decision-making and decision-implementation processes.</w:t>
      </w:r>
    </w:p>
    <w:p w14:paraId="261C8089" w14:textId="77777777" w:rsidR="00DA4D71" w:rsidRDefault="000F1888" w:rsidP="00DA4D71">
      <w:pPr>
        <w:keepNext/>
        <w:jc w:val="center"/>
      </w:pPr>
      <w:r>
        <w:rPr>
          <w:noProof/>
        </w:rPr>
        <w:drawing>
          <wp:inline distT="0" distB="0" distL="0" distR="0" wp14:anchorId="1E4B3DA5" wp14:editId="4788B836">
            <wp:extent cx="4983880" cy="3040912"/>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P51RXin34NtEWMHjTq3P56aXPkaG8q0Rde0HiDEY6eaWU8CwjjN4Z426i0RUqG-_Vz5FXH5qNK9Jba3mHb5EAd2zwWa4PLJn00lCcFaiXz_ggnULo7dA2hh5Uw-9fG9qcyuiP3N9EKEi40l3-ZRN_AhyaRmWt0YAU-SEzOQWxhGR3OdthZKJvEoyg0Ur-ZLk5V2nPYzEAZdf1JWLsGre9-BS.png"/>
                    <pic:cNvPicPr/>
                  </pic:nvPicPr>
                  <pic:blipFill>
                    <a:blip r:embed="rId11">
                      <a:extLst>
                        <a:ext uri="{28A0092B-C50C-407E-A947-70E740481C1C}">
                          <a14:useLocalDpi xmlns:a14="http://schemas.microsoft.com/office/drawing/2010/main" val="0"/>
                        </a:ext>
                      </a:extLst>
                    </a:blip>
                    <a:stretch>
                      <a:fillRect/>
                    </a:stretch>
                  </pic:blipFill>
                  <pic:spPr>
                    <a:xfrm>
                      <a:off x="0" y="0"/>
                      <a:ext cx="4984956" cy="3041569"/>
                    </a:xfrm>
                    <a:prstGeom prst="rect">
                      <a:avLst/>
                    </a:prstGeom>
                  </pic:spPr>
                </pic:pic>
              </a:graphicData>
            </a:graphic>
          </wp:inline>
        </w:drawing>
      </w:r>
    </w:p>
    <w:p w14:paraId="2E7BBCBF" w14:textId="77777777" w:rsidR="00D24013" w:rsidRPr="00DA4D71" w:rsidRDefault="000F1888" w:rsidP="00DA4D71">
      <w:pPr>
        <w:pStyle w:val="Caption"/>
        <w:jc w:val="center"/>
        <w:rPr>
          <w:color w:val="auto"/>
          <w:sz w:val="20"/>
        </w:rPr>
      </w:pPr>
      <w:r w:rsidRPr="00DA4D71">
        <w:rPr>
          <w:color w:val="auto"/>
          <w:sz w:val="20"/>
        </w:rPr>
        <w:t xml:space="preserve">Figure </w:t>
      </w:r>
      <w:r w:rsidRPr="00DA4D71">
        <w:rPr>
          <w:color w:val="auto"/>
          <w:sz w:val="20"/>
        </w:rPr>
        <w:fldChar w:fldCharType="begin"/>
      </w:r>
      <w:r w:rsidRPr="00DA4D71">
        <w:rPr>
          <w:color w:val="auto"/>
          <w:sz w:val="20"/>
        </w:rPr>
        <w:instrText xml:space="preserve"> SEQ Figure \* ARABIC </w:instrText>
      </w:r>
      <w:r w:rsidRPr="00DA4D71">
        <w:rPr>
          <w:color w:val="auto"/>
          <w:sz w:val="20"/>
        </w:rPr>
        <w:fldChar w:fldCharType="separate"/>
      </w:r>
      <w:r w:rsidR="0068546F">
        <w:rPr>
          <w:noProof/>
          <w:color w:val="auto"/>
          <w:sz w:val="20"/>
        </w:rPr>
        <w:t>3</w:t>
      </w:r>
      <w:r w:rsidRPr="00DA4D71">
        <w:rPr>
          <w:color w:val="auto"/>
          <w:sz w:val="20"/>
        </w:rPr>
        <w:fldChar w:fldCharType="end"/>
      </w:r>
      <w:r w:rsidRPr="00DA4D71">
        <w:rPr>
          <w:color w:val="auto"/>
          <w:sz w:val="20"/>
        </w:rPr>
        <w:t xml:space="preserve">: </w:t>
      </w:r>
      <w:r w:rsidR="00462B60">
        <w:rPr>
          <w:color w:val="auto"/>
          <w:sz w:val="20"/>
        </w:rPr>
        <w:t>Marriott’s</w:t>
      </w:r>
      <w:r w:rsidR="00F71E4B">
        <w:rPr>
          <w:color w:val="auto"/>
          <w:sz w:val="20"/>
        </w:rPr>
        <w:t xml:space="preserve"> Organisational</w:t>
      </w:r>
      <w:r w:rsidRPr="00DA4D71">
        <w:rPr>
          <w:color w:val="auto"/>
          <w:sz w:val="20"/>
        </w:rPr>
        <w:t xml:space="preserve"> Structure </w:t>
      </w:r>
      <w:bookmarkStart w:id="5" w:name="_Hlk191941851"/>
      <w:r w:rsidR="00B85CFA" w:rsidRPr="00B85CFA">
        <w:rPr>
          <w:color w:val="auto"/>
          <w:sz w:val="20"/>
        </w:rPr>
        <w:t>(Marriott, 2024)</w:t>
      </w:r>
    </w:p>
    <w:bookmarkEnd w:id="5"/>
    <w:p w14:paraId="5C04AEF8" w14:textId="77777777" w:rsidR="00DC23EB" w:rsidRDefault="000F1888" w:rsidP="00DC23EB">
      <w:r w:rsidRPr="00B42AA1">
        <w:t xml:space="preserve">Marriott International is a company with an elaborate set of corporate culture that focuses on the welfare of the people, quality, and integrity. This approach aligns well with its people-oriented organisational culture that promotes the welfare of its employees while encouraging them to contribute their best towards the achievement of </w:t>
      </w:r>
      <w:r w:rsidRPr="00B42AA1">
        <w:lastRenderedPageBreak/>
        <w:t>organisational goals</w:t>
      </w:r>
      <w:r w:rsidR="00F71E4B">
        <w:t xml:space="preserve"> </w:t>
      </w:r>
      <w:r w:rsidR="00F71E4B" w:rsidRPr="00F71E4B">
        <w:t>(</w:t>
      </w:r>
      <w:r w:rsidR="00F71E4B">
        <w:t xml:space="preserve">Mullins, </w:t>
      </w:r>
      <w:r w:rsidR="00F71E4B" w:rsidRPr="00F71E4B">
        <w:t>2023)</w:t>
      </w:r>
      <w:r w:rsidRPr="00B42AA1">
        <w:t>. This practice can be associated with the Human Relations Theory, to the effect that the social welfare of employees is key to organisational performance</w:t>
      </w:r>
      <w:r w:rsidR="003E7323" w:rsidRPr="003E7323">
        <w:t xml:space="preserve"> (Armstrong and Taylor, 2023)</w:t>
      </w:r>
      <w:r w:rsidRPr="00B42AA1">
        <w:t>. This way, the concern for the welfare of its associates is important for Marriott as this improves their loyalty and commitment</w:t>
      </w:r>
      <w:r w:rsidR="00462B60">
        <w:t>,</w:t>
      </w:r>
      <w:r w:rsidRPr="00B42AA1">
        <w:t xml:space="preserve"> which translates to better dining service delivery and business outcomes. Yet, sustaining such a culture within a humongous international organisation gives rise to some issues</w:t>
      </w:r>
      <w:r w:rsidR="00462B60">
        <w:t>,</w:t>
      </w:r>
      <w:r w:rsidRPr="00B42AA1">
        <w:t xml:space="preserve"> especially as regards standardisation but at the same time appreciating cultural </w:t>
      </w:r>
      <w:r w:rsidR="003E7323" w:rsidRPr="00B42AA1">
        <w:t>differences</w:t>
      </w:r>
      <w:r w:rsidR="003E7323" w:rsidRPr="003E7323">
        <w:t xml:space="preserve"> (de Mooij, 2021)</w:t>
      </w:r>
      <w:r w:rsidR="003E7323" w:rsidRPr="00B42AA1">
        <w:t>.</w:t>
      </w:r>
      <w:r w:rsidR="003E7323">
        <w:t xml:space="preserve"> Similarly</w:t>
      </w:r>
      <w:r w:rsidR="00DA4D71">
        <w:t>,</w:t>
      </w:r>
      <w:r w:rsidRPr="00B42AA1">
        <w:t xml:space="preserve"> rigorous cultural integration is useful since it makes the organ</w:t>
      </w:r>
      <w:r w:rsidR="001D7FD6">
        <w:t>is</w:t>
      </w:r>
      <w:r w:rsidRPr="00B42AA1">
        <w:t>ation culturally aligned; however, it has a disadvantage since culture tends to resist change since it is already entrenched in a certain set of values and norms.</w:t>
      </w:r>
    </w:p>
    <w:p w14:paraId="3AB95A27" w14:textId="77777777" w:rsidR="00EF4A9B" w:rsidRDefault="000F1888" w:rsidP="00DC23EB">
      <w:r>
        <w:t xml:space="preserve">Marriott International has mainly the following strategic objectives at the </w:t>
      </w:r>
      <w:r w:rsidRPr="00EF4A9B">
        <w:rPr>
          <w:b/>
        </w:rPr>
        <w:t>corporate level</w:t>
      </w:r>
      <w:r>
        <w:t xml:space="preserve"> such as growth, profitability</w:t>
      </w:r>
      <w:r w:rsidR="00462B60">
        <w:t>,</w:t>
      </w:r>
      <w:r>
        <w:t xml:space="preserve"> and developing brand identity. These are achieved through worldwide expansion, technological adoption, and improving the Marriott Bonvoy loyalty program</w:t>
      </w:r>
      <w:r w:rsidR="005F6D28">
        <w:t xml:space="preserve"> </w:t>
      </w:r>
      <w:r w:rsidR="005F6D28" w:rsidRPr="005F6D28">
        <w:t>(Neupane and Khanal, 2022)</w:t>
      </w:r>
      <w:r>
        <w:t>. The company also has a social responsibility mission</w:t>
      </w:r>
      <w:r w:rsidR="00462B60">
        <w:t>,</w:t>
      </w:r>
      <w:r>
        <w:t xml:space="preserve"> for instance</w:t>
      </w:r>
      <w:r w:rsidR="00462B60">
        <w:t>,</w:t>
      </w:r>
      <w:r>
        <w:t xml:space="preserve"> when it committed to offering jobs for 1500 refugees in the United States and Europe</w:t>
      </w:r>
      <w:r w:rsidR="00462B60">
        <w:t>,</w:t>
      </w:r>
      <w:r>
        <w:t xml:space="preserve"> proving sensitivity to the needy and society</w:t>
      </w:r>
      <w:r w:rsidR="003E7323" w:rsidRPr="003E7323">
        <w:t xml:space="preserve"> (Yingling, 2023)</w:t>
      </w:r>
      <w:r>
        <w:t xml:space="preserve">. </w:t>
      </w:r>
    </w:p>
    <w:p w14:paraId="73C45FE2" w14:textId="77777777" w:rsidR="005F6D28" w:rsidRPr="00596F58" w:rsidRDefault="000F1888" w:rsidP="005F6D28">
      <w:pPr>
        <w:keepNext/>
        <w:rPr>
          <w:color w:val="FF0000"/>
        </w:rPr>
      </w:pPr>
      <w:r w:rsidRPr="00596F58">
        <w:rPr>
          <w:noProof/>
          <w:color w:val="FF0000"/>
        </w:rPr>
        <w:lastRenderedPageBreak/>
        <w:drawing>
          <wp:inline distT="0" distB="0" distL="0" distR="0" wp14:anchorId="630FBE37" wp14:editId="6E013292">
            <wp:extent cx="6066155" cy="4230806"/>
            <wp:effectExtent l="0" t="0" r="1079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F9F5983" w14:textId="77777777" w:rsidR="00EF4A9B" w:rsidRPr="004F1C8D" w:rsidRDefault="000F1888" w:rsidP="005F6D28">
      <w:pPr>
        <w:pStyle w:val="Caption"/>
        <w:jc w:val="center"/>
        <w:rPr>
          <w:color w:val="000000" w:themeColor="text1"/>
          <w:sz w:val="22"/>
        </w:rPr>
      </w:pPr>
      <w:r w:rsidRPr="004F1C8D">
        <w:rPr>
          <w:color w:val="000000" w:themeColor="text1"/>
          <w:sz w:val="22"/>
        </w:rPr>
        <w:t xml:space="preserve">Figure </w:t>
      </w:r>
      <w:r w:rsidRPr="004F1C8D">
        <w:rPr>
          <w:color w:val="000000" w:themeColor="text1"/>
          <w:sz w:val="22"/>
        </w:rPr>
        <w:fldChar w:fldCharType="begin"/>
      </w:r>
      <w:r w:rsidRPr="004F1C8D">
        <w:rPr>
          <w:color w:val="000000" w:themeColor="text1"/>
          <w:sz w:val="22"/>
        </w:rPr>
        <w:instrText xml:space="preserve"> SEQ Figure \* ARABIC </w:instrText>
      </w:r>
      <w:r w:rsidRPr="004F1C8D">
        <w:rPr>
          <w:color w:val="000000" w:themeColor="text1"/>
          <w:sz w:val="22"/>
        </w:rPr>
        <w:fldChar w:fldCharType="separate"/>
      </w:r>
      <w:r w:rsidR="0068546F" w:rsidRPr="004F1C8D">
        <w:rPr>
          <w:noProof/>
          <w:color w:val="000000" w:themeColor="text1"/>
          <w:sz w:val="22"/>
        </w:rPr>
        <w:t>4</w:t>
      </w:r>
      <w:r w:rsidRPr="004F1C8D">
        <w:rPr>
          <w:color w:val="000000" w:themeColor="text1"/>
          <w:sz w:val="22"/>
        </w:rPr>
        <w:fldChar w:fldCharType="end"/>
      </w:r>
      <w:r w:rsidRPr="004F1C8D">
        <w:rPr>
          <w:color w:val="000000" w:themeColor="text1"/>
          <w:sz w:val="22"/>
        </w:rPr>
        <w:t xml:space="preserve">: </w:t>
      </w:r>
      <w:bookmarkStart w:id="6" w:name="_Hlk191941813"/>
      <w:r w:rsidRPr="004F1C8D">
        <w:rPr>
          <w:color w:val="000000" w:themeColor="text1"/>
          <w:sz w:val="22"/>
        </w:rPr>
        <w:t xml:space="preserve">Marriot's corporate-level objectives </w:t>
      </w:r>
      <w:bookmarkEnd w:id="6"/>
      <w:r w:rsidR="0068546F" w:rsidRPr="004F1C8D">
        <w:rPr>
          <w:color w:val="000000" w:themeColor="text1"/>
          <w:sz w:val="22"/>
        </w:rPr>
        <w:t>(Marriott, 2024)</w:t>
      </w:r>
    </w:p>
    <w:p w14:paraId="2F39CC89" w14:textId="77777777" w:rsidR="005F6D28" w:rsidRPr="004F1C8D" w:rsidRDefault="000F1888" w:rsidP="00DC23EB">
      <w:pPr>
        <w:rPr>
          <w:color w:val="000000" w:themeColor="text1"/>
        </w:rPr>
      </w:pPr>
      <w:r w:rsidRPr="004F1C8D">
        <w:rPr>
          <w:color w:val="000000" w:themeColor="text1"/>
        </w:rPr>
        <w:t xml:space="preserve">At the </w:t>
      </w:r>
      <w:r w:rsidRPr="004F1C8D">
        <w:rPr>
          <w:b/>
          <w:color w:val="000000" w:themeColor="text1"/>
        </w:rPr>
        <w:t>operational level</w:t>
      </w:r>
      <w:r w:rsidRPr="004F1C8D">
        <w:rPr>
          <w:color w:val="000000" w:themeColor="text1"/>
        </w:rPr>
        <w:t xml:space="preserve">, they are more specific; these are high guest satisfaction scores, high occupancy, and maintaining brand image. These goals align with the </w:t>
      </w:r>
      <w:r w:rsidR="00462B60" w:rsidRPr="004F1C8D">
        <w:rPr>
          <w:color w:val="000000" w:themeColor="text1"/>
        </w:rPr>
        <w:t>corporate</w:t>
      </w:r>
      <w:r w:rsidRPr="004F1C8D">
        <w:rPr>
          <w:color w:val="000000" w:themeColor="text1"/>
        </w:rPr>
        <w:t xml:space="preserve"> and unit-level objectives</w:t>
      </w:r>
      <w:r w:rsidR="00462B60" w:rsidRPr="004F1C8D">
        <w:rPr>
          <w:color w:val="000000" w:themeColor="text1"/>
        </w:rPr>
        <w:t>,</w:t>
      </w:r>
      <w:r w:rsidRPr="004F1C8D">
        <w:rPr>
          <w:color w:val="000000" w:themeColor="text1"/>
        </w:rPr>
        <w:t xml:space="preserve"> which </w:t>
      </w:r>
      <w:r w:rsidR="00462B60" w:rsidRPr="004F1C8D">
        <w:rPr>
          <w:color w:val="000000" w:themeColor="text1"/>
        </w:rPr>
        <w:t>point</w:t>
      </w:r>
      <w:r w:rsidRPr="004F1C8D">
        <w:rPr>
          <w:color w:val="000000" w:themeColor="text1"/>
        </w:rPr>
        <w:t xml:space="preserve"> towards the Management-by-objectives concept that sets out goals at each organisational level</w:t>
      </w:r>
      <w:r w:rsidR="003E7323" w:rsidRPr="004F1C8D">
        <w:rPr>
          <w:color w:val="000000" w:themeColor="text1"/>
        </w:rPr>
        <w:t xml:space="preserve"> (Develi̇, 2023)</w:t>
      </w:r>
      <w:r w:rsidRPr="004F1C8D">
        <w:rPr>
          <w:color w:val="000000" w:themeColor="text1"/>
        </w:rPr>
        <w:t>. However, MBO has a top-down approach</w:t>
      </w:r>
      <w:r w:rsidR="006C1AD1" w:rsidRPr="004F1C8D">
        <w:rPr>
          <w:color w:val="000000" w:themeColor="text1"/>
        </w:rPr>
        <w:t>; thus, it at times ignores the input of subordinates, creating the problem of employee apathy toward</w:t>
      </w:r>
      <w:r w:rsidRPr="004F1C8D">
        <w:rPr>
          <w:color w:val="000000" w:themeColor="text1"/>
        </w:rPr>
        <w:t xml:space="preserve"> the set goals (Develi̇, 2023). At the same time, the focus on the objectives that can be measured in terms of their achievement may contribute to the problem of short-term thinking, which could be detrimental to longer-term planning. </w:t>
      </w:r>
    </w:p>
    <w:p w14:paraId="5768645B" w14:textId="77777777" w:rsidR="0068546F" w:rsidRPr="00596F58" w:rsidRDefault="000F1888" w:rsidP="0068546F">
      <w:pPr>
        <w:keepNext/>
        <w:rPr>
          <w:color w:val="FF0000"/>
        </w:rPr>
      </w:pPr>
      <w:r w:rsidRPr="00596F58">
        <w:rPr>
          <w:noProof/>
          <w:color w:val="FF0000"/>
        </w:rPr>
        <w:lastRenderedPageBreak/>
        <w:drawing>
          <wp:inline distT="0" distB="0" distL="0" distR="0" wp14:anchorId="3EFE0F23" wp14:editId="3397948C">
            <wp:extent cx="5486400" cy="3200400"/>
            <wp:effectExtent l="0" t="0" r="1905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ADEE6ED" w14:textId="77777777" w:rsidR="0068546F" w:rsidRPr="004F1C8D" w:rsidRDefault="000F1888" w:rsidP="0068546F">
      <w:pPr>
        <w:pStyle w:val="Caption"/>
        <w:jc w:val="center"/>
        <w:rPr>
          <w:color w:val="auto"/>
          <w:sz w:val="22"/>
        </w:rPr>
      </w:pPr>
      <w:r w:rsidRPr="004F1C8D">
        <w:rPr>
          <w:color w:val="auto"/>
          <w:sz w:val="22"/>
        </w:rPr>
        <w:t xml:space="preserve">Figure </w:t>
      </w:r>
      <w:r w:rsidRPr="004F1C8D">
        <w:rPr>
          <w:color w:val="auto"/>
          <w:sz w:val="22"/>
        </w:rPr>
        <w:fldChar w:fldCharType="begin"/>
      </w:r>
      <w:r w:rsidRPr="004F1C8D">
        <w:rPr>
          <w:color w:val="auto"/>
          <w:sz w:val="22"/>
        </w:rPr>
        <w:instrText xml:space="preserve"> SEQ Figure \* ARABIC </w:instrText>
      </w:r>
      <w:r w:rsidRPr="004F1C8D">
        <w:rPr>
          <w:color w:val="auto"/>
          <w:sz w:val="22"/>
        </w:rPr>
        <w:fldChar w:fldCharType="separate"/>
      </w:r>
      <w:r w:rsidRPr="004F1C8D">
        <w:rPr>
          <w:noProof/>
          <w:color w:val="auto"/>
          <w:sz w:val="22"/>
        </w:rPr>
        <w:t>5</w:t>
      </w:r>
      <w:r w:rsidRPr="004F1C8D">
        <w:rPr>
          <w:color w:val="auto"/>
          <w:sz w:val="22"/>
        </w:rPr>
        <w:fldChar w:fldCharType="end"/>
      </w:r>
      <w:r w:rsidRPr="004F1C8D">
        <w:rPr>
          <w:color w:val="auto"/>
          <w:sz w:val="22"/>
        </w:rPr>
        <w:t>: Marriott's corporate-level objectives (Marriott, 2024)</w:t>
      </w:r>
    </w:p>
    <w:p w14:paraId="344DF335" w14:textId="77777777" w:rsidR="00B42AA1" w:rsidRDefault="000F1888" w:rsidP="00DC23EB">
      <w:r>
        <w:br w:type="page"/>
      </w:r>
    </w:p>
    <w:p w14:paraId="2D77FB51" w14:textId="77777777" w:rsidR="00B42AA1" w:rsidRDefault="000F1888" w:rsidP="001D3DFF">
      <w:pPr>
        <w:pStyle w:val="Heading1"/>
      </w:pPr>
      <w:bookmarkStart w:id="7" w:name="_Toc191942795"/>
      <w:r>
        <w:lastRenderedPageBreak/>
        <w:t>Recent Change Initiatives</w:t>
      </w:r>
      <w:bookmarkEnd w:id="7"/>
    </w:p>
    <w:p w14:paraId="6EF11BB4" w14:textId="77777777" w:rsidR="004344C7" w:rsidRPr="004344C7" w:rsidRDefault="000F1888" w:rsidP="004344C7">
      <w:pPr>
        <w:pStyle w:val="Heading2"/>
      </w:pPr>
      <w:bookmarkStart w:id="8" w:name="_Toc191942796"/>
      <w:r w:rsidRPr="004344C7">
        <w:t>Sustainability Initiatives</w:t>
      </w:r>
      <w:bookmarkEnd w:id="8"/>
    </w:p>
    <w:p w14:paraId="32C0BAF5" w14:textId="77777777" w:rsidR="007C210A" w:rsidRDefault="000F1888" w:rsidP="007C210A">
      <w:r>
        <w:t>Marriott International started relatively recently</w:t>
      </w:r>
      <w:r w:rsidR="00462B60">
        <w:t>,</w:t>
      </w:r>
      <w:r>
        <w:t xml:space="preserve"> and it </w:t>
      </w:r>
      <w:r w:rsidR="00462B60">
        <w:t>is</w:t>
      </w:r>
      <w:r>
        <w:t xml:space="preserve"> generally related to sustainability and digit</w:t>
      </w:r>
      <w:r w:rsidR="00BD5390">
        <w:t>is</w:t>
      </w:r>
      <w:r>
        <w:t>ation as the company aims to achieve a clear strategic vision of sustainable growth and improvement of guests' experience. A few of them are the 'Serve 360: Doing Good in Every Direction which targets power intensity reduction by 30%, water intensity by 15%</w:t>
      </w:r>
      <w:r w:rsidR="00462B60">
        <w:t>,</w:t>
      </w:r>
      <w:r>
        <w:t xml:space="preserve"> and food waste by 50% in their sites based on 2016 </w:t>
      </w:r>
      <w:r w:rsidR="00462B60">
        <w:t>records</w:t>
      </w:r>
      <w:r>
        <w:t xml:space="preserve"> by 2025</w:t>
      </w:r>
      <w:r w:rsidR="003E7323" w:rsidRPr="003E7323">
        <w:t xml:space="preserve"> (Marriott, 2021)</w:t>
      </w:r>
      <w:r>
        <w:t>. The company has also added electric vehicle charging stations with more than 7,100 EV charging points in 1,800 hotels in 2023</w:t>
      </w:r>
      <w:r w:rsidR="003E7323" w:rsidRPr="003E7323">
        <w:t xml:space="preserve"> (Kapoor et al., 2024)</w:t>
      </w:r>
      <w:r>
        <w:t>. Marriott also spent about $1.</w:t>
      </w:r>
      <w:r w:rsidR="00452819">
        <w:t>2 billion on technology in 2024.</w:t>
      </w:r>
      <w:r>
        <w:t xml:space="preserve"> It has adopted the virtual assistant technology, “RenAI" for its hospitality business, as well as a generative AI assistant search in the Homes &amp; Villas section</w:t>
      </w:r>
      <w:r w:rsidR="00ED1109" w:rsidRPr="00ED1109">
        <w:t xml:space="preserve"> (Marriott International, 2024)</w:t>
      </w:r>
      <w:r>
        <w:t xml:space="preserve">. </w:t>
      </w:r>
      <w:r w:rsidR="000C3C1C">
        <w:t>It includes</w:t>
      </w:r>
      <w:r>
        <w:t xml:space="preserve"> efficient operations, accruing value to its key stakeholders, and environmental sustainability.</w:t>
      </w:r>
    </w:p>
    <w:p w14:paraId="26D11881" w14:textId="77777777" w:rsidR="000249DA" w:rsidRDefault="000F1888" w:rsidP="000249DA">
      <w:pPr>
        <w:keepNext/>
        <w:jc w:val="center"/>
      </w:pPr>
      <w:r>
        <w:rPr>
          <w:noProof/>
        </w:rPr>
        <w:lastRenderedPageBreak/>
        <w:drawing>
          <wp:inline distT="0" distB="0" distL="0" distR="0" wp14:anchorId="592A88BD" wp14:editId="4FCC983F">
            <wp:extent cx="4025735" cy="4345952"/>
            <wp:effectExtent l="0" t="0" r="0" b="0"/>
            <wp:docPr id="10" name="Picture 10" descr="Marriott Excelling at ESG According to Latest Report | Nasda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 descr="Marriott Excelling at ESG According to Latest Report | Nasdaq"/>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4025776" cy="4345997"/>
                    </a:xfrm>
                    <a:prstGeom prst="rect">
                      <a:avLst/>
                    </a:prstGeom>
                    <a:noFill/>
                    <a:ln>
                      <a:noFill/>
                    </a:ln>
                  </pic:spPr>
                </pic:pic>
              </a:graphicData>
            </a:graphic>
          </wp:inline>
        </w:drawing>
      </w:r>
    </w:p>
    <w:p w14:paraId="3EA5DBFD" w14:textId="77777777" w:rsidR="000249DA" w:rsidRPr="000249DA" w:rsidRDefault="000F1888" w:rsidP="000249DA">
      <w:pPr>
        <w:pStyle w:val="Caption"/>
        <w:jc w:val="center"/>
        <w:rPr>
          <w:color w:val="auto"/>
          <w:sz w:val="22"/>
        </w:rPr>
      </w:pPr>
      <w:r w:rsidRPr="000249DA">
        <w:rPr>
          <w:color w:val="auto"/>
          <w:sz w:val="22"/>
        </w:rPr>
        <w:t xml:space="preserve">Figure </w:t>
      </w:r>
      <w:r w:rsidRPr="000249DA">
        <w:rPr>
          <w:color w:val="auto"/>
          <w:sz w:val="22"/>
        </w:rPr>
        <w:fldChar w:fldCharType="begin"/>
      </w:r>
      <w:r w:rsidRPr="000249DA">
        <w:rPr>
          <w:color w:val="auto"/>
          <w:sz w:val="22"/>
        </w:rPr>
        <w:instrText xml:space="preserve"> SEQ Figure \* ARABIC </w:instrText>
      </w:r>
      <w:r w:rsidRPr="000249DA">
        <w:rPr>
          <w:color w:val="auto"/>
          <w:sz w:val="22"/>
        </w:rPr>
        <w:fldChar w:fldCharType="separate"/>
      </w:r>
      <w:r w:rsidR="0068546F">
        <w:rPr>
          <w:noProof/>
          <w:color w:val="auto"/>
          <w:sz w:val="22"/>
        </w:rPr>
        <w:t>6</w:t>
      </w:r>
      <w:r w:rsidRPr="000249DA">
        <w:rPr>
          <w:color w:val="auto"/>
          <w:sz w:val="22"/>
        </w:rPr>
        <w:fldChar w:fldCharType="end"/>
      </w:r>
      <w:r w:rsidRPr="000249DA">
        <w:rPr>
          <w:color w:val="auto"/>
          <w:sz w:val="22"/>
        </w:rPr>
        <w:t>: Sustainability Performance Metrics (Marriott, 2024)</w:t>
      </w:r>
    </w:p>
    <w:p w14:paraId="7BF54B8D" w14:textId="77777777" w:rsidR="004344C7" w:rsidRDefault="000F1888" w:rsidP="004344C7">
      <w:pPr>
        <w:pStyle w:val="Heading2"/>
      </w:pPr>
      <w:bookmarkStart w:id="9" w:name="_Toc191942797"/>
      <w:r>
        <w:t>Digital Transformation Initiatives</w:t>
      </w:r>
      <w:bookmarkEnd w:id="9"/>
    </w:p>
    <w:p w14:paraId="0C606DD7" w14:textId="77777777" w:rsidR="004344C7" w:rsidRDefault="000F1888" w:rsidP="004344C7">
      <w:r w:rsidRPr="001D3DFF">
        <w:t xml:space="preserve">The effects have been quite profound in most of these initiatives. The measures have helped promote the Marriott brand among these groups of consumers and establish itself as a leader in sustainability by improving client satisfaction and loyalty. </w:t>
      </w:r>
      <w:r>
        <w:t>For instance, facilities such as E</w:t>
      </w:r>
      <w:r w:rsidR="008C12DB">
        <w:t>lectric Vehicles</w:t>
      </w:r>
      <w:r>
        <w:t xml:space="preserve"> charging infrastructure provide a need to satisfy greener commuting</w:t>
      </w:r>
      <w:r w:rsidR="00462B60">
        <w:t>,</w:t>
      </w:r>
      <w:r>
        <w:t xml:space="preserve"> thus adopting higher occupancy levels</w:t>
      </w:r>
      <w:r w:rsidR="00ED1109" w:rsidRPr="00ED1109">
        <w:t xml:space="preserve"> (Mastoi et al., 2022)</w:t>
      </w:r>
      <w:r>
        <w:t>. Further, digital transformation enhanced guest exp</w:t>
      </w:r>
      <w:r w:rsidR="000C3C1C">
        <w:t>eriences such as</w:t>
      </w:r>
      <w:r>
        <w:t xml:space="preserve"> easy booking mechanisms, and operational changes</w:t>
      </w:r>
      <w:r w:rsidR="00ED1109" w:rsidRPr="00ED1109">
        <w:t xml:space="preserve"> (Stavrianea and Kamenidou, 2021)</w:t>
      </w:r>
      <w:r>
        <w:t>. The adoption of AI technology has also benefited customers by predicting their needs and optim</w:t>
      </w:r>
      <w:r w:rsidR="00BD5390">
        <w:t>is</w:t>
      </w:r>
      <w:r w:rsidR="000C3C1C">
        <w:t xml:space="preserve">ing resources in the </w:t>
      </w:r>
      <w:r>
        <w:t xml:space="preserve">hotel. </w:t>
      </w:r>
    </w:p>
    <w:p w14:paraId="6A629045" w14:textId="77777777" w:rsidR="004344C7" w:rsidRDefault="000F1888" w:rsidP="004344C7">
      <w:pPr>
        <w:pStyle w:val="Heading2"/>
      </w:pPr>
      <w:bookmarkStart w:id="10" w:name="_Toc191942798"/>
      <w:r>
        <w:lastRenderedPageBreak/>
        <w:t>Change Management Evaluation</w:t>
      </w:r>
      <w:bookmarkEnd w:id="10"/>
    </w:p>
    <w:p w14:paraId="624585A0" w14:textId="77777777" w:rsidR="00BD5390" w:rsidRPr="00BD5390" w:rsidRDefault="000F1888" w:rsidP="00BD5390">
      <w:r w:rsidRPr="00BD5390">
        <w:t>An analysis of the effectiveness of change management in these initiatives shows that there is a tactical approach that is consistent with Lewin’s Change Management Model</w:t>
      </w:r>
      <w:r w:rsidR="00ED1109" w:rsidRPr="00ED1109">
        <w:t xml:space="preserve"> </w:t>
      </w:r>
      <w:bookmarkStart w:id="11" w:name="_Hlk191942402"/>
      <w:r w:rsidR="00ED1109" w:rsidRPr="00ED1109">
        <w:t>(Harrison et al., 2021)</w:t>
      </w:r>
      <w:bookmarkEnd w:id="11"/>
      <w:r w:rsidRPr="00BD5390">
        <w:t>.</w:t>
      </w:r>
      <w:r>
        <w:t xml:space="preserve"> Marriott dictates sustainability and digital priorities and once again, unfreezes traditional practices whenever necessary by leading a presentation to all the major stakeholders about its prospects and convincing them about the company's goals. Implementation pertains to the actualisation of change, where new technologies and sustainability programmes that help in the actualisation of the core objectives of the change initiative are put in place and accompanied by training </w:t>
      </w:r>
      <w:r w:rsidR="00F32421">
        <w:t>and</w:t>
      </w:r>
      <w:r>
        <w:t xml:space="preserve"> needed </w:t>
      </w:r>
      <w:r w:rsidR="00ED1109">
        <w:t>resources</w:t>
      </w:r>
      <w:r w:rsidR="00ED1109" w:rsidRPr="00ED1109">
        <w:t xml:space="preserve"> (Henningsson et al., 2021)</w:t>
      </w:r>
      <w:r>
        <w:t>. Lastly, in the refreezing stage, these changes become permanent practices through modifications in policies an</w:t>
      </w:r>
      <w:r w:rsidR="00F32421">
        <w:t>d regular practice evaluations</w:t>
      </w:r>
      <w:r w:rsidR="008211EC">
        <w:t xml:space="preserve"> </w:t>
      </w:r>
      <w:r w:rsidR="008211EC" w:rsidRPr="008211EC">
        <w:t>(Harrison et al., 2021)</w:t>
      </w:r>
      <w:r w:rsidR="00F32421">
        <w:t xml:space="preserve">. </w:t>
      </w:r>
      <w:r w:rsidR="000C3C1C">
        <w:t>H</w:t>
      </w:r>
      <w:r w:rsidR="000C3C1C" w:rsidRPr="000C3C1C">
        <w:t>owever, anal</w:t>
      </w:r>
      <w:r w:rsidR="00803F9D">
        <w:t>ys</w:t>
      </w:r>
      <w:r w:rsidR="000C3C1C" w:rsidRPr="000C3C1C">
        <w:t>ing the situation with Kotter’s Eight-Step Change Model shows that there is a lack of continuous communication and employee involvement in maintaining the change process’s pace</w:t>
      </w:r>
      <w:r w:rsidR="00ED1109" w:rsidRPr="00ED1109">
        <w:t xml:space="preserve"> (Shah et al., 2023)</w:t>
      </w:r>
      <w:r w:rsidR="000C3C1C" w:rsidRPr="000C3C1C">
        <w:t>.</w:t>
      </w:r>
      <w:r w:rsidR="000C3C1C">
        <w:t xml:space="preserve"> These</w:t>
      </w:r>
      <w:r>
        <w:t xml:space="preserve"> objectives are in line with the Resource-Based View of strategic management and utilise Marriott's brand recognition, technology expertise, and numerous properties to achieve competitive advantage. Nonetheless, according to the Dynamic Capabilities Theory, it is critical to determine how Marriott could successfully adapt to the internal conditions and external forces in the future, such as changes in expectations and legislation</w:t>
      </w:r>
      <w:r w:rsidR="00ED1109" w:rsidRPr="00ED1109">
        <w:t xml:space="preserve"> (VU, 2020)</w:t>
      </w:r>
      <w:r>
        <w:t>. Although Marriott promotes a culture that is suitable for change, as established in the responses, the organ</w:t>
      </w:r>
      <w:r w:rsidR="00803F9D">
        <w:t>is</w:t>
      </w:r>
      <w:r>
        <w:t>ation continues to face the challenge of adopting a new culture that is more progressive, lean, and always learning</w:t>
      </w:r>
      <w:r w:rsidR="00462B60">
        <w:t>,</w:t>
      </w:r>
      <w:r>
        <w:t xml:space="preserve"> which would support the change initiative of new technologies and practices in sustainability.</w:t>
      </w:r>
      <w:r>
        <w:br w:type="page"/>
      </w:r>
    </w:p>
    <w:p w14:paraId="20242DCF" w14:textId="77777777" w:rsidR="00D31E23" w:rsidRDefault="000F1888" w:rsidP="00D31E23">
      <w:pPr>
        <w:pStyle w:val="Heading1"/>
      </w:pPr>
      <w:bookmarkStart w:id="12" w:name="_Toc191942799"/>
      <w:r>
        <w:lastRenderedPageBreak/>
        <w:t>Strategic Direction</w:t>
      </w:r>
      <w:bookmarkEnd w:id="12"/>
    </w:p>
    <w:p w14:paraId="26FE1A25" w14:textId="77777777" w:rsidR="000249DA" w:rsidRDefault="000F1888" w:rsidP="005B1673">
      <w:r>
        <w:t>Marriott has adopted the strategic plan of growth as well as diversifying in business. Market penetration is one of the techniques that has been adopted by the company along with product development, market expansion</w:t>
      </w:r>
      <w:r w:rsidR="00462B60">
        <w:t>,</w:t>
      </w:r>
      <w:r>
        <w:t xml:space="preserve"> and product diversification</w:t>
      </w:r>
      <w:r w:rsidR="00462B60">
        <w:t>,</w:t>
      </w:r>
      <w:r>
        <w:t xml:space="preserve"> which squarely fits into the Ansoff Matrix</w:t>
      </w:r>
      <w:r w:rsidR="003C06CB" w:rsidRPr="003C06CB">
        <w:t xml:space="preserve"> (Patra and Bharatiya, 2020)</w:t>
      </w:r>
      <w:r>
        <w:t xml:space="preserve">. In 2023, Marriott increased its growth in the Caribbean and Latin America (CALA) pipeline, almost tripling organic deal signings and achieving a pipeline by Year End </w:t>
      </w:r>
      <w:r w:rsidR="00462B60">
        <w:t xml:space="preserve">of </w:t>
      </w:r>
      <w:r>
        <w:t>24,000 rooms</w:t>
      </w:r>
      <w:r w:rsidR="003C06CB" w:rsidRPr="003C06CB">
        <w:t xml:space="preserve"> (Marriott International, 2023)</w:t>
      </w:r>
      <w:r>
        <w:t>. This expansion shows Marriott's strategic aim at capturing growth in growth regions.</w:t>
      </w:r>
      <w:r w:rsidR="003C06CB" w:rsidRPr="003C06CB">
        <w:t xml:space="preserve"> </w:t>
      </w:r>
      <w:r w:rsidR="00FC6087">
        <w:t xml:space="preserve">According to Marriott International </w:t>
      </w:r>
      <w:r w:rsidR="00FC6087" w:rsidRPr="00FC6087">
        <w:t>(</w:t>
      </w:r>
      <w:r w:rsidR="00FC6087">
        <w:t>2023</w:t>
      </w:r>
      <w:r w:rsidR="003C06CB" w:rsidRPr="003C06CB">
        <w:t>)</w:t>
      </w:r>
      <w:r>
        <w:t xml:space="preserve">, the same company continued the expansion of its brand portfolio through the acquisition of the City Express brand in the year 2011, which is in the affordable MIDs segments and expanded the company's operation in the CALA region by about 45%. It has also engaged in hotel conversions, with approximately 35 </w:t>
      </w:r>
      <w:r w:rsidR="004344C7" w:rsidRPr="004344C7">
        <w:t>%</w:t>
      </w:r>
      <w:r>
        <w:t xml:space="preserve"> of the rooms signed for 2023 from conversion</w:t>
      </w:r>
      <w:r w:rsidR="00462B60">
        <w:t>,</w:t>
      </w:r>
      <w:r>
        <w:t xml:space="preserve"> which makes it easy for the company to expand for brand awareness</w:t>
      </w:r>
      <w:r w:rsidR="00FC6087" w:rsidRPr="00FC6087">
        <w:t xml:space="preserve"> (Marriott, 2023)</w:t>
      </w:r>
      <w:r>
        <w:t xml:space="preserve">. </w:t>
      </w:r>
    </w:p>
    <w:p w14:paraId="7D3DBCE7" w14:textId="77777777" w:rsidR="000249DA" w:rsidRDefault="000F1888" w:rsidP="000249DA">
      <w:pPr>
        <w:keepNext/>
        <w:jc w:val="center"/>
      </w:pPr>
      <w:r w:rsidRPr="000249DA">
        <w:rPr>
          <w:noProof/>
        </w:rPr>
        <w:drawing>
          <wp:inline distT="0" distB="0" distL="0" distR="0" wp14:anchorId="76F97DB4" wp14:editId="5C5853E8">
            <wp:extent cx="5049859" cy="1769424"/>
            <wp:effectExtent l="0" t="0" r="0" b="2540"/>
            <wp:docPr id="9" name="Picture 9" descr="2023 ANNUAL RE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1" descr="2023 ANNUAL REPORT"/>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057391" cy="1772063"/>
                    </a:xfrm>
                    <a:prstGeom prst="rect">
                      <a:avLst/>
                    </a:prstGeom>
                    <a:noFill/>
                    <a:ln>
                      <a:noFill/>
                    </a:ln>
                  </pic:spPr>
                </pic:pic>
              </a:graphicData>
            </a:graphic>
          </wp:inline>
        </w:drawing>
      </w:r>
    </w:p>
    <w:p w14:paraId="4484E45A" w14:textId="77777777" w:rsidR="000249DA" w:rsidRPr="000249DA" w:rsidRDefault="000F1888" w:rsidP="000249DA">
      <w:pPr>
        <w:pStyle w:val="Caption"/>
        <w:jc w:val="center"/>
        <w:rPr>
          <w:color w:val="auto"/>
          <w:sz w:val="22"/>
        </w:rPr>
      </w:pPr>
      <w:r w:rsidRPr="000249DA">
        <w:rPr>
          <w:color w:val="auto"/>
          <w:sz w:val="22"/>
        </w:rPr>
        <w:t xml:space="preserve">Figure </w:t>
      </w:r>
      <w:r w:rsidRPr="000249DA">
        <w:rPr>
          <w:color w:val="auto"/>
          <w:sz w:val="22"/>
        </w:rPr>
        <w:fldChar w:fldCharType="begin"/>
      </w:r>
      <w:r w:rsidRPr="000249DA">
        <w:rPr>
          <w:color w:val="auto"/>
          <w:sz w:val="22"/>
        </w:rPr>
        <w:instrText xml:space="preserve"> SEQ Figure \* ARABIC </w:instrText>
      </w:r>
      <w:r w:rsidRPr="000249DA">
        <w:rPr>
          <w:color w:val="auto"/>
          <w:sz w:val="22"/>
        </w:rPr>
        <w:fldChar w:fldCharType="separate"/>
      </w:r>
      <w:r w:rsidR="0068546F">
        <w:rPr>
          <w:noProof/>
          <w:color w:val="auto"/>
          <w:sz w:val="22"/>
        </w:rPr>
        <w:t>7</w:t>
      </w:r>
      <w:r w:rsidRPr="000249DA">
        <w:rPr>
          <w:color w:val="auto"/>
          <w:sz w:val="22"/>
        </w:rPr>
        <w:fldChar w:fldCharType="end"/>
      </w:r>
      <w:r w:rsidRPr="000249DA">
        <w:rPr>
          <w:color w:val="auto"/>
          <w:sz w:val="22"/>
        </w:rPr>
        <w:t>: Brand Portfolio Distribution (Marriott, 2024)</w:t>
      </w:r>
    </w:p>
    <w:p w14:paraId="3939230B" w14:textId="77777777" w:rsidR="005B1673" w:rsidRDefault="000F1888" w:rsidP="005B1673">
      <w:r>
        <w:t>Below are some corporate strategies that have been put in place to optim</w:t>
      </w:r>
      <w:r w:rsidR="00BD5390">
        <w:t>is</w:t>
      </w:r>
      <w:r>
        <w:t xml:space="preserve">e its long-term goals; these position Marriott International strategically against its competitors. </w:t>
      </w:r>
    </w:p>
    <w:p w14:paraId="6002285F" w14:textId="77777777" w:rsidR="005B1673" w:rsidRDefault="000F1888" w:rsidP="005612A5">
      <w:pPr>
        <w:pStyle w:val="ListParagraph"/>
        <w:numPr>
          <w:ilvl w:val="0"/>
          <w:numId w:val="2"/>
        </w:numPr>
      </w:pPr>
      <w:r>
        <w:t>Marriott has asset-light real</w:t>
      </w:r>
      <w:r w:rsidR="00BD5390">
        <w:t>is</w:t>
      </w:r>
      <w:r>
        <w:t>ation</w:t>
      </w:r>
      <w:r w:rsidR="00462B60">
        <w:t>,</w:t>
      </w:r>
      <w:r>
        <w:t xml:space="preserve"> either managing or franchising rather than owning the properties</w:t>
      </w:r>
      <w:r w:rsidR="00FC6087" w:rsidRPr="00FC6087">
        <w:t xml:space="preserve"> (Gauthier, 2021)</w:t>
      </w:r>
      <w:r>
        <w:t xml:space="preserve">. This makes your cost of investment low and improves return on investment to help grow businesses more quickly and achieve greater responsiveness to market forces. Marriott also uses this model but spends huge resources on networks to improve its guest services and </w:t>
      </w:r>
      <w:r>
        <w:lastRenderedPageBreak/>
        <w:t xml:space="preserve">experience, which makes Hilton reveal that Marriott could intensify </w:t>
      </w:r>
      <w:r w:rsidR="00462B60">
        <w:t>utilising</w:t>
      </w:r>
      <w:r>
        <w:t xml:space="preserve"> technological affiliations for differentiation</w:t>
      </w:r>
      <w:r w:rsidR="005612A5" w:rsidRPr="005612A5">
        <w:t xml:space="preserve"> (Hilton, 2024)</w:t>
      </w:r>
      <w:r>
        <w:t>.</w:t>
      </w:r>
    </w:p>
    <w:p w14:paraId="4DD3BA60" w14:textId="77777777" w:rsidR="005B1673" w:rsidRDefault="000F1888" w:rsidP="005612A5">
      <w:pPr>
        <w:pStyle w:val="ListParagraph"/>
        <w:numPr>
          <w:ilvl w:val="0"/>
          <w:numId w:val="2"/>
        </w:numPr>
      </w:pPr>
      <w:r>
        <w:t>The firm has another attractive growth factor which involves diversification of its brands whereby Marriott has recently acquired City Express to tap affordable midscale</w:t>
      </w:r>
      <w:r w:rsidR="00F82AF5" w:rsidRPr="00F82AF5">
        <w:t xml:space="preserve"> (Marriott International, 2022)</w:t>
      </w:r>
      <w:r>
        <w:t xml:space="preserve">. Through this strategy, it aims at filling the value segment thus directly competing with Accor's Ibis and Hilton's Hampton brands. Nonetheless, there is a competitive threat when Accor </w:t>
      </w:r>
      <w:r w:rsidR="00462B60">
        <w:t>Group</w:t>
      </w:r>
      <w:r>
        <w:t xml:space="preserve"> aims to expand at a fast pace in emerging economies, therefore, Marriott needs to improve localised advertising</w:t>
      </w:r>
      <w:r w:rsidR="005612A5" w:rsidRPr="005612A5">
        <w:t xml:space="preserve"> (Service.gov.uk, 2025)</w:t>
      </w:r>
      <w:r>
        <w:t>.</w:t>
      </w:r>
    </w:p>
    <w:p w14:paraId="4EA1C400" w14:textId="77777777" w:rsidR="005B1673" w:rsidRDefault="000F1888" w:rsidP="00F82AF5">
      <w:pPr>
        <w:pStyle w:val="ListParagraph"/>
        <w:numPr>
          <w:ilvl w:val="0"/>
          <w:numId w:val="2"/>
        </w:numPr>
      </w:pPr>
      <w:r>
        <w:t>Through property conversions, Marriott has more room signings in 2023</w:t>
      </w:r>
      <w:r w:rsidR="00462B60">
        <w:t>,</w:t>
      </w:r>
      <w:r>
        <w:t xml:space="preserve"> and this is one of the strategies the firm uses to increase </w:t>
      </w:r>
      <w:r w:rsidR="00462B60">
        <w:t>operational</w:t>
      </w:r>
      <w:r>
        <w:t xml:space="preserve"> capacity</w:t>
      </w:r>
      <w:r w:rsidR="00F82AF5" w:rsidRPr="00F82AF5">
        <w:t xml:space="preserve"> (Marriott International, 2024)</w:t>
      </w:r>
      <w:r>
        <w:t>. This allows the institution to adapt to the market quickly without the expenditure of new construction. However, IHG has a simple and quick conversion strategy that takes less time to integrate a brand, which should be an area of concern for Marriott</w:t>
      </w:r>
      <w:r w:rsidR="00F82AF5" w:rsidRPr="00F82AF5">
        <w:t xml:space="preserve"> (Ford, 2024)</w:t>
      </w:r>
      <w:r>
        <w:t>.</w:t>
      </w:r>
    </w:p>
    <w:p w14:paraId="2EE906A6" w14:textId="77777777" w:rsidR="007E4AD5" w:rsidRPr="005B1673" w:rsidRDefault="000F1888" w:rsidP="005612A5">
      <w:pPr>
        <w:pStyle w:val="ListParagraph"/>
        <w:numPr>
          <w:ilvl w:val="0"/>
          <w:numId w:val="2"/>
        </w:numPr>
        <w:rPr>
          <w:rFonts w:ascii="Times New Roman" w:eastAsiaTheme="majorEastAsia" w:hAnsi="Times New Roman" w:cstheme="majorBidi"/>
          <w:b/>
          <w:bCs/>
          <w:sz w:val="32"/>
          <w:szCs w:val="28"/>
        </w:rPr>
      </w:pPr>
      <w:r>
        <w:t>Marriott is aimed exclusively at luxury and extended-stay chains with 490 luxury hotels and 225 in development</w:t>
      </w:r>
      <w:r w:rsidR="00462B60">
        <w:t>,</w:t>
      </w:r>
      <w:r>
        <w:t xml:space="preserve"> which adds up to more </w:t>
      </w:r>
      <w:r w:rsidR="002C41BE">
        <w:t>than</w:t>
      </w:r>
      <w:r>
        <w:t xml:space="preserve"> Hilton’s luxury portfolio</w:t>
      </w:r>
      <w:r w:rsidR="005612A5" w:rsidRPr="005612A5">
        <w:t xml:space="preserve"> </w:t>
      </w:r>
      <w:r w:rsidR="005612A5">
        <w:t>(Marriott International, 2023</w:t>
      </w:r>
      <w:r w:rsidR="005612A5" w:rsidRPr="005612A5">
        <w:t>)</w:t>
      </w:r>
      <w:r>
        <w:t>. The new Apartments by Marriott Bonvoy is designed to meet the extended-stay segment’s needs, which is in direct competition with Airbnb Accor's Select, and other associated brands</w:t>
      </w:r>
      <w:r w:rsidR="005612A5" w:rsidRPr="005612A5">
        <w:t xml:space="preserve"> (all.accor.com, 2024)</w:t>
      </w:r>
      <w:r>
        <w:t xml:space="preserve">. Nonetheless, as competitors started adopting digital concierge services, Marriott International </w:t>
      </w:r>
      <w:r w:rsidR="00462B60">
        <w:t>had</w:t>
      </w:r>
      <w:r>
        <w:t xml:space="preserve"> to improve on the personal</w:t>
      </w:r>
      <w:r w:rsidR="00BD5390">
        <w:t>is</w:t>
      </w:r>
      <w:r>
        <w:t>ation technologies.</w:t>
      </w:r>
    </w:p>
    <w:p w14:paraId="3CB0CF31" w14:textId="77777777" w:rsidR="005B1673" w:rsidRPr="005B1673" w:rsidRDefault="000F1888" w:rsidP="005B1673">
      <w:pPr>
        <w:pStyle w:val="ListParagraph"/>
        <w:numPr>
          <w:ilvl w:val="0"/>
          <w:numId w:val="2"/>
        </w:numPr>
        <w:spacing w:line="276" w:lineRule="auto"/>
        <w:jc w:val="left"/>
        <w:rPr>
          <w:rFonts w:ascii="Times New Roman" w:eastAsiaTheme="majorEastAsia" w:hAnsi="Times New Roman" w:cstheme="majorBidi"/>
          <w:b/>
          <w:bCs/>
          <w:sz w:val="32"/>
          <w:szCs w:val="28"/>
        </w:rPr>
      </w:pPr>
      <w:r>
        <w:br w:type="page"/>
      </w:r>
    </w:p>
    <w:p w14:paraId="6609702D" w14:textId="77777777" w:rsidR="00124D7E" w:rsidRDefault="000F1888" w:rsidP="00124D7E">
      <w:pPr>
        <w:pStyle w:val="Heading1"/>
      </w:pPr>
      <w:bookmarkStart w:id="13" w:name="_Toc191942800"/>
      <w:r>
        <w:lastRenderedPageBreak/>
        <w:t>Conclusion</w:t>
      </w:r>
      <w:bookmarkEnd w:id="13"/>
    </w:p>
    <w:p w14:paraId="13216556" w14:textId="77777777" w:rsidR="00124D7E" w:rsidRDefault="000F1888" w:rsidP="00124D7E">
      <w:r>
        <w:t>This paper focused on evaluating Marriott International’s function, culture, objectives, and changes over recent years, and development strategy. The blended structure in the organ</w:t>
      </w:r>
      <w:r w:rsidR="00BD5390">
        <w:t>is</w:t>
      </w:r>
      <w:r>
        <w:t>ation allows for global unity while respecting local cultural differences and improving the performance of each organ</w:t>
      </w:r>
      <w:r w:rsidR="00BD5390">
        <w:t>is</w:t>
      </w:r>
      <w:r>
        <w:t xml:space="preserve">ational unit. However, it is not easy to make quick decisions because of its complexity. This statement is true as Marriott's people-centred culture ensures that employees are committed through engagement to deliver quality services. </w:t>
      </w:r>
      <w:r w:rsidR="003477F5">
        <w:t xml:space="preserve">Provided </w:t>
      </w:r>
      <w:r>
        <w:t>objectives are strategic and oriented towards growth, profitab</w:t>
      </w:r>
      <w:r w:rsidR="003477F5">
        <w:t>ility</w:t>
      </w:r>
      <w:r w:rsidR="00462B60">
        <w:t>,</w:t>
      </w:r>
      <w:r w:rsidR="003477F5">
        <w:t xml:space="preserve"> as well as sustainability.</w:t>
      </w:r>
      <w:r>
        <w:t xml:space="preserve"> </w:t>
      </w:r>
      <w:r w:rsidR="003477F5">
        <w:t>However</w:t>
      </w:r>
      <w:r>
        <w:t>, achieving short-term specific objectives while being aware of the long-term objectives is the key. Appropriate investments mean the util</w:t>
      </w:r>
      <w:r w:rsidR="00BD5390">
        <w:t>is</w:t>
      </w:r>
      <w:r>
        <w:t>ation of Artificial Intelligence and circular economy principles to retain competitiveness. In conclusion, Marriott’s responsive actions and organ</w:t>
      </w:r>
      <w:r w:rsidR="00BD5390">
        <w:t>is</w:t>
      </w:r>
      <w:r>
        <w:t xml:space="preserve">ational preparedness have a strong model for stable development, but constant assessment and dynamic management are </w:t>
      </w:r>
      <w:r w:rsidR="00462B60">
        <w:t xml:space="preserve">needed </w:t>
      </w:r>
      <w:r>
        <w:t>to remain competitive as a global hotel chain.</w:t>
      </w:r>
    </w:p>
    <w:p w14:paraId="033958CE" w14:textId="77777777" w:rsidR="00462B60" w:rsidRDefault="000F1888">
      <w:pPr>
        <w:spacing w:line="276" w:lineRule="auto"/>
        <w:jc w:val="left"/>
      </w:pPr>
      <w:r>
        <w:br w:type="page"/>
      </w:r>
    </w:p>
    <w:p w14:paraId="4A109207" w14:textId="77777777" w:rsidR="00462B60" w:rsidRDefault="000F1888" w:rsidP="00462B60">
      <w:pPr>
        <w:pStyle w:val="Heading1"/>
      </w:pPr>
      <w:bookmarkStart w:id="14" w:name="_Toc191942801"/>
      <w:r>
        <w:lastRenderedPageBreak/>
        <w:t>Recommendations</w:t>
      </w:r>
      <w:bookmarkEnd w:id="14"/>
    </w:p>
    <w:p w14:paraId="78BF036A" w14:textId="77777777" w:rsidR="00462B60" w:rsidRDefault="000F1888" w:rsidP="00462B60">
      <w:r>
        <w:t>Digital innovation and sustainability can be viewed as critical areas of investment that would help Marriott International strengthen its competitive positioning. First, Marriott should increase AI-powered personalisation throughout the guest encounters across all the guest touch points such as the application and the rooms</w:t>
      </w:r>
      <w:r w:rsidRPr="00312F30">
        <w:t xml:space="preserve"> (Bhuiyan, 2024)</w:t>
      </w:r>
      <w:r>
        <w:t>. This would call for cooperation with leading tech firms to bring in cutting-edge AI and IoT technologies, which has a threat from Hilton, which has increased its technological adoption strategies.</w:t>
      </w:r>
    </w:p>
    <w:p w14:paraId="52F2E76D" w14:textId="77777777" w:rsidR="00462B60" w:rsidRDefault="000F1888" w:rsidP="00462B60">
      <w:r>
        <w:t>Secondly, Marriott should increase the pace of sustainability efforts by adopting circular economy strategies, including reusable products like amenities and waste-to-energy outlets that can effectively cater to environmentally mindful consumers in important markets like North America and Europe</w:t>
      </w:r>
      <w:r w:rsidRPr="00312F30">
        <w:t xml:space="preserve"> (Adeel et al., 2024)</w:t>
      </w:r>
      <w:r>
        <w:t>. This is because other competitors like Accor have gone further in this direction by incorporating carbon-neutral hotels; hence, Marriott needs to challenge these efforts to strengthen its brand image.</w:t>
      </w:r>
    </w:p>
    <w:p w14:paraId="4BA52C6B" w14:textId="77777777" w:rsidR="00462B60" w:rsidRDefault="000F1888" w:rsidP="00462B60">
      <w:r>
        <w:t>Third, to overcome the problems of organisational culture consistency on the global level, Marriott needs to adopt the concept of decentralised leadership to ensure that culture fit leads to the adaptation of organisational cultures by regional leaders to fit the culture of the respective nations</w:t>
      </w:r>
      <w:r w:rsidRPr="00312F30">
        <w:t xml:space="preserve"> (Jerab and Mabrouk, 2023)</w:t>
      </w:r>
      <w:r>
        <w:t>. This would lead to higher employee productivity and flexibility of operations.</w:t>
      </w:r>
    </w:p>
    <w:p w14:paraId="1AA5ED53" w14:textId="77777777" w:rsidR="00462B60" w:rsidRDefault="000F1888" w:rsidP="00462B60">
      <w:r>
        <w:t xml:space="preserve"> Lastly, Marriott has to increase its geographic scope; namely, the company needs to invest in various new lines of business in the Asia-Pacific region because the growth there is expected to be very vigorous</w:t>
      </w:r>
      <w:r w:rsidRPr="00312F30">
        <w:t xml:space="preserve"> (Singh, Paul and Dhir, 2021)</w:t>
      </w:r>
      <w:r>
        <w:t>. These come in handy in the achievement of Marriott's strategic goals and objectives within a highly volatile market environment.</w:t>
      </w:r>
    </w:p>
    <w:p w14:paraId="6A8E4491" w14:textId="77777777" w:rsidR="00462B60" w:rsidRDefault="00462B60" w:rsidP="00462B60">
      <w:pPr>
        <w:spacing w:line="276" w:lineRule="auto"/>
        <w:jc w:val="left"/>
      </w:pPr>
    </w:p>
    <w:p w14:paraId="6EE97073" w14:textId="77777777" w:rsidR="00796A33" w:rsidRDefault="000F1888">
      <w:pPr>
        <w:spacing w:line="276" w:lineRule="auto"/>
        <w:jc w:val="left"/>
      </w:pPr>
      <w:r>
        <w:br w:type="page"/>
      </w:r>
    </w:p>
    <w:p w14:paraId="0C8BDCB3" w14:textId="77777777" w:rsidR="00796A33" w:rsidRDefault="000F1888" w:rsidP="00796A33">
      <w:pPr>
        <w:pStyle w:val="Heading1"/>
      </w:pPr>
      <w:bookmarkStart w:id="15" w:name="_Toc191942802"/>
      <w:r>
        <w:lastRenderedPageBreak/>
        <w:t>References</w:t>
      </w:r>
      <w:bookmarkEnd w:id="15"/>
      <w:r>
        <w:t xml:space="preserve"> </w:t>
      </w:r>
    </w:p>
    <w:p w14:paraId="6C9E684F" w14:textId="77777777" w:rsidR="00312F30" w:rsidRPr="00312F30" w:rsidRDefault="000F1888" w:rsidP="00A7709D">
      <w:pPr>
        <w:pStyle w:val="ListParagraph"/>
        <w:numPr>
          <w:ilvl w:val="0"/>
          <w:numId w:val="3"/>
        </w:numPr>
      </w:pPr>
      <w:r w:rsidRPr="00312F30">
        <w:t xml:space="preserve">Adeel, H.B., Sabir, R.I., Shahnawaz, M. and Zafran, M. (2024) 'Adoption of environmental technologies in the hotel industry: development of sustainable intelligence and pro-environmental behaviour', </w:t>
      </w:r>
      <w:r w:rsidRPr="00A7709D">
        <w:rPr>
          <w:i/>
          <w:iCs/>
        </w:rPr>
        <w:t>Discover Sustainability</w:t>
      </w:r>
      <w:r w:rsidRPr="00312F30">
        <w:t xml:space="preserve">, 5(1). Available at: </w:t>
      </w:r>
      <w:hyperlink r:id="rId24" w:tgtFrame="_new" w:history="1">
        <w:r w:rsidRPr="00312F30">
          <w:rPr>
            <w:rStyle w:val="Hyperlink"/>
          </w:rPr>
          <w:t>https://doi.org/10.1007/s43621-024-00270-x</w:t>
        </w:r>
      </w:hyperlink>
      <w:r w:rsidRPr="00312F30">
        <w:t>.</w:t>
      </w:r>
    </w:p>
    <w:p w14:paraId="1414A220" w14:textId="77777777" w:rsidR="00312F30" w:rsidRPr="00312F30" w:rsidRDefault="000F1888" w:rsidP="00A7709D">
      <w:pPr>
        <w:pStyle w:val="ListParagraph"/>
        <w:numPr>
          <w:ilvl w:val="0"/>
          <w:numId w:val="3"/>
        </w:numPr>
      </w:pPr>
      <w:r w:rsidRPr="00312F30">
        <w:t xml:space="preserve">all.accor.com (2024) </w:t>
      </w:r>
      <w:r w:rsidRPr="00A7709D">
        <w:rPr>
          <w:i/>
          <w:iCs/>
        </w:rPr>
        <w:t>ALL - Accor Live Limitless | Hotels Stays &amp; Exclusive Deals</w:t>
      </w:r>
      <w:r w:rsidRPr="00312F30">
        <w:t xml:space="preserve">. Available at: </w:t>
      </w:r>
      <w:hyperlink r:id="rId25" w:tgtFrame="_new" w:history="1">
        <w:r w:rsidRPr="00312F30">
          <w:rPr>
            <w:rStyle w:val="Hyperlink"/>
          </w:rPr>
          <w:t>https://all.accor.com/a/en.html</w:t>
        </w:r>
      </w:hyperlink>
      <w:r w:rsidRPr="00312F30">
        <w:t xml:space="preserve"> (Accessed: 22 February 2025).</w:t>
      </w:r>
    </w:p>
    <w:p w14:paraId="769C702D" w14:textId="77777777" w:rsidR="00312F30" w:rsidRPr="00312F30" w:rsidRDefault="000F1888" w:rsidP="00A7709D">
      <w:pPr>
        <w:pStyle w:val="ListParagraph"/>
        <w:numPr>
          <w:ilvl w:val="0"/>
          <w:numId w:val="3"/>
        </w:numPr>
      </w:pPr>
      <w:r w:rsidRPr="00312F30">
        <w:t xml:space="preserve">Armstrong, M. and Taylor, S. (2023) </w:t>
      </w:r>
      <w:r w:rsidRPr="00A7709D">
        <w:rPr>
          <w:i/>
          <w:iCs/>
        </w:rPr>
        <w:t>Armstrong’s Handbook of Human Resource Management Practice</w:t>
      </w:r>
      <w:r w:rsidRPr="00312F30">
        <w:t xml:space="preserve">. Available at: </w:t>
      </w:r>
      <w:hyperlink r:id="rId26" w:tgtFrame="_new" w:history="1">
        <w:r w:rsidRPr="00312F30">
          <w:rPr>
            <w:rStyle w:val="Hyperlink"/>
          </w:rPr>
          <w:t>https://books.google.com/books?hl=en&amp;lr=&amp;id=3oChEAAAQBAJ</w:t>
        </w:r>
      </w:hyperlink>
      <w:r w:rsidRPr="00312F30">
        <w:t xml:space="preserve"> (Accessed: 22 February 2025).</w:t>
      </w:r>
    </w:p>
    <w:p w14:paraId="6A886448" w14:textId="77777777" w:rsidR="00312F30" w:rsidRPr="00312F30" w:rsidRDefault="000F1888" w:rsidP="00A7709D">
      <w:pPr>
        <w:pStyle w:val="ListParagraph"/>
        <w:numPr>
          <w:ilvl w:val="0"/>
          <w:numId w:val="3"/>
        </w:numPr>
      </w:pPr>
      <w:r w:rsidRPr="00312F30">
        <w:t>Bhuiyan, M.S. (2024) ‘The role of AI-enhanced personal</w:t>
      </w:r>
      <w:r w:rsidR="00803F9D">
        <w:t>is</w:t>
      </w:r>
      <w:r w:rsidRPr="00312F30">
        <w:t xml:space="preserve">ation in customer experiences’, </w:t>
      </w:r>
      <w:r w:rsidRPr="00A7709D">
        <w:rPr>
          <w:i/>
          <w:iCs/>
        </w:rPr>
        <w:t>Journal of Computer Science and Technology Studies</w:t>
      </w:r>
      <w:r w:rsidRPr="00312F30">
        <w:t xml:space="preserve">, 6(1), pp. 162–169. Available at: </w:t>
      </w:r>
      <w:hyperlink r:id="rId27" w:tgtFrame="_new" w:history="1">
        <w:r w:rsidRPr="00312F30">
          <w:rPr>
            <w:rStyle w:val="Hyperlink"/>
          </w:rPr>
          <w:t>https://doi.org/10.32996/jcsts.2024.6.1.17</w:t>
        </w:r>
      </w:hyperlink>
      <w:r w:rsidRPr="00312F30">
        <w:t>.</w:t>
      </w:r>
    </w:p>
    <w:p w14:paraId="0D7C1AC4" w14:textId="77777777" w:rsidR="00312F30" w:rsidRPr="00312F30" w:rsidRDefault="000F1888" w:rsidP="00A7709D">
      <w:pPr>
        <w:pStyle w:val="ListParagraph"/>
        <w:numPr>
          <w:ilvl w:val="0"/>
          <w:numId w:val="3"/>
        </w:numPr>
      </w:pPr>
      <w:r w:rsidRPr="00312F30">
        <w:t xml:space="preserve">De Mooij, M. (2021) </w:t>
      </w:r>
      <w:r w:rsidRPr="00A7709D">
        <w:rPr>
          <w:i/>
          <w:iCs/>
        </w:rPr>
        <w:t>Global Marketing and Advertising: Understanding Cultural Paradoxes</w:t>
      </w:r>
      <w:r w:rsidRPr="00312F30">
        <w:t xml:space="preserve">. Available at: </w:t>
      </w:r>
      <w:hyperlink r:id="rId28" w:tgtFrame="_new" w:history="1">
        <w:r w:rsidRPr="00312F30">
          <w:rPr>
            <w:rStyle w:val="Hyperlink"/>
          </w:rPr>
          <w:t>https://www.torrossa.com/it/resources/an/5282213</w:t>
        </w:r>
      </w:hyperlink>
      <w:r w:rsidRPr="00312F30">
        <w:t xml:space="preserve"> (Accessed: 22 February 2025).</w:t>
      </w:r>
    </w:p>
    <w:p w14:paraId="6D1B874D" w14:textId="77777777" w:rsidR="00312F30" w:rsidRPr="00312F30" w:rsidRDefault="000F1888" w:rsidP="00A7709D">
      <w:pPr>
        <w:pStyle w:val="ListParagraph"/>
        <w:numPr>
          <w:ilvl w:val="0"/>
          <w:numId w:val="3"/>
        </w:numPr>
      </w:pPr>
      <w:r w:rsidRPr="00312F30">
        <w:t xml:space="preserve">Develi̇, A. (2023) ‘General view of the management by objectives’, </w:t>
      </w:r>
      <w:r w:rsidRPr="00A7709D">
        <w:rPr>
          <w:i/>
          <w:iCs/>
        </w:rPr>
        <w:t>Yönetim ve Örgüt Tarihi Dergisi</w:t>
      </w:r>
      <w:r w:rsidRPr="00312F30">
        <w:t xml:space="preserve">, 2(1), pp. 82–93. Available at: </w:t>
      </w:r>
      <w:hyperlink r:id="rId29" w:tgtFrame="_new" w:history="1">
        <w:r w:rsidRPr="00312F30">
          <w:rPr>
            <w:rStyle w:val="Hyperlink"/>
          </w:rPr>
          <w:t>https://managementhistory.org/index.php/jmoh/article/view/21</w:t>
        </w:r>
      </w:hyperlink>
      <w:r w:rsidRPr="00312F30">
        <w:t>.</w:t>
      </w:r>
    </w:p>
    <w:p w14:paraId="5422745B" w14:textId="77777777" w:rsidR="00312F30" w:rsidRPr="00312F30" w:rsidRDefault="000F1888" w:rsidP="00A7709D">
      <w:pPr>
        <w:pStyle w:val="ListParagraph"/>
        <w:numPr>
          <w:ilvl w:val="0"/>
          <w:numId w:val="3"/>
        </w:numPr>
      </w:pPr>
      <w:r w:rsidRPr="00312F30">
        <w:t>Elezaj, E., Morina, D. and Kuqi, B. (2020) ‘How organ</w:t>
      </w:r>
      <w:r w:rsidR="00803F9D">
        <w:t>is</w:t>
      </w:r>
      <w:r w:rsidRPr="00312F30">
        <w:t xml:space="preserve">ational matrix structure can impact project management success’, </w:t>
      </w:r>
      <w:r w:rsidRPr="00A7709D">
        <w:rPr>
          <w:i/>
          <w:iCs/>
        </w:rPr>
        <w:t>20th SGEM International Multidisciplinary Scientific GeoConference Proceedings</w:t>
      </w:r>
      <w:r w:rsidRPr="00312F30">
        <w:t xml:space="preserve">, 20(1.1), pp. 131–138. Available at: </w:t>
      </w:r>
      <w:hyperlink r:id="rId30" w:tgtFrame="_new" w:history="1">
        <w:r w:rsidRPr="00312F30">
          <w:rPr>
            <w:rStyle w:val="Hyperlink"/>
          </w:rPr>
          <w:t>https://doi.org/10.5593/sgem2020/1.1/s01.017</w:t>
        </w:r>
      </w:hyperlink>
      <w:r w:rsidRPr="00312F30">
        <w:t>.</w:t>
      </w:r>
    </w:p>
    <w:p w14:paraId="48D6A9BD" w14:textId="77777777" w:rsidR="00312F30" w:rsidRPr="00312F30" w:rsidRDefault="000F1888" w:rsidP="00A7709D">
      <w:pPr>
        <w:pStyle w:val="ListParagraph"/>
        <w:numPr>
          <w:ilvl w:val="0"/>
          <w:numId w:val="3"/>
        </w:numPr>
      </w:pPr>
      <w:r w:rsidRPr="00312F30">
        <w:t xml:space="preserve">Ford, S. (2024) </w:t>
      </w:r>
      <w:r w:rsidRPr="00A7709D">
        <w:rPr>
          <w:i/>
          <w:iCs/>
        </w:rPr>
        <w:t>IHG 2024 Update on Strategic Priorities - 20th February 2024</w:t>
      </w:r>
      <w:r w:rsidRPr="00312F30">
        <w:t xml:space="preserve">. Available at: </w:t>
      </w:r>
      <w:hyperlink r:id="rId31" w:tgtFrame="_new" w:history="1">
        <w:r w:rsidRPr="00312F30">
          <w:rPr>
            <w:rStyle w:val="Hyperlink"/>
          </w:rPr>
          <w:t>https://www.ihgplc.com/~/media/Files/I/Ihg-Plc/results/2024/full-year-2023/IHG%202024%20Update%20on%20Strategic%20Priorities%20transcript.pdf</w:t>
        </w:r>
      </w:hyperlink>
      <w:r w:rsidRPr="00312F30">
        <w:t xml:space="preserve"> (Accessed: 22 February 2025).</w:t>
      </w:r>
    </w:p>
    <w:p w14:paraId="6E3A99F7" w14:textId="77777777" w:rsidR="00312F30" w:rsidRPr="00312F30" w:rsidRDefault="000F1888" w:rsidP="00A7709D">
      <w:pPr>
        <w:pStyle w:val="ListParagraph"/>
        <w:numPr>
          <w:ilvl w:val="0"/>
          <w:numId w:val="3"/>
        </w:numPr>
      </w:pPr>
      <w:r w:rsidRPr="00312F30">
        <w:t xml:space="preserve">Gauthier, M. (2021) ‘Intercontinental Hotels Group: Time to check-in? - Valuation in times of a global pandemic’, </w:t>
      </w:r>
      <w:r w:rsidRPr="00A7709D">
        <w:rPr>
          <w:i/>
          <w:iCs/>
        </w:rPr>
        <w:t>ProQuest</w:t>
      </w:r>
      <w:r w:rsidRPr="00312F30">
        <w:t xml:space="preserve">. Available at: </w:t>
      </w:r>
      <w:hyperlink r:id="rId32" w:tgtFrame="_new" w:history="1">
        <w:r w:rsidRPr="00312F30">
          <w:rPr>
            <w:rStyle w:val="Hyperlink"/>
          </w:rPr>
          <w:t>https://search.proquest.com/openview/2553c4e85c1a4d65b6702936293b96b1/1</w:t>
        </w:r>
      </w:hyperlink>
      <w:r w:rsidRPr="00312F30">
        <w:t xml:space="preserve"> (Accessed: 22 February 2025).</w:t>
      </w:r>
    </w:p>
    <w:p w14:paraId="59317E8F" w14:textId="77777777" w:rsidR="00312F30" w:rsidRPr="00312F30" w:rsidRDefault="000F1888" w:rsidP="00A7709D">
      <w:pPr>
        <w:pStyle w:val="ListParagraph"/>
        <w:numPr>
          <w:ilvl w:val="0"/>
          <w:numId w:val="3"/>
        </w:numPr>
      </w:pPr>
      <w:r w:rsidRPr="00312F30">
        <w:t xml:space="preserve">Harrison, R. et al. (2021) ‘Where do models for change management, improvement and implementation meet? A systematic review of the applications of change management models in healthcare’, </w:t>
      </w:r>
      <w:r w:rsidRPr="00A7709D">
        <w:rPr>
          <w:i/>
          <w:iCs/>
        </w:rPr>
        <w:t>Journal of Healthcare Leadership</w:t>
      </w:r>
      <w:r w:rsidRPr="00312F30">
        <w:t xml:space="preserve">, 13(2), pp. 85–108. Available at: </w:t>
      </w:r>
      <w:hyperlink r:id="rId33" w:tgtFrame="_new" w:history="1">
        <w:r w:rsidRPr="00312F30">
          <w:rPr>
            <w:rStyle w:val="Hyperlink"/>
          </w:rPr>
          <w:t>https://pmc.ncbi.nlm.nih.gov/articles/PMC7966357/</w:t>
        </w:r>
      </w:hyperlink>
      <w:r w:rsidRPr="00312F30">
        <w:t>.</w:t>
      </w:r>
    </w:p>
    <w:p w14:paraId="5AD10818" w14:textId="77777777" w:rsidR="00312F30" w:rsidRPr="00312F30" w:rsidRDefault="000F1888" w:rsidP="00A7709D">
      <w:pPr>
        <w:pStyle w:val="ListParagraph"/>
        <w:numPr>
          <w:ilvl w:val="0"/>
          <w:numId w:val="3"/>
        </w:numPr>
      </w:pPr>
      <w:r w:rsidRPr="00312F30">
        <w:t xml:space="preserve">Henningsson, S. et al. (2021) ‘Transformative rare events: Leveraging digital affordance actualisation’, </w:t>
      </w:r>
      <w:r w:rsidRPr="00A7709D">
        <w:rPr>
          <w:i/>
          <w:iCs/>
        </w:rPr>
        <w:t>European Journal of Information Systems</w:t>
      </w:r>
      <w:r w:rsidRPr="00312F30">
        <w:t xml:space="preserve">, 30(2), pp. 137–156. Available at: </w:t>
      </w:r>
      <w:hyperlink r:id="rId34" w:tgtFrame="_new" w:history="1">
        <w:r w:rsidRPr="00312F30">
          <w:rPr>
            <w:rStyle w:val="Hyperlink"/>
          </w:rPr>
          <w:t>https://doi.org/10.1080/0960085x.2020.1860656</w:t>
        </w:r>
      </w:hyperlink>
      <w:r w:rsidRPr="00312F30">
        <w:t>.</w:t>
      </w:r>
    </w:p>
    <w:p w14:paraId="203059E3" w14:textId="77777777" w:rsidR="00312F30" w:rsidRPr="00312F30" w:rsidRDefault="000F1888" w:rsidP="00A7709D">
      <w:pPr>
        <w:pStyle w:val="ListParagraph"/>
        <w:numPr>
          <w:ilvl w:val="0"/>
          <w:numId w:val="3"/>
        </w:numPr>
      </w:pPr>
      <w:r w:rsidRPr="00312F30">
        <w:t xml:space="preserve">Hilton (2024) </w:t>
      </w:r>
      <w:r w:rsidRPr="00A7709D">
        <w:rPr>
          <w:i/>
          <w:iCs/>
        </w:rPr>
        <w:t>Hotels by Hilton - Book the Best Rates Across All Brands</w:t>
      </w:r>
      <w:r w:rsidRPr="00312F30">
        <w:t xml:space="preserve">. Available at: </w:t>
      </w:r>
      <w:hyperlink r:id="rId35" w:tgtFrame="_new" w:history="1">
        <w:r w:rsidRPr="00312F30">
          <w:rPr>
            <w:rStyle w:val="Hyperlink"/>
          </w:rPr>
          <w:t>https://www.hilton.com/en/</w:t>
        </w:r>
      </w:hyperlink>
      <w:r w:rsidRPr="00312F30">
        <w:t xml:space="preserve"> (Accessed: 20 February 2025).</w:t>
      </w:r>
    </w:p>
    <w:p w14:paraId="79F512C8" w14:textId="77777777" w:rsidR="00312F30" w:rsidRPr="00312F30" w:rsidRDefault="000F1888" w:rsidP="00A7709D">
      <w:pPr>
        <w:pStyle w:val="ListParagraph"/>
        <w:numPr>
          <w:ilvl w:val="0"/>
          <w:numId w:val="3"/>
        </w:numPr>
      </w:pPr>
      <w:r w:rsidRPr="00312F30">
        <w:t>Jerab, D.A. and Mabrouk, T. (2023) ‘How to design an effective organ</w:t>
      </w:r>
      <w:r w:rsidR="00803F9D">
        <w:t>is</w:t>
      </w:r>
      <w:r w:rsidRPr="00312F30">
        <w:t xml:space="preserve">ational structure &amp; the 21st-century trends’, </w:t>
      </w:r>
      <w:r w:rsidRPr="00A7709D">
        <w:rPr>
          <w:i/>
          <w:iCs/>
        </w:rPr>
        <w:t>Social Science Research Network</w:t>
      </w:r>
      <w:r w:rsidRPr="00312F30">
        <w:t xml:space="preserve">. Available at: </w:t>
      </w:r>
      <w:hyperlink r:id="rId36" w:tgtFrame="_new" w:history="1">
        <w:r w:rsidRPr="00312F30">
          <w:rPr>
            <w:rStyle w:val="Hyperlink"/>
          </w:rPr>
          <w:t>https://doi.org/10.2139/ssrn.4584646</w:t>
        </w:r>
      </w:hyperlink>
      <w:r w:rsidRPr="00312F30">
        <w:t>.</w:t>
      </w:r>
    </w:p>
    <w:p w14:paraId="49DE8123" w14:textId="77777777" w:rsidR="00312F30" w:rsidRPr="00312F30" w:rsidRDefault="000F1888" w:rsidP="00A7709D">
      <w:pPr>
        <w:pStyle w:val="ListParagraph"/>
        <w:numPr>
          <w:ilvl w:val="0"/>
          <w:numId w:val="3"/>
        </w:numPr>
      </w:pPr>
      <w:r w:rsidRPr="00312F30">
        <w:t xml:space="preserve">Kapoor, A. et al. (2024) </w:t>
      </w:r>
      <w:r w:rsidRPr="00A7709D">
        <w:rPr>
          <w:i/>
          <w:iCs/>
        </w:rPr>
        <w:t>Pathways to Electrical Mobility: Comprehensive Approach for ZEV Mandates &amp; EV Transition in India</w:t>
      </w:r>
      <w:r w:rsidRPr="00312F30">
        <w:t xml:space="preserve">. Available at: </w:t>
      </w:r>
      <w:hyperlink r:id="rId37" w:tgtFrame="_new" w:history="1">
        <w:r w:rsidRPr="00312F30">
          <w:rPr>
            <w:rStyle w:val="Hyperlink"/>
          </w:rPr>
          <w:t>https://www.competitiveness.in/wp-content/uploads/2024/04/TID_WP_28_Pathways_to_Electric_Mobility_Comprehensive_Approcah_to_ZEV_mandates.pdf</w:t>
        </w:r>
      </w:hyperlink>
      <w:r w:rsidRPr="00312F30">
        <w:t xml:space="preserve"> (Accessed: 22 February 2025).</w:t>
      </w:r>
    </w:p>
    <w:p w14:paraId="780CE691" w14:textId="77777777" w:rsidR="00312F30" w:rsidRPr="00312F30" w:rsidRDefault="000F1888" w:rsidP="00A7709D">
      <w:pPr>
        <w:pStyle w:val="ListParagraph"/>
        <w:numPr>
          <w:ilvl w:val="0"/>
          <w:numId w:val="3"/>
        </w:numPr>
      </w:pPr>
      <w:r w:rsidRPr="00312F30">
        <w:t xml:space="preserve">Marriott (2021) </w:t>
      </w:r>
      <w:r w:rsidRPr="00A7709D">
        <w:rPr>
          <w:i/>
          <w:iCs/>
        </w:rPr>
        <w:t>Environmental, Social, and Governance Progress at Marriott International</w:t>
      </w:r>
      <w:r w:rsidRPr="00312F30">
        <w:t xml:space="preserve">. Available at: </w:t>
      </w:r>
      <w:hyperlink r:id="rId38" w:tgtFrame="_new" w:history="1">
        <w:r w:rsidRPr="00312F30">
          <w:rPr>
            <w:rStyle w:val="Hyperlink"/>
          </w:rPr>
          <w:t>https://serve360.marriott.com/wp-content/uploads/2021/09/2021_Serve_360_Report.pdf</w:t>
        </w:r>
      </w:hyperlink>
      <w:r w:rsidRPr="00312F30">
        <w:t xml:space="preserve"> (Accessed: 22 February 2025).</w:t>
      </w:r>
    </w:p>
    <w:p w14:paraId="21F63420" w14:textId="77777777" w:rsidR="00312F30" w:rsidRPr="00312F30" w:rsidRDefault="000F1888" w:rsidP="00A7709D">
      <w:pPr>
        <w:pStyle w:val="ListParagraph"/>
        <w:numPr>
          <w:ilvl w:val="0"/>
          <w:numId w:val="3"/>
        </w:numPr>
      </w:pPr>
      <w:r w:rsidRPr="00312F30">
        <w:t xml:space="preserve">Marriott (2023) </w:t>
      </w:r>
      <w:r w:rsidRPr="00A7709D">
        <w:rPr>
          <w:i/>
          <w:iCs/>
        </w:rPr>
        <w:t>2023 Annual Report</w:t>
      </w:r>
      <w:r w:rsidRPr="00312F30">
        <w:t xml:space="preserve">. Available at: </w:t>
      </w:r>
      <w:hyperlink r:id="rId39" w:tgtFrame="_new" w:history="1">
        <w:r w:rsidRPr="00312F30">
          <w:rPr>
            <w:rStyle w:val="Hyperlink"/>
          </w:rPr>
          <w:t>https://marriott.gcs-web.com/static-files/b82978a6-9d28-4e38-9855-fc4ae2cebe11</w:t>
        </w:r>
      </w:hyperlink>
      <w:r w:rsidRPr="00312F30">
        <w:t xml:space="preserve"> (Accessed: 20 February 2025).</w:t>
      </w:r>
    </w:p>
    <w:p w14:paraId="7D3A7561" w14:textId="77777777" w:rsidR="00312F30" w:rsidRPr="00312F30" w:rsidRDefault="000F1888" w:rsidP="00A7709D">
      <w:pPr>
        <w:pStyle w:val="ListParagraph"/>
        <w:numPr>
          <w:ilvl w:val="0"/>
          <w:numId w:val="3"/>
        </w:numPr>
      </w:pPr>
      <w:r w:rsidRPr="00312F30">
        <w:t xml:space="preserve">Marriott (2024) </w:t>
      </w:r>
      <w:r w:rsidRPr="00A7709D">
        <w:rPr>
          <w:i/>
          <w:iCs/>
        </w:rPr>
        <w:t>Hotels &amp; Resorts | Book your Hotel directly with Marriott Bonvoy</w:t>
      </w:r>
      <w:r w:rsidRPr="00312F30">
        <w:t xml:space="preserve">. Available at: </w:t>
      </w:r>
      <w:hyperlink r:id="rId40" w:tgtFrame="_new" w:history="1">
        <w:r w:rsidRPr="00312F30">
          <w:rPr>
            <w:rStyle w:val="Hyperlink"/>
          </w:rPr>
          <w:t>https://www.marriott.com/default.mi</w:t>
        </w:r>
      </w:hyperlink>
      <w:r w:rsidRPr="00312F30">
        <w:t xml:space="preserve"> (Accessed: 20 February 2025).</w:t>
      </w:r>
    </w:p>
    <w:p w14:paraId="46B60E90" w14:textId="77777777" w:rsidR="00312F30" w:rsidRPr="00312F30" w:rsidRDefault="000F1888" w:rsidP="00A7709D">
      <w:pPr>
        <w:pStyle w:val="ListParagraph"/>
        <w:numPr>
          <w:ilvl w:val="0"/>
          <w:numId w:val="3"/>
        </w:numPr>
      </w:pPr>
      <w:r w:rsidRPr="00312F30">
        <w:t xml:space="preserve">Marriott International (2022) 'Marriott International expands into the affordable midscale segment with the acquisition of the City Express brand portfolio', </w:t>
      </w:r>
      <w:r w:rsidRPr="00A7709D">
        <w:rPr>
          <w:i/>
          <w:iCs/>
        </w:rPr>
        <w:lastRenderedPageBreak/>
        <w:t>Marriott International</w:t>
      </w:r>
      <w:r w:rsidRPr="00312F30">
        <w:t xml:space="preserve">. Available at: </w:t>
      </w:r>
      <w:hyperlink r:id="rId41" w:tgtFrame="_new" w:history="1">
        <w:r w:rsidRPr="00312F30">
          <w:rPr>
            <w:rStyle w:val="Hyperlink"/>
          </w:rPr>
          <w:t>https://marriott.gcs-web.com/news-releases/news-release-details/marriott-international-expands-affordable-midscale-segment</w:t>
        </w:r>
      </w:hyperlink>
      <w:r w:rsidRPr="00312F30">
        <w:t xml:space="preserve"> (Accessed: 22 February 2025).</w:t>
      </w:r>
    </w:p>
    <w:p w14:paraId="51597BC2" w14:textId="77777777" w:rsidR="00312F30" w:rsidRPr="00312F30" w:rsidRDefault="000F1888" w:rsidP="00A7709D">
      <w:pPr>
        <w:pStyle w:val="ListParagraph"/>
        <w:numPr>
          <w:ilvl w:val="0"/>
          <w:numId w:val="3"/>
        </w:numPr>
      </w:pPr>
      <w:r w:rsidRPr="00312F30">
        <w:t xml:space="preserve">Marriott International (2023) </w:t>
      </w:r>
      <w:r w:rsidRPr="00A7709D">
        <w:rPr>
          <w:i/>
          <w:iCs/>
        </w:rPr>
        <w:t>Hotel Development | Marriott International</w:t>
      </w:r>
      <w:r w:rsidRPr="00312F30">
        <w:t xml:space="preserve">. Available at: </w:t>
      </w:r>
      <w:hyperlink r:id="rId42" w:tgtFrame="_new" w:history="1">
        <w:r w:rsidRPr="00312F30">
          <w:rPr>
            <w:rStyle w:val="Hyperlink"/>
          </w:rPr>
          <w:t>https://www.hotel-development.marriott.com/</w:t>
        </w:r>
      </w:hyperlink>
      <w:r w:rsidRPr="00312F30">
        <w:t xml:space="preserve"> (Accessed: 20 February 2025).</w:t>
      </w:r>
    </w:p>
    <w:p w14:paraId="70EDAC52" w14:textId="77777777" w:rsidR="00312F30" w:rsidRPr="00312F30" w:rsidRDefault="000F1888" w:rsidP="00A7709D">
      <w:pPr>
        <w:pStyle w:val="ListParagraph"/>
        <w:numPr>
          <w:ilvl w:val="0"/>
          <w:numId w:val="3"/>
        </w:numPr>
      </w:pPr>
      <w:r w:rsidRPr="00312F30">
        <w:t xml:space="preserve">Marriott International (2024) </w:t>
      </w:r>
      <w:r w:rsidRPr="00A7709D">
        <w:rPr>
          <w:i/>
          <w:iCs/>
        </w:rPr>
        <w:t>Marriott International Reports Fourth Quarter and Full Year 2024 Results</w:t>
      </w:r>
      <w:r w:rsidRPr="00312F30">
        <w:t xml:space="preserve">. Available at: </w:t>
      </w:r>
      <w:hyperlink r:id="rId43" w:tgtFrame="_new" w:history="1">
        <w:r w:rsidRPr="00312F30">
          <w:rPr>
            <w:rStyle w:val="Hyperlink"/>
          </w:rPr>
          <w:t>https://marriott.gcs-web.com/news-releases/news-release-details/marriott-international-reports-fourth-quarter-and-full-year-2024</w:t>
        </w:r>
      </w:hyperlink>
      <w:r w:rsidRPr="00312F30">
        <w:t xml:space="preserve"> (Accessed: 22 February 2025).</w:t>
      </w:r>
    </w:p>
    <w:p w14:paraId="68F8C6BD" w14:textId="77777777" w:rsidR="00312F30" w:rsidRPr="00312F30" w:rsidRDefault="000F1888" w:rsidP="00A7709D">
      <w:pPr>
        <w:pStyle w:val="ListParagraph"/>
        <w:numPr>
          <w:ilvl w:val="0"/>
          <w:numId w:val="3"/>
        </w:numPr>
      </w:pPr>
      <w:r w:rsidRPr="00312F30">
        <w:t xml:space="preserve">Mastoi, M.S. et al. (2022) ‘An in-depth analysis of electric vehicle charging station infrastructure, policy implications, and future trends’, </w:t>
      </w:r>
      <w:r w:rsidRPr="00A7709D">
        <w:rPr>
          <w:i/>
          <w:iCs/>
        </w:rPr>
        <w:t>Energy Reports</w:t>
      </w:r>
      <w:r w:rsidRPr="00312F30">
        <w:t xml:space="preserve">, 8, pp. 11504–11529. Available at: </w:t>
      </w:r>
      <w:hyperlink r:id="rId44" w:tgtFrame="_new" w:history="1">
        <w:r w:rsidRPr="00312F30">
          <w:rPr>
            <w:rStyle w:val="Hyperlink"/>
          </w:rPr>
          <w:t>https://doi.org/10.1016/j.egyr.2022.09.011</w:t>
        </w:r>
      </w:hyperlink>
      <w:r w:rsidRPr="00312F30">
        <w:t>.</w:t>
      </w:r>
    </w:p>
    <w:p w14:paraId="2AED31BB" w14:textId="77777777" w:rsidR="00312F30" w:rsidRPr="00312F30" w:rsidRDefault="000F1888" w:rsidP="00A7709D">
      <w:pPr>
        <w:pStyle w:val="ListParagraph"/>
        <w:numPr>
          <w:ilvl w:val="0"/>
          <w:numId w:val="3"/>
        </w:numPr>
      </w:pPr>
      <w:r w:rsidRPr="00312F30">
        <w:t xml:space="preserve">Neupane, R. and Khanal, T.R. (2022) ‘Evaluation of the impacts of training on employee performance in the UK hotel industry: An analysis of employees’ perspectives at Marriott International’, </w:t>
      </w:r>
      <w:r w:rsidRPr="00A7709D">
        <w:rPr>
          <w:i/>
          <w:iCs/>
        </w:rPr>
        <w:t>International Journal of Research - GRANTHAALAYAH</w:t>
      </w:r>
      <w:r w:rsidRPr="00312F30">
        <w:t xml:space="preserve">, 10(3), pp. 57–85. Available at: </w:t>
      </w:r>
      <w:hyperlink r:id="rId45" w:tgtFrame="_new" w:history="1">
        <w:r w:rsidRPr="00312F30">
          <w:rPr>
            <w:rStyle w:val="Hyperlink"/>
          </w:rPr>
          <w:t>https://doi.org/10.29121/granthaalayah.v10.i3.2022.4534</w:t>
        </w:r>
      </w:hyperlink>
      <w:r w:rsidRPr="00312F30">
        <w:t>.</w:t>
      </w:r>
    </w:p>
    <w:p w14:paraId="68998A14" w14:textId="77777777" w:rsidR="00312F30" w:rsidRPr="00312F30" w:rsidRDefault="000F1888" w:rsidP="00A7709D">
      <w:pPr>
        <w:pStyle w:val="ListParagraph"/>
        <w:numPr>
          <w:ilvl w:val="0"/>
          <w:numId w:val="3"/>
        </w:numPr>
      </w:pPr>
      <w:r w:rsidRPr="00312F30">
        <w:t xml:space="preserve">Patra, R. and Bharatiya, V. (2020) ‘A study on Ansoff Matrix technique: As a growth strategy and an adaptive learning technique adopted in the leading brand of products’, </w:t>
      </w:r>
      <w:r w:rsidRPr="00A7709D">
        <w:rPr>
          <w:i/>
          <w:iCs/>
        </w:rPr>
        <w:t>BIMS Journal of Management</w:t>
      </w:r>
      <w:r w:rsidRPr="00312F30">
        <w:t xml:space="preserve">. Available at: </w:t>
      </w:r>
      <w:hyperlink r:id="rId46" w:anchor="page=26" w:tgtFrame="_new" w:history="1">
        <w:r w:rsidRPr="00312F30">
          <w:rPr>
            <w:rStyle w:val="Hyperlink"/>
          </w:rPr>
          <w:t>https://bimskol.org/pdf/E-copy-BIMS-Journal-Management-Kolkata-Vol5-Issue-1-July-2020.pdf#page=26</w:t>
        </w:r>
      </w:hyperlink>
      <w:r w:rsidRPr="00312F30">
        <w:t xml:space="preserve"> (Accessed: 22 February 2025).</w:t>
      </w:r>
    </w:p>
    <w:p w14:paraId="6553157A" w14:textId="77777777" w:rsidR="00312F30" w:rsidRPr="00312F30" w:rsidRDefault="000F1888" w:rsidP="00A7709D">
      <w:pPr>
        <w:pStyle w:val="ListParagraph"/>
        <w:numPr>
          <w:ilvl w:val="0"/>
          <w:numId w:val="3"/>
        </w:numPr>
      </w:pPr>
      <w:r w:rsidRPr="00312F30">
        <w:t xml:space="preserve">Shah, G.M. et al. (2023) ‘Revamping higher education: Unleashing the power of John Kotter’s eight-step change model for enhanced performance’, </w:t>
      </w:r>
      <w:r w:rsidRPr="00A7709D">
        <w:rPr>
          <w:i/>
          <w:iCs/>
        </w:rPr>
        <w:t>Russian Law Journal</w:t>
      </w:r>
      <w:r w:rsidRPr="00312F30">
        <w:t xml:space="preserve">, 11(5), pp. 613–623. Available at: </w:t>
      </w:r>
      <w:hyperlink r:id="rId47" w:tgtFrame="_new" w:history="1">
        <w:r w:rsidRPr="00312F30">
          <w:rPr>
            <w:rStyle w:val="Hyperlink"/>
          </w:rPr>
          <w:t>https://cyberleninka.ru/article/n/revamping-higher-education-unleashing-the-power-of-john-kotters-eight-step-change-model-for-enhanced-performance</w:t>
        </w:r>
      </w:hyperlink>
      <w:r w:rsidRPr="00312F30">
        <w:t>.</w:t>
      </w:r>
    </w:p>
    <w:p w14:paraId="3F6BDEF5" w14:textId="77777777" w:rsidR="00312F30" w:rsidRPr="00312F30" w:rsidRDefault="000F1888" w:rsidP="00A7709D">
      <w:pPr>
        <w:pStyle w:val="ListParagraph"/>
        <w:numPr>
          <w:ilvl w:val="0"/>
          <w:numId w:val="3"/>
        </w:numPr>
      </w:pPr>
      <w:r w:rsidRPr="00312F30">
        <w:t xml:space="preserve">Singh, S., Paul, J. and Dhir, S. (2021) ‘Innovation implementation in Asia-Pacific countries: A review and research agenda’, </w:t>
      </w:r>
      <w:r w:rsidRPr="00A7709D">
        <w:rPr>
          <w:i/>
          <w:iCs/>
        </w:rPr>
        <w:t>Routledge eBooks</w:t>
      </w:r>
      <w:r w:rsidRPr="00312F30">
        <w:t xml:space="preserve">, pp. 36–64. Available at: </w:t>
      </w:r>
      <w:hyperlink r:id="rId48" w:tgtFrame="_new" w:history="1">
        <w:r w:rsidRPr="00312F30">
          <w:rPr>
            <w:rStyle w:val="Hyperlink"/>
          </w:rPr>
          <w:t>https://doi.org/10.4324/9781003257325-3</w:t>
        </w:r>
      </w:hyperlink>
      <w:r w:rsidRPr="00312F30">
        <w:t>.</w:t>
      </w:r>
    </w:p>
    <w:p w14:paraId="28553D97" w14:textId="77777777" w:rsidR="00312F30" w:rsidRPr="00312F30" w:rsidRDefault="000F1888" w:rsidP="00A7709D">
      <w:pPr>
        <w:pStyle w:val="ListParagraph"/>
        <w:numPr>
          <w:ilvl w:val="0"/>
          <w:numId w:val="3"/>
        </w:numPr>
      </w:pPr>
      <w:r w:rsidRPr="00312F30">
        <w:lastRenderedPageBreak/>
        <w:t xml:space="preserve">Stavrianea, A. and Kamenidou, I. (2021) ‘Complying with digital transformation in online booking through experiential values of Generation Z’, </w:t>
      </w:r>
      <w:r w:rsidRPr="00A7709D">
        <w:rPr>
          <w:i/>
          <w:iCs/>
        </w:rPr>
        <w:t>European Journal of Tourism Research</w:t>
      </w:r>
      <w:r w:rsidRPr="00312F30">
        <w:t xml:space="preserve">, 30, p. 3003. Available at: </w:t>
      </w:r>
      <w:hyperlink r:id="rId49" w:tgtFrame="_new" w:history="1">
        <w:r w:rsidRPr="00312F30">
          <w:rPr>
            <w:rStyle w:val="Hyperlink"/>
          </w:rPr>
          <w:t>https://doi.org/10.54055/ejtr.v30i.2590</w:t>
        </w:r>
      </w:hyperlink>
      <w:r w:rsidRPr="00312F30">
        <w:t>.</w:t>
      </w:r>
    </w:p>
    <w:p w14:paraId="69288280" w14:textId="77777777" w:rsidR="00312F30" w:rsidRPr="00312F30" w:rsidRDefault="000F1888" w:rsidP="00A7709D">
      <w:pPr>
        <w:pStyle w:val="ListParagraph"/>
        <w:numPr>
          <w:ilvl w:val="0"/>
          <w:numId w:val="3"/>
        </w:numPr>
      </w:pPr>
      <w:r w:rsidRPr="00312F30">
        <w:t xml:space="preserve">VU, H.M. (2020) ‘A review of dynamic capabilities, innovation capabilities, entrepreneurial capabilities and their consequences’, </w:t>
      </w:r>
      <w:r w:rsidRPr="00A7709D">
        <w:rPr>
          <w:i/>
          <w:iCs/>
        </w:rPr>
        <w:t>The Journal of Asian Finance, Economics and Business</w:t>
      </w:r>
      <w:r w:rsidRPr="00312F30">
        <w:t xml:space="preserve">, 7(8), pp. 485–494. Available at: </w:t>
      </w:r>
      <w:hyperlink r:id="rId50" w:tgtFrame="_new" w:history="1">
        <w:r w:rsidRPr="00312F30">
          <w:rPr>
            <w:rStyle w:val="Hyperlink"/>
          </w:rPr>
          <w:t>https://doi.org/10.13106/jafeb.2020.vol7.no8.485</w:t>
        </w:r>
      </w:hyperlink>
      <w:r w:rsidRPr="00312F30">
        <w:t>.</w:t>
      </w:r>
    </w:p>
    <w:p w14:paraId="52234EA0" w14:textId="77777777" w:rsidR="00312F30" w:rsidRPr="00312F30" w:rsidRDefault="000F1888" w:rsidP="00A7709D">
      <w:pPr>
        <w:pStyle w:val="ListParagraph"/>
        <w:numPr>
          <w:ilvl w:val="0"/>
          <w:numId w:val="3"/>
        </w:numPr>
      </w:pPr>
      <w:r w:rsidRPr="00312F30">
        <w:t xml:space="preserve">Yingling, J. (2023) ‘For this Marriott HR generalist it’s all about the people’, </w:t>
      </w:r>
      <w:r w:rsidRPr="00A7709D">
        <w:rPr>
          <w:i/>
          <w:iCs/>
        </w:rPr>
        <w:t>Life at Marriott Blog</w:t>
      </w:r>
      <w:r w:rsidRPr="00312F30">
        <w:t xml:space="preserve">. Available at: </w:t>
      </w:r>
      <w:hyperlink r:id="rId51" w:tgtFrame="_new" w:history="1">
        <w:r w:rsidRPr="00312F30">
          <w:rPr>
            <w:rStyle w:val="Hyperlink"/>
          </w:rPr>
          <w:t>https://life.marriott.com/blog/moshfiq-hr/</w:t>
        </w:r>
      </w:hyperlink>
      <w:r w:rsidRPr="00312F30">
        <w:t xml:space="preserve"> (Accessed: 22 February 2025).</w:t>
      </w:r>
    </w:p>
    <w:p w14:paraId="2F8C4012" w14:textId="77777777" w:rsidR="00312F30" w:rsidRPr="00312F30" w:rsidRDefault="00312F30" w:rsidP="00312F30"/>
    <w:p w14:paraId="3282B441" w14:textId="77777777" w:rsidR="00452819" w:rsidRPr="00124D7E" w:rsidRDefault="00452819" w:rsidP="00796A33">
      <w:pPr>
        <w:pStyle w:val="Heading1"/>
      </w:pPr>
    </w:p>
    <w:p w14:paraId="5B49E08D" w14:textId="77777777" w:rsidR="00D31E23" w:rsidRDefault="00D31E23" w:rsidP="00D31E23"/>
    <w:p w14:paraId="3C38713E" w14:textId="77777777" w:rsidR="00D31E23" w:rsidRDefault="00D31E23" w:rsidP="00D31E23"/>
    <w:p w14:paraId="5C5D2034" w14:textId="77777777" w:rsidR="00D31E23" w:rsidRPr="00D31E23" w:rsidRDefault="00D31E23" w:rsidP="00D31E23"/>
    <w:sectPr w:rsidR="00D31E23" w:rsidRPr="00D31E23" w:rsidSect="006C1AD1">
      <w:pgSz w:w="12240" w:h="15840"/>
      <w:pgMar w:top="1440" w:right="1440" w:bottom="1440" w:left="1440" w:header="720" w:footer="720" w:gutter="0"/>
      <w:pgNumType w:start="4"/>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29A9F1" w14:textId="77777777" w:rsidR="00D945CE" w:rsidRDefault="00D945CE">
      <w:pPr>
        <w:spacing w:after="0" w:line="240" w:lineRule="auto"/>
      </w:pPr>
      <w:r>
        <w:separator/>
      </w:r>
    </w:p>
  </w:endnote>
  <w:endnote w:type="continuationSeparator" w:id="0">
    <w:p w14:paraId="43C6422A" w14:textId="77777777" w:rsidR="00D945CE" w:rsidRDefault="00D94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5193238"/>
      <w:docPartObj>
        <w:docPartGallery w:val="Page Numbers (Bottom of Page)"/>
        <w:docPartUnique/>
      </w:docPartObj>
    </w:sdtPr>
    <w:sdtEndPr>
      <w:rPr>
        <w:noProof/>
      </w:rPr>
    </w:sdtEndPr>
    <w:sdtContent>
      <w:p w14:paraId="7BDE4ADB" w14:textId="77777777" w:rsidR="006C1AD1" w:rsidRDefault="000F18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EAA0E2" w14:textId="77777777" w:rsidR="006C1AD1" w:rsidRDefault="006C1A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322A38" w14:textId="77777777" w:rsidR="00D945CE" w:rsidRDefault="00D945CE">
      <w:pPr>
        <w:spacing w:after="0" w:line="240" w:lineRule="auto"/>
      </w:pPr>
      <w:r>
        <w:separator/>
      </w:r>
    </w:p>
  </w:footnote>
  <w:footnote w:type="continuationSeparator" w:id="0">
    <w:p w14:paraId="4F08B7E7" w14:textId="77777777" w:rsidR="00D945CE" w:rsidRDefault="00D945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E679F1"/>
    <w:multiLevelType w:val="hybridMultilevel"/>
    <w:tmpl w:val="A8D0CC6A"/>
    <w:lvl w:ilvl="0" w:tplc="8DB25D5C">
      <w:start w:val="1"/>
      <w:numFmt w:val="decimal"/>
      <w:lvlText w:val="%1."/>
      <w:lvlJc w:val="left"/>
      <w:pPr>
        <w:ind w:left="720" w:hanging="360"/>
      </w:pPr>
    </w:lvl>
    <w:lvl w:ilvl="1" w:tplc="E90E6B0A" w:tentative="1">
      <w:start w:val="1"/>
      <w:numFmt w:val="lowerLetter"/>
      <w:lvlText w:val="%2."/>
      <w:lvlJc w:val="left"/>
      <w:pPr>
        <w:ind w:left="1440" w:hanging="360"/>
      </w:pPr>
    </w:lvl>
    <w:lvl w:ilvl="2" w:tplc="EC8C3582" w:tentative="1">
      <w:start w:val="1"/>
      <w:numFmt w:val="lowerRoman"/>
      <w:lvlText w:val="%3."/>
      <w:lvlJc w:val="right"/>
      <w:pPr>
        <w:ind w:left="2160" w:hanging="180"/>
      </w:pPr>
    </w:lvl>
    <w:lvl w:ilvl="3" w:tplc="2F342934" w:tentative="1">
      <w:start w:val="1"/>
      <w:numFmt w:val="decimal"/>
      <w:lvlText w:val="%4."/>
      <w:lvlJc w:val="left"/>
      <w:pPr>
        <w:ind w:left="2880" w:hanging="360"/>
      </w:pPr>
    </w:lvl>
    <w:lvl w:ilvl="4" w:tplc="1A2C656C" w:tentative="1">
      <w:start w:val="1"/>
      <w:numFmt w:val="lowerLetter"/>
      <w:lvlText w:val="%5."/>
      <w:lvlJc w:val="left"/>
      <w:pPr>
        <w:ind w:left="3600" w:hanging="360"/>
      </w:pPr>
    </w:lvl>
    <w:lvl w:ilvl="5" w:tplc="6ABC3588" w:tentative="1">
      <w:start w:val="1"/>
      <w:numFmt w:val="lowerRoman"/>
      <w:lvlText w:val="%6."/>
      <w:lvlJc w:val="right"/>
      <w:pPr>
        <w:ind w:left="4320" w:hanging="180"/>
      </w:pPr>
    </w:lvl>
    <w:lvl w:ilvl="6" w:tplc="1A8239B6" w:tentative="1">
      <w:start w:val="1"/>
      <w:numFmt w:val="decimal"/>
      <w:lvlText w:val="%7."/>
      <w:lvlJc w:val="left"/>
      <w:pPr>
        <w:ind w:left="5040" w:hanging="360"/>
      </w:pPr>
    </w:lvl>
    <w:lvl w:ilvl="7" w:tplc="63262308" w:tentative="1">
      <w:start w:val="1"/>
      <w:numFmt w:val="lowerLetter"/>
      <w:lvlText w:val="%8."/>
      <w:lvlJc w:val="left"/>
      <w:pPr>
        <w:ind w:left="5760" w:hanging="360"/>
      </w:pPr>
    </w:lvl>
    <w:lvl w:ilvl="8" w:tplc="591AABF2" w:tentative="1">
      <w:start w:val="1"/>
      <w:numFmt w:val="lowerRoman"/>
      <w:lvlText w:val="%9."/>
      <w:lvlJc w:val="right"/>
      <w:pPr>
        <w:ind w:left="6480" w:hanging="180"/>
      </w:pPr>
    </w:lvl>
  </w:abstractNum>
  <w:abstractNum w:abstractNumId="1" w15:restartNumberingAfterBreak="0">
    <w:nsid w:val="5E0946A7"/>
    <w:multiLevelType w:val="hybridMultilevel"/>
    <w:tmpl w:val="E554899E"/>
    <w:lvl w:ilvl="0" w:tplc="D0E219CE">
      <w:start w:val="1"/>
      <w:numFmt w:val="decimal"/>
      <w:lvlText w:val="%1."/>
      <w:lvlJc w:val="left"/>
      <w:pPr>
        <w:ind w:left="720" w:hanging="360"/>
      </w:pPr>
    </w:lvl>
    <w:lvl w:ilvl="1" w:tplc="3BD84122" w:tentative="1">
      <w:start w:val="1"/>
      <w:numFmt w:val="lowerLetter"/>
      <w:lvlText w:val="%2."/>
      <w:lvlJc w:val="left"/>
      <w:pPr>
        <w:ind w:left="1440" w:hanging="360"/>
      </w:pPr>
    </w:lvl>
    <w:lvl w:ilvl="2" w:tplc="2E5283CA" w:tentative="1">
      <w:start w:val="1"/>
      <w:numFmt w:val="lowerRoman"/>
      <w:lvlText w:val="%3."/>
      <w:lvlJc w:val="right"/>
      <w:pPr>
        <w:ind w:left="2160" w:hanging="180"/>
      </w:pPr>
    </w:lvl>
    <w:lvl w:ilvl="3" w:tplc="8112FD52" w:tentative="1">
      <w:start w:val="1"/>
      <w:numFmt w:val="decimal"/>
      <w:lvlText w:val="%4."/>
      <w:lvlJc w:val="left"/>
      <w:pPr>
        <w:ind w:left="2880" w:hanging="360"/>
      </w:pPr>
    </w:lvl>
    <w:lvl w:ilvl="4" w:tplc="B742DC84" w:tentative="1">
      <w:start w:val="1"/>
      <w:numFmt w:val="lowerLetter"/>
      <w:lvlText w:val="%5."/>
      <w:lvlJc w:val="left"/>
      <w:pPr>
        <w:ind w:left="3600" w:hanging="360"/>
      </w:pPr>
    </w:lvl>
    <w:lvl w:ilvl="5" w:tplc="5720CF34" w:tentative="1">
      <w:start w:val="1"/>
      <w:numFmt w:val="lowerRoman"/>
      <w:lvlText w:val="%6."/>
      <w:lvlJc w:val="right"/>
      <w:pPr>
        <w:ind w:left="4320" w:hanging="180"/>
      </w:pPr>
    </w:lvl>
    <w:lvl w:ilvl="6" w:tplc="A5B46576" w:tentative="1">
      <w:start w:val="1"/>
      <w:numFmt w:val="decimal"/>
      <w:lvlText w:val="%7."/>
      <w:lvlJc w:val="left"/>
      <w:pPr>
        <w:ind w:left="5040" w:hanging="360"/>
      </w:pPr>
    </w:lvl>
    <w:lvl w:ilvl="7" w:tplc="FB92B87C" w:tentative="1">
      <w:start w:val="1"/>
      <w:numFmt w:val="lowerLetter"/>
      <w:lvlText w:val="%8."/>
      <w:lvlJc w:val="left"/>
      <w:pPr>
        <w:ind w:left="5760" w:hanging="360"/>
      </w:pPr>
    </w:lvl>
    <w:lvl w:ilvl="8" w:tplc="0A721D3A" w:tentative="1">
      <w:start w:val="1"/>
      <w:numFmt w:val="lowerRoman"/>
      <w:lvlText w:val="%9."/>
      <w:lvlJc w:val="right"/>
      <w:pPr>
        <w:ind w:left="6480" w:hanging="180"/>
      </w:pPr>
    </w:lvl>
  </w:abstractNum>
  <w:abstractNum w:abstractNumId="2" w15:restartNumberingAfterBreak="0">
    <w:nsid w:val="6EFF05A4"/>
    <w:multiLevelType w:val="hybridMultilevel"/>
    <w:tmpl w:val="C8B09B1A"/>
    <w:lvl w:ilvl="0" w:tplc="DC9E3F68">
      <w:start w:val="1"/>
      <w:numFmt w:val="decimal"/>
      <w:lvlText w:val="%1)"/>
      <w:lvlJc w:val="left"/>
      <w:pPr>
        <w:ind w:left="720" w:hanging="360"/>
      </w:pPr>
      <w:rPr>
        <w:rFonts w:hint="default"/>
      </w:rPr>
    </w:lvl>
    <w:lvl w:ilvl="1" w:tplc="F992F7A4" w:tentative="1">
      <w:start w:val="1"/>
      <w:numFmt w:val="lowerLetter"/>
      <w:lvlText w:val="%2."/>
      <w:lvlJc w:val="left"/>
      <w:pPr>
        <w:ind w:left="1440" w:hanging="360"/>
      </w:pPr>
    </w:lvl>
    <w:lvl w:ilvl="2" w:tplc="DF263836" w:tentative="1">
      <w:start w:val="1"/>
      <w:numFmt w:val="lowerRoman"/>
      <w:lvlText w:val="%3."/>
      <w:lvlJc w:val="right"/>
      <w:pPr>
        <w:ind w:left="2160" w:hanging="180"/>
      </w:pPr>
    </w:lvl>
    <w:lvl w:ilvl="3" w:tplc="E6CC9D34" w:tentative="1">
      <w:start w:val="1"/>
      <w:numFmt w:val="decimal"/>
      <w:lvlText w:val="%4."/>
      <w:lvlJc w:val="left"/>
      <w:pPr>
        <w:ind w:left="2880" w:hanging="360"/>
      </w:pPr>
    </w:lvl>
    <w:lvl w:ilvl="4" w:tplc="7B22297A" w:tentative="1">
      <w:start w:val="1"/>
      <w:numFmt w:val="lowerLetter"/>
      <w:lvlText w:val="%5."/>
      <w:lvlJc w:val="left"/>
      <w:pPr>
        <w:ind w:left="3600" w:hanging="360"/>
      </w:pPr>
    </w:lvl>
    <w:lvl w:ilvl="5" w:tplc="773CD346" w:tentative="1">
      <w:start w:val="1"/>
      <w:numFmt w:val="lowerRoman"/>
      <w:lvlText w:val="%6."/>
      <w:lvlJc w:val="right"/>
      <w:pPr>
        <w:ind w:left="4320" w:hanging="180"/>
      </w:pPr>
    </w:lvl>
    <w:lvl w:ilvl="6" w:tplc="CC1E382A" w:tentative="1">
      <w:start w:val="1"/>
      <w:numFmt w:val="decimal"/>
      <w:lvlText w:val="%7."/>
      <w:lvlJc w:val="left"/>
      <w:pPr>
        <w:ind w:left="5040" w:hanging="360"/>
      </w:pPr>
    </w:lvl>
    <w:lvl w:ilvl="7" w:tplc="299EFB74" w:tentative="1">
      <w:start w:val="1"/>
      <w:numFmt w:val="lowerLetter"/>
      <w:lvlText w:val="%8."/>
      <w:lvlJc w:val="left"/>
      <w:pPr>
        <w:ind w:left="5760" w:hanging="360"/>
      </w:pPr>
    </w:lvl>
    <w:lvl w:ilvl="8" w:tplc="19145A20" w:tentative="1">
      <w:start w:val="1"/>
      <w:numFmt w:val="lowerRoman"/>
      <w:lvlText w:val="%9."/>
      <w:lvlJc w:val="right"/>
      <w:pPr>
        <w:ind w:left="6480" w:hanging="180"/>
      </w:pPr>
    </w:lvl>
  </w:abstractNum>
  <w:abstractNum w:abstractNumId="3" w15:restartNumberingAfterBreak="0">
    <w:nsid w:val="704962F7"/>
    <w:multiLevelType w:val="hybridMultilevel"/>
    <w:tmpl w:val="DA9652CA"/>
    <w:lvl w:ilvl="0" w:tplc="8988BB4C">
      <w:start w:val="1"/>
      <w:numFmt w:val="bullet"/>
      <w:lvlText w:val=""/>
      <w:lvlJc w:val="left"/>
      <w:pPr>
        <w:ind w:left="720" w:hanging="360"/>
      </w:pPr>
      <w:rPr>
        <w:rFonts w:ascii="Symbol" w:hAnsi="Symbol" w:hint="default"/>
      </w:rPr>
    </w:lvl>
    <w:lvl w:ilvl="1" w:tplc="F4D8AFCA" w:tentative="1">
      <w:start w:val="1"/>
      <w:numFmt w:val="bullet"/>
      <w:lvlText w:val="o"/>
      <w:lvlJc w:val="left"/>
      <w:pPr>
        <w:ind w:left="1440" w:hanging="360"/>
      </w:pPr>
      <w:rPr>
        <w:rFonts w:ascii="Courier New" w:hAnsi="Courier New" w:cs="Courier New" w:hint="default"/>
      </w:rPr>
    </w:lvl>
    <w:lvl w:ilvl="2" w:tplc="7C2AE068" w:tentative="1">
      <w:start w:val="1"/>
      <w:numFmt w:val="bullet"/>
      <w:lvlText w:val=""/>
      <w:lvlJc w:val="left"/>
      <w:pPr>
        <w:ind w:left="2160" w:hanging="360"/>
      </w:pPr>
      <w:rPr>
        <w:rFonts w:ascii="Wingdings" w:hAnsi="Wingdings" w:hint="default"/>
      </w:rPr>
    </w:lvl>
    <w:lvl w:ilvl="3" w:tplc="78524CAE" w:tentative="1">
      <w:start w:val="1"/>
      <w:numFmt w:val="bullet"/>
      <w:lvlText w:val=""/>
      <w:lvlJc w:val="left"/>
      <w:pPr>
        <w:ind w:left="2880" w:hanging="360"/>
      </w:pPr>
      <w:rPr>
        <w:rFonts w:ascii="Symbol" w:hAnsi="Symbol" w:hint="default"/>
      </w:rPr>
    </w:lvl>
    <w:lvl w:ilvl="4" w:tplc="0E8A3E22" w:tentative="1">
      <w:start w:val="1"/>
      <w:numFmt w:val="bullet"/>
      <w:lvlText w:val="o"/>
      <w:lvlJc w:val="left"/>
      <w:pPr>
        <w:ind w:left="3600" w:hanging="360"/>
      </w:pPr>
      <w:rPr>
        <w:rFonts w:ascii="Courier New" w:hAnsi="Courier New" w:cs="Courier New" w:hint="default"/>
      </w:rPr>
    </w:lvl>
    <w:lvl w:ilvl="5" w:tplc="F1D660F6" w:tentative="1">
      <w:start w:val="1"/>
      <w:numFmt w:val="bullet"/>
      <w:lvlText w:val=""/>
      <w:lvlJc w:val="left"/>
      <w:pPr>
        <w:ind w:left="4320" w:hanging="360"/>
      </w:pPr>
      <w:rPr>
        <w:rFonts w:ascii="Wingdings" w:hAnsi="Wingdings" w:hint="default"/>
      </w:rPr>
    </w:lvl>
    <w:lvl w:ilvl="6" w:tplc="49304946" w:tentative="1">
      <w:start w:val="1"/>
      <w:numFmt w:val="bullet"/>
      <w:lvlText w:val=""/>
      <w:lvlJc w:val="left"/>
      <w:pPr>
        <w:ind w:left="5040" w:hanging="360"/>
      </w:pPr>
      <w:rPr>
        <w:rFonts w:ascii="Symbol" w:hAnsi="Symbol" w:hint="default"/>
      </w:rPr>
    </w:lvl>
    <w:lvl w:ilvl="7" w:tplc="6ADC1314" w:tentative="1">
      <w:start w:val="1"/>
      <w:numFmt w:val="bullet"/>
      <w:lvlText w:val="o"/>
      <w:lvlJc w:val="left"/>
      <w:pPr>
        <w:ind w:left="5760" w:hanging="360"/>
      </w:pPr>
      <w:rPr>
        <w:rFonts w:ascii="Courier New" w:hAnsi="Courier New" w:cs="Courier New" w:hint="default"/>
      </w:rPr>
    </w:lvl>
    <w:lvl w:ilvl="8" w:tplc="6AD2831E" w:tentative="1">
      <w:start w:val="1"/>
      <w:numFmt w:val="bullet"/>
      <w:lvlText w:val=""/>
      <w:lvlJc w:val="left"/>
      <w:pPr>
        <w:ind w:left="6480" w:hanging="360"/>
      </w:pPr>
      <w:rPr>
        <w:rFonts w:ascii="Wingdings" w:hAnsi="Wingdings" w:hint="default"/>
      </w:rPr>
    </w:lvl>
  </w:abstractNum>
  <w:num w:numId="1" w16cid:durableId="76170023">
    <w:abstractNumId w:val="0"/>
  </w:num>
  <w:num w:numId="2" w16cid:durableId="1385639144">
    <w:abstractNumId w:val="3"/>
  </w:num>
  <w:num w:numId="3" w16cid:durableId="940064553">
    <w:abstractNumId w:val="1"/>
  </w:num>
  <w:num w:numId="4" w16cid:durableId="20705734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123C"/>
    <w:rsid w:val="000249DA"/>
    <w:rsid w:val="00025B40"/>
    <w:rsid w:val="000610B9"/>
    <w:rsid w:val="000704F3"/>
    <w:rsid w:val="000C3C1C"/>
    <w:rsid w:val="000F1888"/>
    <w:rsid w:val="00124D7E"/>
    <w:rsid w:val="001662BE"/>
    <w:rsid w:val="00184B5C"/>
    <w:rsid w:val="001A6652"/>
    <w:rsid w:val="001D3DFF"/>
    <w:rsid w:val="001D7FD6"/>
    <w:rsid w:val="001E006E"/>
    <w:rsid w:val="00207E02"/>
    <w:rsid w:val="002C41BE"/>
    <w:rsid w:val="00312F30"/>
    <w:rsid w:val="003434CC"/>
    <w:rsid w:val="00343B82"/>
    <w:rsid w:val="003477F5"/>
    <w:rsid w:val="003C06CB"/>
    <w:rsid w:val="003E4B5A"/>
    <w:rsid w:val="003E7323"/>
    <w:rsid w:val="004344C7"/>
    <w:rsid w:val="00452819"/>
    <w:rsid w:val="00462B60"/>
    <w:rsid w:val="004B2F2B"/>
    <w:rsid w:val="004E3346"/>
    <w:rsid w:val="004F1C8D"/>
    <w:rsid w:val="005612A5"/>
    <w:rsid w:val="00596F58"/>
    <w:rsid w:val="005B1673"/>
    <w:rsid w:val="005F6D28"/>
    <w:rsid w:val="005F7D29"/>
    <w:rsid w:val="00602B32"/>
    <w:rsid w:val="00654C18"/>
    <w:rsid w:val="0067607B"/>
    <w:rsid w:val="0068546F"/>
    <w:rsid w:val="006C1AD1"/>
    <w:rsid w:val="006E7169"/>
    <w:rsid w:val="00754C5E"/>
    <w:rsid w:val="00781EEB"/>
    <w:rsid w:val="00793A41"/>
    <w:rsid w:val="00796A33"/>
    <w:rsid w:val="007C210A"/>
    <w:rsid w:val="007E4AD5"/>
    <w:rsid w:val="00803F9D"/>
    <w:rsid w:val="008211EC"/>
    <w:rsid w:val="008C12DB"/>
    <w:rsid w:val="00A221CB"/>
    <w:rsid w:val="00A62F5F"/>
    <w:rsid w:val="00A7709D"/>
    <w:rsid w:val="00AB04E4"/>
    <w:rsid w:val="00AE3477"/>
    <w:rsid w:val="00AF2187"/>
    <w:rsid w:val="00B42AA1"/>
    <w:rsid w:val="00B85CFA"/>
    <w:rsid w:val="00B97EA3"/>
    <w:rsid w:val="00BD5390"/>
    <w:rsid w:val="00BE484E"/>
    <w:rsid w:val="00C1387C"/>
    <w:rsid w:val="00C32746"/>
    <w:rsid w:val="00C6381E"/>
    <w:rsid w:val="00C66BFF"/>
    <w:rsid w:val="00CA6B77"/>
    <w:rsid w:val="00D24013"/>
    <w:rsid w:val="00D31E23"/>
    <w:rsid w:val="00D405CB"/>
    <w:rsid w:val="00D945CE"/>
    <w:rsid w:val="00DA4D71"/>
    <w:rsid w:val="00DC23EB"/>
    <w:rsid w:val="00EC5079"/>
    <w:rsid w:val="00EC52B5"/>
    <w:rsid w:val="00EC76E1"/>
    <w:rsid w:val="00ED0EF4"/>
    <w:rsid w:val="00ED1109"/>
    <w:rsid w:val="00ED2BBF"/>
    <w:rsid w:val="00EF4A9B"/>
    <w:rsid w:val="00F32421"/>
    <w:rsid w:val="00F71E4B"/>
    <w:rsid w:val="00F82AF5"/>
    <w:rsid w:val="00FA0110"/>
    <w:rsid w:val="00FC6087"/>
    <w:rsid w:val="00FE12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D312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23C"/>
    <w:pPr>
      <w:spacing w:line="360" w:lineRule="auto"/>
      <w:jc w:val="both"/>
    </w:pPr>
    <w:rPr>
      <w:rFonts w:ascii="Arial" w:hAnsi="Arial"/>
      <w:sz w:val="24"/>
    </w:rPr>
  </w:style>
  <w:style w:type="paragraph" w:styleId="Heading1">
    <w:name w:val="heading 1"/>
    <w:basedOn w:val="Normal"/>
    <w:next w:val="Normal"/>
    <w:link w:val="Heading1Char"/>
    <w:uiPriority w:val="9"/>
    <w:qFormat/>
    <w:rsid w:val="00C1387C"/>
    <w:pPr>
      <w:keepNext/>
      <w:keepLines/>
      <w:spacing w:before="480" w:after="0"/>
      <w:outlineLvl w:val="0"/>
    </w:pPr>
    <w:rPr>
      <w:rFonts w:ascii="Times New Roman" w:eastAsiaTheme="majorEastAsia" w:hAnsi="Times New Roman" w:cstheme="majorBidi"/>
      <w:b/>
      <w:bCs/>
      <w:sz w:val="32"/>
      <w:szCs w:val="28"/>
    </w:rPr>
  </w:style>
  <w:style w:type="paragraph" w:styleId="Heading2">
    <w:name w:val="heading 2"/>
    <w:basedOn w:val="Normal"/>
    <w:next w:val="Normal"/>
    <w:link w:val="Heading2Char"/>
    <w:uiPriority w:val="9"/>
    <w:unhideWhenUsed/>
    <w:qFormat/>
    <w:rsid w:val="004344C7"/>
    <w:pPr>
      <w:keepNext/>
      <w:keepLines/>
      <w:spacing w:before="200" w:after="0"/>
      <w:outlineLvl w:val="1"/>
    </w:pPr>
    <w:rPr>
      <w:rFonts w:ascii="Times New Roman" w:eastAsiaTheme="majorEastAsia" w:hAnsi="Times New Roman"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12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123C"/>
    <w:rPr>
      <w:rFonts w:ascii="Tahoma" w:hAnsi="Tahoma" w:cs="Tahoma"/>
      <w:sz w:val="16"/>
      <w:szCs w:val="16"/>
    </w:rPr>
  </w:style>
  <w:style w:type="character" w:customStyle="1" w:styleId="Heading1Char">
    <w:name w:val="Heading 1 Char"/>
    <w:basedOn w:val="DefaultParagraphFont"/>
    <w:link w:val="Heading1"/>
    <w:uiPriority w:val="9"/>
    <w:rsid w:val="00C1387C"/>
    <w:rPr>
      <w:rFonts w:ascii="Times New Roman" w:eastAsiaTheme="majorEastAsia" w:hAnsi="Times New Roman" w:cstheme="majorBidi"/>
      <w:b/>
      <w:bCs/>
      <w:sz w:val="32"/>
      <w:szCs w:val="28"/>
    </w:rPr>
  </w:style>
  <w:style w:type="paragraph" w:styleId="ListParagraph">
    <w:name w:val="List Paragraph"/>
    <w:basedOn w:val="Normal"/>
    <w:uiPriority w:val="34"/>
    <w:qFormat/>
    <w:rsid w:val="00124D7E"/>
    <w:pPr>
      <w:ind w:left="720"/>
      <w:contextualSpacing/>
    </w:pPr>
  </w:style>
  <w:style w:type="character" w:customStyle="1" w:styleId="Heading2Char">
    <w:name w:val="Heading 2 Char"/>
    <w:basedOn w:val="DefaultParagraphFont"/>
    <w:link w:val="Heading2"/>
    <w:uiPriority w:val="9"/>
    <w:rsid w:val="004344C7"/>
    <w:rPr>
      <w:rFonts w:ascii="Times New Roman" w:eastAsiaTheme="majorEastAsia" w:hAnsi="Times New Roman" w:cstheme="majorBidi"/>
      <w:b/>
      <w:bCs/>
      <w:sz w:val="28"/>
      <w:szCs w:val="26"/>
    </w:rPr>
  </w:style>
  <w:style w:type="paragraph" w:styleId="TOCHeading">
    <w:name w:val="TOC Heading"/>
    <w:basedOn w:val="Heading1"/>
    <w:next w:val="Normal"/>
    <w:uiPriority w:val="39"/>
    <w:unhideWhenUsed/>
    <w:qFormat/>
    <w:rsid w:val="003477F5"/>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3477F5"/>
    <w:pPr>
      <w:spacing w:after="100"/>
    </w:pPr>
  </w:style>
  <w:style w:type="paragraph" w:styleId="TOC2">
    <w:name w:val="toc 2"/>
    <w:basedOn w:val="Normal"/>
    <w:next w:val="Normal"/>
    <w:autoRedefine/>
    <w:uiPriority w:val="39"/>
    <w:unhideWhenUsed/>
    <w:rsid w:val="003477F5"/>
    <w:pPr>
      <w:spacing w:after="100"/>
      <w:ind w:left="240"/>
    </w:pPr>
  </w:style>
  <w:style w:type="character" w:styleId="Hyperlink">
    <w:name w:val="Hyperlink"/>
    <w:basedOn w:val="DefaultParagraphFont"/>
    <w:uiPriority w:val="99"/>
    <w:unhideWhenUsed/>
    <w:rsid w:val="003477F5"/>
    <w:rPr>
      <w:color w:val="0000FF" w:themeColor="hyperlink"/>
      <w:u w:val="single"/>
    </w:rPr>
  </w:style>
  <w:style w:type="paragraph" w:styleId="Caption">
    <w:name w:val="caption"/>
    <w:basedOn w:val="Normal"/>
    <w:next w:val="Normal"/>
    <w:uiPriority w:val="35"/>
    <w:unhideWhenUsed/>
    <w:qFormat/>
    <w:rsid w:val="00DA4D71"/>
    <w:pPr>
      <w:spacing w:line="240" w:lineRule="auto"/>
    </w:pPr>
    <w:rPr>
      <w:b/>
      <w:bCs/>
      <w:color w:val="4F81BD" w:themeColor="accent1"/>
      <w:sz w:val="18"/>
      <w:szCs w:val="18"/>
    </w:rPr>
  </w:style>
  <w:style w:type="paragraph" w:styleId="Header">
    <w:name w:val="header"/>
    <w:basedOn w:val="Normal"/>
    <w:link w:val="HeaderChar"/>
    <w:uiPriority w:val="99"/>
    <w:unhideWhenUsed/>
    <w:rsid w:val="00796A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6A33"/>
    <w:rPr>
      <w:rFonts w:ascii="Arial" w:hAnsi="Arial"/>
      <w:sz w:val="24"/>
    </w:rPr>
  </w:style>
  <w:style w:type="paragraph" w:styleId="Footer">
    <w:name w:val="footer"/>
    <w:basedOn w:val="Normal"/>
    <w:link w:val="FooterChar"/>
    <w:uiPriority w:val="99"/>
    <w:unhideWhenUsed/>
    <w:rsid w:val="00796A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6A33"/>
    <w:rPr>
      <w:rFonts w:ascii="Arial" w:hAnsi="Arial"/>
      <w:sz w:val="24"/>
    </w:rPr>
  </w:style>
  <w:style w:type="paragraph" w:styleId="TableofFigures">
    <w:name w:val="table of figures"/>
    <w:basedOn w:val="Normal"/>
    <w:next w:val="Normal"/>
    <w:uiPriority w:val="99"/>
    <w:unhideWhenUsed/>
    <w:rsid w:val="005F6D2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openxmlformats.org/officeDocument/2006/relationships/hyperlink" Target="https://books.google.com/books?hl=en&amp;lr=&amp;id=3oChEAAAQBAJ" TargetMode="External"/><Relationship Id="rId39" Type="http://schemas.openxmlformats.org/officeDocument/2006/relationships/hyperlink" Target="https://marriott.gcs-web.com/static-files/b82978a6-9d28-4e38-9855-fc4ae2cebe11" TargetMode="External"/><Relationship Id="rId21" Type="http://schemas.microsoft.com/office/2007/relationships/diagramDrawing" Target="diagrams/drawing2.xml"/><Relationship Id="rId34" Type="http://schemas.openxmlformats.org/officeDocument/2006/relationships/hyperlink" Target="https://doi.org/10.1080/0960085x.2020.1860656" TargetMode="External"/><Relationship Id="rId42" Type="http://schemas.openxmlformats.org/officeDocument/2006/relationships/hyperlink" Target="https://www.hotel-development.marriott.com/" TargetMode="External"/><Relationship Id="rId47" Type="http://schemas.openxmlformats.org/officeDocument/2006/relationships/hyperlink" Target="https://cyberleninka.ru/article/n/revamping-higher-education-unleashing-the-power-of-john-kotters-eight-step-change-model-for-enhanced-performance" TargetMode="External"/><Relationship Id="rId50" Type="http://schemas.openxmlformats.org/officeDocument/2006/relationships/hyperlink" Target="https://doi.org/10.13106/jafeb.2020.vol7.no8.485" TargetMode="Externa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hyperlink" Target="https://managementhistory.org/index.php/jmoh/article/view/21" TargetMode="External"/><Relationship Id="rId11" Type="http://schemas.openxmlformats.org/officeDocument/2006/relationships/image" Target="media/image3.png"/><Relationship Id="rId24" Type="http://schemas.openxmlformats.org/officeDocument/2006/relationships/hyperlink" Target="https://doi.org/10.1007/s43621-024-00270-x" TargetMode="External"/><Relationship Id="rId32" Type="http://schemas.openxmlformats.org/officeDocument/2006/relationships/hyperlink" Target="https://search.proquest.com/openview/2553c4e85c1a4d65b6702936293b96b1/1" TargetMode="External"/><Relationship Id="rId37" Type="http://schemas.openxmlformats.org/officeDocument/2006/relationships/hyperlink" Target="https://www.competitiveness.in/wp-content/uploads/2024/04/TID_WP_28_Pathways_to_Electric_Mobility_Comprehensive_Approcah_to_ZEV_mandates.pdf" TargetMode="External"/><Relationship Id="rId40" Type="http://schemas.openxmlformats.org/officeDocument/2006/relationships/hyperlink" Target="https://www.marriott.com/default.mi" TargetMode="External"/><Relationship Id="rId45" Type="http://schemas.openxmlformats.org/officeDocument/2006/relationships/hyperlink" Target="https://doi.org/10.29121/granthaalayah.v10.i3.2022.4534"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diagramQuickStyle" Target="diagrams/quickStyle2.xml"/><Relationship Id="rId31" Type="http://schemas.openxmlformats.org/officeDocument/2006/relationships/hyperlink" Target="https://www.ihgplc.com/~/media/Files/I/Ihg-Plc/results/2024/full-year-2023/IHG%202024%20Update%20on%20Strategic%20Priorities%20transcript.pdf" TargetMode="External"/><Relationship Id="rId44" Type="http://schemas.openxmlformats.org/officeDocument/2006/relationships/hyperlink" Target="https://doi.org/10.1016/j.egyr.2022.09.011"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diagramQuickStyle" Target="diagrams/quickStyle1.xml"/><Relationship Id="rId22" Type="http://schemas.openxmlformats.org/officeDocument/2006/relationships/image" Target="media/image4.png"/><Relationship Id="rId27" Type="http://schemas.openxmlformats.org/officeDocument/2006/relationships/hyperlink" Target="https://doi.org/10.32996/jcsts.2024.6.1.17" TargetMode="External"/><Relationship Id="rId30" Type="http://schemas.openxmlformats.org/officeDocument/2006/relationships/hyperlink" Target="https://doi.org/10.5593/sgem2020/1.1/s01.017" TargetMode="External"/><Relationship Id="rId35" Type="http://schemas.openxmlformats.org/officeDocument/2006/relationships/hyperlink" Target="https://www.hilton.com/en/" TargetMode="External"/><Relationship Id="rId43" Type="http://schemas.openxmlformats.org/officeDocument/2006/relationships/hyperlink" Target="https://marriott.gcs-web.com/news-releases/news-release-details/marriott-international-reports-fourth-quarter-and-full-year-2024" TargetMode="External"/><Relationship Id="rId48" Type="http://schemas.openxmlformats.org/officeDocument/2006/relationships/hyperlink" Target="https://doi.org/10.4324/9781003257325-3" TargetMode="External"/><Relationship Id="rId8" Type="http://schemas.openxmlformats.org/officeDocument/2006/relationships/image" Target="media/image1.png"/><Relationship Id="rId51" Type="http://schemas.openxmlformats.org/officeDocument/2006/relationships/hyperlink" Target="https://life.marriott.com/blog/moshfiq-hr/" TargetMode="External"/><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hyperlink" Target="https://all.accor.com/a/en.html" TargetMode="External"/><Relationship Id="rId33" Type="http://schemas.openxmlformats.org/officeDocument/2006/relationships/hyperlink" Target="https://pmc.ncbi.nlm.nih.gov/articles/PMC7966357/" TargetMode="External"/><Relationship Id="rId38" Type="http://schemas.openxmlformats.org/officeDocument/2006/relationships/hyperlink" Target="https://serve360.marriott.com/wp-content/uploads/2021/09/2021_Serve_360_Report.pdf" TargetMode="External"/><Relationship Id="rId46" Type="http://schemas.openxmlformats.org/officeDocument/2006/relationships/hyperlink" Target="https://bimskol.org/pdf/E-copy-BIMS-Journal-Management-Kolkata-Vol5-Issue-1-July-2020.pdf" TargetMode="External"/><Relationship Id="rId20" Type="http://schemas.openxmlformats.org/officeDocument/2006/relationships/diagramColors" Target="diagrams/colors2.xml"/><Relationship Id="rId41" Type="http://schemas.openxmlformats.org/officeDocument/2006/relationships/hyperlink" Target="https://marriott.gcs-web.com/news-releases/news-release-details/marriott-international-expands-affordable-midscale-seg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image" Target="media/image5.png"/><Relationship Id="rId28" Type="http://schemas.openxmlformats.org/officeDocument/2006/relationships/hyperlink" Target="https://www.torrossa.com/it/resources/an/5282213" TargetMode="External"/><Relationship Id="rId36" Type="http://schemas.openxmlformats.org/officeDocument/2006/relationships/hyperlink" Target="https://doi.org/10.2139/ssrn.4584646" TargetMode="External"/><Relationship Id="rId49" Type="http://schemas.openxmlformats.org/officeDocument/2006/relationships/hyperlink" Target="https://doi.org/10.54055/ejtr.v30i.2590" TargetMode="Externa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88BF9AA-3528-4A0E-A1A3-6977525B90B4}" type="doc">
      <dgm:prSet loTypeId="urn:microsoft.com/office/officeart/2005/8/layout/list1#1" loCatId="list" qsTypeId="urn:microsoft.com/office/officeart/2005/8/quickstyle/simple1" qsCatId="simple" csTypeId="urn:microsoft.com/office/officeart/2005/8/colors/accent1_1" csCatId="accent1" phldr="1"/>
      <dgm:spPr/>
      <dgm:t>
        <a:bodyPr/>
        <a:lstStyle/>
        <a:p>
          <a:endParaRPr lang="en-US"/>
        </a:p>
      </dgm:t>
    </dgm:pt>
    <dgm:pt modelId="{7A7840EA-570D-4C06-A328-2584AAA6A112}">
      <dgm:prSet phldrT="[Text]"/>
      <dgm:spPr/>
      <dgm:t>
        <a:bodyPr/>
        <a:lstStyle/>
        <a:p>
          <a:pPr algn="just"/>
          <a:r>
            <a:rPr lang="en-US">
              <a:solidFill>
                <a:srgbClr val="FF0000"/>
              </a:solidFill>
            </a:rPr>
            <a:t>Global Expansion</a:t>
          </a:r>
        </a:p>
      </dgm:t>
    </dgm:pt>
    <dgm:pt modelId="{62E53F9D-B628-44B2-B0E3-F7740A7A085E}" type="parTrans" cxnId="{7A367604-AB9F-4BEC-B48E-82BEA8C7FFC4}">
      <dgm:prSet/>
      <dgm:spPr/>
      <dgm:t>
        <a:bodyPr/>
        <a:lstStyle/>
        <a:p>
          <a:endParaRPr lang="en-US">
            <a:solidFill>
              <a:srgbClr val="FF0000"/>
            </a:solidFill>
          </a:endParaRPr>
        </a:p>
      </dgm:t>
    </dgm:pt>
    <dgm:pt modelId="{74F16FFD-AEC2-4219-A62D-EC1B8827027D}" type="sibTrans" cxnId="{7A367604-AB9F-4BEC-B48E-82BEA8C7FFC4}">
      <dgm:prSet/>
      <dgm:spPr/>
      <dgm:t>
        <a:bodyPr/>
        <a:lstStyle/>
        <a:p>
          <a:endParaRPr lang="en-US">
            <a:solidFill>
              <a:srgbClr val="FF0000"/>
            </a:solidFill>
          </a:endParaRPr>
        </a:p>
      </dgm:t>
    </dgm:pt>
    <dgm:pt modelId="{8D3212B8-00F6-4035-81CB-C131A29904DA}">
      <dgm:prSet phldrT="[Text]"/>
      <dgm:spPr/>
      <dgm:t>
        <a:bodyPr/>
        <a:lstStyle/>
        <a:p>
          <a:pPr algn="just"/>
          <a:r>
            <a:rPr lang="en-US">
              <a:solidFill>
                <a:srgbClr val="FF0000"/>
              </a:solidFill>
            </a:rPr>
            <a:t>With 62% diverse workforce representation and 47% women in leadership, Marriott promotes inclusivity. Strong DEI policies enhance workplace culture and innovation (Marriott, 2024). However, true inclusivity goes beyond numbers; ensuring fair promotions, addressing unconscious bias, and maintaining equity across global operations remain ongoing challenges that require continuous commitment and policy refinement.</a:t>
          </a:r>
        </a:p>
      </dgm:t>
    </dgm:pt>
    <dgm:pt modelId="{45604579-0FC9-48DE-8398-2E2414E94FF9}" type="parTrans" cxnId="{6CA3F0D5-5CA5-47DE-B237-ABBF661FFF85}">
      <dgm:prSet/>
      <dgm:spPr/>
      <dgm:t>
        <a:bodyPr/>
        <a:lstStyle/>
        <a:p>
          <a:endParaRPr lang="en-US">
            <a:solidFill>
              <a:srgbClr val="FF0000"/>
            </a:solidFill>
          </a:endParaRPr>
        </a:p>
      </dgm:t>
    </dgm:pt>
    <dgm:pt modelId="{5CC9F6EC-6ACF-40A1-86D8-574E7F94FB16}" type="sibTrans" cxnId="{6CA3F0D5-5CA5-47DE-B237-ABBF661FFF85}">
      <dgm:prSet/>
      <dgm:spPr/>
      <dgm:t>
        <a:bodyPr/>
        <a:lstStyle/>
        <a:p>
          <a:endParaRPr lang="en-US">
            <a:solidFill>
              <a:srgbClr val="FF0000"/>
            </a:solidFill>
          </a:endParaRPr>
        </a:p>
      </dgm:t>
    </dgm:pt>
    <dgm:pt modelId="{9FBDAE1B-1AF2-4B5B-86C5-88C60FC222D6}">
      <dgm:prSet phldrT="[Text]"/>
      <dgm:spPr/>
      <dgm:t>
        <a:bodyPr/>
        <a:lstStyle/>
        <a:p>
          <a:pPr algn="just"/>
          <a:r>
            <a:rPr lang="en-US">
              <a:solidFill>
                <a:srgbClr val="FF0000"/>
              </a:solidFill>
            </a:rPr>
            <a:t>Diversity, Equity, and Inclusion (DEI)</a:t>
          </a:r>
        </a:p>
      </dgm:t>
    </dgm:pt>
    <dgm:pt modelId="{18624D07-13BF-427F-AA69-CA095CA92536}" type="parTrans" cxnId="{4933B4BA-AFB6-4DE2-917A-12503E02E644}">
      <dgm:prSet/>
      <dgm:spPr/>
      <dgm:t>
        <a:bodyPr/>
        <a:lstStyle/>
        <a:p>
          <a:endParaRPr lang="en-US">
            <a:solidFill>
              <a:srgbClr val="FF0000"/>
            </a:solidFill>
          </a:endParaRPr>
        </a:p>
      </dgm:t>
    </dgm:pt>
    <dgm:pt modelId="{29E0AFCF-5723-4C47-94F6-C3A1EFDFE06D}" type="sibTrans" cxnId="{4933B4BA-AFB6-4DE2-917A-12503E02E644}">
      <dgm:prSet/>
      <dgm:spPr/>
      <dgm:t>
        <a:bodyPr/>
        <a:lstStyle/>
        <a:p>
          <a:endParaRPr lang="en-US">
            <a:solidFill>
              <a:srgbClr val="FF0000"/>
            </a:solidFill>
          </a:endParaRPr>
        </a:p>
      </dgm:t>
    </dgm:pt>
    <dgm:pt modelId="{F329E957-47F5-4A0D-8451-CC6E6E53A6F5}">
      <dgm:prSet phldrT="[Text]"/>
      <dgm:spPr/>
      <dgm:t>
        <a:bodyPr/>
        <a:lstStyle/>
        <a:p>
          <a:pPr algn="just"/>
          <a:r>
            <a:rPr lang="en-US">
              <a:solidFill>
                <a:srgbClr val="FF0000"/>
              </a:solidFill>
            </a:rPr>
            <a:t>Marriott explores luxury all-inclusive resorts in Europe, including Turkey, meeting the growing demand for exclusive experiences (Marriott, 2024). This strategy increases competitiveness but presents challenges, including high operational costs, evolving consumer expectations, and adapting to local laws (Adeel et al., 2024). Over-commercialization may also impact the authenticity of travel experiences in culturally rich destinations.</a:t>
          </a:r>
        </a:p>
      </dgm:t>
    </dgm:pt>
    <dgm:pt modelId="{E2373AC2-E424-4C09-9A6E-EB69F781C2EA}" type="parTrans" cxnId="{8BB1A190-3713-432D-BF7F-0B325628DE90}">
      <dgm:prSet/>
      <dgm:spPr/>
      <dgm:t>
        <a:bodyPr/>
        <a:lstStyle/>
        <a:p>
          <a:endParaRPr lang="en-US">
            <a:solidFill>
              <a:srgbClr val="FF0000"/>
            </a:solidFill>
          </a:endParaRPr>
        </a:p>
      </dgm:t>
    </dgm:pt>
    <dgm:pt modelId="{EA797DDA-8717-4AA0-A805-9CA0199EC31C}" type="sibTrans" cxnId="{8BB1A190-3713-432D-BF7F-0B325628DE90}">
      <dgm:prSet/>
      <dgm:spPr/>
      <dgm:t>
        <a:bodyPr/>
        <a:lstStyle/>
        <a:p>
          <a:endParaRPr lang="en-US">
            <a:solidFill>
              <a:srgbClr val="FF0000"/>
            </a:solidFill>
          </a:endParaRPr>
        </a:p>
      </dgm:t>
    </dgm:pt>
    <dgm:pt modelId="{7793E6BA-6055-4BE9-8199-A4D94401D08E}">
      <dgm:prSet phldrT="[Text]"/>
      <dgm:spPr/>
      <dgm:t>
        <a:bodyPr/>
        <a:lstStyle/>
        <a:p>
          <a:pPr algn="just"/>
          <a:r>
            <a:rPr lang="en-US">
              <a:solidFill>
                <a:srgbClr val="FF0000"/>
              </a:solidFill>
            </a:rPr>
            <a:t>All-Inclusive Resort Expansion</a:t>
          </a:r>
        </a:p>
      </dgm:t>
    </dgm:pt>
    <dgm:pt modelId="{EFFBF613-E7C8-426B-954B-AFFA13264D80}" type="parTrans" cxnId="{D91CAF95-0211-4A1A-9D7B-DFD85EA30E9D}">
      <dgm:prSet/>
      <dgm:spPr/>
      <dgm:t>
        <a:bodyPr/>
        <a:lstStyle/>
        <a:p>
          <a:endParaRPr lang="en-US">
            <a:solidFill>
              <a:srgbClr val="FF0000"/>
            </a:solidFill>
          </a:endParaRPr>
        </a:p>
      </dgm:t>
    </dgm:pt>
    <dgm:pt modelId="{55F5426B-7119-4F74-90D3-0EE49F14FBAA}" type="sibTrans" cxnId="{D91CAF95-0211-4A1A-9D7B-DFD85EA30E9D}">
      <dgm:prSet/>
      <dgm:spPr/>
      <dgm:t>
        <a:bodyPr/>
        <a:lstStyle/>
        <a:p>
          <a:endParaRPr lang="en-US">
            <a:solidFill>
              <a:srgbClr val="FF0000"/>
            </a:solidFill>
          </a:endParaRPr>
        </a:p>
      </dgm:t>
    </dgm:pt>
    <dgm:pt modelId="{5763CBB0-D1FF-4245-8A9A-821ADD29D341}">
      <dgm:prSet phldrT="[Text]"/>
      <dgm:spPr/>
      <dgm:t>
        <a:bodyPr/>
        <a:lstStyle/>
        <a:p>
          <a:pPr algn="just"/>
          <a:r>
            <a:rPr lang="en-US">
              <a:solidFill>
                <a:srgbClr val="FF0000"/>
              </a:solidFill>
            </a:rPr>
            <a:t>Marriott is expanding its luxury segment, launching Ritz-Carlton and JW Marriott safari camps in Kenya by 2025 (Marriott, 2024). This attracts high-end travellers and boosts revenue. However, luxury tourism can harm local ecosystems and communities, raising ethical concerns. Additionally, the exclusivity of luxury resorts may limit broader consumer accessibility.</a:t>
          </a:r>
        </a:p>
      </dgm:t>
    </dgm:pt>
    <dgm:pt modelId="{44174DA3-ACD5-45EF-85CA-893B85F5FDC0}" type="parTrans" cxnId="{C38D1B1D-1B75-4291-9B59-CE2A93DEA2B9}">
      <dgm:prSet/>
      <dgm:spPr/>
      <dgm:t>
        <a:bodyPr/>
        <a:lstStyle/>
        <a:p>
          <a:endParaRPr lang="en-US">
            <a:solidFill>
              <a:srgbClr val="FF0000"/>
            </a:solidFill>
          </a:endParaRPr>
        </a:p>
      </dgm:t>
    </dgm:pt>
    <dgm:pt modelId="{319C7C9A-7ABB-4592-AD35-D5BC00D780A5}" type="sibTrans" cxnId="{C38D1B1D-1B75-4291-9B59-CE2A93DEA2B9}">
      <dgm:prSet/>
      <dgm:spPr/>
      <dgm:t>
        <a:bodyPr/>
        <a:lstStyle/>
        <a:p>
          <a:endParaRPr lang="en-US">
            <a:solidFill>
              <a:srgbClr val="FF0000"/>
            </a:solidFill>
          </a:endParaRPr>
        </a:p>
      </dgm:t>
    </dgm:pt>
    <dgm:pt modelId="{C0130C80-74E3-404C-A8A2-C70C519CE04B}">
      <dgm:prSet phldrT="[Text]"/>
      <dgm:spPr/>
      <dgm:t>
        <a:bodyPr/>
        <a:lstStyle/>
        <a:p>
          <a:pPr algn="just"/>
          <a:r>
            <a:rPr lang="en-US">
              <a:solidFill>
                <a:srgbClr val="FF0000"/>
              </a:solidFill>
            </a:rPr>
            <a:t>Luxury Market Growth</a:t>
          </a:r>
        </a:p>
      </dgm:t>
    </dgm:pt>
    <dgm:pt modelId="{C8E508B5-E1EE-4FFA-B2B5-E5B57B98A436}" type="parTrans" cxnId="{7D62F86E-D90B-4590-B62D-0C80598EC329}">
      <dgm:prSet/>
      <dgm:spPr/>
      <dgm:t>
        <a:bodyPr/>
        <a:lstStyle/>
        <a:p>
          <a:endParaRPr lang="en-US">
            <a:solidFill>
              <a:srgbClr val="FF0000"/>
            </a:solidFill>
          </a:endParaRPr>
        </a:p>
      </dgm:t>
    </dgm:pt>
    <dgm:pt modelId="{F7AA34CB-5096-4F8C-AC6A-7225FEB45340}" type="sibTrans" cxnId="{7D62F86E-D90B-4590-B62D-0C80598EC329}">
      <dgm:prSet/>
      <dgm:spPr/>
      <dgm:t>
        <a:bodyPr/>
        <a:lstStyle/>
        <a:p>
          <a:endParaRPr lang="en-US">
            <a:solidFill>
              <a:srgbClr val="FF0000"/>
            </a:solidFill>
          </a:endParaRPr>
        </a:p>
      </dgm:t>
    </dgm:pt>
    <dgm:pt modelId="{8B00C6B4-8141-44A8-8035-530E0AC17432}">
      <dgm:prSet phldrT="[Text]"/>
      <dgm:spPr/>
      <dgm:t>
        <a:bodyPr/>
        <a:lstStyle/>
        <a:p>
          <a:pPr algn="just"/>
          <a:r>
            <a:rPr lang="en-US">
              <a:solidFill>
                <a:srgbClr val="FF0000"/>
              </a:solidFill>
            </a:rPr>
            <a:t>Marriott pledges net-zero emissions by 2050, aligning with the Science Based Targets initiative (Marriott, 2024). This enhances corporate responsibility and brand reputation. However, long-term goals lack immediate accountability, and the hospitality sector's high energy demands make sustainability difficult (Adeel et al., 2024). Effective execution requires substantial investment in renewable energy and operational changes across global properties.</a:t>
          </a:r>
        </a:p>
      </dgm:t>
    </dgm:pt>
    <dgm:pt modelId="{CAC68B75-E8E8-477A-95A2-B65D732698CD}" type="parTrans" cxnId="{829AFF0D-64AA-4C28-93B6-F2E7AD1945B6}">
      <dgm:prSet/>
      <dgm:spPr/>
      <dgm:t>
        <a:bodyPr/>
        <a:lstStyle/>
        <a:p>
          <a:endParaRPr lang="en-US">
            <a:solidFill>
              <a:srgbClr val="FF0000"/>
            </a:solidFill>
          </a:endParaRPr>
        </a:p>
      </dgm:t>
    </dgm:pt>
    <dgm:pt modelId="{0206ADB4-C07F-482B-B5DE-C90DF785F766}" type="sibTrans" cxnId="{829AFF0D-64AA-4C28-93B6-F2E7AD1945B6}">
      <dgm:prSet/>
      <dgm:spPr/>
      <dgm:t>
        <a:bodyPr/>
        <a:lstStyle/>
        <a:p>
          <a:endParaRPr lang="en-US">
            <a:solidFill>
              <a:srgbClr val="FF0000"/>
            </a:solidFill>
          </a:endParaRPr>
        </a:p>
      </dgm:t>
    </dgm:pt>
    <dgm:pt modelId="{7D6E97F5-676F-4BD0-A56D-FBAA91DF4A82}">
      <dgm:prSet phldrT="[Text]"/>
      <dgm:spPr/>
      <dgm:t>
        <a:bodyPr/>
        <a:lstStyle/>
        <a:p>
          <a:pPr algn="just"/>
          <a:r>
            <a:rPr lang="en-US">
              <a:solidFill>
                <a:srgbClr val="FF0000"/>
              </a:solidFill>
            </a:rPr>
            <a:t>Marriott operates 8,630 properties in 139 countries, aiming for continued global growth (Marriott, 2024). Expansion increases market presence and revenue but risks brand dilution, operational inefficiencies, and geopolitical instability. Rapid expansion may lead to inconsistent service quality, as managing diverse markets with varying regulations and economic conditions remains a critical challenge.</a:t>
          </a:r>
        </a:p>
      </dgm:t>
    </dgm:pt>
    <dgm:pt modelId="{9B4AC452-42B0-409C-88C2-C6B9DB40BA43}" type="parTrans" cxnId="{E8381660-05D8-439D-B4CF-85BC7EAC815A}">
      <dgm:prSet/>
      <dgm:spPr/>
      <dgm:t>
        <a:bodyPr/>
        <a:lstStyle/>
        <a:p>
          <a:endParaRPr lang="en-US">
            <a:solidFill>
              <a:srgbClr val="FF0000"/>
            </a:solidFill>
          </a:endParaRPr>
        </a:p>
      </dgm:t>
    </dgm:pt>
    <dgm:pt modelId="{BEFFE530-388E-4ECB-A7DE-FF02850F5BDE}" type="sibTrans" cxnId="{E8381660-05D8-439D-B4CF-85BC7EAC815A}">
      <dgm:prSet/>
      <dgm:spPr/>
      <dgm:t>
        <a:bodyPr/>
        <a:lstStyle/>
        <a:p>
          <a:endParaRPr lang="en-US">
            <a:solidFill>
              <a:srgbClr val="FF0000"/>
            </a:solidFill>
          </a:endParaRPr>
        </a:p>
      </dgm:t>
    </dgm:pt>
    <dgm:pt modelId="{3B2878AC-5548-42FD-B34F-D33E4338820A}">
      <dgm:prSet phldrT="[Text]"/>
      <dgm:spPr/>
      <dgm:t>
        <a:bodyPr/>
        <a:lstStyle/>
        <a:p>
          <a:pPr algn="just"/>
          <a:r>
            <a:rPr lang="en-US">
              <a:solidFill>
                <a:srgbClr val="FF0000"/>
              </a:solidFill>
            </a:rPr>
            <a:t>Sustainability Commitment</a:t>
          </a:r>
        </a:p>
      </dgm:t>
    </dgm:pt>
    <dgm:pt modelId="{34A78619-0618-4BD3-B4EC-A30C3EBD7A67}" type="parTrans" cxnId="{9398C315-B6FE-4751-8287-9DC888F6B609}">
      <dgm:prSet/>
      <dgm:spPr/>
      <dgm:t>
        <a:bodyPr/>
        <a:lstStyle/>
        <a:p>
          <a:endParaRPr lang="en-US">
            <a:solidFill>
              <a:srgbClr val="FF0000"/>
            </a:solidFill>
          </a:endParaRPr>
        </a:p>
      </dgm:t>
    </dgm:pt>
    <dgm:pt modelId="{E732F3F2-1DDF-432A-A98D-BF88EF6B6A49}" type="sibTrans" cxnId="{9398C315-B6FE-4751-8287-9DC888F6B609}">
      <dgm:prSet/>
      <dgm:spPr/>
      <dgm:t>
        <a:bodyPr/>
        <a:lstStyle/>
        <a:p>
          <a:endParaRPr lang="en-US">
            <a:solidFill>
              <a:srgbClr val="FF0000"/>
            </a:solidFill>
          </a:endParaRPr>
        </a:p>
      </dgm:t>
    </dgm:pt>
    <dgm:pt modelId="{2ADD889E-B9B0-4BCA-A009-561002D7F83D}" type="pres">
      <dgm:prSet presAssocID="{188BF9AA-3528-4A0E-A1A3-6977525B90B4}" presName="linear" presStyleCnt="0">
        <dgm:presLayoutVars>
          <dgm:dir/>
          <dgm:animLvl val="lvl"/>
          <dgm:resizeHandles val="exact"/>
        </dgm:presLayoutVars>
      </dgm:prSet>
      <dgm:spPr/>
    </dgm:pt>
    <dgm:pt modelId="{B6A156AC-795F-4758-B976-B311F829CCFA}" type="pres">
      <dgm:prSet presAssocID="{7A7840EA-570D-4C06-A328-2584AAA6A112}" presName="parentLin" presStyleCnt="0"/>
      <dgm:spPr/>
    </dgm:pt>
    <dgm:pt modelId="{DBFD4CAB-6595-4296-9207-BB1A5B2A6148}" type="pres">
      <dgm:prSet presAssocID="{7A7840EA-570D-4C06-A328-2584AAA6A112}" presName="parentLeftMargin" presStyleLbl="node1" presStyleIdx="0" presStyleCnt="5"/>
      <dgm:spPr/>
    </dgm:pt>
    <dgm:pt modelId="{F39A8C35-2E26-4B97-98DB-567FD666AE0D}" type="pres">
      <dgm:prSet presAssocID="{7A7840EA-570D-4C06-A328-2584AAA6A112}" presName="parentText" presStyleLbl="node1" presStyleIdx="0" presStyleCnt="5">
        <dgm:presLayoutVars>
          <dgm:chMax val="0"/>
          <dgm:bulletEnabled val="1"/>
        </dgm:presLayoutVars>
      </dgm:prSet>
      <dgm:spPr/>
    </dgm:pt>
    <dgm:pt modelId="{DE1B70AC-EA47-4B14-8CAC-49795EB625BC}" type="pres">
      <dgm:prSet presAssocID="{7A7840EA-570D-4C06-A328-2584AAA6A112}" presName="negativeSpace" presStyleCnt="0"/>
      <dgm:spPr/>
    </dgm:pt>
    <dgm:pt modelId="{457BC768-2441-4DAB-9ADF-7D98E5003BBE}" type="pres">
      <dgm:prSet presAssocID="{7A7840EA-570D-4C06-A328-2584AAA6A112}" presName="childText" presStyleLbl="conFgAcc1" presStyleIdx="0" presStyleCnt="5">
        <dgm:presLayoutVars>
          <dgm:bulletEnabled val="1"/>
        </dgm:presLayoutVars>
      </dgm:prSet>
      <dgm:spPr/>
    </dgm:pt>
    <dgm:pt modelId="{F61FD4F9-F433-4EB1-B03B-87B4EFF47BD0}" type="pres">
      <dgm:prSet presAssocID="{74F16FFD-AEC2-4219-A62D-EC1B8827027D}" presName="spaceBetweenRectangles" presStyleCnt="0"/>
      <dgm:spPr/>
    </dgm:pt>
    <dgm:pt modelId="{2D738BA1-0958-4237-B114-CCB8ACC2EF72}" type="pres">
      <dgm:prSet presAssocID="{3B2878AC-5548-42FD-B34F-D33E4338820A}" presName="parentLin" presStyleCnt="0"/>
      <dgm:spPr/>
    </dgm:pt>
    <dgm:pt modelId="{4A471E29-B2A0-4F09-8DE7-377DBA92B3BE}" type="pres">
      <dgm:prSet presAssocID="{3B2878AC-5548-42FD-B34F-D33E4338820A}" presName="parentLeftMargin" presStyleLbl="node1" presStyleIdx="0" presStyleCnt="5"/>
      <dgm:spPr/>
    </dgm:pt>
    <dgm:pt modelId="{8FA99339-DB66-4F0B-BAEB-DF967EA7EB39}" type="pres">
      <dgm:prSet presAssocID="{3B2878AC-5548-42FD-B34F-D33E4338820A}" presName="parentText" presStyleLbl="node1" presStyleIdx="1" presStyleCnt="5">
        <dgm:presLayoutVars>
          <dgm:chMax val="0"/>
          <dgm:bulletEnabled val="1"/>
        </dgm:presLayoutVars>
      </dgm:prSet>
      <dgm:spPr/>
    </dgm:pt>
    <dgm:pt modelId="{3AB104E2-6FE8-439F-8E92-DD2CE8973A6F}" type="pres">
      <dgm:prSet presAssocID="{3B2878AC-5548-42FD-B34F-D33E4338820A}" presName="negativeSpace" presStyleCnt="0"/>
      <dgm:spPr/>
    </dgm:pt>
    <dgm:pt modelId="{1DC4B7C2-1FEC-4984-93AC-F7AA4071652F}" type="pres">
      <dgm:prSet presAssocID="{3B2878AC-5548-42FD-B34F-D33E4338820A}" presName="childText" presStyleLbl="conFgAcc1" presStyleIdx="1" presStyleCnt="5">
        <dgm:presLayoutVars>
          <dgm:bulletEnabled val="1"/>
        </dgm:presLayoutVars>
      </dgm:prSet>
      <dgm:spPr/>
    </dgm:pt>
    <dgm:pt modelId="{B7658ADC-796A-442C-9EE5-34BD007D5C77}" type="pres">
      <dgm:prSet presAssocID="{E732F3F2-1DDF-432A-A98D-BF88EF6B6A49}" presName="spaceBetweenRectangles" presStyleCnt="0"/>
      <dgm:spPr/>
    </dgm:pt>
    <dgm:pt modelId="{402141D5-4166-4F7E-A9B7-B48140E6E902}" type="pres">
      <dgm:prSet presAssocID="{C0130C80-74E3-404C-A8A2-C70C519CE04B}" presName="parentLin" presStyleCnt="0"/>
      <dgm:spPr/>
    </dgm:pt>
    <dgm:pt modelId="{5A7BBE68-DC40-447A-AFA6-7C08A7DF8D7C}" type="pres">
      <dgm:prSet presAssocID="{C0130C80-74E3-404C-A8A2-C70C519CE04B}" presName="parentLeftMargin" presStyleLbl="node1" presStyleIdx="1" presStyleCnt="5"/>
      <dgm:spPr/>
    </dgm:pt>
    <dgm:pt modelId="{85F99F45-F386-4611-8000-7CAE52BD4EE4}" type="pres">
      <dgm:prSet presAssocID="{C0130C80-74E3-404C-A8A2-C70C519CE04B}" presName="parentText" presStyleLbl="node1" presStyleIdx="2" presStyleCnt="5">
        <dgm:presLayoutVars>
          <dgm:chMax val="0"/>
          <dgm:bulletEnabled val="1"/>
        </dgm:presLayoutVars>
      </dgm:prSet>
      <dgm:spPr/>
    </dgm:pt>
    <dgm:pt modelId="{9C9D845C-B94D-4767-8B1A-FC301E77C0D2}" type="pres">
      <dgm:prSet presAssocID="{C0130C80-74E3-404C-A8A2-C70C519CE04B}" presName="negativeSpace" presStyleCnt="0"/>
      <dgm:spPr/>
    </dgm:pt>
    <dgm:pt modelId="{B27CA9B5-27E0-483B-AE81-6BA6571A4720}" type="pres">
      <dgm:prSet presAssocID="{C0130C80-74E3-404C-A8A2-C70C519CE04B}" presName="childText" presStyleLbl="conFgAcc1" presStyleIdx="2" presStyleCnt="5">
        <dgm:presLayoutVars>
          <dgm:bulletEnabled val="1"/>
        </dgm:presLayoutVars>
      </dgm:prSet>
      <dgm:spPr/>
    </dgm:pt>
    <dgm:pt modelId="{D399AEDB-EA10-4FCA-9FC0-3CAD1BA908A4}" type="pres">
      <dgm:prSet presAssocID="{F7AA34CB-5096-4F8C-AC6A-7225FEB45340}" presName="spaceBetweenRectangles" presStyleCnt="0"/>
      <dgm:spPr/>
    </dgm:pt>
    <dgm:pt modelId="{22F7EFC7-BBB7-4AC6-AC69-350E70F325FA}" type="pres">
      <dgm:prSet presAssocID="{7793E6BA-6055-4BE9-8199-A4D94401D08E}" presName="parentLin" presStyleCnt="0"/>
      <dgm:spPr/>
    </dgm:pt>
    <dgm:pt modelId="{3DAD1F39-9B38-4952-ADAA-843985BF614F}" type="pres">
      <dgm:prSet presAssocID="{7793E6BA-6055-4BE9-8199-A4D94401D08E}" presName="parentLeftMargin" presStyleLbl="node1" presStyleIdx="2" presStyleCnt="5"/>
      <dgm:spPr/>
    </dgm:pt>
    <dgm:pt modelId="{04999CF4-008A-4070-A06E-6E64D453A52A}" type="pres">
      <dgm:prSet presAssocID="{7793E6BA-6055-4BE9-8199-A4D94401D08E}" presName="parentText" presStyleLbl="node1" presStyleIdx="3" presStyleCnt="5">
        <dgm:presLayoutVars>
          <dgm:chMax val="0"/>
          <dgm:bulletEnabled val="1"/>
        </dgm:presLayoutVars>
      </dgm:prSet>
      <dgm:spPr/>
    </dgm:pt>
    <dgm:pt modelId="{B0BDE0EF-A223-4AA4-945B-4D72D51F0487}" type="pres">
      <dgm:prSet presAssocID="{7793E6BA-6055-4BE9-8199-A4D94401D08E}" presName="negativeSpace" presStyleCnt="0"/>
      <dgm:spPr/>
    </dgm:pt>
    <dgm:pt modelId="{15DA5FB2-1EB3-41C1-9FCB-DC0E85247771}" type="pres">
      <dgm:prSet presAssocID="{7793E6BA-6055-4BE9-8199-A4D94401D08E}" presName="childText" presStyleLbl="conFgAcc1" presStyleIdx="3" presStyleCnt="5">
        <dgm:presLayoutVars>
          <dgm:bulletEnabled val="1"/>
        </dgm:presLayoutVars>
      </dgm:prSet>
      <dgm:spPr/>
    </dgm:pt>
    <dgm:pt modelId="{0845621F-DA5D-4411-BDF7-5458131B2DDD}" type="pres">
      <dgm:prSet presAssocID="{55F5426B-7119-4F74-90D3-0EE49F14FBAA}" presName="spaceBetweenRectangles" presStyleCnt="0"/>
      <dgm:spPr/>
    </dgm:pt>
    <dgm:pt modelId="{97C4D1DF-4FBE-4CF5-BD36-8303837FC0E8}" type="pres">
      <dgm:prSet presAssocID="{9FBDAE1B-1AF2-4B5B-86C5-88C60FC222D6}" presName="parentLin" presStyleCnt="0"/>
      <dgm:spPr/>
    </dgm:pt>
    <dgm:pt modelId="{3E5B8DE5-FE87-4B8C-9CA1-F76C3AF5432E}" type="pres">
      <dgm:prSet presAssocID="{9FBDAE1B-1AF2-4B5B-86C5-88C60FC222D6}" presName="parentLeftMargin" presStyleLbl="node1" presStyleIdx="3" presStyleCnt="5"/>
      <dgm:spPr/>
    </dgm:pt>
    <dgm:pt modelId="{C97383C6-CD40-46DE-8FF4-497FEC3196AA}" type="pres">
      <dgm:prSet presAssocID="{9FBDAE1B-1AF2-4B5B-86C5-88C60FC222D6}" presName="parentText" presStyleLbl="node1" presStyleIdx="4" presStyleCnt="5">
        <dgm:presLayoutVars>
          <dgm:chMax val="0"/>
          <dgm:bulletEnabled val="1"/>
        </dgm:presLayoutVars>
      </dgm:prSet>
      <dgm:spPr/>
    </dgm:pt>
    <dgm:pt modelId="{C3108DAC-D1B8-4BBA-8FE5-E2E8013FC43F}" type="pres">
      <dgm:prSet presAssocID="{9FBDAE1B-1AF2-4B5B-86C5-88C60FC222D6}" presName="negativeSpace" presStyleCnt="0"/>
      <dgm:spPr/>
    </dgm:pt>
    <dgm:pt modelId="{4DE65786-EC45-48B4-9882-3AC7AB4C2129}" type="pres">
      <dgm:prSet presAssocID="{9FBDAE1B-1AF2-4B5B-86C5-88C60FC222D6}" presName="childText" presStyleLbl="conFgAcc1" presStyleIdx="4" presStyleCnt="5">
        <dgm:presLayoutVars>
          <dgm:bulletEnabled val="1"/>
        </dgm:presLayoutVars>
      </dgm:prSet>
      <dgm:spPr/>
    </dgm:pt>
  </dgm:ptLst>
  <dgm:cxnLst>
    <dgm:cxn modelId="{7A367604-AB9F-4BEC-B48E-82BEA8C7FFC4}" srcId="{188BF9AA-3528-4A0E-A1A3-6977525B90B4}" destId="{7A7840EA-570D-4C06-A328-2584AAA6A112}" srcOrd="0" destOrd="0" parTransId="{62E53F9D-B628-44B2-B0E3-F7740A7A085E}" sibTransId="{74F16FFD-AEC2-4219-A62D-EC1B8827027D}"/>
    <dgm:cxn modelId="{829AFF0D-64AA-4C28-93B6-F2E7AD1945B6}" srcId="{3B2878AC-5548-42FD-B34F-D33E4338820A}" destId="{8B00C6B4-8141-44A8-8035-530E0AC17432}" srcOrd="0" destOrd="0" parTransId="{CAC68B75-E8E8-477A-95A2-B65D732698CD}" sibTransId="{0206ADB4-C07F-482B-B5DE-C90DF785F766}"/>
    <dgm:cxn modelId="{9398C315-B6FE-4751-8287-9DC888F6B609}" srcId="{188BF9AA-3528-4A0E-A1A3-6977525B90B4}" destId="{3B2878AC-5548-42FD-B34F-D33E4338820A}" srcOrd="1" destOrd="0" parTransId="{34A78619-0618-4BD3-B4EC-A30C3EBD7A67}" sibTransId="{E732F3F2-1DDF-432A-A98D-BF88EF6B6A49}"/>
    <dgm:cxn modelId="{C38D1B1D-1B75-4291-9B59-CE2A93DEA2B9}" srcId="{C0130C80-74E3-404C-A8A2-C70C519CE04B}" destId="{5763CBB0-D1FF-4245-8A9A-821ADD29D341}" srcOrd="0" destOrd="0" parTransId="{44174DA3-ACD5-45EF-85CA-893B85F5FDC0}" sibTransId="{319C7C9A-7ABB-4592-AD35-D5BC00D780A5}"/>
    <dgm:cxn modelId="{4499DF3F-D58B-48DE-83CA-CFF39467BCB8}" type="presOf" srcId="{7793E6BA-6055-4BE9-8199-A4D94401D08E}" destId="{04999CF4-008A-4070-A06E-6E64D453A52A}" srcOrd="1" destOrd="0" presId="urn:microsoft.com/office/officeart/2005/8/layout/list1#1"/>
    <dgm:cxn modelId="{F362215F-DFB1-405B-9940-9072062C0DCA}" type="presOf" srcId="{8D3212B8-00F6-4035-81CB-C131A29904DA}" destId="{4DE65786-EC45-48B4-9882-3AC7AB4C2129}" srcOrd="0" destOrd="0" presId="urn:microsoft.com/office/officeart/2005/8/layout/list1#1"/>
    <dgm:cxn modelId="{E8381660-05D8-439D-B4CF-85BC7EAC815A}" srcId="{7A7840EA-570D-4C06-A328-2584AAA6A112}" destId="{7D6E97F5-676F-4BD0-A56D-FBAA91DF4A82}" srcOrd="0" destOrd="0" parTransId="{9B4AC452-42B0-409C-88C2-C6B9DB40BA43}" sibTransId="{BEFFE530-388E-4ECB-A7DE-FF02850F5BDE}"/>
    <dgm:cxn modelId="{EF6A8960-3F71-474F-B3BD-E19BA7D605D1}" type="presOf" srcId="{3B2878AC-5548-42FD-B34F-D33E4338820A}" destId="{4A471E29-B2A0-4F09-8DE7-377DBA92B3BE}" srcOrd="0" destOrd="0" presId="urn:microsoft.com/office/officeart/2005/8/layout/list1#1"/>
    <dgm:cxn modelId="{A6C2C16A-6214-4B9B-9769-24C5FBD09151}" type="presOf" srcId="{188BF9AA-3528-4A0E-A1A3-6977525B90B4}" destId="{2ADD889E-B9B0-4BCA-A009-561002D7F83D}" srcOrd="0" destOrd="0" presId="urn:microsoft.com/office/officeart/2005/8/layout/list1#1"/>
    <dgm:cxn modelId="{0845714D-2F22-4C32-A553-56907B35F773}" type="presOf" srcId="{5763CBB0-D1FF-4245-8A9A-821ADD29D341}" destId="{B27CA9B5-27E0-483B-AE81-6BA6571A4720}" srcOrd="0" destOrd="0" presId="urn:microsoft.com/office/officeart/2005/8/layout/list1#1"/>
    <dgm:cxn modelId="{7D62F86E-D90B-4590-B62D-0C80598EC329}" srcId="{188BF9AA-3528-4A0E-A1A3-6977525B90B4}" destId="{C0130C80-74E3-404C-A8A2-C70C519CE04B}" srcOrd="2" destOrd="0" parTransId="{C8E508B5-E1EE-4FFA-B2B5-E5B57B98A436}" sibTransId="{F7AA34CB-5096-4F8C-AC6A-7225FEB45340}"/>
    <dgm:cxn modelId="{BB0A1F71-11EF-4B6B-AF29-B971B84E0345}" type="presOf" srcId="{8B00C6B4-8141-44A8-8035-530E0AC17432}" destId="{1DC4B7C2-1FEC-4984-93AC-F7AA4071652F}" srcOrd="0" destOrd="0" presId="urn:microsoft.com/office/officeart/2005/8/layout/list1#1"/>
    <dgm:cxn modelId="{4C0E6471-166C-4834-B5EA-845E67B2BCA9}" type="presOf" srcId="{3B2878AC-5548-42FD-B34F-D33E4338820A}" destId="{8FA99339-DB66-4F0B-BAEB-DF967EA7EB39}" srcOrd="1" destOrd="0" presId="urn:microsoft.com/office/officeart/2005/8/layout/list1#1"/>
    <dgm:cxn modelId="{69F7C572-D3DF-400C-B4DD-FB73E46F3F7A}" type="presOf" srcId="{7A7840EA-570D-4C06-A328-2584AAA6A112}" destId="{F39A8C35-2E26-4B97-98DB-567FD666AE0D}" srcOrd="1" destOrd="0" presId="urn:microsoft.com/office/officeart/2005/8/layout/list1#1"/>
    <dgm:cxn modelId="{B3681B74-56B2-46DB-B8BC-990208918CDD}" type="presOf" srcId="{C0130C80-74E3-404C-A8A2-C70C519CE04B}" destId="{5A7BBE68-DC40-447A-AFA6-7C08A7DF8D7C}" srcOrd="0" destOrd="0" presId="urn:microsoft.com/office/officeart/2005/8/layout/list1#1"/>
    <dgm:cxn modelId="{0176157A-FB9E-48D4-B5C9-E21441143557}" type="presOf" srcId="{7793E6BA-6055-4BE9-8199-A4D94401D08E}" destId="{3DAD1F39-9B38-4952-ADAA-843985BF614F}" srcOrd="0" destOrd="0" presId="urn:microsoft.com/office/officeart/2005/8/layout/list1#1"/>
    <dgm:cxn modelId="{6946C584-13F6-4EC2-9B5D-FEFDA3FF09AD}" type="presOf" srcId="{7D6E97F5-676F-4BD0-A56D-FBAA91DF4A82}" destId="{457BC768-2441-4DAB-9ADF-7D98E5003BBE}" srcOrd="0" destOrd="0" presId="urn:microsoft.com/office/officeart/2005/8/layout/list1#1"/>
    <dgm:cxn modelId="{8BB1A190-3713-432D-BF7F-0B325628DE90}" srcId="{7793E6BA-6055-4BE9-8199-A4D94401D08E}" destId="{F329E957-47F5-4A0D-8451-CC6E6E53A6F5}" srcOrd="0" destOrd="0" parTransId="{E2373AC2-E424-4C09-9A6E-EB69F781C2EA}" sibTransId="{EA797DDA-8717-4AA0-A805-9CA0199EC31C}"/>
    <dgm:cxn modelId="{D91CAF95-0211-4A1A-9D7B-DFD85EA30E9D}" srcId="{188BF9AA-3528-4A0E-A1A3-6977525B90B4}" destId="{7793E6BA-6055-4BE9-8199-A4D94401D08E}" srcOrd="3" destOrd="0" parTransId="{EFFBF613-E7C8-426B-954B-AFFA13264D80}" sibTransId="{55F5426B-7119-4F74-90D3-0EE49F14FBAA}"/>
    <dgm:cxn modelId="{60B519A2-10D1-4384-A3C0-A45519CC4A74}" type="presOf" srcId="{7A7840EA-570D-4C06-A328-2584AAA6A112}" destId="{DBFD4CAB-6595-4296-9207-BB1A5B2A6148}" srcOrd="0" destOrd="0" presId="urn:microsoft.com/office/officeart/2005/8/layout/list1#1"/>
    <dgm:cxn modelId="{4933B4BA-AFB6-4DE2-917A-12503E02E644}" srcId="{188BF9AA-3528-4A0E-A1A3-6977525B90B4}" destId="{9FBDAE1B-1AF2-4B5B-86C5-88C60FC222D6}" srcOrd="4" destOrd="0" parTransId="{18624D07-13BF-427F-AA69-CA095CA92536}" sibTransId="{29E0AFCF-5723-4C47-94F6-C3A1EFDFE06D}"/>
    <dgm:cxn modelId="{BB4963C9-212A-4677-A713-9D899A9A422D}" type="presOf" srcId="{9FBDAE1B-1AF2-4B5B-86C5-88C60FC222D6}" destId="{3E5B8DE5-FE87-4B8C-9CA1-F76C3AF5432E}" srcOrd="0" destOrd="0" presId="urn:microsoft.com/office/officeart/2005/8/layout/list1#1"/>
    <dgm:cxn modelId="{7CDF12CC-49D5-40D8-9FB4-FD760D6AE98B}" type="presOf" srcId="{9FBDAE1B-1AF2-4B5B-86C5-88C60FC222D6}" destId="{C97383C6-CD40-46DE-8FF4-497FEC3196AA}" srcOrd="1" destOrd="0" presId="urn:microsoft.com/office/officeart/2005/8/layout/list1#1"/>
    <dgm:cxn modelId="{7A75DCD3-7EDE-4CC8-9210-4535EFAE3FD2}" type="presOf" srcId="{F329E957-47F5-4A0D-8451-CC6E6E53A6F5}" destId="{15DA5FB2-1EB3-41C1-9FCB-DC0E85247771}" srcOrd="0" destOrd="0" presId="urn:microsoft.com/office/officeart/2005/8/layout/list1#1"/>
    <dgm:cxn modelId="{6CA3F0D5-5CA5-47DE-B237-ABBF661FFF85}" srcId="{9FBDAE1B-1AF2-4B5B-86C5-88C60FC222D6}" destId="{8D3212B8-00F6-4035-81CB-C131A29904DA}" srcOrd="0" destOrd="0" parTransId="{45604579-0FC9-48DE-8398-2E2414E94FF9}" sibTransId="{5CC9F6EC-6ACF-40A1-86D8-574E7F94FB16}"/>
    <dgm:cxn modelId="{211799DF-906C-46FE-B6FE-ECFC5DDDE19A}" type="presOf" srcId="{C0130C80-74E3-404C-A8A2-C70C519CE04B}" destId="{85F99F45-F386-4611-8000-7CAE52BD4EE4}" srcOrd="1" destOrd="0" presId="urn:microsoft.com/office/officeart/2005/8/layout/list1#1"/>
    <dgm:cxn modelId="{43BDBB66-34A2-426B-A139-69787BB89FEF}" type="presParOf" srcId="{2ADD889E-B9B0-4BCA-A009-561002D7F83D}" destId="{B6A156AC-795F-4758-B976-B311F829CCFA}" srcOrd="0" destOrd="0" presId="urn:microsoft.com/office/officeart/2005/8/layout/list1#1"/>
    <dgm:cxn modelId="{0933E631-5341-452E-A32D-64AEB362EC6C}" type="presParOf" srcId="{B6A156AC-795F-4758-B976-B311F829CCFA}" destId="{DBFD4CAB-6595-4296-9207-BB1A5B2A6148}" srcOrd="0" destOrd="0" presId="urn:microsoft.com/office/officeart/2005/8/layout/list1#1"/>
    <dgm:cxn modelId="{2AEF1FE6-857F-4764-A7CB-FFEF008AC80E}" type="presParOf" srcId="{B6A156AC-795F-4758-B976-B311F829CCFA}" destId="{F39A8C35-2E26-4B97-98DB-567FD666AE0D}" srcOrd="1" destOrd="0" presId="urn:microsoft.com/office/officeart/2005/8/layout/list1#1"/>
    <dgm:cxn modelId="{F1A5CC2D-1CA3-4BA8-AB05-0F9076370D89}" type="presParOf" srcId="{2ADD889E-B9B0-4BCA-A009-561002D7F83D}" destId="{DE1B70AC-EA47-4B14-8CAC-49795EB625BC}" srcOrd="1" destOrd="0" presId="urn:microsoft.com/office/officeart/2005/8/layout/list1#1"/>
    <dgm:cxn modelId="{40D6C630-68FA-4648-A191-6BEAD2CFC989}" type="presParOf" srcId="{2ADD889E-B9B0-4BCA-A009-561002D7F83D}" destId="{457BC768-2441-4DAB-9ADF-7D98E5003BBE}" srcOrd="2" destOrd="0" presId="urn:microsoft.com/office/officeart/2005/8/layout/list1#1"/>
    <dgm:cxn modelId="{DF3530B9-A15F-4A95-AB31-A19A0315CDE0}" type="presParOf" srcId="{2ADD889E-B9B0-4BCA-A009-561002D7F83D}" destId="{F61FD4F9-F433-4EB1-B03B-87B4EFF47BD0}" srcOrd="3" destOrd="0" presId="urn:microsoft.com/office/officeart/2005/8/layout/list1#1"/>
    <dgm:cxn modelId="{D7FB12CF-22BE-4DA5-B96D-183BD4D5BFAB}" type="presParOf" srcId="{2ADD889E-B9B0-4BCA-A009-561002D7F83D}" destId="{2D738BA1-0958-4237-B114-CCB8ACC2EF72}" srcOrd="4" destOrd="0" presId="urn:microsoft.com/office/officeart/2005/8/layout/list1#1"/>
    <dgm:cxn modelId="{340F5BEE-B599-4FFA-910D-4D7B0B1F12ED}" type="presParOf" srcId="{2D738BA1-0958-4237-B114-CCB8ACC2EF72}" destId="{4A471E29-B2A0-4F09-8DE7-377DBA92B3BE}" srcOrd="0" destOrd="0" presId="urn:microsoft.com/office/officeart/2005/8/layout/list1#1"/>
    <dgm:cxn modelId="{9259E3E5-49C2-44EE-9155-D20667D2C69F}" type="presParOf" srcId="{2D738BA1-0958-4237-B114-CCB8ACC2EF72}" destId="{8FA99339-DB66-4F0B-BAEB-DF967EA7EB39}" srcOrd="1" destOrd="0" presId="urn:microsoft.com/office/officeart/2005/8/layout/list1#1"/>
    <dgm:cxn modelId="{7EC9DF16-E8D9-4311-B75A-B1ABE560F20E}" type="presParOf" srcId="{2ADD889E-B9B0-4BCA-A009-561002D7F83D}" destId="{3AB104E2-6FE8-439F-8E92-DD2CE8973A6F}" srcOrd="5" destOrd="0" presId="urn:microsoft.com/office/officeart/2005/8/layout/list1#1"/>
    <dgm:cxn modelId="{786C8E8D-70F7-4A87-B458-D5DCE73F0982}" type="presParOf" srcId="{2ADD889E-B9B0-4BCA-A009-561002D7F83D}" destId="{1DC4B7C2-1FEC-4984-93AC-F7AA4071652F}" srcOrd="6" destOrd="0" presId="urn:microsoft.com/office/officeart/2005/8/layout/list1#1"/>
    <dgm:cxn modelId="{012F452E-AB12-4B89-8FD4-DC25C7899BE6}" type="presParOf" srcId="{2ADD889E-B9B0-4BCA-A009-561002D7F83D}" destId="{B7658ADC-796A-442C-9EE5-34BD007D5C77}" srcOrd="7" destOrd="0" presId="urn:microsoft.com/office/officeart/2005/8/layout/list1#1"/>
    <dgm:cxn modelId="{EAEA6506-78E7-4470-A19D-FBE89FFAE85C}" type="presParOf" srcId="{2ADD889E-B9B0-4BCA-A009-561002D7F83D}" destId="{402141D5-4166-4F7E-A9B7-B48140E6E902}" srcOrd="8" destOrd="0" presId="urn:microsoft.com/office/officeart/2005/8/layout/list1#1"/>
    <dgm:cxn modelId="{5565FDC8-0959-45D4-A11D-ED0488970FF0}" type="presParOf" srcId="{402141D5-4166-4F7E-A9B7-B48140E6E902}" destId="{5A7BBE68-DC40-447A-AFA6-7C08A7DF8D7C}" srcOrd="0" destOrd="0" presId="urn:microsoft.com/office/officeart/2005/8/layout/list1#1"/>
    <dgm:cxn modelId="{53FC1564-6277-4C27-90C4-FF3AB7A11DFD}" type="presParOf" srcId="{402141D5-4166-4F7E-A9B7-B48140E6E902}" destId="{85F99F45-F386-4611-8000-7CAE52BD4EE4}" srcOrd="1" destOrd="0" presId="urn:microsoft.com/office/officeart/2005/8/layout/list1#1"/>
    <dgm:cxn modelId="{545FD075-5D5A-496C-818D-CCE07A9433CA}" type="presParOf" srcId="{2ADD889E-B9B0-4BCA-A009-561002D7F83D}" destId="{9C9D845C-B94D-4767-8B1A-FC301E77C0D2}" srcOrd="9" destOrd="0" presId="urn:microsoft.com/office/officeart/2005/8/layout/list1#1"/>
    <dgm:cxn modelId="{C5092335-B2E8-4646-8009-AC6B7F2FEF9B}" type="presParOf" srcId="{2ADD889E-B9B0-4BCA-A009-561002D7F83D}" destId="{B27CA9B5-27E0-483B-AE81-6BA6571A4720}" srcOrd="10" destOrd="0" presId="urn:microsoft.com/office/officeart/2005/8/layout/list1#1"/>
    <dgm:cxn modelId="{B3D270CF-A752-448B-8353-00DAFFB8C56D}" type="presParOf" srcId="{2ADD889E-B9B0-4BCA-A009-561002D7F83D}" destId="{D399AEDB-EA10-4FCA-9FC0-3CAD1BA908A4}" srcOrd="11" destOrd="0" presId="urn:microsoft.com/office/officeart/2005/8/layout/list1#1"/>
    <dgm:cxn modelId="{078F00F5-15CB-4916-B008-E771E61E32DD}" type="presParOf" srcId="{2ADD889E-B9B0-4BCA-A009-561002D7F83D}" destId="{22F7EFC7-BBB7-4AC6-AC69-350E70F325FA}" srcOrd="12" destOrd="0" presId="urn:microsoft.com/office/officeart/2005/8/layout/list1#1"/>
    <dgm:cxn modelId="{D5DFEA02-26A9-4D53-B16C-5C0E3BF91C13}" type="presParOf" srcId="{22F7EFC7-BBB7-4AC6-AC69-350E70F325FA}" destId="{3DAD1F39-9B38-4952-ADAA-843985BF614F}" srcOrd="0" destOrd="0" presId="urn:microsoft.com/office/officeart/2005/8/layout/list1#1"/>
    <dgm:cxn modelId="{C9952D78-A9A5-407E-9490-815C28B1D6F4}" type="presParOf" srcId="{22F7EFC7-BBB7-4AC6-AC69-350E70F325FA}" destId="{04999CF4-008A-4070-A06E-6E64D453A52A}" srcOrd="1" destOrd="0" presId="urn:microsoft.com/office/officeart/2005/8/layout/list1#1"/>
    <dgm:cxn modelId="{F9FFF748-70CE-42E2-90E8-0AA1BF027CA3}" type="presParOf" srcId="{2ADD889E-B9B0-4BCA-A009-561002D7F83D}" destId="{B0BDE0EF-A223-4AA4-945B-4D72D51F0487}" srcOrd="13" destOrd="0" presId="urn:microsoft.com/office/officeart/2005/8/layout/list1#1"/>
    <dgm:cxn modelId="{8DA7C15E-BBBE-4D0D-B789-672F17B3BAE9}" type="presParOf" srcId="{2ADD889E-B9B0-4BCA-A009-561002D7F83D}" destId="{15DA5FB2-1EB3-41C1-9FCB-DC0E85247771}" srcOrd="14" destOrd="0" presId="urn:microsoft.com/office/officeart/2005/8/layout/list1#1"/>
    <dgm:cxn modelId="{5DDE854C-D2D4-4199-9AB5-A4E1E098AB3F}" type="presParOf" srcId="{2ADD889E-B9B0-4BCA-A009-561002D7F83D}" destId="{0845621F-DA5D-4411-BDF7-5458131B2DDD}" srcOrd="15" destOrd="0" presId="urn:microsoft.com/office/officeart/2005/8/layout/list1#1"/>
    <dgm:cxn modelId="{3F05DACC-A7D2-4273-9935-E8E2550C5AFB}" type="presParOf" srcId="{2ADD889E-B9B0-4BCA-A009-561002D7F83D}" destId="{97C4D1DF-4FBE-4CF5-BD36-8303837FC0E8}" srcOrd="16" destOrd="0" presId="urn:microsoft.com/office/officeart/2005/8/layout/list1#1"/>
    <dgm:cxn modelId="{938DD9D4-7DFD-45AF-96E1-CD718640066A}" type="presParOf" srcId="{97C4D1DF-4FBE-4CF5-BD36-8303837FC0E8}" destId="{3E5B8DE5-FE87-4B8C-9CA1-F76C3AF5432E}" srcOrd="0" destOrd="0" presId="urn:microsoft.com/office/officeart/2005/8/layout/list1#1"/>
    <dgm:cxn modelId="{C1CF9930-1FDF-47E7-B752-B0623057434F}" type="presParOf" srcId="{97C4D1DF-4FBE-4CF5-BD36-8303837FC0E8}" destId="{C97383C6-CD40-46DE-8FF4-497FEC3196AA}" srcOrd="1" destOrd="0" presId="urn:microsoft.com/office/officeart/2005/8/layout/list1#1"/>
    <dgm:cxn modelId="{081C4585-41E0-410E-A705-07808808A5F2}" type="presParOf" srcId="{2ADD889E-B9B0-4BCA-A009-561002D7F83D}" destId="{C3108DAC-D1B8-4BBA-8FE5-E2E8013FC43F}" srcOrd="17" destOrd="0" presId="urn:microsoft.com/office/officeart/2005/8/layout/list1#1"/>
    <dgm:cxn modelId="{DFBA3846-E3B3-4D7D-8B05-8B8D7954141C}" type="presParOf" srcId="{2ADD889E-B9B0-4BCA-A009-561002D7F83D}" destId="{4DE65786-EC45-48B4-9882-3AC7AB4C2129}" srcOrd="18" destOrd="0" presId="urn:microsoft.com/office/officeart/2005/8/layout/list1#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B332ACD-3F74-42C7-9AD6-975F4B7C94DE}" type="doc">
      <dgm:prSet loTypeId="urn:microsoft.com/office/officeart/2005/8/layout/list1#2" loCatId="list" qsTypeId="urn:microsoft.com/office/officeart/2005/8/quickstyle/simple1" qsCatId="simple" csTypeId="urn:microsoft.com/office/officeart/2005/8/colors/accent1_1" csCatId="accent1" phldr="1"/>
      <dgm:spPr/>
      <dgm:t>
        <a:bodyPr/>
        <a:lstStyle/>
        <a:p>
          <a:endParaRPr lang="en-US"/>
        </a:p>
      </dgm:t>
    </dgm:pt>
    <dgm:pt modelId="{0765A469-7DC0-4F8B-9B87-BD5A48B119F3}">
      <dgm:prSet phldrT="[Text]"/>
      <dgm:spPr/>
      <dgm:t>
        <a:bodyPr/>
        <a:lstStyle/>
        <a:p>
          <a:pPr algn="just"/>
          <a:r>
            <a:rPr lang="en-US">
              <a:solidFill>
                <a:srgbClr val="FF0000"/>
              </a:solidFill>
            </a:rPr>
            <a:t>High Guest Satisfaction Scores</a:t>
          </a:r>
        </a:p>
      </dgm:t>
    </dgm:pt>
    <dgm:pt modelId="{33A2571B-B1AF-4A3D-B674-5C7DF943A385}" type="parTrans" cxnId="{F8BABB19-9D99-4640-913F-126244748BB5}">
      <dgm:prSet/>
      <dgm:spPr/>
      <dgm:t>
        <a:bodyPr/>
        <a:lstStyle/>
        <a:p>
          <a:endParaRPr lang="en-US"/>
        </a:p>
      </dgm:t>
    </dgm:pt>
    <dgm:pt modelId="{091BC3E2-6BE6-4CCE-AEE6-3715796853E9}" type="sibTrans" cxnId="{F8BABB19-9D99-4640-913F-126244748BB5}">
      <dgm:prSet/>
      <dgm:spPr/>
      <dgm:t>
        <a:bodyPr/>
        <a:lstStyle/>
        <a:p>
          <a:endParaRPr lang="en-US"/>
        </a:p>
      </dgm:t>
    </dgm:pt>
    <dgm:pt modelId="{563997F9-1379-483D-B348-009AC794D444}">
      <dgm:prSet phldrT="[Text]"/>
      <dgm:spPr/>
      <dgm:t>
        <a:bodyPr/>
        <a:lstStyle/>
        <a:p>
          <a:pPr algn="just"/>
          <a:r>
            <a:rPr lang="en-US">
              <a:solidFill>
                <a:srgbClr val="FF0000"/>
              </a:solidFill>
            </a:rPr>
            <a:t>Maintaining Brand Image</a:t>
          </a:r>
        </a:p>
      </dgm:t>
    </dgm:pt>
    <dgm:pt modelId="{2EAD1339-64F1-4250-9144-5F8496F952DC}" type="parTrans" cxnId="{9A532B09-A972-47FE-98BB-6B99620CEFCD}">
      <dgm:prSet/>
      <dgm:spPr/>
      <dgm:t>
        <a:bodyPr/>
        <a:lstStyle/>
        <a:p>
          <a:endParaRPr lang="en-US"/>
        </a:p>
      </dgm:t>
    </dgm:pt>
    <dgm:pt modelId="{22B8038E-37EB-41FD-A4EC-40E6E34F0F12}" type="sibTrans" cxnId="{9A532B09-A972-47FE-98BB-6B99620CEFCD}">
      <dgm:prSet/>
      <dgm:spPr/>
      <dgm:t>
        <a:bodyPr/>
        <a:lstStyle/>
        <a:p>
          <a:endParaRPr lang="en-US"/>
        </a:p>
      </dgm:t>
    </dgm:pt>
    <dgm:pt modelId="{965ED1A4-9835-41D9-9DD0-DC0905CC6003}">
      <dgm:prSet phldrT="[Text]"/>
      <dgm:spPr/>
      <dgm:t>
        <a:bodyPr/>
        <a:lstStyle/>
        <a:p>
          <a:pPr algn="just"/>
          <a:r>
            <a:rPr lang="en-US">
              <a:solidFill>
                <a:srgbClr val="FF0000"/>
              </a:solidFill>
            </a:rPr>
            <a:t>Marriott’s diverse 31-brand portfolio balances luxury, business, and budget markets (Marriott, 2024). Strong branding differentiates it from competitors, but expansion risks brand dilution and inconsistent service delivery. Managing multiple brand identities while maintaining quality across different property types presents an operational challenge, especially in regions with varying consumer preferences and regulatory environments.</a:t>
          </a:r>
        </a:p>
      </dgm:t>
    </dgm:pt>
    <dgm:pt modelId="{37820D81-2165-4B68-82D5-EEB09C5984C4}" type="parTrans" cxnId="{8D701C50-B603-4158-92D1-BA44252BA60D}">
      <dgm:prSet/>
      <dgm:spPr/>
      <dgm:t>
        <a:bodyPr/>
        <a:lstStyle/>
        <a:p>
          <a:endParaRPr lang="en-US"/>
        </a:p>
      </dgm:t>
    </dgm:pt>
    <dgm:pt modelId="{51DBDE34-0B9D-4C52-9504-5D2E37D776A4}" type="sibTrans" cxnId="{8D701C50-B603-4158-92D1-BA44252BA60D}">
      <dgm:prSet/>
      <dgm:spPr/>
      <dgm:t>
        <a:bodyPr/>
        <a:lstStyle/>
        <a:p>
          <a:endParaRPr lang="en-US"/>
        </a:p>
      </dgm:t>
    </dgm:pt>
    <dgm:pt modelId="{A7C0FEEC-6BCB-483B-9282-81BCB887FD44}">
      <dgm:prSet phldrT="[Text]"/>
      <dgm:spPr/>
      <dgm:t>
        <a:bodyPr/>
        <a:lstStyle/>
        <a:p>
          <a:pPr algn="just"/>
          <a:r>
            <a:rPr lang="en-US">
              <a:solidFill>
                <a:srgbClr val="FF0000"/>
              </a:solidFill>
            </a:rPr>
            <a:t>Marriott targets an average 75% occupancy rate, ensuring profitability and efficient resource utilisation (Marriott, 2024). While high occupancy boosts revenue, it can strain hotel operations, leading to overcrowding, longer wait times, and service quality issues. Seasonal fluctuations and economic downturns also threaten occupancy stability, requiring dynamic pricing and marketing strategies.</a:t>
          </a:r>
        </a:p>
      </dgm:t>
    </dgm:pt>
    <dgm:pt modelId="{BB694D5D-0BB3-4868-A1C0-2391339884BE}" type="parTrans" cxnId="{D0560DF3-E80D-45AF-A5C4-9CEA0872B766}">
      <dgm:prSet/>
      <dgm:spPr/>
      <dgm:t>
        <a:bodyPr/>
        <a:lstStyle/>
        <a:p>
          <a:endParaRPr lang="en-US"/>
        </a:p>
      </dgm:t>
    </dgm:pt>
    <dgm:pt modelId="{F67B8A83-485D-45C5-B1AF-D0BBF99B3B5B}" type="sibTrans" cxnId="{D0560DF3-E80D-45AF-A5C4-9CEA0872B766}">
      <dgm:prSet/>
      <dgm:spPr/>
      <dgm:t>
        <a:bodyPr/>
        <a:lstStyle/>
        <a:p>
          <a:endParaRPr lang="en-US"/>
        </a:p>
      </dgm:t>
    </dgm:pt>
    <dgm:pt modelId="{878DA912-1915-4D2B-90C0-1F06466E6205}">
      <dgm:prSet phldrT="[Text]"/>
      <dgm:spPr/>
      <dgm:t>
        <a:bodyPr/>
        <a:lstStyle/>
        <a:p>
          <a:pPr algn="just"/>
          <a:r>
            <a:rPr lang="en-US">
              <a:solidFill>
                <a:srgbClr val="FF0000"/>
              </a:solidFill>
            </a:rPr>
            <a:t>High Occupancy Rates</a:t>
          </a:r>
        </a:p>
      </dgm:t>
    </dgm:pt>
    <dgm:pt modelId="{E716FE34-A261-4C56-BBD0-15D68B0DC1C0}" type="parTrans" cxnId="{9795A540-59F8-469F-805E-5D2C7DD6CE5F}">
      <dgm:prSet/>
      <dgm:spPr/>
      <dgm:t>
        <a:bodyPr/>
        <a:lstStyle/>
        <a:p>
          <a:endParaRPr lang="en-US"/>
        </a:p>
      </dgm:t>
    </dgm:pt>
    <dgm:pt modelId="{44FD4B49-C510-4E89-BC8B-40DF6B9F1849}" type="sibTrans" cxnId="{9795A540-59F8-469F-805E-5D2C7DD6CE5F}">
      <dgm:prSet/>
      <dgm:spPr/>
      <dgm:t>
        <a:bodyPr/>
        <a:lstStyle/>
        <a:p>
          <a:endParaRPr lang="en-US"/>
        </a:p>
      </dgm:t>
    </dgm:pt>
    <dgm:pt modelId="{BD64B825-507C-434E-BB4C-FE7FDCC96E45}">
      <dgm:prSet phldrT="[Text]"/>
      <dgm:spPr/>
      <dgm:t>
        <a:bodyPr/>
        <a:lstStyle/>
        <a:p>
          <a:pPr algn="just"/>
          <a:r>
            <a:rPr lang="en-US">
              <a:solidFill>
                <a:srgbClr val="FF0000"/>
              </a:solidFill>
            </a:rPr>
            <a:t>Marriott prioritizes guest satisfaction, aiming for an 85% or higher rating across properties (Marriott, 2024). Positive guest experiences drive loyalty and revenue. However, maintaining consistency in service across thousands of locations is difficult. Staffing shortages, cultural differences, and evolving guest expectations challenge the company’s ability to deliver a seamless experience globally.</a:t>
          </a:r>
        </a:p>
      </dgm:t>
    </dgm:pt>
    <dgm:pt modelId="{1664801B-1CF7-4EB0-8B91-0EEE584783B3}" type="parTrans" cxnId="{8AB5CA7D-FFE6-4890-A6BB-712064BCB795}">
      <dgm:prSet/>
      <dgm:spPr/>
      <dgm:t>
        <a:bodyPr/>
        <a:lstStyle/>
        <a:p>
          <a:endParaRPr lang="en-US"/>
        </a:p>
      </dgm:t>
    </dgm:pt>
    <dgm:pt modelId="{175C69ED-B94B-4265-A9EC-23140FA0BC48}" type="sibTrans" cxnId="{8AB5CA7D-FFE6-4890-A6BB-712064BCB795}">
      <dgm:prSet/>
      <dgm:spPr/>
      <dgm:t>
        <a:bodyPr/>
        <a:lstStyle/>
        <a:p>
          <a:endParaRPr lang="en-US"/>
        </a:p>
      </dgm:t>
    </dgm:pt>
    <dgm:pt modelId="{2D5C4545-A265-487C-8433-2194910325BA}" type="pres">
      <dgm:prSet presAssocID="{7B332ACD-3F74-42C7-9AD6-975F4B7C94DE}" presName="linear" presStyleCnt="0">
        <dgm:presLayoutVars>
          <dgm:dir/>
          <dgm:animLvl val="lvl"/>
          <dgm:resizeHandles val="exact"/>
        </dgm:presLayoutVars>
      </dgm:prSet>
      <dgm:spPr/>
    </dgm:pt>
    <dgm:pt modelId="{9A66C1BA-16B6-4C54-AD95-98844AF0939C}" type="pres">
      <dgm:prSet presAssocID="{0765A469-7DC0-4F8B-9B87-BD5A48B119F3}" presName="parentLin" presStyleCnt="0"/>
      <dgm:spPr/>
    </dgm:pt>
    <dgm:pt modelId="{C5B29429-6102-468A-91E4-FC50F66D1D81}" type="pres">
      <dgm:prSet presAssocID="{0765A469-7DC0-4F8B-9B87-BD5A48B119F3}" presName="parentLeftMargin" presStyleLbl="node1" presStyleIdx="0" presStyleCnt="3"/>
      <dgm:spPr/>
    </dgm:pt>
    <dgm:pt modelId="{85DE87A8-BC49-4A1F-B3F0-7FD6A719CC29}" type="pres">
      <dgm:prSet presAssocID="{0765A469-7DC0-4F8B-9B87-BD5A48B119F3}" presName="parentText" presStyleLbl="node1" presStyleIdx="0" presStyleCnt="3">
        <dgm:presLayoutVars>
          <dgm:chMax val="0"/>
          <dgm:bulletEnabled val="1"/>
        </dgm:presLayoutVars>
      </dgm:prSet>
      <dgm:spPr/>
    </dgm:pt>
    <dgm:pt modelId="{99E22292-578B-4B96-B44D-02568C194E98}" type="pres">
      <dgm:prSet presAssocID="{0765A469-7DC0-4F8B-9B87-BD5A48B119F3}" presName="negativeSpace" presStyleCnt="0"/>
      <dgm:spPr/>
    </dgm:pt>
    <dgm:pt modelId="{3351F1EA-C313-418F-9EF9-025A7D708911}" type="pres">
      <dgm:prSet presAssocID="{0765A469-7DC0-4F8B-9B87-BD5A48B119F3}" presName="childText" presStyleLbl="conFgAcc1" presStyleIdx="0" presStyleCnt="3">
        <dgm:presLayoutVars>
          <dgm:bulletEnabled val="1"/>
        </dgm:presLayoutVars>
      </dgm:prSet>
      <dgm:spPr/>
    </dgm:pt>
    <dgm:pt modelId="{5A8CFC02-AAE8-4B4A-B0A9-197D56900A72}" type="pres">
      <dgm:prSet presAssocID="{091BC3E2-6BE6-4CCE-AEE6-3715796853E9}" presName="spaceBetweenRectangles" presStyleCnt="0"/>
      <dgm:spPr/>
    </dgm:pt>
    <dgm:pt modelId="{F767AFAA-0511-4C49-B839-FDC35AB1CE2C}" type="pres">
      <dgm:prSet presAssocID="{878DA912-1915-4D2B-90C0-1F06466E6205}" presName="parentLin" presStyleCnt="0"/>
      <dgm:spPr/>
    </dgm:pt>
    <dgm:pt modelId="{A6A052B5-AC58-4802-9146-0686724A0D83}" type="pres">
      <dgm:prSet presAssocID="{878DA912-1915-4D2B-90C0-1F06466E6205}" presName="parentLeftMargin" presStyleLbl="node1" presStyleIdx="0" presStyleCnt="3"/>
      <dgm:spPr/>
    </dgm:pt>
    <dgm:pt modelId="{AF4785EF-6CDA-4863-92D4-4923BA2D0A36}" type="pres">
      <dgm:prSet presAssocID="{878DA912-1915-4D2B-90C0-1F06466E6205}" presName="parentText" presStyleLbl="node1" presStyleIdx="1" presStyleCnt="3">
        <dgm:presLayoutVars>
          <dgm:chMax val="0"/>
          <dgm:bulletEnabled val="1"/>
        </dgm:presLayoutVars>
      </dgm:prSet>
      <dgm:spPr/>
    </dgm:pt>
    <dgm:pt modelId="{A61125D3-FEAE-4DAE-B2EF-4E3F792D2706}" type="pres">
      <dgm:prSet presAssocID="{878DA912-1915-4D2B-90C0-1F06466E6205}" presName="negativeSpace" presStyleCnt="0"/>
      <dgm:spPr/>
    </dgm:pt>
    <dgm:pt modelId="{8BC2351A-1232-467C-B1F7-B2E76D2068FB}" type="pres">
      <dgm:prSet presAssocID="{878DA912-1915-4D2B-90C0-1F06466E6205}" presName="childText" presStyleLbl="conFgAcc1" presStyleIdx="1" presStyleCnt="3">
        <dgm:presLayoutVars>
          <dgm:bulletEnabled val="1"/>
        </dgm:presLayoutVars>
      </dgm:prSet>
      <dgm:spPr/>
    </dgm:pt>
    <dgm:pt modelId="{9D5B816B-3275-411C-84A5-2FEE3D1E7451}" type="pres">
      <dgm:prSet presAssocID="{44FD4B49-C510-4E89-BC8B-40DF6B9F1849}" presName="spaceBetweenRectangles" presStyleCnt="0"/>
      <dgm:spPr/>
    </dgm:pt>
    <dgm:pt modelId="{569F7C28-3BBE-42CD-B35F-DE4FF959D754}" type="pres">
      <dgm:prSet presAssocID="{563997F9-1379-483D-B348-009AC794D444}" presName="parentLin" presStyleCnt="0"/>
      <dgm:spPr/>
    </dgm:pt>
    <dgm:pt modelId="{DAEBD828-3DB4-4845-B8E2-106040B2D0CC}" type="pres">
      <dgm:prSet presAssocID="{563997F9-1379-483D-B348-009AC794D444}" presName="parentLeftMargin" presStyleLbl="node1" presStyleIdx="1" presStyleCnt="3"/>
      <dgm:spPr/>
    </dgm:pt>
    <dgm:pt modelId="{5AD07DBC-E225-4021-9D12-640B00610964}" type="pres">
      <dgm:prSet presAssocID="{563997F9-1379-483D-B348-009AC794D444}" presName="parentText" presStyleLbl="node1" presStyleIdx="2" presStyleCnt="3">
        <dgm:presLayoutVars>
          <dgm:chMax val="0"/>
          <dgm:bulletEnabled val="1"/>
        </dgm:presLayoutVars>
      </dgm:prSet>
      <dgm:spPr/>
    </dgm:pt>
    <dgm:pt modelId="{D1F0751B-93F6-4728-81A0-D9127EE1FCFB}" type="pres">
      <dgm:prSet presAssocID="{563997F9-1379-483D-B348-009AC794D444}" presName="negativeSpace" presStyleCnt="0"/>
      <dgm:spPr/>
    </dgm:pt>
    <dgm:pt modelId="{A54439BC-8960-4256-9345-13E40C7C2D59}" type="pres">
      <dgm:prSet presAssocID="{563997F9-1379-483D-B348-009AC794D444}" presName="childText" presStyleLbl="conFgAcc1" presStyleIdx="2" presStyleCnt="3">
        <dgm:presLayoutVars>
          <dgm:bulletEnabled val="1"/>
        </dgm:presLayoutVars>
      </dgm:prSet>
      <dgm:spPr/>
    </dgm:pt>
  </dgm:ptLst>
  <dgm:cxnLst>
    <dgm:cxn modelId="{9A532B09-A972-47FE-98BB-6B99620CEFCD}" srcId="{7B332ACD-3F74-42C7-9AD6-975F4B7C94DE}" destId="{563997F9-1379-483D-B348-009AC794D444}" srcOrd="2" destOrd="0" parTransId="{2EAD1339-64F1-4250-9144-5F8496F952DC}" sibTransId="{22B8038E-37EB-41FD-A4EC-40E6E34F0F12}"/>
    <dgm:cxn modelId="{C971EB10-2AC2-4176-A810-232E4FFAA7D8}" type="presOf" srcId="{878DA912-1915-4D2B-90C0-1F06466E6205}" destId="{A6A052B5-AC58-4802-9146-0686724A0D83}" srcOrd="0" destOrd="0" presId="urn:microsoft.com/office/officeart/2005/8/layout/list1#2"/>
    <dgm:cxn modelId="{3FA5A313-B9B1-44F0-AD3C-66EE3DA4E1E5}" type="presOf" srcId="{BD64B825-507C-434E-BB4C-FE7FDCC96E45}" destId="{3351F1EA-C313-418F-9EF9-025A7D708911}" srcOrd="0" destOrd="0" presId="urn:microsoft.com/office/officeart/2005/8/layout/list1#2"/>
    <dgm:cxn modelId="{01405618-4E3E-4C6E-838E-7AABEEBFAF91}" type="presOf" srcId="{0765A469-7DC0-4F8B-9B87-BD5A48B119F3}" destId="{C5B29429-6102-468A-91E4-FC50F66D1D81}" srcOrd="0" destOrd="0" presId="urn:microsoft.com/office/officeart/2005/8/layout/list1#2"/>
    <dgm:cxn modelId="{F8BABB19-9D99-4640-913F-126244748BB5}" srcId="{7B332ACD-3F74-42C7-9AD6-975F4B7C94DE}" destId="{0765A469-7DC0-4F8B-9B87-BD5A48B119F3}" srcOrd="0" destOrd="0" parTransId="{33A2571B-B1AF-4A3D-B674-5C7DF943A385}" sibTransId="{091BC3E2-6BE6-4CCE-AEE6-3715796853E9}"/>
    <dgm:cxn modelId="{D9861437-E510-4533-BC32-A57AD6DEAB89}" type="presOf" srcId="{A7C0FEEC-6BCB-483B-9282-81BCB887FD44}" destId="{8BC2351A-1232-467C-B1F7-B2E76D2068FB}" srcOrd="0" destOrd="0" presId="urn:microsoft.com/office/officeart/2005/8/layout/list1#2"/>
    <dgm:cxn modelId="{A269983F-535C-4545-8B43-F519B92416F3}" type="presOf" srcId="{563997F9-1379-483D-B348-009AC794D444}" destId="{DAEBD828-3DB4-4845-B8E2-106040B2D0CC}" srcOrd="0" destOrd="0" presId="urn:microsoft.com/office/officeart/2005/8/layout/list1#2"/>
    <dgm:cxn modelId="{9795A540-59F8-469F-805E-5D2C7DD6CE5F}" srcId="{7B332ACD-3F74-42C7-9AD6-975F4B7C94DE}" destId="{878DA912-1915-4D2B-90C0-1F06466E6205}" srcOrd="1" destOrd="0" parTransId="{E716FE34-A261-4C56-BBD0-15D68B0DC1C0}" sibTransId="{44FD4B49-C510-4E89-BC8B-40DF6B9F1849}"/>
    <dgm:cxn modelId="{8D701C50-B603-4158-92D1-BA44252BA60D}" srcId="{563997F9-1379-483D-B348-009AC794D444}" destId="{965ED1A4-9835-41D9-9DD0-DC0905CC6003}" srcOrd="0" destOrd="0" parTransId="{37820D81-2165-4B68-82D5-EEB09C5984C4}" sibTransId="{51DBDE34-0B9D-4C52-9504-5D2E37D776A4}"/>
    <dgm:cxn modelId="{FACBD171-9377-4814-A7B7-1686077F5C2B}" type="presOf" srcId="{965ED1A4-9835-41D9-9DD0-DC0905CC6003}" destId="{A54439BC-8960-4256-9345-13E40C7C2D59}" srcOrd="0" destOrd="0" presId="urn:microsoft.com/office/officeart/2005/8/layout/list1#2"/>
    <dgm:cxn modelId="{8ACC7477-E9A8-4FF7-9489-211F1D5C8B70}" type="presOf" srcId="{878DA912-1915-4D2B-90C0-1F06466E6205}" destId="{AF4785EF-6CDA-4863-92D4-4923BA2D0A36}" srcOrd="1" destOrd="0" presId="urn:microsoft.com/office/officeart/2005/8/layout/list1#2"/>
    <dgm:cxn modelId="{6A109F58-39EE-4D9F-A4AC-D5A481CF1A27}" type="presOf" srcId="{563997F9-1379-483D-B348-009AC794D444}" destId="{5AD07DBC-E225-4021-9D12-640B00610964}" srcOrd="1" destOrd="0" presId="urn:microsoft.com/office/officeart/2005/8/layout/list1#2"/>
    <dgm:cxn modelId="{8AB5CA7D-FFE6-4890-A6BB-712064BCB795}" srcId="{0765A469-7DC0-4F8B-9B87-BD5A48B119F3}" destId="{BD64B825-507C-434E-BB4C-FE7FDCC96E45}" srcOrd="0" destOrd="0" parTransId="{1664801B-1CF7-4EB0-8B91-0EEE584783B3}" sibTransId="{175C69ED-B94B-4265-A9EC-23140FA0BC48}"/>
    <dgm:cxn modelId="{05B80890-236E-4D2A-ADA1-A6F5E65EA2B4}" type="presOf" srcId="{7B332ACD-3F74-42C7-9AD6-975F4B7C94DE}" destId="{2D5C4545-A265-487C-8433-2194910325BA}" srcOrd="0" destOrd="0" presId="urn:microsoft.com/office/officeart/2005/8/layout/list1#2"/>
    <dgm:cxn modelId="{D0560DF3-E80D-45AF-A5C4-9CEA0872B766}" srcId="{878DA912-1915-4D2B-90C0-1F06466E6205}" destId="{A7C0FEEC-6BCB-483B-9282-81BCB887FD44}" srcOrd="0" destOrd="0" parTransId="{BB694D5D-0BB3-4868-A1C0-2391339884BE}" sibTransId="{F67B8A83-485D-45C5-B1AF-D0BBF99B3B5B}"/>
    <dgm:cxn modelId="{50B1C1FC-23AE-4762-ABF4-0839A3488208}" type="presOf" srcId="{0765A469-7DC0-4F8B-9B87-BD5A48B119F3}" destId="{85DE87A8-BC49-4A1F-B3F0-7FD6A719CC29}" srcOrd="1" destOrd="0" presId="urn:microsoft.com/office/officeart/2005/8/layout/list1#2"/>
    <dgm:cxn modelId="{10DED3AA-6E1B-4DB9-B9A2-680554C06920}" type="presParOf" srcId="{2D5C4545-A265-487C-8433-2194910325BA}" destId="{9A66C1BA-16B6-4C54-AD95-98844AF0939C}" srcOrd="0" destOrd="0" presId="urn:microsoft.com/office/officeart/2005/8/layout/list1#2"/>
    <dgm:cxn modelId="{D59D72AD-55A3-4DFE-8360-7FD167E15859}" type="presParOf" srcId="{9A66C1BA-16B6-4C54-AD95-98844AF0939C}" destId="{C5B29429-6102-468A-91E4-FC50F66D1D81}" srcOrd="0" destOrd="0" presId="urn:microsoft.com/office/officeart/2005/8/layout/list1#2"/>
    <dgm:cxn modelId="{16F07A8D-1C9B-44EB-84DA-E7FCB2FA27C9}" type="presParOf" srcId="{9A66C1BA-16B6-4C54-AD95-98844AF0939C}" destId="{85DE87A8-BC49-4A1F-B3F0-7FD6A719CC29}" srcOrd="1" destOrd="0" presId="urn:microsoft.com/office/officeart/2005/8/layout/list1#2"/>
    <dgm:cxn modelId="{0701888C-B7C5-4271-B641-1A1327E0766A}" type="presParOf" srcId="{2D5C4545-A265-487C-8433-2194910325BA}" destId="{99E22292-578B-4B96-B44D-02568C194E98}" srcOrd="1" destOrd="0" presId="urn:microsoft.com/office/officeart/2005/8/layout/list1#2"/>
    <dgm:cxn modelId="{34AF47C1-8B64-48E9-ADE7-0FBB9F7AA182}" type="presParOf" srcId="{2D5C4545-A265-487C-8433-2194910325BA}" destId="{3351F1EA-C313-418F-9EF9-025A7D708911}" srcOrd="2" destOrd="0" presId="urn:microsoft.com/office/officeart/2005/8/layout/list1#2"/>
    <dgm:cxn modelId="{66A94069-585E-4223-9CF2-3D52A77884D5}" type="presParOf" srcId="{2D5C4545-A265-487C-8433-2194910325BA}" destId="{5A8CFC02-AAE8-4B4A-B0A9-197D56900A72}" srcOrd="3" destOrd="0" presId="urn:microsoft.com/office/officeart/2005/8/layout/list1#2"/>
    <dgm:cxn modelId="{48253571-AC28-4E0C-947B-C0B81EDD8759}" type="presParOf" srcId="{2D5C4545-A265-487C-8433-2194910325BA}" destId="{F767AFAA-0511-4C49-B839-FDC35AB1CE2C}" srcOrd="4" destOrd="0" presId="urn:microsoft.com/office/officeart/2005/8/layout/list1#2"/>
    <dgm:cxn modelId="{F15BB9FB-CD6D-4B7B-88B8-2A3A370D4A5D}" type="presParOf" srcId="{F767AFAA-0511-4C49-B839-FDC35AB1CE2C}" destId="{A6A052B5-AC58-4802-9146-0686724A0D83}" srcOrd="0" destOrd="0" presId="urn:microsoft.com/office/officeart/2005/8/layout/list1#2"/>
    <dgm:cxn modelId="{0B8180F9-D7D9-495C-9770-06B7F7E345D2}" type="presParOf" srcId="{F767AFAA-0511-4C49-B839-FDC35AB1CE2C}" destId="{AF4785EF-6CDA-4863-92D4-4923BA2D0A36}" srcOrd="1" destOrd="0" presId="urn:microsoft.com/office/officeart/2005/8/layout/list1#2"/>
    <dgm:cxn modelId="{2841951B-CD31-4DD6-BFD6-096207E4A1E7}" type="presParOf" srcId="{2D5C4545-A265-487C-8433-2194910325BA}" destId="{A61125D3-FEAE-4DAE-B2EF-4E3F792D2706}" srcOrd="5" destOrd="0" presId="urn:microsoft.com/office/officeart/2005/8/layout/list1#2"/>
    <dgm:cxn modelId="{000A19F2-AA03-495D-A72A-A6BA98E5099D}" type="presParOf" srcId="{2D5C4545-A265-487C-8433-2194910325BA}" destId="{8BC2351A-1232-467C-B1F7-B2E76D2068FB}" srcOrd="6" destOrd="0" presId="urn:microsoft.com/office/officeart/2005/8/layout/list1#2"/>
    <dgm:cxn modelId="{12075397-C3D2-4CAF-8CB0-4ED4F93AFC1A}" type="presParOf" srcId="{2D5C4545-A265-487C-8433-2194910325BA}" destId="{9D5B816B-3275-411C-84A5-2FEE3D1E7451}" srcOrd="7" destOrd="0" presId="urn:microsoft.com/office/officeart/2005/8/layout/list1#2"/>
    <dgm:cxn modelId="{8877F9E5-1A11-4503-B805-604A25247420}" type="presParOf" srcId="{2D5C4545-A265-487C-8433-2194910325BA}" destId="{569F7C28-3BBE-42CD-B35F-DE4FF959D754}" srcOrd="8" destOrd="0" presId="urn:microsoft.com/office/officeart/2005/8/layout/list1#2"/>
    <dgm:cxn modelId="{70DD0987-D7BF-431A-B85F-5418AF696486}" type="presParOf" srcId="{569F7C28-3BBE-42CD-B35F-DE4FF959D754}" destId="{DAEBD828-3DB4-4845-B8E2-106040B2D0CC}" srcOrd="0" destOrd="0" presId="urn:microsoft.com/office/officeart/2005/8/layout/list1#2"/>
    <dgm:cxn modelId="{69C54106-090E-4163-8C20-BEF023ADC467}" type="presParOf" srcId="{569F7C28-3BBE-42CD-B35F-DE4FF959D754}" destId="{5AD07DBC-E225-4021-9D12-640B00610964}" srcOrd="1" destOrd="0" presId="urn:microsoft.com/office/officeart/2005/8/layout/list1#2"/>
    <dgm:cxn modelId="{106CA82D-5FBF-408B-91DD-7289BFA0A4B1}" type="presParOf" srcId="{2D5C4545-A265-487C-8433-2194910325BA}" destId="{D1F0751B-93F6-4728-81A0-D9127EE1FCFB}" srcOrd="9" destOrd="0" presId="urn:microsoft.com/office/officeart/2005/8/layout/list1#2"/>
    <dgm:cxn modelId="{A4E4DD76-2D92-4C86-8262-52D16454DB7B}" type="presParOf" srcId="{2D5C4545-A265-487C-8433-2194910325BA}" destId="{A54439BC-8960-4256-9345-13E40C7C2D59}" srcOrd="10" destOrd="0" presId="urn:microsoft.com/office/officeart/2005/8/layout/list1#2"/>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57BC768-2441-4DAB-9ADF-7D98E5003BBE}">
      <dsp:nvSpPr>
        <dsp:cNvPr id="0" name=""/>
        <dsp:cNvSpPr/>
      </dsp:nvSpPr>
      <dsp:spPr>
        <a:xfrm>
          <a:off x="0" y="150882"/>
          <a:ext cx="6066155" cy="6804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70801" tIns="166624" rIns="470801" bIns="56896" numCol="1" spcCol="1270" anchor="t" anchorCtr="0">
          <a:noAutofit/>
        </a:bodyPr>
        <a:lstStyle/>
        <a:p>
          <a:pPr marL="57150" lvl="1" indent="-57150" algn="just" defTabSz="355600">
            <a:lnSpc>
              <a:spcPct val="90000"/>
            </a:lnSpc>
            <a:spcBef>
              <a:spcPct val="0"/>
            </a:spcBef>
            <a:spcAft>
              <a:spcPct val="15000"/>
            </a:spcAft>
            <a:buChar char="•"/>
          </a:pPr>
          <a:r>
            <a:rPr lang="en-US" sz="800" kern="1200">
              <a:solidFill>
                <a:srgbClr val="FF0000"/>
              </a:solidFill>
            </a:rPr>
            <a:t>Marriott operates 8,630 properties in 139 countries, aiming for continued global growth (Marriott, 2024). Expansion increases market presence and revenue but risks brand dilution, operational inefficiencies, and geopolitical instability. Rapid expansion may lead to inconsistent service quality, as managing diverse markets with varying regulations and economic conditions remains a critical challenge.</a:t>
          </a:r>
        </a:p>
      </dsp:txBody>
      <dsp:txXfrm>
        <a:off x="0" y="150882"/>
        <a:ext cx="6066155" cy="680400"/>
      </dsp:txXfrm>
    </dsp:sp>
    <dsp:sp modelId="{F39A8C35-2E26-4B97-98DB-567FD666AE0D}">
      <dsp:nvSpPr>
        <dsp:cNvPr id="0" name=""/>
        <dsp:cNvSpPr/>
      </dsp:nvSpPr>
      <dsp:spPr>
        <a:xfrm>
          <a:off x="303307" y="32802"/>
          <a:ext cx="4246308" cy="23616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0500" tIns="0" rIns="160500" bIns="0" numCol="1" spcCol="1270" anchor="ctr" anchorCtr="0">
          <a:noAutofit/>
        </a:bodyPr>
        <a:lstStyle/>
        <a:p>
          <a:pPr marL="0" lvl="0" indent="0" algn="just" defTabSz="355600">
            <a:lnSpc>
              <a:spcPct val="90000"/>
            </a:lnSpc>
            <a:spcBef>
              <a:spcPct val="0"/>
            </a:spcBef>
            <a:spcAft>
              <a:spcPct val="35000"/>
            </a:spcAft>
            <a:buNone/>
          </a:pPr>
          <a:r>
            <a:rPr lang="en-US" sz="800" kern="1200">
              <a:solidFill>
                <a:srgbClr val="FF0000"/>
              </a:solidFill>
            </a:rPr>
            <a:t>Global Expansion</a:t>
          </a:r>
        </a:p>
      </dsp:txBody>
      <dsp:txXfrm>
        <a:off x="314835" y="44330"/>
        <a:ext cx="4223252" cy="213104"/>
      </dsp:txXfrm>
    </dsp:sp>
    <dsp:sp modelId="{1DC4B7C2-1FEC-4984-93AC-F7AA4071652F}">
      <dsp:nvSpPr>
        <dsp:cNvPr id="0" name=""/>
        <dsp:cNvSpPr/>
      </dsp:nvSpPr>
      <dsp:spPr>
        <a:xfrm>
          <a:off x="0" y="992562"/>
          <a:ext cx="6066155" cy="6804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70801" tIns="166624" rIns="470801" bIns="56896" numCol="1" spcCol="1270" anchor="t" anchorCtr="0">
          <a:noAutofit/>
        </a:bodyPr>
        <a:lstStyle/>
        <a:p>
          <a:pPr marL="57150" lvl="1" indent="-57150" algn="just" defTabSz="355600">
            <a:lnSpc>
              <a:spcPct val="90000"/>
            </a:lnSpc>
            <a:spcBef>
              <a:spcPct val="0"/>
            </a:spcBef>
            <a:spcAft>
              <a:spcPct val="15000"/>
            </a:spcAft>
            <a:buChar char="•"/>
          </a:pPr>
          <a:r>
            <a:rPr lang="en-US" sz="800" kern="1200">
              <a:solidFill>
                <a:srgbClr val="FF0000"/>
              </a:solidFill>
            </a:rPr>
            <a:t>Marriott pledges net-zero emissions by 2050, aligning with the Science Based Targets initiative (Marriott, 2024). This enhances corporate responsibility and brand reputation. However, long-term goals lack immediate accountability, and the hospitality sector's high energy demands make sustainability difficult (Adeel et al., 2024). Effective execution requires substantial investment in renewable energy and operational changes across global properties.</a:t>
          </a:r>
        </a:p>
      </dsp:txBody>
      <dsp:txXfrm>
        <a:off x="0" y="992562"/>
        <a:ext cx="6066155" cy="680400"/>
      </dsp:txXfrm>
    </dsp:sp>
    <dsp:sp modelId="{8FA99339-DB66-4F0B-BAEB-DF967EA7EB39}">
      <dsp:nvSpPr>
        <dsp:cNvPr id="0" name=""/>
        <dsp:cNvSpPr/>
      </dsp:nvSpPr>
      <dsp:spPr>
        <a:xfrm>
          <a:off x="303307" y="874482"/>
          <a:ext cx="4246308" cy="23616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0500" tIns="0" rIns="160500" bIns="0" numCol="1" spcCol="1270" anchor="ctr" anchorCtr="0">
          <a:noAutofit/>
        </a:bodyPr>
        <a:lstStyle/>
        <a:p>
          <a:pPr marL="0" lvl="0" indent="0" algn="just" defTabSz="355600">
            <a:lnSpc>
              <a:spcPct val="90000"/>
            </a:lnSpc>
            <a:spcBef>
              <a:spcPct val="0"/>
            </a:spcBef>
            <a:spcAft>
              <a:spcPct val="35000"/>
            </a:spcAft>
            <a:buNone/>
          </a:pPr>
          <a:r>
            <a:rPr lang="en-US" sz="800" kern="1200">
              <a:solidFill>
                <a:srgbClr val="FF0000"/>
              </a:solidFill>
            </a:rPr>
            <a:t>Sustainability Commitment</a:t>
          </a:r>
        </a:p>
      </dsp:txBody>
      <dsp:txXfrm>
        <a:off x="314835" y="886010"/>
        <a:ext cx="4223252" cy="213104"/>
      </dsp:txXfrm>
    </dsp:sp>
    <dsp:sp modelId="{B27CA9B5-27E0-483B-AE81-6BA6571A4720}">
      <dsp:nvSpPr>
        <dsp:cNvPr id="0" name=""/>
        <dsp:cNvSpPr/>
      </dsp:nvSpPr>
      <dsp:spPr>
        <a:xfrm>
          <a:off x="0" y="1834242"/>
          <a:ext cx="6066155" cy="6804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70801" tIns="166624" rIns="470801" bIns="56896" numCol="1" spcCol="1270" anchor="t" anchorCtr="0">
          <a:noAutofit/>
        </a:bodyPr>
        <a:lstStyle/>
        <a:p>
          <a:pPr marL="57150" lvl="1" indent="-57150" algn="just" defTabSz="355600">
            <a:lnSpc>
              <a:spcPct val="90000"/>
            </a:lnSpc>
            <a:spcBef>
              <a:spcPct val="0"/>
            </a:spcBef>
            <a:spcAft>
              <a:spcPct val="15000"/>
            </a:spcAft>
            <a:buChar char="•"/>
          </a:pPr>
          <a:r>
            <a:rPr lang="en-US" sz="800" kern="1200">
              <a:solidFill>
                <a:srgbClr val="FF0000"/>
              </a:solidFill>
            </a:rPr>
            <a:t>Marriott is expanding its luxury segment, launching Ritz-Carlton and JW Marriott safari camps in Kenya by 2025 (Marriott, 2024). This attracts high-end travellers and boosts revenue. However, luxury tourism can harm local ecosystems and communities, raising ethical concerns. Additionally, the exclusivity of luxury resorts may limit broader consumer accessibility.</a:t>
          </a:r>
        </a:p>
      </dsp:txBody>
      <dsp:txXfrm>
        <a:off x="0" y="1834242"/>
        <a:ext cx="6066155" cy="680400"/>
      </dsp:txXfrm>
    </dsp:sp>
    <dsp:sp modelId="{85F99F45-F386-4611-8000-7CAE52BD4EE4}">
      <dsp:nvSpPr>
        <dsp:cNvPr id="0" name=""/>
        <dsp:cNvSpPr/>
      </dsp:nvSpPr>
      <dsp:spPr>
        <a:xfrm>
          <a:off x="303307" y="1716162"/>
          <a:ext cx="4246308" cy="23616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0500" tIns="0" rIns="160500" bIns="0" numCol="1" spcCol="1270" anchor="ctr" anchorCtr="0">
          <a:noAutofit/>
        </a:bodyPr>
        <a:lstStyle/>
        <a:p>
          <a:pPr marL="0" lvl="0" indent="0" algn="just" defTabSz="355600">
            <a:lnSpc>
              <a:spcPct val="90000"/>
            </a:lnSpc>
            <a:spcBef>
              <a:spcPct val="0"/>
            </a:spcBef>
            <a:spcAft>
              <a:spcPct val="35000"/>
            </a:spcAft>
            <a:buNone/>
          </a:pPr>
          <a:r>
            <a:rPr lang="en-US" sz="800" kern="1200">
              <a:solidFill>
                <a:srgbClr val="FF0000"/>
              </a:solidFill>
            </a:rPr>
            <a:t>Luxury Market Growth</a:t>
          </a:r>
        </a:p>
      </dsp:txBody>
      <dsp:txXfrm>
        <a:off x="314835" y="1727690"/>
        <a:ext cx="4223252" cy="213104"/>
      </dsp:txXfrm>
    </dsp:sp>
    <dsp:sp modelId="{15DA5FB2-1EB3-41C1-9FCB-DC0E85247771}">
      <dsp:nvSpPr>
        <dsp:cNvPr id="0" name=""/>
        <dsp:cNvSpPr/>
      </dsp:nvSpPr>
      <dsp:spPr>
        <a:xfrm>
          <a:off x="0" y="2675922"/>
          <a:ext cx="6066155" cy="6804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70801" tIns="166624" rIns="470801" bIns="56896" numCol="1" spcCol="1270" anchor="t" anchorCtr="0">
          <a:noAutofit/>
        </a:bodyPr>
        <a:lstStyle/>
        <a:p>
          <a:pPr marL="57150" lvl="1" indent="-57150" algn="just" defTabSz="355600">
            <a:lnSpc>
              <a:spcPct val="90000"/>
            </a:lnSpc>
            <a:spcBef>
              <a:spcPct val="0"/>
            </a:spcBef>
            <a:spcAft>
              <a:spcPct val="15000"/>
            </a:spcAft>
            <a:buChar char="•"/>
          </a:pPr>
          <a:r>
            <a:rPr lang="en-US" sz="800" kern="1200">
              <a:solidFill>
                <a:srgbClr val="FF0000"/>
              </a:solidFill>
            </a:rPr>
            <a:t>Marriott explores luxury all-inclusive resorts in Europe, including Turkey, meeting the growing demand for exclusive experiences (Marriott, 2024). This strategy increases competitiveness but presents challenges, including high operational costs, evolving consumer expectations, and adapting to local laws (Adeel et al., 2024). Over-commercialization may also impact the authenticity of travel experiences in culturally rich destinations.</a:t>
          </a:r>
        </a:p>
      </dsp:txBody>
      <dsp:txXfrm>
        <a:off x="0" y="2675922"/>
        <a:ext cx="6066155" cy="680400"/>
      </dsp:txXfrm>
    </dsp:sp>
    <dsp:sp modelId="{04999CF4-008A-4070-A06E-6E64D453A52A}">
      <dsp:nvSpPr>
        <dsp:cNvPr id="0" name=""/>
        <dsp:cNvSpPr/>
      </dsp:nvSpPr>
      <dsp:spPr>
        <a:xfrm>
          <a:off x="303307" y="2557842"/>
          <a:ext cx="4246308" cy="23616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0500" tIns="0" rIns="160500" bIns="0" numCol="1" spcCol="1270" anchor="ctr" anchorCtr="0">
          <a:noAutofit/>
        </a:bodyPr>
        <a:lstStyle/>
        <a:p>
          <a:pPr marL="0" lvl="0" indent="0" algn="just" defTabSz="355600">
            <a:lnSpc>
              <a:spcPct val="90000"/>
            </a:lnSpc>
            <a:spcBef>
              <a:spcPct val="0"/>
            </a:spcBef>
            <a:spcAft>
              <a:spcPct val="35000"/>
            </a:spcAft>
            <a:buNone/>
          </a:pPr>
          <a:r>
            <a:rPr lang="en-US" sz="800" kern="1200">
              <a:solidFill>
                <a:srgbClr val="FF0000"/>
              </a:solidFill>
            </a:rPr>
            <a:t>All-Inclusive Resort Expansion</a:t>
          </a:r>
        </a:p>
      </dsp:txBody>
      <dsp:txXfrm>
        <a:off x="314835" y="2569370"/>
        <a:ext cx="4223252" cy="213104"/>
      </dsp:txXfrm>
    </dsp:sp>
    <dsp:sp modelId="{4DE65786-EC45-48B4-9882-3AC7AB4C2129}">
      <dsp:nvSpPr>
        <dsp:cNvPr id="0" name=""/>
        <dsp:cNvSpPr/>
      </dsp:nvSpPr>
      <dsp:spPr>
        <a:xfrm>
          <a:off x="0" y="3517603"/>
          <a:ext cx="6066155" cy="680400"/>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70801" tIns="166624" rIns="470801" bIns="56896" numCol="1" spcCol="1270" anchor="t" anchorCtr="0">
          <a:noAutofit/>
        </a:bodyPr>
        <a:lstStyle/>
        <a:p>
          <a:pPr marL="57150" lvl="1" indent="-57150" algn="just" defTabSz="355600">
            <a:lnSpc>
              <a:spcPct val="90000"/>
            </a:lnSpc>
            <a:spcBef>
              <a:spcPct val="0"/>
            </a:spcBef>
            <a:spcAft>
              <a:spcPct val="15000"/>
            </a:spcAft>
            <a:buChar char="•"/>
          </a:pPr>
          <a:r>
            <a:rPr lang="en-US" sz="800" kern="1200">
              <a:solidFill>
                <a:srgbClr val="FF0000"/>
              </a:solidFill>
            </a:rPr>
            <a:t>With 62% diverse workforce representation and 47% women in leadership, Marriott promotes inclusivity. Strong DEI policies enhance workplace culture and innovation (Marriott, 2024). However, true inclusivity goes beyond numbers; ensuring fair promotions, addressing unconscious bias, and maintaining equity across global operations remain ongoing challenges that require continuous commitment and policy refinement.</a:t>
          </a:r>
        </a:p>
      </dsp:txBody>
      <dsp:txXfrm>
        <a:off x="0" y="3517603"/>
        <a:ext cx="6066155" cy="680400"/>
      </dsp:txXfrm>
    </dsp:sp>
    <dsp:sp modelId="{C97383C6-CD40-46DE-8FF4-497FEC3196AA}">
      <dsp:nvSpPr>
        <dsp:cNvPr id="0" name=""/>
        <dsp:cNvSpPr/>
      </dsp:nvSpPr>
      <dsp:spPr>
        <a:xfrm>
          <a:off x="303307" y="3399523"/>
          <a:ext cx="4246308" cy="23616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60500" tIns="0" rIns="160500" bIns="0" numCol="1" spcCol="1270" anchor="ctr" anchorCtr="0">
          <a:noAutofit/>
        </a:bodyPr>
        <a:lstStyle/>
        <a:p>
          <a:pPr marL="0" lvl="0" indent="0" algn="just" defTabSz="355600">
            <a:lnSpc>
              <a:spcPct val="90000"/>
            </a:lnSpc>
            <a:spcBef>
              <a:spcPct val="0"/>
            </a:spcBef>
            <a:spcAft>
              <a:spcPct val="35000"/>
            </a:spcAft>
            <a:buNone/>
          </a:pPr>
          <a:r>
            <a:rPr lang="en-US" sz="800" kern="1200">
              <a:solidFill>
                <a:srgbClr val="FF0000"/>
              </a:solidFill>
            </a:rPr>
            <a:t>Diversity, Equity, and Inclusion (DEI)</a:t>
          </a:r>
        </a:p>
      </dsp:txBody>
      <dsp:txXfrm>
        <a:off x="314835" y="3411051"/>
        <a:ext cx="4223252" cy="2131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351F1EA-C313-418F-9EF9-025A7D708911}">
      <dsp:nvSpPr>
        <dsp:cNvPr id="0" name=""/>
        <dsp:cNvSpPr/>
      </dsp:nvSpPr>
      <dsp:spPr>
        <a:xfrm>
          <a:off x="0" y="145642"/>
          <a:ext cx="5486400" cy="893025"/>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25806" tIns="187452" rIns="425806" bIns="64008" numCol="1" spcCol="1270" anchor="t" anchorCtr="0">
          <a:noAutofit/>
        </a:bodyPr>
        <a:lstStyle/>
        <a:p>
          <a:pPr marL="57150" lvl="1" indent="-57150" algn="just" defTabSz="400050">
            <a:lnSpc>
              <a:spcPct val="90000"/>
            </a:lnSpc>
            <a:spcBef>
              <a:spcPct val="0"/>
            </a:spcBef>
            <a:spcAft>
              <a:spcPct val="15000"/>
            </a:spcAft>
            <a:buChar char="•"/>
          </a:pPr>
          <a:r>
            <a:rPr lang="en-US" sz="900" kern="1200">
              <a:solidFill>
                <a:srgbClr val="FF0000"/>
              </a:solidFill>
            </a:rPr>
            <a:t>Marriott prioritizes guest satisfaction, aiming for an 85% or higher rating across properties (Marriott, 2024). Positive guest experiences drive loyalty and revenue. However, maintaining consistency in service across thousands of locations is difficult. Staffing shortages, cultural differences, and evolving guest expectations challenge the company’s ability to deliver a seamless experience globally.</a:t>
          </a:r>
        </a:p>
      </dsp:txBody>
      <dsp:txXfrm>
        <a:off x="0" y="145642"/>
        <a:ext cx="5486400" cy="893025"/>
      </dsp:txXfrm>
    </dsp:sp>
    <dsp:sp modelId="{85DE87A8-BC49-4A1F-B3F0-7FD6A719CC29}">
      <dsp:nvSpPr>
        <dsp:cNvPr id="0" name=""/>
        <dsp:cNvSpPr/>
      </dsp:nvSpPr>
      <dsp:spPr>
        <a:xfrm>
          <a:off x="274320" y="12802"/>
          <a:ext cx="3840480" cy="26568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400050">
            <a:lnSpc>
              <a:spcPct val="90000"/>
            </a:lnSpc>
            <a:spcBef>
              <a:spcPct val="0"/>
            </a:spcBef>
            <a:spcAft>
              <a:spcPct val="35000"/>
            </a:spcAft>
            <a:buNone/>
          </a:pPr>
          <a:r>
            <a:rPr lang="en-US" sz="900" kern="1200">
              <a:solidFill>
                <a:srgbClr val="FF0000"/>
              </a:solidFill>
            </a:rPr>
            <a:t>High Guest Satisfaction Scores</a:t>
          </a:r>
        </a:p>
      </dsp:txBody>
      <dsp:txXfrm>
        <a:off x="287289" y="25771"/>
        <a:ext cx="3814542" cy="239742"/>
      </dsp:txXfrm>
    </dsp:sp>
    <dsp:sp modelId="{8BC2351A-1232-467C-B1F7-B2E76D2068FB}">
      <dsp:nvSpPr>
        <dsp:cNvPr id="0" name=""/>
        <dsp:cNvSpPr/>
      </dsp:nvSpPr>
      <dsp:spPr>
        <a:xfrm>
          <a:off x="0" y="1220107"/>
          <a:ext cx="5486400" cy="893025"/>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25806" tIns="187452" rIns="425806" bIns="64008" numCol="1" spcCol="1270" anchor="t" anchorCtr="0">
          <a:noAutofit/>
        </a:bodyPr>
        <a:lstStyle/>
        <a:p>
          <a:pPr marL="57150" lvl="1" indent="-57150" algn="just" defTabSz="400050">
            <a:lnSpc>
              <a:spcPct val="90000"/>
            </a:lnSpc>
            <a:spcBef>
              <a:spcPct val="0"/>
            </a:spcBef>
            <a:spcAft>
              <a:spcPct val="15000"/>
            </a:spcAft>
            <a:buChar char="•"/>
          </a:pPr>
          <a:r>
            <a:rPr lang="en-US" sz="900" kern="1200">
              <a:solidFill>
                <a:srgbClr val="FF0000"/>
              </a:solidFill>
            </a:rPr>
            <a:t>Marriott targets an average 75% occupancy rate, ensuring profitability and efficient resource utilisation (Marriott, 2024). While high occupancy boosts revenue, it can strain hotel operations, leading to overcrowding, longer wait times, and service quality issues. Seasonal fluctuations and economic downturns also threaten occupancy stability, requiring dynamic pricing and marketing strategies.</a:t>
          </a:r>
        </a:p>
      </dsp:txBody>
      <dsp:txXfrm>
        <a:off x="0" y="1220107"/>
        <a:ext cx="5486400" cy="893025"/>
      </dsp:txXfrm>
    </dsp:sp>
    <dsp:sp modelId="{AF4785EF-6CDA-4863-92D4-4923BA2D0A36}">
      <dsp:nvSpPr>
        <dsp:cNvPr id="0" name=""/>
        <dsp:cNvSpPr/>
      </dsp:nvSpPr>
      <dsp:spPr>
        <a:xfrm>
          <a:off x="274320" y="1087267"/>
          <a:ext cx="3840480" cy="26568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400050">
            <a:lnSpc>
              <a:spcPct val="90000"/>
            </a:lnSpc>
            <a:spcBef>
              <a:spcPct val="0"/>
            </a:spcBef>
            <a:spcAft>
              <a:spcPct val="35000"/>
            </a:spcAft>
            <a:buNone/>
          </a:pPr>
          <a:r>
            <a:rPr lang="en-US" sz="900" kern="1200">
              <a:solidFill>
                <a:srgbClr val="FF0000"/>
              </a:solidFill>
            </a:rPr>
            <a:t>High Occupancy Rates</a:t>
          </a:r>
        </a:p>
      </dsp:txBody>
      <dsp:txXfrm>
        <a:off x="287289" y="1100236"/>
        <a:ext cx="3814542" cy="239742"/>
      </dsp:txXfrm>
    </dsp:sp>
    <dsp:sp modelId="{A54439BC-8960-4256-9345-13E40C7C2D59}">
      <dsp:nvSpPr>
        <dsp:cNvPr id="0" name=""/>
        <dsp:cNvSpPr/>
      </dsp:nvSpPr>
      <dsp:spPr>
        <a:xfrm>
          <a:off x="0" y="2294572"/>
          <a:ext cx="5486400" cy="893025"/>
        </a:xfrm>
        <a:prstGeom prst="rect">
          <a:avLst/>
        </a:prstGeom>
        <a:solidFill>
          <a:schemeClr val="accent1">
            <a:alpha val="90000"/>
            <a:tint val="4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425806" tIns="187452" rIns="425806" bIns="64008" numCol="1" spcCol="1270" anchor="t" anchorCtr="0">
          <a:noAutofit/>
        </a:bodyPr>
        <a:lstStyle/>
        <a:p>
          <a:pPr marL="57150" lvl="1" indent="-57150" algn="just" defTabSz="400050">
            <a:lnSpc>
              <a:spcPct val="90000"/>
            </a:lnSpc>
            <a:spcBef>
              <a:spcPct val="0"/>
            </a:spcBef>
            <a:spcAft>
              <a:spcPct val="15000"/>
            </a:spcAft>
            <a:buChar char="•"/>
          </a:pPr>
          <a:r>
            <a:rPr lang="en-US" sz="900" kern="1200">
              <a:solidFill>
                <a:srgbClr val="FF0000"/>
              </a:solidFill>
            </a:rPr>
            <a:t>Marriott’s diverse 31-brand portfolio balances luxury, business, and budget markets (Marriott, 2024). Strong branding differentiates it from competitors, but expansion risks brand dilution and inconsistent service delivery. Managing multiple brand identities while maintaining quality across different property types presents an operational challenge, especially in regions with varying consumer preferences and regulatory environments.</a:t>
          </a:r>
        </a:p>
      </dsp:txBody>
      <dsp:txXfrm>
        <a:off x="0" y="2294572"/>
        <a:ext cx="5486400" cy="893025"/>
      </dsp:txXfrm>
    </dsp:sp>
    <dsp:sp modelId="{5AD07DBC-E225-4021-9D12-640B00610964}">
      <dsp:nvSpPr>
        <dsp:cNvPr id="0" name=""/>
        <dsp:cNvSpPr/>
      </dsp:nvSpPr>
      <dsp:spPr>
        <a:xfrm>
          <a:off x="274320" y="2161732"/>
          <a:ext cx="3840480" cy="265680"/>
        </a:xfrm>
        <a:prstGeom prst="roundRect">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400050">
            <a:lnSpc>
              <a:spcPct val="90000"/>
            </a:lnSpc>
            <a:spcBef>
              <a:spcPct val="0"/>
            </a:spcBef>
            <a:spcAft>
              <a:spcPct val="35000"/>
            </a:spcAft>
            <a:buNone/>
          </a:pPr>
          <a:r>
            <a:rPr lang="en-US" sz="900" kern="1200">
              <a:solidFill>
                <a:srgbClr val="FF0000"/>
              </a:solidFill>
            </a:rPr>
            <a:t>Maintaining Brand Image</a:t>
          </a:r>
        </a:p>
      </dsp:txBody>
      <dsp:txXfrm>
        <a:off x="287289" y="2174701"/>
        <a:ext cx="3814542" cy="239742"/>
      </dsp:txXfrm>
    </dsp:sp>
  </dsp:spTree>
</dsp:drawing>
</file>

<file path=word/diagrams/layout1.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2">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CC542F-E1EF-40EC-A3BB-33F687FB1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3985</Words>
  <Characters>22717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2025-02-22T13:00:00Z</dcterms:created>
  <dcterms:modified xsi:type="dcterms:W3CDTF">2025-03-06T12:32:00Z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5ff26852edbb5782289de1793a8430860cdf89ee0e8d38f7f622676ef8f39c5c</vt:lpwstr>
  </property>
</Properties>
</file>