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903CDC7" w14:textId="77777777" w:rsidR="00113D9C" w:rsidRDefault="00113D9C"/>
    <w:p w14:paraId="4DDB93FB" w14:textId="77777777" w:rsidR="009428A8" w:rsidRDefault="009428A8" w:rsidP="00230F35">
      <w:pPr>
        <w:pStyle w:val="NormalWeb"/>
        <w:spacing w:before="0" w:beforeAutospacing="0" w:after="0" w:afterAutospacing="0"/>
        <w:ind w:left="-180" w:right="-334"/>
      </w:pPr>
      <w:r>
        <w:rPr>
          <w:noProof/>
        </w:rPr>
        <w:drawing>
          <wp:inline distT="0" distB="0" distL="0" distR="0" wp14:anchorId="0FC96E9B" wp14:editId="3DA4E728">
            <wp:extent cx="1905000" cy="638175"/>
            <wp:effectExtent l="19050" t="19050" r="0" b="952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14:paraId="7BC8D687" w14:textId="77777777" w:rsidR="009428A8" w:rsidRDefault="009428A8" w:rsidP="00230F35">
      <w:pPr>
        <w:pStyle w:val="NormalWeb"/>
        <w:spacing w:before="0" w:beforeAutospacing="0" w:after="0" w:afterAutospacing="0"/>
        <w:ind w:left="-180" w:right="-334"/>
      </w:pPr>
    </w:p>
    <w:p w14:paraId="62DAEAC8" w14:textId="77777777" w:rsidR="009428A8" w:rsidRDefault="009428A8" w:rsidP="00230F35">
      <w:pPr>
        <w:pStyle w:val="NormalWeb"/>
        <w:spacing w:before="0" w:beforeAutospacing="0" w:after="0" w:afterAutospacing="0"/>
        <w:ind w:left="-180" w:right="-334"/>
      </w:pPr>
    </w:p>
    <w:p w14:paraId="036DF0AC" w14:textId="77777777" w:rsidR="009428A8" w:rsidRDefault="009428A8" w:rsidP="00230F35">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2BB6AD2F" w14:textId="77777777" w:rsidR="009428A8" w:rsidRPr="00230F35" w:rsidRDefault="009428A8" w:rsidP="00230F35">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1A1EAE7B" w14:textId="77777777" w:rsidR="009428A8" w:rsidRPr="00230F35" w:rsidRDefault="009428A8" w:rsidP="002E67CE">
      <w:pPr>
        <w:rPr>
          <w:rFonts w:ascii="Arial" w:hAnsi="Arial" w:cs="Arial"/>
          <w:sz w:val="28"/>
          <w:szCs w:val="28"/>
          <w:lang w:val="cy-GB"/>
        </w:rPr>
      </w:pPr>
    </w:p>
    <w:p w14:paraId="26186653" w14:textId="77777777" w:rsidR="009428A8" w:rsidRDefault="009428A8" w:rsidP="002E67CE">
      <w:pPr>
        <w:pStyle w:val="Heading3"/>
        <w:jc w:val="center"/>
        <w:rPr>
          <w:lang w:val="cy-GB"/>
        </w:rPr>
      </w:pPr>
      <w:r>
        <w:rPr>
          <w:lang w:val="cy-GB"/>
        </w:rPr>
        <w:t>THIS SHEET MUST BE THE FIRST PAGE OF THE ASSIGNMENT YOU ARE SUBMITTING  (DO NOT SEND AS A SEPARATE FILE)</w:t>
      </w:r>
    </w:p>
    <w:p w14:paraId="111A3621" w14:textId="77777777" w:rsidR="009428A8" w:rsidRDefault="009428A8" w:rsidP="002E67CE">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9428A8" w:rsidRPr="00230F35" w14:paraId="1EA932BA" w14:textId="77777777" w:rsidTr="00A745B6">
        <w:trPr>
          <w:trHeight w:val="614"/>
        </w:trPr>
        <w:tc>
          <w:tcPr>
            <w:tcW w:w="8856" w:type="dxa"/>
            <w:gridSpan w:val="5"/>
          </w:tcPr>
          <w:p w14:paraId="359B3767" w14:textId="77777777" w:rsidR="009428A8" w:rsidRPr="00230F35" w:rsidRDefault="009428A8" w:rsidP="002F467C">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9428A8" w:rsidRPr="00230F35" w14:paraId="0373D172" w14:textId="77777777" w:rsidTr="00A745B6">
        <w:trPr>
          <w:trHeight w:val="718"/>
        </w:trPr>
        <w:tc>
          <w:tcPr>
            <w:tcW w:w="8856" w:type="dxa"/>
            <w:gridSpan w:val="5"/>
          </w:tcPr>
          <w:p w14:paraId="5C0BC7E9" w14:textId="77777777" w:rsidR="009428A8" w:rsidRDefault="009428A8"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w:t>
            </w:r>
            <w:r w:rsidRPr="00D56A9B">
              <w:rPr>
                <w:rFonts w:ascii="Arial" w:hAnsi="Arial" w:cs="Arial"/>
                <w:b/>
                <w:sz w:val="22"/>
                <w:szCs w:val="22"/>
              </w:rPr>
              <w:t>Karen Hunt</w:t>
            </w:r>
          </w:p>
          <w:p w14:paraId="4B011447" w14:textId="77777777" w:rsidR="009428A8" w:rsidRPr="00230F35" w:rsidRDefault="009428A8" w:rsidP="002F467C">
            <w:pPr>
              <w:pStyle w:val="NormalWeb"/>
              <w:spacing w:before="0" w:beforeAutospacing="0" w:after="0" w:afterAutospacing="0"/>
              <w:ind w:right="34"/>
              <w:rPr>
                <w:rFonts w:ascii="Arial" w:hAnsi="Arial" w:cs="Arial"/>
                <w:sz w:val="22"/>
                <w:szCs w:val="22"/>
              </w:rPr>
            </w:pPr>
          </w:p>
        </w:tc>
      </w:tr>
      <w:tr w:rsidR="009428A8" w:rsidRPr="00230F35" w14:paraId="704A4F7D" w14:textId="77777777" w:rsidTr="00A745B6">
        <w:trPr>
          <w:trHeight w:val="849"/>
        </w:trPr>
        <w:tc>
          <w:tcPr>
            <w:tcW w:w="4788" w:type="dxa"/>
          </w:tcPr>
          <w:p w14:paraId="0D36BA3D" w14:textId="77777777" w:rsidR="009428A8" w:rsidRPr="00230F35" w:rsidRDefault="009428A8"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w:t>
            </w:r>
            <w:r>
              <w:rPr>
                <w:rFonts w:ascii="Arial" w:hAnsi="Arial" w:cs="Arial"/>
                <w:b/>
                <w:sz w:val="22"/>
                <w:szCs w:val="22"/>
              </w:rPr>
              <w:t xml:space="preserve">CSEN7028 </w:t>
            </w:r>
          </w:p>
          <w:p w14:paraId="07937601" w14:textId="77777777" w:rsidR="009428A8" w:rsidRPr="00230F35" w:rsidRDefault="009428A8" w:rsidP="002F467C">
            <w:pPr>
              <w:pStyle w:val="NormalWeb"/>
              <w:spacing w:before="0" w:beforeAutospacing="0" w:after="0" w:afterAutospacing="0"/>
              <w:ind w:right="34"/>
              <w:rPr>
                <w:rFonts w:ascii="Arial" w:hAnsi="Arial" w:cs="Arial"/>
                <w:sz w:val="22"/>
                <w:szCs w:val="22"/>
              </w:rPr>
            </w:pPr>
          </w:p>
          <w:p w14:paraId="3F22AE8C" w14:textId="77777777" w:rsidR="009428A8" w:rsidRDefault="009428A8"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w:t>
            </w:r>
            <w:r>
              <w:rPr>
                <w:rFonts w:ascii="Arial" w:hAnsi="Arial" w:cs="Arial"/>
                <w:b/>
                <w:sz w:val="22"/>
                <w:szCs w:val="22"/>
              </w:rPr>
              <w:t xml:space="preserve">Beowulf and the Anglo-Saxon </w:t>
            </w:r>
            <w:proofErr w:type="spellStart"/>
            <w:r>
              <w:rPr>
                <w:rFonts w:ascii="Arial" w:hAnsi="Arial" w:cs="Arial"/>
                <w:b/>
                <w:sz w:val="22"/>
                <w:szCs w:val="22"/>
              </w:rPr>
              <w:t>Herioc</w:t>
            </w:r>
            <w:proofErr w:type="spellEnd"/>
          </w:p>
          <w:p w14:paraId="308F14D1" w14:textId="77777777" w:rsidR="009428A8" w:rsidRDefault="009428A8" w:rsidP="002F467C">
            <w:pPr>
              <w:pStyle w:val="NormalWeb"/>
              <w:spacing w:before="0" w:beforeAutospacing="0" w:after="0" w:afterAutospacing="0"/>
              <w:ind w:right="34"/>
              <w:rPr>
                <w:rFonts w:ascii="Arial" w:hAnsi="Arial" w:cs="Arial"/>
                <w:sz w:val="22"/>
                <w:szCs w:val="22"/>
              </w:rPr>
            </w:pPr>
          </w:p>
          <w:p w14:paraId="7C1E553D" w14:textId="77777777" w:rsidR="009428A8" w:rsidRPr="00230F35" w:rsidRDefault="009428A8" w:rsidP="002F467C">
            <w:pPr>
              <w:pStyle w:val="NormalWeb"/>
              <w:spacing w:before="0" w:beforeAutospacing="0" w:after="0" w:afterAutospacing="0"/>
              <w:ind w:right="34"/>
              <w:rPr>
                <w:rFonts w:ascii="Arial" w:hAnsi="Arial" w:cs="Arial"/>
                <w:sz w:val="22"/>
                <w:szCs w:val="22"/>
              </w:rPr>
            </w:pPr>
          </w:p>
        </w:tc>
        <w:tc>
          <w:tcPr>
            <w:tcW w:w="2266" w:type="dxa"/>
            <w:gridSpan w:val="3"/>
          </w:tcPr>
          <w:p w14:paraId="32B8F1A8" w14:textId="77777777" w:rsidR="009428A8" w:rsidRDefault="009428A8"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7C1B9477" w14:textId="77777777" w:rsidR="009428A8" w:rsidRDefault="009428A8" w:rsidP="002F467C">
            <w:pPr>
              <w:pStyle w:val="NormalWeb"/>
              <w:spacing w:before="0" w:beforeAutospacing="0" w:after="0" w:afterAutospacing="0"/>
              <w:ind w:right="34"/>
              <w:rPr>
                <w:rFonts w:ascii="Arial" w:hAnsi="Arial" w:cs="Arial"/>
                <w:sz w:val="22"/>
                <w:szCs w:val="22"/>
              </w:rPr>
            </w:pPr>
          </w:p>
          <w:p w14:paraId="491BA2A6" w14:textId="77777777" w:rsidR="009428A8" w:rsidRPr="00D56A9B" w:rsidRDefault="009428A8" w:rsidP="002F467C">
            <w:pPr>
              <w:pStyle w:val="NormalWeb"/>
              <w:spacing w:before="0" w:beforeAutospacing="0" w:after="0" w:afterAutospacing="0"/>
              <w:ind w:right="34"/>
              <w:rPr>
                <w:rFonts w:ascii="Arial" w:hAnsi="Arial" w:cs="Arial"/>
                <w:b/>
                <w:sz w:val="22"/>
                <w:szCs w:val="22"/>
              </w:rPr>
            </w:pPr>
            <w:r w:rsidRPr="00D56A9B">
              <w:rPr>
                <w:rFonts w:ascii="Arial" w:hAnsi="Arial" w:cs="Arial"/>
                <w:b/>
                <w:sz w:val="22"/>
                <w:szCs w:val="22"/>
              </w:rPr>
              <w:t>1703957</w:t>
            </w:r>
          </w:p>
        </w:tc>
        <w:tc>
          <w:tcPr>
            <w:tcW w:w="1802" w:type="dxa"/>
          </w:tcPr>
          <w:p w14:paraId="443B993D" w14:textId="77777777" w:rsidR="009428A8" w:rsidRPr="00230F35" w:rsidRDefault="009428A8"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3D729852" w14:textId="77777777" w:rsidR="009428A8" w:rsidRPr="00D56A9B" w:rsidRDefault="009428A8" w:rsidP="002F467C">
            <w:pPr>
              <w:pStyle w:val="NormalWeb"/>
              <w:spacing w:before="0" w:beforeAutospacing="0" w:after="0" w:afterAutospacing="0"/>
              <w:ind w:right="34"/>
              <w:rPr>
                <w:rFonts w:ascii="Arial" w:hAnsi="Arial" w:cs="Arial"/>
                <w:b/>
                <w:sz w:val="22"/>
                <w:szCs w:val="22"/>
              </w:rPr>
            </w:pPr>
            <w:r w:rsidRPr="00D56A9B">
              <w:rPr>
                <w:rFonts w:ascii="Arial" w:hAnsi="Arial" w:cs="Arial"/>
                <w:b/>
                <w:sz w:val="22"/>
                <w:szCs w:val="22"/>
              </w:rPr>
              <w:t>No</w:t>
            </w:r>
          </w:p>
        </w:tc>
      </w:tr>
      <w:tr w:rsidR="009428A8" w:rsidRPr="00230F35" w14:paraId="337B181B" w14:textId="77777777" w:rsidTr="00A745B6">
        <w:trPr>
          <w:trHeight w:val="1139"/>
        </w:trPr>
        <w:tc>
          <w:tcPr>
            <w:tcW w:w="8856" w:type="dxa"/>
            <w:gridSpan w:val="5"/>
          </w:tcPr>
          <w:p w14:paraId="6DD8561C" w14:textId="77777777" w:rsidR="009428A8" w:rsidRPr="00230F35" w:rsidRDefault="009428A8" w:rsidP="002F467C">
            <w:pPr>
              <w:pStyle w:val="NormalWeb"/>
              <w:spacing w:before="0" w:beforeAutospacing="0" w:after="0" w:afterAutospacing="0"/>
              <w:ind w:right="34"/>
              <w:rPr>
                <w:rFonts w:ascii="Arial" w:hAnsi="Arial" w:cs="Arial"/>
                <w:sz w:val="22"/>
                <w:szCs w:val="22"/>
              </w:rPr>
            </w:pPr>
            <w:r>
              <w:rPr>
                <w:rFonts w:ascii="Arial" w:hAnsi="Arial" w:cs="Arial"/>
                <w:sz w:val="22"/>
                <w:szCs w:val="22"/>
              </w:rPr>
              <w:t>Module tutor: Dr William Marx</w:t>
            </w:r>
          </w:p>
          <w:p w14:paraId="1F6C5900" w14:textId="77777777" w:rsidR="009428A8" w:rsidRPr="00230F35" w:rsidRDefault="009428A8" w:rsidP="002F467C">
            <w:pPr>
              <w:pStyle w:val="NormalWeb"/>
              <w:spacing w:before="0" w:beforeAutospacing="0" w:after="0" w:afterAutospacing="0"/>
              <w:ind w:right="34"/>
              <w:rPr>
                <w:rFonts w:ascii="Arial" w:hAnsi="Arial" w:cs="Arial"/>
                <w:sz w:val="22"/>
                <w:szCs w:val="22"/>
              </w:rPr>
            </w:pPr>
          </w:p>
          <w:p w14:paraId="1A9F0CF9" w14:textId="77777777" w:rsidR="009428A8" w:rsidRDefault="009428A8" w:rsidP="002F467C">
            <w:pPr>
              <w:pStyle w:val="NormalWeb"/>
              <w:spacing w:before="0" w:beforeAutospacing="0" w:after="0" w:afterAutospacing="0"/>
              <w:ind w:right="34"/>
              <w:rPr>
                <w:rFonts w:ascii="Arial" w:hAnsi="Arial" w:cs="Arial"/>
                <w:sz w:val="22"/>
                <w:szCs w:val="22"/>
              </w:rPr>
            </w:pPr>
          </w:p>
          <w:p w14:paraId="62C17A3B" w14:textId="77777777" w:rsidR="009428A8" w:rsidRPr="00230F35" w:rsidRDefault="009428A8"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Friday 30</w:t>
            </w:r>
            <w:r w:rsidRPr="00DC34DC">
              <w:rPr>
                <w:rFonts w:ascii="Arial" w:hAnsi="Arial" w:cs="Arial"/>
                <w:sz w:val="22"/>
                <w:szCs w:val="22"/>
                <w:vertAlign w:val="superscript"/>
              </w:rPr>
              <w:t>th</w:t>
            </w:r>
            <w:r>
              <w:rPr>
                <w:rFonts w:ascii="Arial" w:hAnsi="Arial" w:cs="Arial"/>
                <w:sz w:val="22"/>
                <w:szCs w:val="22"/>
              </w:rPr>
              <w:t xml:space="preserve"> August 2019</w:t>
            </w:r>
          </w:p>
        </w:tc>
      </w:tr>
      <w:tr w:rsidR="009428A8" w:rsidRPr="00230F35" w14:paraId="747D056D" w14:textId="77777777" w:rsidTr="00A745B6">
        <w:trPr>
          <w:trHeight w:val="978"/>
        </w:trPr>
        <w:tc>
          <w:tcPr>
            <w:tcW w:w="8856" w:type="dxa"/>
            <w:gridSpan w:val="5"/>
            <w:tcBorders>
              <w:bottom w:val="single" w:sz="4" w:space="0" w:color="000000"/>
            </w:tcBorders>
          </w:tcPr>
          <w:p w14:paraId="14588227" w14:textId="77777777" w:rsidR="009428A8" w:rsidRDefault="009428A8" w:rsidP="00F75EB5">
            <w:pPr>
              <w:rPr>
                <w:rFonts w:ascii="Arial" w:hAnsi="Arial" w:cs="Arial"/>
                <w:sz w:val="22"/>
                <w:szCs w:val="22"/>
              </w:rPr>
            </w:pPr>
            <w:r>
              <w:rPr>
                <w:rFonts w:ascii="Arial" w:hAnsi="Arial" w:cs="Arial"/>
                <w:sz w:val="22"/>
                <w:szCs w:val="22"/>
              </w:rPr>
              <w:t>If your module has multiple submissions please indicate which piece of work this is.</w:t>
            </w:r>
          </w:p>
          <w:p w14:paraId="2285CA71" w14:textId="77777777" w:rsidR="009428A8" w:rsidRDefault="009428A8" w:rsidP="00F75EB5">
            <w:pPr>
              <w:rPr>
                <w:rFonts w:ascii="Arial" w:hAnsi="Arial" w:cs="Arial"/>
                <w:sz w:val="22"/>
                <w:szCs w:val="22"/>
              </w:rPr>
            </w:pPr>
          </w:p>
          <w:p w14:paraId="01B41457" w14:textId="77777777" w:rsidR="009428A8" w:rsidRPr="00230F35" w:rsidRDefault="009428A8" w:rsidP="00F75EB5">
            <w:pPr>
              <w:rPr>
                <w:rFonts w:ascii="Arial" w:hAnsi="Arial" w:cs="Arial"/>
                <w:sz w:val="22"/>
                <w:szCs w:val="22"/>
              </w:rPr>
            </w:pPr>
            <w:r w:rsidRPr="00230F35">
              <w:rPr>
                <w:rFonts w:ascii="Arial" w:hAnsi="Arial" w:cs="Arial"/>
                <w:sz w:val="22"/>
                <w:szCs w:val="22"/>
              </w:rPr>
              <w:t>1</w:t>
            </w:r>
            <w:r w:rsidRPr="00230F35">
              <w:rPr>
                <w:rFonts w:ascii="Arial" w:hAnsi="Arial" w:cs="Arial"/>
                <w:sz w:val="22"/>
                <w:szCs w:val="22"/>
                <w:vertAlign w:val="superscript"/>
              </w:rPr>
              <w:t xml:space="preserve">st </w:t>
            </w:r>
            <w:r>
              <w:rPr>
                <w:rFonts w:ascii="Arial" w:hAnsi="Arial" w:cs="Arial"/>
                <w:sz w:val="22"/>
                <w:szCs w:val="22"/>
              </w:rPr>
              <w:t>X</w:t>
            </w:r>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0" w:name="Check14"/>
            <w:r w:rsidRPr="00230F35">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sidRPr="00230F35">
              <w:rPr>
                <w:rFonts w:ascii="Arial" w:hAnsi="Arial" w:cs="Arial"/>
                <w:sz w:val="22"/>
                <w:szCs w:val="22"/>
              </w:rPr>
              <w:fldChar w:fldCharType="end"/>
            </w:r>
            <w:bookmarkEnd w:id="0"/>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1" w:name="Check15"/>
            <w:r w:rsidRPr="00230F35">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sidRPr="00230F35">
              <w:rPr>
                <w:rFonts w:ascii="Arial" w:hAnsi="Arial" w:cs="Arial"/>
                <w:sz w:val="22"/>
                <w:szCs w:val="22"/>
              </w:rPr>
              <w:fldChar w:fldCharType="end"/>
            </w:r>
            <w:bookmarkEnd w:id="1"/>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2" w:name="Check16"/>
            <w:r w:rsidRPr="00230F35">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3" w:name="Check17"/>
            <w:r w:rsidRPr="00230F35">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4" w:name="Check18"/>
            <w:r w:rsidRPr="00230F35">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sidRPr="00230F35">
              <w:rPr>
                <w:rFonts w:ascii="Arial" w:hAnsi="Arial" w:cs="Arial"/>
                <w:sz w:val="22"/>
                <w:szCs w:val="22"/>
              </w:rPr>
              <w:fldChar w:fldCharType="end"/>
            </w:r>
            <w:bookmarkEnd w:id="4"/>
          </w:p>
        </w:tc>
      </w:tr>
      <w:tr w:rsidR="009428A8" w:rsidRPr="00230F35" w14:paraId="6069725C" w14:textId="77777777" w:rsidTr="00A745B6">
        <w:trPr>
          <w:trHeight w:val="978"/>
        </w:trPr>
        <w:tc>
          <w:tcPr>
            <w:tcW w:w="8856" w:type="dxa"/>
            <w:gridSpan w:val="5"/>
            <w:shd w:val="clear" w:color="auto" w:fill="D9D9D9"/>
          </w:tcPr>
          <w:p w14:paraId="7B460CCD" w14:textId="77777777" w:rsidR="009428A8" w:rsidRPr="00230F35" w:rsidRDefault="009428A8"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4965FC19" w14:textId="77777777" w:rsidR="009428A8" w:rsidRDefault="009428A8"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p>
          <w:p w14:paraId="68852D03" w14:textId="77777777" w:rsidR="009428A8" w:rsidRDefault="009428A8" w:rsidP="00B462B1">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 if you are submitting this form via email, please tick this box </w:t>
            </w:r>
            <w:r>
              <w:rPr>
                <w:rFonts w:ascii="Calibri" w:hAnsi="Calibri" w:cs="Calibri"/>
                <w:b/>
                <w:sz w:val="44"/>
                <w:szCs w:val="44"/>
              </w:rPr>
              <w:sym w:font="Wingdings" w:char="F0FC"/>
            </w:r>
          </w:p>
          <w:p w14:paraId="581CB570" w14:textId="77777777" w:rsidR="009428A8" w:rsidRPr="00230F35" w:rsidRDefault="009428A8" w:rsidP="00B462B1">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9428A8" w:rsidRPr="00230F35" w14:paraId="7DE4BCD7" w14:textId="77777777" w:rsidTr="00A745B6">
        <w:trPr>
          <w:trHeight w:val="3972"/>
        </w:trPr>
        <w:tc>
          <w:tcPr>
            <w:tcW w:w="8856" w:type="dxa"/>
            <w:gridSpan w:val="5"/>
          </w:tcPr>
          <w:p w14:paraId="48552A1C" w14:textId="77777777" w:rsidR="009428A8" w:rsidRDefault="009428A8" w:rsidP="00A745B6">
            <w:pPr>
              <w:rPr>
                <w:rFonts w:ascii="Arial" w:hAnsi="Arial"/>
                <w:b/>
              </w:rPr>
            </w:pPr>
          </w:p>
          <w:p w14:paraId="063D433A" w14:textId="77777777" w:rsidR="009428A8" w:rsidRPr="00116CE6" w:rsidRDefault="009428A8" w:rsidP="00A745B6">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9428A8" w:rsidRPr="00116CE6" w14:paraId="322DEEE2" w14:textId="77777777" w:rsidTr="00022345">
              <w:tc>
                <w:tcPr>
                  <w:tcW w:w="6970" w:type="dxa"/>
                </w:tcPr>
                <w:p w14:paraId="7748AD62" w14:textId="77777777" w:rsidR="009428A8" w:rsidRPr="00116CE6" w:rsidRDefault="009428A8" w:rsidP="009C1A08">
                  <w:pPr>
                    <w:rPr>
                      <w:rFonts w:ascii="Arial" w:hAnsi="Arial"/>
                      <w:sz w:val="20"/>
                      <w:szCs w:val="20"/>
                    </w:rPr>
                  </w:pPr>
                </w:p>
                <w:p w14:paraId="3A3073F9" w14:textId="77777777" w:rsidR="009428A8" w:rsidRPr="00116CE6" w:rsidRDefault="009428A8" w:rsidP="009C1A08">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6FDDFC88" w14:textId="77777777" w:rsidR="009428A8" w:rsidRPr="00116CE6" w:rsidRDefault="009428A8" w:rsidP="009C1A08">
                  <w:pPr>
                    <w:rPr>
                      <w:rFonts w:ascii="Arial" w:hAnsi="Arial"/>
                      <w:sz w:val="20"/>
                      <w:szCs w:val="20"/>
                    </w:rPr>
                  </w:pPr>
                </w:p>
              </w:tc>
            </w:tr>
            <w:tr w:rsidR="009428A8" w:rsidRPr="00116CE6" w14:paraId="249B5C55" w14:textId="77777777" w:rsidTr="00022345">
              <w:tc>
                <w:tcPr>
                  <w:tcW w:w="6970" w:type="dxa"/>
                </w:tcPr>
                <w:p w14:paraId="27322926" w14:textId="77777777" w:rsidR="009428A8" w:rsidRPr="00116CE6" w:rsidRDefault="009428A8" w:rsidP="009C1A08">
                  <w:pPr>
                    <w:rPr>
                      <w:rFonts w:ascii="Arial" w:hAnsi="Arial"/>
                      <w:sz w:val="20"/>
                      <w:szCs w:val="20"/>
                    </w:rPr>
                  </w:pPr>
                </w:p>
                <w:p w14:paraId="4A615080" w14:textId="77777777" w:rsidR="009428A8" w:rsidRPr="00116CE6" w:rsidRDefault="009428A8" w:rsidP="009C1A08">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125A1319" w14:textId="77777777" w:rsidR="009428A8" w:rsidRPr="00116CE6" w:rsidRDefault="009428A8" w:rsidP="009C1A08">
                  <w:pPr>
                    <w:rPr>
                      <w:rFonts w:ascii="Arial" w:hAnsi="Arial"/>
                      <w:sz w:val="20"/>
                      <w:szCs w:val="20"/>
                    </w:rPr>
                  </w:pPr>
                </w:p>
              </w:tc>
            </w:tr>
            <w:tr w:rsidR="009428A8" w:rsidRPr="00116CE6" w14:paraId="5AD5D5D6" w14:textId="77777777" w:rsidTr="00022345">
              <w:tc>
                <w:tcPr>
                  <w:tcW w:w="6970" w:type="dxa"/>
                </w:tcPr>
                <w:p w14:paraId="7731EFD5" w14:textId="77777777" w:rsidR="009428A8" w:rsidRPr="00116CE6" w:rsidRDefault="009428A8" w:rsidP="009C1A08">
                  <w:pPr>
                    <w:rPr>
                      <w:rFonts w:ascii="Arial" w:hAnsi="Arial"/>
                      <w:sz w:val="20"/>
                      <w:szCs w:val="20"/>
                    </w:rPr>
                  </w:pPr>
                </w:p>
                <w:p w14:paraId="51CABF1B" w14:textId="77777777" w:rsidR="009428A8" w:rsidRPr="00116CE6" w:rsidRDefault="009428A8" w:rsidP="009C1A08">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6A124B0B" w14:textId="77777777" w:rsidR="009428A8" w:rsidRPr="00116CE6" w:rsidRDefault="009428A8" w:rsidP="009C1A08">
                  <w:pPr>
                    <w:rPr>
                      <w:rFonts w:ascii="Arial" w:hAnsi="Arial"/>
                      <w:sz w:val="20"/>
                      <w:szCs w:val="20"/>
                    </w:rPr>
                  </w:pPr>
                </w:p>
              </w:tc>
            </w:tr>
            <w:tr w:rsidR="009428A8" w:rsidRPr="00116CE6" w14:paraId="4B790566" w14:textId="77777777" w:rsidTr="00022345">
              <w:tc>
                <w:tcPr>
                  <w:tcW w:w="6970" w:type="dxa"/>
                </w:tcPr>
                <w:p w14:paraId="587961B6" w14:textId="77777777" w:rsidR="009428A8" w:rsidRDefault="009428A8" w:rsidP="009C1A08">
                  <w:pPr>
                    <w:rPr>
                      <w:rFonts w:ascii="Arial" w:hAnsi="Arial"/>
                      <w:sz w:val="20"/>
                      <w:szCs w:val="20"/>
                    </w:rPr>
                  </w:pPr>
                </w:p>
                <w:p w14:paraId="43A65D55" w14:textId="77777777" w:rsidR="009428A8" w:rsidRPr="00022345" w:rsidRDefault="009428A8" w:rsidP="009C1A08">
                  <w:pPr>
                    <w:rPr>
                      <w:rFonts w:ascii="Arial" w:hAnsi="Arial"/>
                      <w:b/>
                      <w:sz w:val="20"/>
                      <w:szCs w:val="20"/>
                    </w:rPr>
                  </w:pPr>
                  <w:r w:rsidRPr="00022345">
                    <w:rPr>
                      <w:rFonts w:ascii="Arial" w:hAnsi="Arial"/>
                      <w:b/>
                      <w:sz w:val="20"/>
                      <w:szCs w:val="20"/>
                    </w:rPr>
                    <w:t>Final Mark</w:t>
                  </w:r>
                </w:p>
                <w:p w14:paraId="60575407" w14:textId="77777777" w:rsidR="009428A8" w:rsidRPr="00116CE6" w:rsidRDefault="009428A8" w:rsidP="009C1A08">
                  <w:pPr>
                    <w:rPr>
                      <w:rFonts w:ascii="Arial" w:hAnsi="Arial"/>
                      <w:sz w:val="20"/>
                      <w:szCs w:val="20"/>
                    </w:rPr>
                  </w:pPr>
                </w:p>
              </w:tc>
              <w:tc>
                <w:tcPr>
                  <w:tcW w:w="1660" w:type="dxa"/>
                </w:tcPr>
                <w:p w14:paraId="113F7BB2" w14:textId="77777777" w:rsidR="009428A8" w:rsidRPr="00116CE6" w:rsidRDefault="009428A8" w:rsidP="009C1A08">
                  <w:pPr>
                    <w:rPr>
                      <w:rFonts w:ascii="Arial" w:hAnsi="Arial"/>
                      <w:sz w:val="20"/>
                      <w:szCs w:val="20"/>
                    </w:rPr>
                  </w:pPr>
                </w:p>
              </w:tc>
            </w:tr>
          </w:tbl>
          <w:p w14:paraId="7CD0FA8F" w14:textId="77777777" w:rsidR="009428A8" w:rsidRDefault="009428A8" w:rsidP="00A745B6">
            <w:pPr>
              <w:pStyle w:val="NormalWeb"/>
              <w:spacing w:before="0" w:beforeAutospacing="0" w:after="0" w:afterAutospacing="0"/>
              <w:ind w:left="142" w:right="34"/>
              <w:rPr>
                <w:rFonts w:ascii="Arial" w:hAnsi="Arial" w:cs="Arial"/>
                <w:b/>
                <w:sz w:val="22"/>
                <w:szCs w:val="22"/>
              </w:rPr>
            </w:pPr>
          </w:p>
          <w:p w14:paraId="78293E5A" w14:textId="77777777" w:rsidR="009428A8" w:rsidRPr="00230F35" w:rsidRDefault="009428A8" w:rsidP="00A745B6">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6149ED04" w14:textId="77777777" w:rsidR="009428A8" w:rsidRDefault="009428A8" w:rsidP="002F467C">
            <w:pPr>
              <w:pStyle w:val="NormalWeb"/>
              <w:spacing w:before="0" w:beforeAutospacing="0" w:after="0" w:afterAutospacing="0"/>
              <w:rPr>
                <w:rFonts w:ascii="Arial" w:hAnsi="Arial" w:cs="Arial"/>
                <w:b/>
                <w:sz w:val="22"/>
                <w:szCs w:val="22"/>
              </w:rPr>
            </w:pPr>
          </w:p>
          <w:p w14:paraId="6C16A910" w14:textId="77777777" w:rsidR="009428A8" w:rsidRDefault="009428A8" w:rsidP="002F467C">
            <w:pPr>
              <w:pStyle w:val="NormalWeb"/>
              <w:spacing w:before="0" w:beforeAutospacing="0" w:after="0" w:afterAutospacing="0"/>
              <w:rPr>
                <w:rFonts w:ascii="Arial" w:hAnsi="Arial" w:cs="Arial"/>
                <w:b/>
                <w:sz w:val="22"/>
                <w:szCs w:val="22"/>
              </w:rPr>
            </w:pPr>
          </w:p>
          <w:p w14:paraId="3C60B942" w14:textId="77777777" w:rsidR="009428A8" w:rsidRDefault="009428A8" w:rsidP="002F467C">
            <w:pPr>
              <w:pStyle w:val="NormalWeb"/>
              <w:spacing w:before="0" w:beforeAutospacing="0" w:after="0" w:afterAutospacing="0"/>
              <w:rPr>
                <w:rFonts w:ascii="Arial" w:hAnsi="Arial" w:cs="Arial"/>
                <w:b/>
                <w:sz w:val="22"/>
                <w:szCs w:val="22"/>
              </w:rPr>
            </w:pPr>
          </w:p>
          <w:p w14:paraId="65AFE8EC" w14:textId="77777777" w:rsidR="009428A8" w:rsidRDefault="009428A8" w:rsidP="002F467C">
            <w:pPr>
              <w:pStyle w:val="NormalWeb"/>
              <w:spacing w:before="0" w:beforeAutospacing="0" w:after="0" w:afterAutospacing="0"/>
              <w:rPr>
                <w:rFonts w:ascii="Arial" w:hAnsi="Arial" w:cs="Arial"/>
                <w:b/>
                <w:sz w:val="22"/>
                <w:szCs w:val="22"/>
              </w:rPr>
            </w:pPr>
          </w:p>
          <w:p w14:paraId="28879EAC" w14:textId="77777777" w:rsidR="009428A8" w:rsidRDefault="009428A8" w:rsidP="002F467C">
            <w:pPr>
              <w:pStyle w:val="NormalWeb"/>
              <w:spacing w:before="0" w:beforeAutospacing="0" w:after="0" w:afterAutospacing="0"/>
              <w:rPr>
                <w:rFonts w:ascii="Arial" w:hAnsi="Arial" w:cs="Arial"/>
                <w:b/>
                <w:sz w:val="22"/>
                <w:szCs w:val="22"/>
              </w:rPr>
            </w:pPr>
          </w:p>
          <w:p w14:paraId="75DEE667" w14:textId="77777777" w:rsidR="009428A8" w:rsidRPr="00230F35" w:rsidRDefault="009428A8" w:rsidP="002F467C">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0339E6EC" w14:textId="77777777" w:rsidR="009428A8" w:rsidRDefault="009428A8" w:rsidP="00043549">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5F5C959E" w14:textId="77777777" w:rsidR="009428A8" w:rsidRPr="00001C3B" w:rsidRDefault="009428A8" w:rsidP="00043549">
            <w:pPr>
              <w:pStyle w:val="NormalWeb"/>
              <w:rPr>
                <w:rFonts w:ascii="Arial" w:hAnsi="Arial" w:cs="Arial"/>
                <w:sz w:val="22"/>
                <w:szCs w:val="22"/>
              </w:rPr>
            </w:pPr>
          </w:p>
        </w:tc>
      </w:tr>
      <w:tr w:rsidR="009428A8" w:rsidRPr="00230F35" w14:paraId="3EC650FC" w14:textId="77777777" w:rsidTr="00A745B6">
        <w:trPr>
          <w:trHeight w:val="492"/>
        </w:trPr>
        <w:tc>
          <w:tcPr>
            <w:tcW w:w="6768" w:type="dxa"/>
            <w:gridSpan w:val="3"/>
          </w:tcPr>
          <w:p w14:paraId="4B2D9145" w14:textId="77777777" w:rsidR="009428A8" w:rsidRPr="00230F35" w:rsidRDefault="009428A8" w:rsidP="00230F35">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2E2AE600" w14:textId="77777777" w:rsidR="009428A8" w:rsidRPr="00230F35" w:rsidRDefault="009428A8" w:rsidP="002F467C">
            <w:pPr>
              <w:pStyle w:val="NormalWeb"/>
              <w:spacing w:after="0"/>
              <w:ind w:left="142" w:right="34"/>
              <w:rPr>
                <w:rFonts w:ascii="Arial" w:hAnsi="Arial" w:cs="Arial"/>
                <w:sz w:val="22"/>
                <w:szCs w:val="22"/>
              </w:rPr>
            </w:pPr>
            <w:r w:rsidRPr="00230F35">
              <w:rPr>
                <w:rFonts w:ascii="Arial" w:hAnsi="Arial" w:cs="Arial"/>
                <w:sz w:val="22"/>
                <w:szCs w:val="22"/>
              </w:rPr>
              <w:t>Date:</w:t>
            </w:r>
          </w:p>
        </w:tc>
      </w:tr>
      <w:tr w:rsidR="009428A8" w:rsidRPr="002F467C" w14:paraId="6C80B24D" w14:textId="77777777" w:rsidTr="002F467C">
        <w:tc>
          <w:tcPr>
            <w:tcW w:w="8856" w:type="dxa"/>
            <w:gridSpan w:val="5"/>
          </w:tcPr>
          <w:p w14:paraId="591DBC38" w14:textId="77777777" w:rsidR="009428A8" w:rsidRPr="00230F35" w:rsidRDefault="009428A8" w:rsidP="002F467C">
            <w:pPr>
              <w:pStyle w:val="NormalWeb"/>
              <w:spacing w:before="0" w:beforeAutospacing="0" w:after="0" w:afterAutospacing="0"/>
              <w:ind w:right="-334"/>
              <w:rPr>
                <w:rFonts w:ascii="Arial" w:hAnsi="Arial" w:cs="Arial"/>
                <w:bCs/>
                <w:i/>
                <w:sz w:val="22"/>
                <w:szCs w:val="22"/>
              </w:rPr>
            </w:pPr>
          </w:p>
          <w:p w14:paraId="64CAA707" w14:textId="77777777" w:rsidR="009428A8" w:rsidRPr="00230F35" w:rsidRDefault="009428A8" w:rsidP="002F467C">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4D76ACF5" w14:textId="77777777" w:rsidR="009428A8" w:rsidRPr="00230F35" w:rsidRDefault="009428A8" w:rsidP="002F467C">
            <w:pPr>
              <w:pStyle w:val="NormalWeb"/>
              <w:spacing w:before="0" w:beforeAutospacing="0" w:after="0" w:afterAutospacing="0"/>
              <w:ind w:right="-334"/>
              <w:rPr>
                <w:rFonts w:ascii="Arial" w:hAnsi="Arial" w:cs="Arial"/>
                <w:b/>
                <w:bCs/>
                <w:sz w:val="22"/>
                <w:szCs w:val="22"/>
              </w:rPr>
            </w:pPr>
          </w:p>
          <w:p w14:paraId="5CD5FEAE" w14:textId="77777777" w:rsidR="009428A8" w:rsidRPr="00230F35" w:rsidRDefault="009428A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18984496" w14:textId="77777777" w:rsidR="009428A8" w:rsidRPr="00230F35" w:rsidRDefault="009428A8" w:rsidP="002F467C">
            <w:pPr>
              <w:pStyle w:val="NormalWeb"/>
              <w:spacing w:before="0" w:beforeAutospacing="0" w:after="0" w:afterAutospacing="0"/>
              <w:ind w:right="-334"/>
              <w:rPr>
                <w:rFonts w:ascii="Arial" w:hAnsi="Arial" w:cs="Arial"/>
                <w:bCs/>
                <w:sz w:val="22"/>
                <w:szCs w:val="22"/>
              </w:rPr>
            </w:pPr>
          </w:p>
          <w:p w14:paraId="248BED22" w14:textId="77777777" w:rsidR="009428A8" w:rsidRPr="00230F35" w:rsidRDefault="009428A8" w:rsidP="002F467C">
            <w:pPr>
              <w:pStyle w:val="NormalWeb"/>
              <w:spacing w:before="0" w:beforeAutospacing="0" w:after="0" w:afterAutospacing="0"/>
              <w:ind w:right="-334"/>
              <w:rPr>
                <w:rFonts w:ascii="Arial" w:hAnsi="Arial" w:cs="Arial"/>
                <w:bCs/>
                <w:sz w:val="22"/>
                <w:szCs w:val="22"/>
              </w:rPr>
            </w:pPr>
          </w:p>
          <w:p w14:paraId="2715057F" w14:textId="77777777" w:rsidR="009428A8" w:rsidRPr="00230F35" w:rsidRDefault="009428A8" w:rsidP="002F467C">
            <w:pPr>
              <w:pStyle w:val="NormalWeb"/>
              <w:spacing w:before="0" w:beforeAutospacing="0" w:after="0" w:afterAutospacing="0"/>
              <w:ind w:right="-334"/>
              <w:rPr>
                <w:rFonts w:ascii="Arial" w:hAnsi="Arial" w:cs="Arial"/>
                <w:bCs/>
                <w:sz w:val="22"/>
                <w:szCs w:val="22"/>
              </w:rPr>
            </w:pPr>
          </w:p>
        </w:tc>
      </w:tr>
      <w:tr w:rsidR="009428A8" w:rsidRPr="002F467C" w14:paraId="1EE61888" w14:textId="77777777" w:rsidTr="008D674F">
        <w:trPr>
          <w:trHeight w:val="720"/>
        </w:trPr>
        <w:tc>
          <w:tcPr>
            <w:tcW w:w="5211" w:type="dxa"/>
            <w:gridSpan w:val="2"/>
          </w:tcPr>
          <w:p w14:paraId="204513A9" w14:textId="77777777" w:rsidR="009428A8" w:rsidRPr="00230F35" w:rsidRDefault="009428A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150FEC3A" w14:textId="77777777" w:rsidR="009428A8" w:rsidRPr="00230F35" w:rsidRDefault="009428A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9428A8" w:rsidRPr="002F467C" w14:paraId="3D48A347" w14:textId="77777777" w:rsidTr="009C1A08">
        <w:trPr>
          <w:trHeight w:val="720"/>
        </w:trPr>
        <w:tc>
          <w:tcPr>
            <w:tcW w:w="8856" w:type="dxa"/>
            <w:gridSpan w:val="5"/>
          </w:tcPr>
          <w:p w14:paraId="7C47DA5E" w14:textId="77777777" w:rsidR="009428A8" w:rsidRPr="00B34964" w:rsidRDefault="009428A8" w:rsidP="00230F35">
            <w:pPr>
              <w:rPr>
                <w:rFonts w:ascii="Arial" w:hAnsi="Arial" w:cs="Arial"/>
                <w:b/>
                <w:sz w:val="22"/>
                <w:szCs w:val="22"/>
              </w:rPr>
            </w:pPr>
            <w:r w:rsidRPr="00B34964">
              <w:rPr>
                <w:rFonts w:ascii="Arial" w:hAnsi="Arial" w:cs="Arial"/>
                <w:b/>
                <w:sz w:val="22"/>
                <w:szCs w:val="22"/>
              </w:rPr>
              <w:t>External Examiner’s comments (if relevant)</w:t>
            </w:r>
          </w:p>
          <w:p w14:paraId="6B91347E" w14:textId="77777777" w:rsidR="009428A8" w:rsidRPr="00230F35" w:rsidRDefault="009428A8" w:rsidP="002F467C">
            <w:pPr>
              <w:pStyle w:val="NormalWeb"/>
              <w:spacing w:before="0" w:beforeAutospacing="0" w:after="0" w:afterAutospacing="0"/>
              <w:ind w:right="-334"/>
              <w:rPr>
                <w:rFonts w:ascii="Arial" w:hAnsi="Arial" w:cs="Arial"/>
                <w:bCs/>
                <w:sz w:val="22"/>
                <w:szCs w:val="22"/>
              </w:rPr>
            </w:pPr>
          </w:p>
          <w:p w14:paraId="3C97B8CA" w14:textId="77777777" w:rsidR="009428A8" w:rsidRPr="00230F35" w:rsidRDefault="009428A8" w:rsidP="002F467C">
            <w:pPr>
              <w:pStyle w:val="NormalWeb"/>
              <w:spacing w:before="0" w:beforeAutospacing="0" w:after="0" w:afterAutospacing="0"/>
              <w:ind w:right="-334"/>
              <w:rPr>
                <w:rFonts w:ascii="Arial" w:hAnsi="Arial" w:cs="Arial"/>
                <w:bCs/>
                <w:sz w:val="22"/>
                <w:szCs w:val="22"/>
              </w:rPr>
            </w:pPr>
          </w:p>
          <w:p w14:paraId="2398F055" w14:textId="77777777" w:rsidR="009428A8" w:rsidRPr="00230F35" w:rsidRDefault="009428A8" w:rsidP="002F467C">
            <w:pPr>
              <w:pStyle w:val="NormalWeb"/>
              <w:spacing w:before="0" w:beforeAutospacing="0" w:after="0" w:afterAutospacing="0"/>
              <w:ind w:right="-334"/>
              <w:rPr>
                <w:rFonts w:ascii="Arial" w:hAnsi="Arial" w:cs="Arial"/>
                <w:bCs/>
                <w:sz w:val="22"/>
                <w:szCs w:val="22"/>
              </w:rPr>
            </w:pPr>
          </w:p>
        </w:tc>
      </w:tr>
      <w:tr w:rsidR="009428A8" w:rsidRPr="002F467C" w14:paraId="3580AD49" w14:textId="77777777" w:rsidTr="00230F35">
        <w:trPr>
          <w:trHeight w:val="720"/>
        </w:trPr>
        <w:tc>
          <w:tcPr>
            <w:tcW w:w="5211" w:type="dxa"/>
            <w:gridSpan w:val="2"/>
          </w:tcPr>
          <w:p w14:paraId="26ACAFB0" w14:textId="77777777" w:rsidR="009428A8" w:rsidRPr="00230F35" w:rsidRDefault="009428A8" w:rsidP="00230F35">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49DCC50F" w14:textId="77777777" w:rsidR="009428A8" w:rsidRPr="00230F35" w:rsidRDefault="009428A8" w:rsidP="00230F35">
            <w:pPr>
              <w:rPr>
                <w:rFonts w:ascii="Arial" w:hAnsi="Arial" w:cs="Arial"/>
                <w:sz w:val="22"/>
                <w:szCs w:val="22"/>
              </w:rPr>
            </w:pPr>
            <w:r w:rsidRPr="00230F35">
              <w:rPr>
                <w:rFonts w:ascii="Arial" w:hAnsi="Arial" w:cs="Arial"/>
                <w:sz w:val="22"/>
                <w:szCs w:val="22"/>
              </w:rPr>
              <w:t>Date:</w:t>
            </w:r>
          </w:p>
        </w:tc>
      </w:tr>
    </w:tbl>
    <w:p w14:paraId="2484A562" w14:textId="77777777" w:rsidR="009428A8" w:rsidRPr="00D67BF8" w:rsidRDefault="009428A8" w:rsidP="00FA07E9">
      <w:pPr>
        <w:pStyle w:val="NormalWeb"/>
        <w:spacing w:before="0" w:beforeAutospacing="0" w:after="0" w:afterAutospacing="0"/>
        <w:ind w:right="-334"/>
        <w:rPr>
          <w:rFonts w:ascii="Trebuchet MS" w:hAnsi="Trebuchet MS" w:cs="Tahoma"/>
          <w:bCs/>
          <w:sz w:val="24"/>
          <w:szCs w:val="24"/>
        </w:rPr>
      </w:pPr>
    </w:p>
    <w:p w14:paraId="71F9F147" w14:textId="7A44C1DE" w:rsidR="009428A8" w:rsidRDefault="009428A8">
      <w:r>
        <w:br w:type="page"/>
      </w:r>
    </w:p>
    <w:p w14:paraId="3ACE67C5" w14:textId="77777777" w:rsidR="00DB57CC" w:rsidRDefault="00DB57CC">
      <w:bookmarkStart w:id="5" w:name="_GoBack"/>
      <w:bookmarkEnd w:id="5"/>
    </w:p>
    <w:p w14:paraId="1CAA3485" w14:textId="77777777" w:rsidR="00DB57CC" w:rsidRPr="00CC0F59" w:rsidRDefault="00DB57CC">
      <w:pPr>
        <w:rPr>
          <w:u w:val="single"/>
        </w:rPr>
      </w:pPr>
      <w:r w:rsidRPr="00CC0F59">
        <w:rPr>
          <w:u w:val="single"/>
        </w:rPr>
        <w:t xml:space="preserve">In the light of the texts you have read for this module, what, for the Anglo-Saxons, constitutes a Heroic figure. </w:t>
      </w:r>
    </w:p>
    <w:p w14:paraId="48AD9261" w14:textId="3C785C57" w:rsidR="00DB57CC" w:rsidRDefault="00DB57CC"/>
    <w:p w14:paraId="5BAF7476" w14:textId="59B22B8F" w:rsidR="00F51568" w:rsidRDefault="00390608" w:rsidP="00266381">
      <w:pPr>
        <w:spacing w:line="360" w:lineRule="auto"/>
      </w:pPr>
      <w:r w:rsidRPr="00743FB0">
        <w:t>In</w:t>
      </w:r>
      <w:r w:rsidR="0058444E">
        <w:t xml:space="preserve"> order to understand what would constitute a Heroic figure we must examine some of the literature that survives from this period to see what stories are told and what themes are developed for the Anglo-Saxon audience. Public poetry had to be accessible to the audience and as Swanton notes due to the homogeneous society of Anglo-Saxon England it had to be accessible to every level of understanding.</w:t>
      </w:r>
      <w:r w:rsidR="0058444E">
        <w:rPr>
          <w:rStyle w:val="FootnoteReference"/>
        </w:rPr>
        <w:footnoteReference w:id="1"/>
      </w:r>
      <w:r w:rsidR="0058444E">
        <w:t xml:space="preserve"> They did not have any reference material and so the content of the poetry had to be recognisable to the audience.</w:t>
      </w:r>
      <w:r w:rsidR="0058444E">
        <w:rPr>
          <w:rStyle w:val="FootnoteReference"/>
        </w:rPr>
        <w:footnoteReference w:id="2"/>
      </w:r>
      <w:r w:rsidR="0058444E">
        <w:t xml:space="preserve"> It is clear that the period setting of any poetry had to be reasonabl</w:t>
      </w:r>
      <w:r w:rsidR="00450321">
        <w:t>y</w:t>
      </w:r>
      <w:r w:rsidR="0058444E">
        <w:t xml:space="preserve"> close to the life of the audience so that it remained relatable however it also needed to be far enough in the past that larger than life heroes inhabiting a real world was reasonable and believable.</w:t>
      </w:r>
      <w:r w:rsidR="0058444E">
        <w:rPr>
          <w:rStyle w:val="FootnoteReference"/>
        </w:rPr>
        <w:footnoteReference w:id="3"/>
      </w:r>
      <w:r w:rsidR="0058444E">
        <w:t xml:space="preserve"> As </w:t>
      </w:r>
      <w:proofErr w:type="spellStart"/>
      <w:r w:rsidR="0058444E">
        <w:t>Shippey</w:t>
      </w:r>
      <w:proofErr w:type="spellEnd"/>
      <w:r w:rsidR="0058444E">
        <w:t xml:space="preserve"> notes </w:t>
      </w:r>
      <w:r w:rsidR="00AF7F50">
        <w:t>“If Old English poetry has any distinctive subject, it is that of courage, or honour or the heroic life.”</w:t>
      </w:r>
      <w:r w:rsidR="00AF7F50">
        <w:rPr>
          <w:rStyle w:val="FootnoteReference"/>
        </w:rPr>
        <w:footnoteReference w:id="4"/>
      </w:r>
      <w:r>
        <w:t xml:space="preserve"> </w:t>
      </w:r>
      <w:r w:rsidR="00B42690">
        <w:t>Frank describes heroic literatures as a “focus on the words and actions of a hero, a human being of passionate unconquerable will, whose drive for glory on the battlefield raises him above the ordinary. The hero is a strong character in an exposed position, a great oak practically asking to be struck by lightning.”</w:t>
      </w:r>
      <w:r w:rsidR="00B42690">
        <w:rPr>
          <w:rStyle w:val="FootnoteReference"/>
        </w:rPr>
        <w:footnoteReference w:id="5"/>
      </w:r>
      <w:r w:rsidR="00B42690">
        <w:t xml:space="preserve"> </w:t>
      </w:r>
      <w:r w:rsidR="009D3CE7">
        <w:t>For this essay I will be focusing on The Battle of Brunanburh, The Battle of Maldon and Beowulf and using t</w:t>
      </w:r>
      <w:r w:rsidR="00A66555">
        <w:t>hem</w:t>
      </w:r>
      <w:r w:rsidR="009D3CE7">
        <w:t xml:space="preserve"> to illustrate </w:t>
      </w:r>
      <w:r w:rsidR="00A66555">
        <w:t xml:space="preserve">what the Anglo-Saxon audience were expecting from their heroes. </w:t>
      </w:r>
    </w:p>
    <w:p w14:paraId="42864DB6" w14:textId="77777777" w:rsidR="00F6192A" w:rsidRDefault="00F6192A" w:rsidP="00266381">
      <w:pPr>
        <w:spacing w:line="360" w:lineRule="auto"/>
      </w:pPr>
    </w:p>
    <w:p w14:paraId="3547EC9D" w14:textId="254D0206" w:rsidR="00D44FF5" w:rsidRDefault="00F6192A" w:rsidP="00266381">
      <w:pPr>
        <w:spacing w:line="360" w:lineRule="auto"/>
      </w:pPr>
      <w:r>
        <w:t xml:space="preserve">There was an increased interest in the older style of heroic verse following the victories of </w:t>
      </w:r>
      <w:proofErr w:type="spellStart"/>
      <w:r>
        <w:t>Aethelflaed</w:t>
      </w:r>
      <w:proofErr w:type="spellEnd"/>
      <w:r>
        <w:t xml:space="preserve"> and Edward the elder which resulted in a more settled life for the Anglo-Saxons.</w:t>
      </w:r>
      <w:r>
        <w:rPr>
          <w:rStyle w:val="FootnoteReference"/>
        </w:rPr>
        <w:footnoteReference w:id="6"/>
      </w:r>
      <w:r>
        <w:t xml:space="preserve"> This patriotism is expressed in both The Battle of Maldon and the Battle of Brunanburh.</w:t>
      </w:r>
      <w:r>
        <w:rPr>
          <w:rStyle w:val="FootnoteReference"/>
        </w:rPr>
        <w:footnoteReference w:id="7"/>
      </w:r>
      <w:r>
        <w:t xml:space="preserve"> Both poems are </w:t>
      </w:r>
      <w:r w:rsidR="00450321">
        <w:t>preserved</w:t>
      </w:r>
      <w:r>
        <w:t xml:space="preserve"> in the Anglo-Saxon Chronicle and both poems belong to the category of ancient heroic poetry where the battles celebrated in the poetry were felt to be equal to battles fought in the heroic age and should therefore have the same </w:t>
      </w:r>
      <w:r>
        <w:lastRenderedPageBreak/>
        <w:t>treatment.</w:t>
      </w:r>
      <w:r>
        <w:rPr>
          <w:rStyle w:val="FootnoteReference"/>
        </w:rPr>
        <w:footnoteReference w:id="8"/>
      </w:r>
      <w:r>
        <w:t xml:space="preserve"> </w:t>
      </w:r>
      <w:r w:rsidR="00F02E9F">
        <w:t xml:space="preserve">The Battle of Maldon is only three hundred lines and </w:t>
      </w:r>
      <w:proofErr w:type="spellStart"/>
      <w:r w:rsidR="00F02E9F">
        <w:t>Byrthnoth’s</w:t>
      </w:r>
      <w:proofErr w:type="spellEnd"/>
      <w:r w:rsidR="00F02E9F">
        <w:t xml:space="preserve"> combat is restricted to a small number of those while the other warriors only have one fight each.</w:t>
      </w:r>
      <w:r w:rsidR="00F02E9F">
        <w:rPr>
          <w:rStyle w:val="FootnoteReference"/>
        </w:rPr>
        <w:footnoteReference w:id="9"/>
      </w:r>
      <w:r w:rsidR="00F02E9F">
        <w:t xml:space="preserve">  While it lacks a beginning and an end which would have helped to provide some context it is clearly a poem from the English viewpoint.</w:t>
      </w:r>
      <w:r w:rsidR="00F02E9F">
        <w:rPr>
          <w:rStyle w:val="FootnoteReference"/>
        </w:rPr>
        <w:footnoteReference w:id="10"/>
      </w:r>
      <w:r w:rsidR="00F02E9F">
        <w:t xml:space="preserve"> The poet has picked out significant points in the battle and although we know the enemy is the Vikings they are anonymous with no names given.</w:t>
      </w:r>
      <w:r w:rsidR="00F02E9F">
        <w:rPr>
          <w:rStyle w:val="FootnoteReference"/>
        </w:rPr>
        <w:footnoteReference w:id="11"/>
      </w:r>
      <w:r w:rsidR="00F02E9F">
        <w:t xml:space="preserve"> </w:t>
      </w:r>
      <w:proofErr w:type="spellStart"/>
      <w:r w:rsidR="00F02E9F">
        <w:t>Bowra</w:t>
      </w:r>
      <w:proofErr w:type="spellEnd"/>
      <w:r w:rsidR="00F02E9F">
        <w:t xml:space="preserve"> calls Maldon a “…triumphant success…”</w:t>
      </w:r>
      <w:r w:rsidR="00F02E9F">
        <w:rPr>
          <w:rStyle w:val="FootnoteReference"/>
        </w:rPr>
        <w:footnoteReference w:id="12"/>
      </w:r>
      <w:r w:rsidR="00F02E9F">
        <w:t xml:space="preserve"> The poet has celebrated what he saw as a significant event in a heroic style together with a powerful realism. The Anglo-Saxon Chronicle records </w:t>
      </w:r>
      <w:proofErr w:type="spellStart"/>
      <w:r w:rsidR="00F02E9F">
        <w:t>Byrhthnoth</w:t>
      </w:r>
      <w:proofErr w:type="spellEnd"/>
      <w:r w:rsidR="00F02E9F">
        <w:t xml:space="preserve"> dying and a payment of tribute to the Vikings.</w:t>
      </w:r>
      <w:r w:rsidR="00F02E9F">
        <w:rPr>
          <w:rStyle w:val="FootnoteReference"/>
        </w:rPr>
        <w:footnoteReference w:id="13"/>
      </w:r>
      <w:r w:rsidR="00F02E9F">
        <w:t xml:space="preserve"> So with this poem we have a historical event, confirmed in other sources, and while heroic poetry </w:t>
      </w:r>
      <w:r w:rsidR="00612346">
        <w:t>has</w:t>
      </w:r>
      <w:r w:rsidR="00F02E9F">
        <w:t xml:space="preserve"> what </w:t>
      </w:r>
      <w:proofErr w:type="spellStart"/>
      <w:r w:rsidR="00F02E9F">
        <w:t>Bowra</w:t>
      </w:r>
      <w:proofErr w:type="spellEnd"/>
      <w:r w:rsidR="00F02E9F">
        <w:t xml:space="preserve"> describes as …”an element of the fabulous…which raises doubts about the reliability of poets as witness to a real past” in the Battle of Maldon we have a poem which could be largely historically correct, save perhaps for the speeches.</w:t>
      </w:r>
      <w:r w:rsidR="00F02E9F">
        <w:rPr>
          <w:rStyle w:val="FootnoteReference"/>
        </w:rPr>
        <w:footnoteReference w:id="14"/>
      </w:r>
      <w:r w:rsidR="00F02E9F">
        <w:t xml:space="preserve"> It is a poem in which heroic poetry and real life cross.</w:t>
      </w:r>
      <w:r w:rsidR="00F02E9F">
        <w:rPr>
          <w:rStyle w:val="FootnoteReference"/>
        </w:rPr>
        <w:footnoteReference w:id="15"/>
      </w:r>
      <w:r w:rsidR="00F02E9F">
        <w:t xml:space="preserve">  </w:t>
      </w:r>
      <w:r w:rsidR="00D44FF5" w:rsidRPr="00D44FF5">
        <w:t>Schwab considers the speeches as “the poet’s heroic interpretation of historical fact”</w:t>
      </w:r>
      <w:r w:rsidR="00D44FF5" w:rsidRPr="00D44FF5">
        <w:rPr>
          <w:rStyle w:val="FootnoteReference"/>
        </w:rPr>
        <w:footnoteReference w:id="16"/>
      </w:r>
      <w:r w:rsidR="00D44FF5" w:rsidRPr="00D44FF5">
        <w:t xml:space="preserve"> He also says “By the heroic device of ‘ritual’ revenge the Maldon poet has found the solution which explains why all faithful warriors had died a heroic death fulfilling their duty to the dead lord as archaic heroic language is apt to express it. They were not just slain by the invaders – they died gloriously as faithful retainers of their Lord who could not reward them anymore.”</w:t>
      </w:r>
      <w:r w:rsidR="00D44FF5" w:rsidRPr="00D44FF5">
        <w:rPr>
          <w:rStyle w:val="FootnoteReference"/>
        </w:rPr>
        <w:footnoteReference w:id="17"/>
      </w:r>
      <w:r w:rsidR="00D44FF5">
        <w:t xml:space="preserve"> </w:t>
      </w:r>
    </w:p>
    <w:p w14:paraId="7D7822F9" w14:textId="77777777" w:rsidR="00B25EAE" w:rsidRDefault="00B25EAE" w:rsidP="00266381">
      <w:pPr>
        <w:spacing w:line="360" w:lineRule="auto"/>
      </w:pPr>
    </w:p>
    <w:p w14:paraId="12245557" w14:textId="77777777" w:rsidR="008C3738" w:rsidRDefault="00F02E9F" w:rsidP="00266381">
      <w:pPr>
        <w:spacing w:line="360" w:lineRule="auto"/>
      </w:pPr>
      <w:r>
        <w:t xml:space="preserve">In contrast </w:t>
      </w:r>
      <w:r w:rsidR="00F6192A">
        <w:t>The Battle of Brunanburh deals primarily with national glory and uses convention of older verses, using expressions and phrases from earlier traditional heroic poetry.</w:t>
      </w:r>
      <w:r w:rsidR="00F6192A">
        <w:rPr>
          <w:rStyle w:val="FootnoteReference"/>
        </w:rPr>
        <w:footnoteReference w:id="18"/>
      </w:r>
      <w:r w:rsidR="00F6192A">
        <w:t xml:space="preserve"> The poet manages to convey a vitality and vigour concentrating on the patriotism and the glory </w:t>
      </w:r>
      <w:r w:rsidR="00F6192A">
        <w:lastRenderedPageBreak/>
        <w:t>of the heroes, recognising how important the victory was over England’s enemies.</w:t>
      </w:r>
      <w:r w:rsidR="00F6192A">
        <w:rPr>
          <w:rStyle w:val="FootnoteReference"/>
        </w:rPr>
        <w:footnoteReference w:id="19"/>
      </w:r>
      <w:r w:rsidR="00F6192A">
        <w:t xml:space="preserve"> </w:t>
      </w:r>
      <w:r w:rsidR="00C31FD2">
        <w:t>Wrenn notes that there is a depth of true expression of the ancient Germanic spirit and that all the Germanic ideals are there: the heroism of the leader and his warriors as well as their mutual loyalty, together with showing a contempt for those that fail to live up to those ideals.</w:t>
      </w:r>
      <w:r w:rsidR="00C31FD2">
        <w:rPr>
          <w:rStyle w:val="FootnoteReference"/>
        </w:rPr>
        <w:footnoteReference w:id="20"/>
      </w:r>
      <w:r w:rsidR="00C31FD2">
        <w:t xml:space="preserve">  </w:t>
      </w:r>
      <w:r w:rsidR="008C3738">
        <w:t>Heroic poetry is concerned with the telling of action, and the story is its strongest appeal, with the principle that a man risks his life in pursuit of honour and, using the field of battle, the hero is provided with this opportunity.</w:t>
      </w:r>
      <w:r w:rsidR="008C3738">
        <w:rPr>
          <w:rStyle w:val="FootnoteReference"/>
        </w:rPr>
        <w:footnoteReference w:id="21"/>
      </w:r>
      <w:r w:rsidR="008C3738">
        <w:t xml:space="preserve"> Lasting glory can only be obtained by putting one’s life on the line which </w:t>
      </w:r>
      <w:proofErr w:type="spellStart"/>
      <w:r w:rsidR="008C3738">
        <w:t>Athelstand</w:t>
      </w:r>
      <w:proofErr w:type="spellEnd"/>
      <w:r w:rsidR="008C3738">
        <w:t xml:space="preserve"> and Edmund demonstrate in Battle of Brunanburh, while their enemies flee the field and as a consequence have no honour.</w:t>
      </w:r>
      <w:r w:rsidR="008C3738">
        <w:rPr>
          <w:rStyle w:val="FootnoteReference"/>
        </w:rPr>
        <w:footnoteReference w:id="22"/>
      </w:r>
      <w:r w:rsidR="008C3738">
        <w:t xml:space="preserve">  </w:t>
      </w:r>
    </w:p>
    <w:p w14:paraId="74BD286E" w14:textId="77777777" w:rsidR="008C3738" w:rsidRDefault="008C3738" w:rsidP="00266381">
      <w:pPr>
        <w:spacing w:line="360" w:lineRule="auto"/>
      </w:pPr>
    </w:p>
    <w:p w14:paraId="13730501" w14:textId="0DC25ED7" w:rsidR="00F6192A" w:rsidRDefault="00C31FD2" w:rsidP="00266381">
      <w:pPr>
        <w:spacing w:line="360" w:lineRule="auto"/>
      </w:pPr>
      <w:r>
        <w:t>The poet of the Battle of Maldon gives an impression of being close to the fight, naming specific warriors although Wrenn comments that it has been argued that the poet may have just been simulating a closeness to the battle, adjusting details to present a work that held “…the noblest heroic traditions”</w:t>
      </w:r>
      <w:r>
        <w:rPr>
          <w:rStyle w:val="FootnoteReference"/>
        </w:rPr>
        <w:footnoteReference w:id="23"/>
      </w:r>
      <w:r>
        <w:t xml:space="preserve"> Wardle notes however that while Byrhtnoth is given prominence the tales of the other warriors are all told independently, loosely grouped around his death. The action is rapid and suggestive of being put together with little thought to an overarching theme or the sweep of an epic story.</w:t>
      </w:r>
      <w:r>
        <w:rPr>
          <w:rStyle w:val="FootnoteReference"/>
        </w:rPr>
        <w:footnoteReference w:id="24"/>
      </w:r>
      <w:r>
        <w:t xml:space="preserve"> In The Battle of Brunanburh,</w:t>
      </w:r>
      <w:r w:rsidR="00F6192A">
        <w:t xml:space="preserve"> unlike in the Battle of Maldon</w:t>
      </w:r>
      <w:r>
        <w:t>,</w:t>
      </w:r>
      <w:r w:rsidR="00F6192A">
        <w:t xml:space="preserve"> the individual warriors are not named, with only the leaders mentioned.</w:t>
      </w:r>
      <w:r w:rsidR="00F6192A">
        <w:rPr>
          <w:rStyle w:val="FootnoteReference"/>
        </w:rPr>
        <w:footnoteReference w:id="25"/>
      </w:r>
      <w:r w:rsidR="00F6192A">
        <w:t xml:space="preserve"> Given that the poem serves as a panegyric on King Athelstan, Wrenn correctly contends that it must have been written fairly soon after the battle as the king did not leave that long after the battle.</w:t>
      </w:r>
      <w:r w:rsidR="00F6192A">
        <w:rPr>
          <w:rStyle w:val="FootnoteReference"/>
        </w:rPr>
        <w:footnoteReference w:id="26"/>
      </w:r>
      <w:r w:rsidR="00F6192A">
        <w:t xml:space="preserve"> Although it survives in a truncated form Wrenn calls it “…the greatest heroic poem in Old English” arguing that Beowulf is an elegy rather than a proper heroic poem.</w:t>
      </w:r>
      <w:r w:rsidR="00F6192A">
        <w:rPr>
          <w:rStyle w:val="FootnoteReference"/>
        </w:rPr>
        <w:footnoteReference w:id="27"/>
      </w:r>
      <w:r w:rsidR="00F6192A">
        <w:t xml:space="preserve"> Gordon disagrees and names The Battle of Maldon as “the only purely heroic </w:t>
      </w:r>
      <w:r w:rsidR="00F6192A">
        <w:lastRenderedPageBreak/>
        <w:t>poem extant in Old English.”</w:t>
      </w:r>
      <w:r w:rsidR="00F6192A">
        <w:rPr>
          <w:rStyle w:val="FootnoteReference"/>
        </w:rPr>
        <w:footnoteReference w:id="28"/>
      </w:r>
      <w:r w:rsidR="00F6192A">
        <w:t xml:space="preserve"> Clearly there is room for disagreement within academic circles.  </w:t>
      </w:r>
    </w:p>
    <w:p w14:paraId="7DDB1938" w14:textId="77777777" w:rsidR="00F20D54" w:rsidRDefault="00F20D54" w:rsidP="00266381">
      <w:pPr>
        <w:spacing w:line="360" w:lineRule="auto"/>
      </w:pPr>
    </w:p>
    <w:p w14:paraId="546F79F8" w14:textId="16536903" w:rsidR="00F20D54" w:rsidRDefault="00F6192A" w:rsidP="00266381">
      <w:pPr>
        <w:spacing w:line="360" w:lineRule="auto"/>
      </w:pPr>
      <w:r>
        <w:t>A key element of Heroic life is demonstrated in Anglo-Saxon literature in the form of the Lord or the treasure giver and his warriors or companions.</w:t>
      </w:r>
      <w:r>
        <w:rPr>
          <w:rStyle w:val="FootnoteReference"/>
        </w:rPr>
        <w:footnoteReference w:id="29"/>
      </w:r>
      <w:r>
        <w:t xml:space="preserve"> The responsibility lies with the Lord who keeps the treasure and he will distribute this along with arms and rings to his men, not only providing practical gifts but also conveying status to his men. In return the men promise to die for their Lord, or should he fall they will die in the attempt to avenge him. As Donahue asserts “Heroic loyalty is the counterpart of heroic munificence”</w:t>
      </w:r>
      <w:r>
        <w:rPr>
          <w:rStyle w:val="FootnoteReference"/>
        </w:rPr>
        <w:footnoteReference w:id="30"/>
      </w:r>
      <w:r>
        <w:t xml:space="preserve"> These values were part of society and remained true in tenth century England when The Battle of Maldon was composed and so the poet in using this idea of treasure giving and the loyalty of the men</w:t>
      </w:r>
      <w:r w:rsidR="00450321">
        <w:t>,</w:t>
      </w:r>
      <w:r>
        <w:t xml:space="preserve"> is reflecting</w:t>
      </w:r>
      <w:r w:rsidR="00F20D54">
        <w:t xml:space="preserve"> these </w:t>
      </w:r>
      <w:r>
        <w:t>ancient customs.</w:t>
      </w:r>
      <w:r>
        <w:rPr>
          <w:rStyle w:val="FootnoteReference"/>
        </w:rPr>
        <w:footnoteReference w:id="31"/>
      </w:r>
      <w:r w:rsidR="00CD7173">
        <w:t xml:space="preserve"> </w:t>
      </w:r>
      <w:r w:rsidR="00F20D54">
        <w:t xml:space="preserve">This theme of gift-giving, or what Donahue terms ‘Potlatch’ is developed in Beowulf with the banquet that follows Grendel’s death.   Beowulf receives treasure from Hrothgar, including a battle standard, sword and horse and his companions also receive treasure. It is also seen in two scenes after Beowulf’s victory over Grendel’s mother, one where Hrothgar gives Beowulf a </w:t>
      </w:r>
      <w:proofErr w:type="spellStart"/>
      <w:r w:rsidR="00F20D54">
        <w:t>rune</w:t>
      </w:r>
      <w:proofErr w:type="spellEnd"/>
      <w:r w:rsidR="00F20D54">
        <w:t xml:space="preserve">-inscribed sword and in the scene where Beowulf is taking his leave of Hrothgar he is presented with a further twelve treasures. For Hrothgar this gift-giving not only strengthens the alliance between them, but he also views this exchange as an expression of affection. His gifts also come with advice for Beowulf, and warns him about not acting appropriately using the example of </w:t>
      </w:r>
      <w:proofErr w:type="spellStart"/>
      <w:r w:rsidR="00F20D54">
        <w:t>Heremod</w:t>
      </w:r>
      <w:proofErr w:type="spellEnd"/>
      <w:r w:rsidR="00F20D54">
        <w:t xml:space="preserve"> who failed in his role as King due to his actions, as well as the idea of a hypothetical prince who becomes greedy and does not give out any decorated rings. </w:t>
      </w:r>
      <w:proofErr w:type="gramStart"/>
      <w:r w:rsidR="00F20D54">
        <w:t>So</w:t>
      </w:r>
      <w:proofErr w:type="gramEnd"/>
      <w:r w:rsidR="00F20D54">
        <w:t xml:space="preserve"> when he dies, his successor who is no relation, distributes treasure to his followers. Beowulf himself recognises the significance of the gifts he is receiving by acknowledging the obligations that he has assumed by accepting the gifts and hospitality from Hrothgar.</w:t>
      </w:r>
      <w:r w:rsidR="00F20D54">
        <w:rPr>
          <w:rStyle w:val="FootnoteReference"/>
        </w:rPr>
        <w:footnoteReference w:id="32"/>
      </w:r>
    </w:p>
    <w:p w14:paraId="5222EFEF" w14:textId="215B8229" w:rsidR="003577BF" w:rsidRDefault="003577BF" w:rsidP="00266381">
      <w:pPr>
        <w:spacing w:line="360" w:lineRule="auto"/>
      </w:pPr>
    </w:p>
    <w:p w14:paraId="0C8A4681" w14:textId="50EF1A0A" w:rsidR="00F61110" w:rsidRDefault="003577BF" w:rsidP="00266381">
      <w:pPr>
        <w:spacing w:line="360" w:lineRule="auto"/>
      </w:pPr>
      <w:r>
        <w:lastRenderedPageBreak/>
        <w:t>Kinship in heroic literature expands on this them</w:t>
      </w:r>
      <w:r w:rsidR="00B84906">
        <w:t>e</w:t>
      </w:r>
      <w:r>
        <w:t>.  In the Germanic world kinsmen were expected to protect each other and where necessary avenge the death of a relative.  As Parks points out there are numerous examples in literature which illustrate this important relationship between kinsmen.</w:t>
      </w:r>
      <w:r>
        <w:rPr>
          <w:rStyle w:val="FootnoteReference"/>
        </w:rPr>
        <w:footnoteReference w:id="33"/>
      </w:r>
      <w:r>
        <w:t xml:space="preserve">  She also comments on how this reciprocity between kinsmen has evolved over time to include men bound to their Lord not necessarily by their lineage but by oath taking and gift-giving as well as their concept of honour which may mean them acting against their own interests in pursuit of glory which as Parks notes “…stands at the foundation of heroic identity and thus of the heroic ethos.”</w:t>
      </w:r>
      <w:r>
        <w:rPr>
          <w:rStyle w:val="FootnoteReference"/>
        </w:rPr>
        <w:footnoteReference w:id="34"/>
      </w:r>
      <w:r>
        <w:t xml:space="preserve"> The pursuit of honour binds a man to his community as the community is necessary to witness and validate the heroic actions of the individual, often in a material or economic manner and so the two are perpetually linked.</w:t>
      </w:r>
      <w:r>
        <w:rPr>
          <w:rStyle w:val="FootnoteReference"/>
        </w:rPr>
        <w:footnoteReference w:id="35"/>
      </w:r>
      <w:r>
        <w:t xml:space="preserve"> Therefore a solitary figure is someone that is naturally suspect and should not be trusted as he does not have a place with a Lord o</w:t>
      </w:r>
      <w:r w:rsidR="00F61110">
        <w:t>r</w:t>
      </w:r>
      <w:r>
        <w:t xml:space="preserve"> band of warriors.</w:t>
      </w:r>
      <w:r>
        <w:rPr>
          <w:rStyle w:val="FootnoteReference"/>
        </w:rPr>
        <w:footnoteReference w:id="36"/>
      </w:r>
      <w:r>
        <w:t xml:space="preserve">  </w:t>
      </w:r>
      <w:r w:rsidR="00F61110">
        <w:t xml:space="preserve">This is why </w:t>
      </w:r>
      <w:r w:rsidR="00F61110" w:rsidRPr="00F61110">
        <w:t>when Hrothgar and his followers abandon the Hall in Beowulf it is significant as the Hall was not only a practical space for a Lord and his warriors to meet and feast but it served as a centre for heroic society. A place where the Lord and his men come together.</w:t>
      </w:r>
      <w:r w:rsidR="00F61110" w:rsidRPr="00F61110">
        <w:rPr>
          <w:rStyle w:val="FootnoteReference"/>
        </w:rPr>
        <w:footnoteReference w:id="37"/>
      </w:r>
      <w:r w:rsidR="00F61110">
        <w:t xml:space="preserve"> </w:t>
      </w:r>
    </w:p>
    <w:p w14:paraId="4E9D2CAB" w14:textId="77777777" w:rsidR="003577BF" w:rsidRDefault="003577BF" w:rsidP="00266381">
      <w:pPr>
        <w:spacing w:line="360" w:lineRule="auto"/>
      </w:pPr>
    </w:p>
    <w:p w14:paraId="5AAEB274" w14:textId="1C6557F5" w:rsidR="00DF1814" w:rsidRDefault="00B25EAE" w:rsidP="00266381">
      <w:pPr>
        <w:spacing w:line="360" w:lineRule="auto"/>
      </w:pPr>
      <w:r>
        <w:t>T</w:t>
      </w:r>
      <w:r w:rsidR="003A0EEE">
        <w:t xml:space="preserve">his loyalty can be seen </w:t>
      </w:r>
      <w:r>
        <w:t xml:space="preserve">in </w:t>
      </w:r>
      <w:r w:rsidR="003A0EEE">
        <w:t xml:space="preserve">The Battle of Maldon. </w:t>
      </w:r>
      <w:r w:rsidR="005B50B1">
        <w:t xml:space="preserve">The </w:t>
      </w:r>
      <w:r w:rsidR="003A0EEE">
        <w:t xml:space="preserve">poet </w:t>
      </w:r>
      <w:r w:rsidR="005B50B1">
        <w:t xml:space="preserve">has </w:t>
      </w:r>
      <w:r w:rsidR="003A0EEE">
        <w:t xml:space="preserve">chosen </w:t>
      </w:r>
      <w:r w:rsidR="005B50B1">
        <w:t xml:space="preserve">a difficult </w:t>
      </w:r>
      <w:r w:rsidR="003A0EEE">
        <w:t>subject</w:t>
      </w:r>
      <w:r w:rsidR="00450321">
        <w:t>,</w:t>
      </w:r>
      <w:r w:rsidR="005B50B1">
        <w:t xml:space="preserve"> the English lost the battle with the Vikings, and the lead character dies half way through</w:t>
      </w:r>
      <w:r w:rsidR="003A0EEE">
        <w:t xml:space="preserve">. </w:t>
      </w:r>
      <w:r w:rsidR="005B50B1">
        <w:t xml:space="preserve"> </w:t>
      </w:r>
      <w:r w:rsidR="003A0EEE">
        <w:t>H</w:t>
      </w:r>
      <w:r w:rsidR="005B50B1">
        <w:t>owever the heroism lies with Byrhtnoth dying while battling the enemy and his men remaining not only to fight on, but to die in service of their Lord.</w:t>
      </w:r>
      <w:r w:rsidR="005B50B1">
        <w:rPr>
          <w:rStyle w:val="FootnoteReference"/>
        </w:rPr>
        <w:footnoteReference w:id="38"/>
      </w:r>
      <w:r w:rsidR="005B50B1">
        <w:t>The motive for the battle is the loyalty of the men to their Lord.</w:t>
      </w:r>
      <w:r w:rsidR="005B50B1">
        <w:rPr>
          <w:rStyle w:val="FootnoteReference"/>
        </w:rPr>
        <w:footnoteReference w:id="39"/>
      </w:r>
      <w:r w:rsidR="005B50B1">
        <w:t xml:space="preserve"> It is this loyalty, this aspect of heroism, that the poet emphasise</w:t>
      </w:r>
      <w:r w:rsidR="003A0EEE">
        <w:t>s</w:t>
      </w:r>
      <w:r w:rsidR="005B50B1">
        <w:t>.</w:t>
      </w:r>
      <w:r w:rsidR="005B50B1">
        <w:rPr>
          <w:rStyle w:val="FootnoteReference"/>
        </w:rPr>
        <w:footnoteReference w:id="40"/>
      </w:r>
      <w:r w:rsidR="005B50B1">
        <w:t xml:space="preserve"> </w:t>
      </w:r>
      <w:r w:rsidR="00E84237">
        <w:t xml:space="preserve">He extolls the loyalty of </w:t>
      </w:r>
      <w:proofErr w:type="spellStart"/>
      <w:r w:rsidR="00E84237">
        <w:t>Byrhtnoth’s</w:t>
      </w:r>
      <w:proofErr w:type="spellEnd"/>
      <w:r w:rsidR="00E84237">
        <w:t xml:space="preserve"> warriors as well as their bravery.</w:t>
      </w:r>
      <w:r w:rsidR="00E84237">
        <w:rPr>
          <w:rStyle w:val="FootnoteReference"/>
        </w:rPr>
        <w:footnoteReference w:id="41"/>
      </w:r>
      <w:r w:rsidR="00E84237">
        <w:t xml:space="preserve"> </w:t>
      </w:r>
      <w:proofErr w:type="spellStart"/>
      <w:r w:rsidR="00E84237">
        <w:t>Wulfmaer</w:t>
      </w:r>
      <w:proofErr w:type="spellEnd"/>
      <w:r w:rsidR="00E84237">
        <w:t xml:space="preserve">, </w:t>
      </w:r>
      <w:proofErr w:type="spellStart"/>
      <w:r w:rsidR="00E84237">
        <w:t>Bryhtnoth’s</w:t>
      </w:r>
      <w:proofErr w:type="spellEnd"/>
      <w:r w:rsidR="00E84237">
        <w:t xml:space="preserve"> kinsman, chooses death, as Scragg would put it a “voluntary </w:t>
      </w:r>
      <w:r w:rsidR="00E84237">
        <w:lastRenderedPageBreak/>
        <w:t>acceptance of the heroic code”</w:t>
      </w:r>
      <w:r w:rsidR="00E84237">
        <w:rPr>
          <w:rStyle w:val="FootnoteReference"/>
        </w:rPr>
        <w:footnoteReference w:id="42"/>
      </w:r>
      <w:r w:rsidR="00E84237">
        <w:t xml:space="preserve"> Their courage and that of Byrhtnoth is only emphasised by the cowardice of </w:t>
      </w:r>
      <w:proofErr w:type="spellStart"/>
      <w:r w:rsidR="00E84237">
        <w:t>Godric</w:t>
      </w:r>
      <w:proofErr w:type="spellEnd"/>
      <w:r w:rsidR="00E84237">
        <w:t xml:space="preserve"> which is itself emphasised by the mention of the gifts he received from his Lord.</w:t>
      </w:r>
      <w:r w:rsidR="00E84237">
        <w:rPr>
          <w:rStyle w:val="FootnoteReference"/>
        </w:rPr>
        <w:footnoteReference w:id="43"/>
      </w:r>
      <w:r w:rsidR="00E84237">
        <w:t xml:space="preserve"> </w:t>
      </w:r>
      <w:r w:rsidR="00DF1814">
        <w:t xml:space="preserve">Honour and Heroism cannot exist in a vacuum, and they require examples of cowardice or shame such as in the Battle of Maldon which shows how the cowardice of </w:t>
      </w:r>
      <w:proofErr w:type="spellStart"/>
      <w:r w:rsidR="00DF1814">
        <w:t>Odda’s</w:t>
      </w:r>
      <w:proofErr w:type="spellEnd"/>
      <w:r w:rsidR="00DF1814">
        <w:t xml:space="preserve"> sons contrasts against </w:t>
      </w:r>
      <w:proofErr w:type="spellStart"/>
      <w:r w:rsidR="00DF1814">
        <w:t>Byrhtnoth’s</w:t>
      </w:r>
      <w:proofErr w:type="spellEnd"/>
      <w:r w:rsidR="00DF1814">
        <w:t xml:space="preserve"> men who are faithful to the last.</w:t>
      </w:r>
      <w:r w:rsidR="00DF1814">
        <w:rPr>
          <w:rStyle w:val="FootnoteReference"/>
        </w:rPr>
        <w:footnoteReference w:id="44"/>
      </w:r>
      <w:r w:rsidR="00DF1814">
        <w:t xml:space="preserve"> In Beowulf </w:t>
      </w:r>
      <w:r w:rsidR="00450321">
        <w:t xml:space="preserve">his men fail to remain at the scene at the end </w:t>
      </w:r>
      <w:r w:rsidR="00DF1814">
        <w:t xml:space="preserve">to assist their Lord and </w:t>
      </w:r>
      <w:r w:rsidR="00450321">
        <w:t xml:space="preserve">instead they decide to </w:t>
      </w:r>
      <w:r w:rsidR="00DF1814">
        <w:t xml:space="preserve">flee the scene. </w:t>
      </w:r>
      <w:r w:rsidR="00DF1814" w:rsidRPr="00DF1814">
        <w:t>The poet</w:t>
      </w:r>
      <w:r w:rsidR="00450321">
        <w:t xml:space="preserve"> also</w:t>
      </w:r>
      <w:r w:rsidR="00DF1814" w:rsidRPr="00DF1814">
        <w:t xml:space="preserve"> uses </w:t>
      </w:r>
      <w:proofErr w:type="spellStart"/>
      <w:r w:rsidR="00DF1814" w:rsidRPr="00DF1814">
        <w:t>Godric’s</w:t>
      </w:r>
      <w:proofErr w:type="spellEnd"/>
      <w:r w:rsidR="00DF1814" w:rsidRPr="00DF1814">
        <w:t xml:space="preserve"> cowardice and actions to demonstrate a concern with morality and </w:t>
      </w:r>
      <w:proofErr w:type="spellStart"/>
      <w:r w:rsidR="00DF1814" w:rsidRPr="00DF1814">
        <w:t>Godric’s</w:t>
      </w:r>
      <w:proofErr w:type="spellEnd"/>
      <w:r w:rsidR="00DF1814" w:rsidRPr="00DF1814">
        <w:t xml:space="preserve"> stealing of a horse is condemned not just as treachery but as theft and anyone that fled the field is condemned morally while those that stay retain their moral virtue.</w:t>
      </w:r>
      <w:r w:rsidR="00DF1814" w:rsidRPr="00DF1814">
        <w:rPr>
          <w:rStyle w:val="FootnoteReference"/>
        </w:rPr>
        <w:footnoteReference w:id="45"/>
      </w:r>
      <w:r w:rsidR="00DF1814" w:rsidRPr="00DF1814">
        <w:t xml:space="preserve"> Irving comments that </w:t>
      </w:r>
      <w:proofErr w:type="spellStart"/>
      <w:r w:rsidR="00DF1814" w:rsidRPr="00DF1814">
        <w:t>Godric</w:t>
      </w:r>
      <w:proofErr w:type="spellEnd"/>
      <w:r w:rsidR="00DF1814" w:rsidRPr="00DF1814">
        <w:t xml:space="preserve"> is “…a false model of the true leader…an atrocious parodic model, and </w:t>
      </w:r>
      <w:proofErr w:type="spellStart"/>
      <w:r w:rsidR="00DF1814" w:rsidRPr="00DF1814">
        <w:t>anit</w:t>
      </w:r>
      <w:proofErr w:type="spellEnd"/>
      <w:r w:rsidR="00DF1814" w:rsidRPr="00DF1814">
        <w:t>-model, on a frankly heroic scale, of the obligated retainer.”</w:t>
      </w:r>
      <w:r w:rsidR="00DF1814" w:rsidRPr="00DF1814">
        <w:rPr>
          <w:rStyle w:val="FootnoteReference"/>
        </w:rPr>
        <w:footnoteReference w:id="46"/>
      </w:r>
      <w:r w:rsidR="00DF1814" w:rsidRPr="00DF1814">
        <w:t xml:space="preserve"> Scragg comments that Byrhtnoth is condemned morally for letting the Vikings cross in the same way that the Vikings are condemned for asking to cross however he also notes that others have argued that Byrhtnoth only suffers from acting rashly which traditionally is a heroic fault. </w:t>
      </w:r>
      <w:r w:rsidR="00DF1814" w:rsidRPr="00DF1814">
        <w:rPr>
          <w:rStyle w:val="FootnoteReference"/>
        </w:rPr>
        <w:footnoteReference w:id="47"/>
      </w:r>
    </w:p>
    <w:p w14:paraId="1EF26591" w14:textId="77777777" w:rsidR="00DF1814" w:rsidRDefault="00DF1814" w:rsidP="00266381">
      <w:pPr>
        <w:spacing w:line="360" w:lineRule="auto"/>
      </w:pPr>
    </w:p>
    <w:p w14:paraId="736D0310" w14:textId="33B6C760" w:rsidR="00DD6B9B" w:rsidRDefault="00DF1814" w:rsidP="00266381">
      <w:pPr>
        <w:spacing w:line="360" w:lineRule="auto"/>
      </w:pPr>
      <w:r>
        <w:t>Byrhtnoth has been led by his pride and self-reliance to make a bad decision in allowing the Vikings to cross the ford. Having let them across the ford he cannot refuse to fight even though the mistake will be costly.</w:t>
      </w:r>
      <w:r>
        <w:rPr>
          <w:rStyle w:val="FootnoteReference"/>
        </w:rPr>
        <w:footnoteReference w:id="48"/>
      </w:r>
      <w:r>
        <w:t xml:space="preserve"> Parks comments that the poet can be seen to be critical of Byrhtnoth for forfeiting an important and strategic advantage so that both armies could fight in equal terms.</w:t>
      </w:r>
      <w:r>
        <w:rPr>
          <w:rStyle w:val="FootnoteReference"/>
        </w:rPr>
        <w:footnoteReference w:id="49"/>
      </w:r>
      <w:r>
        <w:t xml:space="preserve"> However it is clearly demonstrated by Blake that the poet intended to emphasise </w:t>
      </w:r>
      <w:proofErr w:type="spellStart"/>
      <w:r>
        <w:t>Byrhtnoth’s</w:t>
      </w:r>
      <w:proofErr w:type="spellEnd"/>
      <w:r>
        <w:t xml:space="preserve"> heroism, not diminish it.</w:t>
      </w:r>
      <w:r>
        <w:rPr>
          <w:rStyle w:val="FootnoteReference"/>
        </w:rPr>
        <w:footnoteReference w:id="50"/>
      </w:r>
      <w:r>
        <w:t xml:space="preserve">  In the heroic sense there was no advantage to allowing the Vikings to cross the water but had he let them stay where they were Byrhtnoth would not have been able to protect anyone other than his own men and </w:t>
      </w:r>
      <w:r>
        <w:lastRenderedPageBreak/>
        <w:t>from where he was there was no way to force the Vikings to leave.</w:t>
      </w:r>
      <w:r>
        <w:rPr>
          <w:rStyle w:val="FootnoteReference"/>
        </w:rPr>
        <w:footnoteReference w:id="51"/>
      </w:r>
      <w:r>
        <w:t xml:space="preserve"> As Blake argues “Heroes are greater than the rest of mankind and behave in a way that seems outrageous and excessive to us. Grand (and perhaps futile) gestures are the stuff of heroic action.”</w:t>
      </w:r>
      <w:r>
        <w:rPr>
          <w:rStyle w:val="FootnoteReference"/>
        </w:rPr>
        <w:footnoteReference w:id="52"/>
      </w:r>
      <w:r>
        <w:t xml:space="preserve">  The decision ultimately leads to his death and to an English defeat despite the actions of his loyal companions fighting to the end around the body of their dead lord.</w:t>
      </w:r>
      <w:r>
        <w:rPr>
          <w:rStyle w:val="FootnoteReference"/>
        </w:rPr>
        <w:footnoteReference w:id="53"/>
      </w:r>
      <w:r>
        <w:t xml:space="preserve"> Byrhtnoth is given a heroic death and </w:t>
      </w:r>
      <w:proofErr w:type="spellStart"/>
      <w:r>
        <w:t>Huppe</w:t>
      </w:r>
      <w:proofErr w:type="spellEnd"/>
      <w:r>
        <w:t xml:space="preserve"> excuses the decision to give away the advantage at the ford as a result of </w:t>
      </w:r>
      <w:proofErr w:type="spellStart"/>
      <w:r>
        <w:t>Byrhtnoth’s</w:t>
      </w:r>
      <w:proofErr w:type="spellEnd"/>
      <w:r>
        <w:t xml:space="preserve"> heroic pride.</w:t>
      </w:r>
      <w:r>
        <w:rPr>
          <w:rStyle w:val="FootnoteReference"/>
        </w:rPr>
        <w:footnoteReference w:id="54"/>
      </w:r>
      <w:r>
        <w:t xml:space="preserve">  As </w:t>
      </w:r>
      <w:proofErr w:type="spellStart"/>
      <w:r>
        <w:t>Huppe</w:t>
      </w:r>
      <w:proofErr w:type="spellEnd"/>
      <w:r>
        <w:t xml:space="preserve"> notes “It is because he heeds the demands of this heroic character that he becomes responsible for disaster.”</w:t>
      </w:r>
      <w:r>
        <w:rPr>
          <w:rStyle w:val="FootnoteReference"/>
        </w:rPr>
        <w:footnoteReference w:id="55"/>
      </w:r>
      <w:r>
        <w:t xml:space="preserve"> Although he is defeated he serves God through his defeat and through that defeat and his death he turns the act of heroism which is sinful in itself into what </w:t>
      </w:r>
      <w:proofErr w:type="spellStart"/>
      <w:r>
        <w:t>Huppe</w:t>
      </w:r>
      <w:proofErr w:type="spellEnd"/>
      <w:r>
        <w:t xml:space="preserve"> calls “…a higher act of obedience…”</w:t>
      </w:r>
      <w:r>
        <w:rPr>
          <w:rStyle w:val="FootnoteReference"/>
        </w:rPr>
        <w:footnoteReference w:id="56"/>
      </w:r>
      <w:r>
        <w:t xml:space="preserve"> </w:t>
      </w:r>
      <w:r w:rsidR="00DD6B9B">
        <w:t>This episode by the river also serves to demonstrate</w:t>
      </w:r>
      <w:r w:rsidR="00DD6B9B" w:rsidRPr="00DD6B9B">
        <w:t xml:space="preserve"> </w:t>
      </w:r>
      <w:r w:rsidR="00DD6B9B">
        <w:t>that Heroes have a thoughtful streak and a feature of the poetry is the is often hesitation or delay, for example here, Byrhtnoth is delayed by the tide and river meaning he has time to consider his decisions.</w:t>
      </w:r>
      <w:r w:rsidR="00DD6B9B">
        <w:rPr>
          <w:rStyle w:val="FootnoteReference"/>
        </w:rPr>
        <w:footnoteReference w:id="57"/>
      </w:r>
      <w:r w:rsidR="00DD6B9B">
        <w:t xml:space="preserve"> </w:t>
      </w:r>
      <w:proofErr w:type="spellStart"/>
      <w:r w:rsidR="00DD6B9B">
        <w:t>Shippey</w:t>
      </w:r>
      <w:proofErr w:type="spellEnd"/>
      <w:r w:rsidR="00DD6B9B">
        <w:t xml:space="preserve"> notes that heroes have time to make their decisions, they are not made rashly but are deliberate and with the full knowledge of the outcome not just for themselves but for their opponent.</w:t>
      </w:r>
      <w:r w:rsidR="00DD6B9B">
        <w:rPr>
          <w:rStyle w:val="FootnoteReference"/>
        </w:rPr>
        <w:footnoteReference w:id="58"/>
      </w:r>
      <w:r w:rsidR="00DD6B9B">
        <w:t xml:space="preserve"> </w:t>
      </w:r>
    </w:p>
    <w:p w14:paraId="73951EA8" w14:textId="7C150D38" w:rsidR="00DD6B9B" w:rsidRDefault="00DD6B9B" w:rsidP="00266381">
      <w:pPr>
        <w:spacing w:line="360" w:lineRule="auto"/>
      </w:pPr>
    </w:p>
    <w:p w14:paraId="21F960E5" w14:textId="57F77812" w:rsidR="00E738F5" w:rsidRDefault="00DD6B9B" w:rsidP="00266381">
      <w:pPr>
        <w:spacing w:line="360" w:lineRule="auto"/>
      </w:pPr>
      <w:r>
        <w:t xml:space="preserve">Parks argues </w:t>
      </w:r>
      <w:r w:rsidR="00EB059E">
        <w:t xml:space="preserve">convincingly </w:t>
      </w:r>
      <w:r>
        <w:t xml:space="preserve">that it is possible to discern a general pattern to heroic literature </w:t>
      </w:r>
      <w:r w:rsidR="00E738F5">
        <w:t xml:space="preserve">and that this can be seen in </w:t>
      </w:r>
      <w:r>
        <w:t xml:space="preserve">The Battle of Maldon.  She </w:t>
      </w:r>
      <w:r w:rsidR="00E738F5">
        <w:t xml:space="preserve">first notes that heroes are normally given an opportunity to back out and forfeit their contest, for example </w:t>
      </w:r>
      <w:proofErr w:type="spellStart"/>
      <w:r w:rsidR="00E738F5">
        <w:t>Bryrthnoth</w:t>
      </w:r>
      <w:proofErr w:type="spellEnd"/>
      <w:r w:rsidR="00E738F5">
        <w:t xml:space="preserve"> is given the option of surrender by the Viking messenger, failure to do so will result in battle. This is the start of a verbal battle or contract between two adversaries and it relies on the hero honouring his commitment to fight.</w:t>
      </w:r>
      <w:r w:rsidR="00E738F5">
        <w:rPr>
          <w:rStyle w:val="FootnoteReference"/>
        </w:rPr>
        <w:footnoteReference w:id="59"/>
      </w:r>
      <w:r w:rsidR="00E738F5">
        <w:t xml:space="preserve"> As Parks correctly notes this does leave events open to cheating and so Beowulf’s sense of fair play towards his opponents should not be </w:t>
      </w:r>
      <w:r w:rsidR="00E738F5">
        <w:lastRenderedPageBreak/>
        <w:t xml:space="preserve">underestimated and this honourable behaviour is a recurrent theme in heroic cultural expression. </w:t>
      </w:r>
      <w:r w:rsidR="00E738F5">
        <w:rPr>
          <w:rStyle w:val="FootnoteReference"/>
        </w:rPr>
        <w:footnoteReference w:id="60"/>
      </w:r>
      <w:r w:rsidR="00E738F5">
        <w:t xml:space="preserve"> Parks has identified this pattern which starts with the initial engagements of two heroes (potential adversaries) arriving at the site of the contest. There is then a verbal exchange where they contend for glory and also agree on the next course of action, usually a trial by arms or some other manly display.  The action then moves to this trial or display which one of the contenders will win. Finally, we have the ritual resolution where the contest ends and there is usually a retrospective speech and possibly a symbolic action of some kind.</w:t>
      </w:r>
      <w:r w:rsidR="00E738F5">
        <w:rPr>
          <w:rStyle w:val="FootnoteReference"/>
        </w:rPr>
        <w:footnoteReference w:id="61"/>
      </w:r>
      <w:r w:rsidR="00E738F5">
        <w:t xml:space="preserve"> The Battle of Maldon can be seen to follow this pattern staring with the arrival of the two armies, the verbal exchange between Viking messenger and Byrhtnoth, the combat stage and then finally the ritual resolution which in this case takes the form of </w:t>
      </w:r>
      <w:proofErr w:type="spellStart"/>
      <w:r w:rsidR="00E738F5">
        <w:t>Byrhtnoth’s</w:t>
      </w:r>
      <w:proofErr w:type="spellEnd"/>
      <w:r w:rsidR="00E738F5">
        <w:t xml:space="preserve"> men declaring their loyalty to their Lord and fighting to the death.</w:t>
      </w:r>
      <w:r w:rsidR="00E738F5">
        <w:rPr>
          <w:rStyle w:val="FootnoteReference"/>
        </w:rPr>
        <w:footnoteReference w:id="62"/>
      </w:r>
      <w:r w:rsidR="00E738F5">
        <w:t xml:space="preserve"> However she goes onto to reflect that this pattern is not followed in all heroic contests, some steps may be skipped but she </w:t>
      </w:r>
      <w:r w:rsidR="00EB059E">
        <w:t>notes</w:t>
      </w:r>
      <w:r w:rsidR="00E738F5">
        <w:t xml:space="preserve"> that “the most important determinants in heroic contest narrative consist not is some fixed and preconceived pattern</w:t>
      </w:r>
      <w:r w:rsidR="00E738F5" w:rsidRPr="00E738F5">
        <w:t xml:space="preserve"> </w:t>
      </w:r>
      <w:r w:rsidR="00E738F5">
        <w:t>but in the forces that give rise to these quarrels in the first place. Referring to the glory motive quarrel and contract formation, the bonding of words to deeds and the other heroic values…”</w:t>
      </w:r>
      <w:r w:rsidR="00E738F5">
        <w:rPr>
          <w:rStyle w:val="FootnoteReference"/>
        </w:rPr>
        <w:footnoteReference w:id="63"/>
      </w:r>
    </w:p>
    <w:p w14:paraId="61029131" w14:textId="77777777" w:rsidR="00DD6B9B" w:rsidRDefault="00DD6B9B" w:rsidP="00266381">
      <w:pPr>
        <w:spacing w:line="360" w:lineRule="auto"/>
      </w:pPr>
    </w:p>
    <w:p w14:paraId="1961BC5F" w14:textId="3744AF37" w:rsidR="00DF1814" w:rsidRDefault="00DF1814" w:rsidP="00266381">
      <w:pPr>
        <w:spacing w:line="360" w:lineRule="auto"/>
      </w:pPr>
      <w:r>
        <w:t xml:space="preserve">Although </w:t>
      </w:r>
      <w:proofErr w:type="spellStart"/>
      <w:r>
        <w:t>Byrhtnoth’s</w:t>
      </w:r>
      <w:proofErr w:type="spellEnd"/>
      <w:r>
        <w:t xml:space="preserve"> decision to allow the Vikings across the ford could be considered tragic as it leads to his death and the English defeat, his death is not tragic, but rather a worthwhile event which </w:t>
      </w:r>
      <w:proofErr w:type="spellStart"/>
      <w:r>
        <w:t>Bowra</w:t>
      </w:r>
      <w:proofErr w:type="spellEnd"/>
      <w:r>
        <w:t xml:space="preserve"> calls “…an occasion for pride and satisfaction.”</w:t>
      </w:r>
      <w:r>
        <w:rPr>
          <w:rStyle w:val="FootnoteReference"/>
        </w:rPr>
        <w:footnoteReference w:id="64"/>
      </w:r>
      <w:r>
        <w:t xml:space="preserve"> </w:t>
      </w:r>
      <w:r w:rsidR="007B4702" w:rsidRPr="007B4702">
        <w:t>Byrhtnoth is given the traditional epithet of “protector of warriors”</w:t>
      </w:r>
      <w:r w:rsidR="007B4702" w:rsidRPr="007B4702">
        <w:rPr>
          <w:rStyle w:val="FootnoteReference"/>
        </w:rPr>
        <w:footnoteReference w:id="65"/>
      </w:r>
      <w:r w:rsidR="007B4702">
        <w:t xml:space="preserve"> </w:t>
      </w:r>
      <w:r>
        <w:t>A heroic death is the fitting end for a heroic life and even though the companions for Byrhtnoth die in the English defeat they have acted heroically and we do not feel fear for them as they approach their death and their defeat by the Vikings, rather we feel pride at their actions and they justify the high hopes that have been held for them.</w:t>
      </w:r>
      <w:r>
        <w:rPr>
          <w:rStyle w:val="FootnoteReference"/>
        </w:rPr>
        <w:footnoteReference w:id="66"/>
      </w:r>
      <w:r>
        <w:t xml:space="preserve"> </w:t>
      </w:r>
    </w:p>
    <w:p w14:paraId="7004A235" w14:textId="77777777" w:rsidR="00DF1814" w:rsidRDefault="00DF1814" w:rsidP="00266381">
      <w:pPr>
        <w:spacing w:line="360" w:lineRule="auto"/>
      </w:pPr>
    </w:p>
    <w:p w14:paraId="61F9863F" w14:textId="1A1DD149" w:rsidR="00E84237" w:rsidRDefault="00E84237" w:rsidP="00266381">
      <w:pPr>
        <w:spacing w:line="360" w:lineRule="auto"/>
      </w:pPr>
      <w:r>
        <w:lastRenderedPageBreak/>
        <w:t xml:space="preserve">The motif of the Lord and retainer bond is used throughout the </w:t>
      </w:r>
      <w:r w:rsidR="00245A3A">
        <w:t>Battle of Maldon</w:t>
      </w:r>
      <w:r>
        <w:t xml:space="preserve"> and is a traditional heroic device.</w:t>
      </w:r>
      <w:r>
        <w:rPr>
          <w:rStyle w:val="FootnoteReference"/>
        </w:rPr>
        <w:footnoteReference w:id="67"/>
      </w:r>
      <w:r>
        <w:t xml:space="preserve"> It can be described as a “social contract” between a Lord and his warriors.</w:t>
      </w:r>
      <w:r>
        <w:rPr>
          <w:rStyle w:val="FootnoteReference"/>
        </w:rPr>
        <w:footnoteReference w:id="68"/>
      </w:r>
      <w:r w:rsidR="00245A3A">
        <w:t xml:space="preserve"> The poem</w:t>
      </w:r>
      <w:r>
        <w:t xml:space="preserve"> shows the relationships on the English side and how they reflect loyalty between each other and their lord with a hierarchical presentation of men making heroic speeches.</w:t>
      </w:r>
      <w:r>
        <w:rPr>
          <w:rStyle w:val="FootnoteReference"/>
        </w:rPr>
        <w:footnoteReference w:id="69"/>
      </w:r>
      <w:r>
        <w:t xml:space="preserve"> </w:t>
      </w:r>
      <w:r w:rsidR="005B50B1">
        <w:t>The men make vows to each other as they did to Byrhtnoth and how Byrhtnoth had urged them just before his death and it is this model that keeps the men in the battle and as Irving notes “…unites them in heroic fellowship. By their free and difficult choices they pay him the last honour.”</w:t>
      </w:r>
      <w:r w:rsidR="005B50B1">
        <w:rPr>
          <w:rStyle w:val="FootnoteReference"/>
        </w:rPr>
        <w:footnoteReference w:id="70"/>
      </w:r>
      <w:r w:rsidR="005B50B1">
        <w:t xml:space="preserve"> </w:t>
      </w:r>
      <w:r>
        <w:t>Byrhtnoth urges his men on even after being struck down and his speech is necessary to counter the speeches that his men will give, otherwise there is a danger that Byrhtnoth would be overshadowed by his own men.</w:t>
      </w:r>
      <w:r>
        <w:rPr>
          <w:rStyle w:val="FootnoteReference"/>
        </w:rPr>
        <w:footnoteReference w:id="71"/>
      </w:r>
      <w:r>
        <w:t xml:space="preserve">  The companions stand by their Lord Byrhtnoth even after death and in doing so they prove worth of his Lordship and we have different warriors speak out for the fight with the Vikings to continue even after his death.</w:t>
      </w:r>
      <w:r>
        <w:rPr>
          <w:rStyle w:val="FootnoteReference"/>
        </w:rPr>
        <w:footnoteReference w:id="72"/>
      </w:r>
      <w:r>
        <w:t xml:space="preserve"> </w:t>
      </w:r>
      <w:r w:rsidR="005B50B1">
        <w:t xml:space="preserve"> The poet used this heroic ideal to turn the English defeat into a moral victory and in this case the result was </w:t>
      </w:r>
      <w:r w:rsidR="003A0EEE">
        <w:t>more like</w:t>
      </w:r>
      <w:r w:rsidR="005B50B1">
        <w:t xml:space="preserve"> a praise poem for Byrhtnoth than for poem that would stir national pride.</w:t>
      </w:r>
      <w:r w:rsidR="005B50B1">
        <w:rPr>
          <w:rStyle w:val="FootnoteReference"/>
        </w:rPr>
        <w:footnoteReference w:id="73"/>
      </w:r>
      <w:r w:rsidR="005B50B1">
        <w:t xml:space="preserve"> The detail</w:t>
      </w:r>
      <w:r w:rsidR="003A0EEE">
        <w:t>s</w:t>
      </w:r>
      <w:r w:rsidR="005B50B1">
        <w:t xml:space="preserve"> also give us to cause to think that this is praise poetry and as Blake notes most modern critics would see this poem as an eulogy for a heroic character.</w:t>
      </w:r>
      <w:r w:rsidR="005B50B1">
        <w:rPr>
          <w:rStyle w:val="FootnoteReference"/>
        </w:rPr>
        <w:footnoteReference w:id="74"/>
      </w:r>
      <w:r w:rsidR="005B50B1">
        <w:t xml:space="preserve">  </w:t>
      </w:r>
      <w:r w:rsidR="00245A3A">
        <w:t>The separate deeds of the individual fighters and the fight around the body of Byrhtnoth is described in a similar way to the fight at the wall from Book twelve of the heroic epic The Iliad and there are other similarities to The Iliad with the speech by the old companion at the end of the Maldon that can be likened to the speech by Sarpedon to Glaucus also in Book twelve.</w:t>
      </w:r>
      <w:r w:rsidR="00245A3A">
        <w:rPr>
          <w:rStyle w:val="FootnoteReference"/>
        </w:rPr>
        <w:footnoteReference w:id="75"/>
      </w:r>
      <w:r w:rsidR="00245A3A">
        <w:t xml:space="preserve"> Ker notes that “…the poem of Maldon…has uttered the spirit and essence of the northern Heroic literature in its reserved and simple story; and its invincible profession of heroic faith.”</w:t>
      </w:r>
      <w:r w:rsidR="00245A3A">
        <w:rPr>
          <w:rStyle w:val="FootnoteReference"/>
        </w:rPr>
        <w:footnoteReference w:id="76"/>
      </w:r>
    </w:p>
    <w:p w14:paraId="5BEDAD43" w14:textId="112DEF8F" w:rsidR="00B25EAE" w:rsidRDefault="00B25EAE" w:rsidP="00266381">
      <w:pPr>
        <w:spacing w:line="360" w:lineRule="auto"/>
      </w:pPr>
    </w:p>
    <w:p w14:paraId="1C72FF79" w14:textId="77777777" w:rsidR="00B25EAE" w:rsidRDefault="00B25EAE" w:rsidP="00266381">
      <w:pPr>
        <w:spacing w:line="360" w:lineRule="auto"/>
      </w:pPr>
      <w:r>
        <w:lastRenderedPageBreak/>
        <w:t>In the Battle of Maldon the poet is trying to combine the pagan heroic ideal with the new Christian ideas, fortunately the memory of this ideal was still a vivid memory for the audience and was therefore relatable to them.</w:t>
      </w:r>
      <w:r>
        <w:rPr>
          <w:rStyle w:val="FootnoteReference"/>
        </w:rPr>
        <w:footnoteReference w:id="77"/>
      </w:r>
      <w:r>
        <w:t xml:space="preserve"> While the poem is concerned with this heroic spirit the poet has the hero giving prayer to God which is the key Christian element.</w:t>
      </w:r>
      <w:r>
        <w:rPr>
          <w:rStyle w:val="FootnoteReference"/>
        </w:rPr>
        <w:footnoteReference w:id="78"/>
      </w:r>
      <w:r>
        <w:t xml:space="preserve"> In the case of Beowulf the poet manages to promote the image of a non-Christian hero so successfully that the audience are able to reconcile this ancient heroic ancestor and their Christian faith. By aligning Grendel and his mother as the heathen antagonists the poet is able to show Hrothgar and Beowulf as following the natural laws, looking to God with gratitude. The poet references God throughout while still celebrating heroic deeds and opens the poem by reflecting on the glory and courageous deeds of the Germanic heroes.</w:t>
      </w:r>
      <w:r>
        <w:rPr>
          <w:rStyle w:val="FootnoteReference"/>
        </w:rPr>
        <w:footnoteReference w:id="79"/>
      </w:r>
      <w:r>
        <w:t xml:space="preserve"> Donahue notes that the poet, as well as using the heroic ethic wisely, clearly well versed in heroic poetry, he has also managed to use a knowledge of Christianity and Donahue goes on to suggest that this may have come about by an acquaintance with monks in an English monastery, possibly with a Celtic origin.</w:t>
      </w:r>
      <w:r>
        <w:rPr>
          <w:rStyle w:val="FootnoteReference"/>
        </w:rPr>
        <w:footnoteReference w:id="80"/>
      </w:r>
      <w:r>
        <w:t xml:space="preserve"> “He showed forth in his poem the aesthetic value of right conduct in the heroic mode and, at the same time, provided a guide to those perplexed about the relation of heroic ancestors to Christian teaching. This is why his heroic elegy is one of the greatest meditative poems in the English language.”</w:t>
      </w:r>
      <w:r>
        <w:rPr>
          <w:rStyle w:val="FootnoteReference"/>
        </w:rPr>
        <w:footnoteReference w:id="81"/>
      </w:r>
    </w:p>
    <w:p w14:paraId="2A4C02CD" w14:textId="411433F6" w:rsidR="00B25EAE" w:rsidRDefault="00B25EAE" w:rsidP="00266381">
      <w:pPr>
        <w:spacing w:line="360" w:lineRule="auto"/>
      </w:pPr>
    </w:p>
    <w:p w14:paraId="2C13FC8C" w14:textId="33FA4D3B" w:rsidR="00B25EAE" w:rsidRDefault="00B25EAE" w:rsidP="00266381">
      <w:pPr>
        <w:spacing w:line="360" w:lineRule="auto"/>
      </w:pPr>
      <w:r>
        <w:t xml:space="preserve">In helping us to understand what the Anglo-Saxon audience might expect from their heroic poetry </w:t>
      </w:r>
      <w:proofErr w:type="spellStart"/>
      <w:r>
        <w:t>Shippey</w:t>
      </w:r>
      <w:proofErr w:type="spellEnd"/>
      <w:r>
        <w:t xml:space="preserve"> directs us to look at the </w:t>
      </w:r>
      <w:proofErr w:type="spellStart"/>
      <w:r>
        <w:t>Finnsberg</w:t>
      </w:r>
      <w:proofErr w:type="spellEnd"/>
      <w:r>
        <w:t xml:space="preserve"> Episode from Beowulf which is the story of Finn, King of the Frisians and the Danish heroes </w:t>
      </w:r>
      <w:proofErr w:type="spellStart"/>
      <w:r>
        <w:t>Hnaef</w:t>
      </w:r>
      <w:proofErr w:type="spellEnd"/>
      <w:r>
        <w:t xml:space="preserve"> and </w:t>
      </w:r>
      <w:proofErr w:type="spellStart"/>
      <w:r>
        <w:t>Hengest</w:t>
      </w:r>
      <w:proofErr w:type="spellEnd"/>
      <w:r>
        <w:t>, a feud that ends with the Danes victorious.  A fifty line version of this event survives as a separate independent poem and while it stops short of describing the action the lines that do survive concentrate on the mental incidents covering a range of emotions, prophecy, melancholy, resolution and humour.</w:t>
      </w:r>
      <w:r>
        <w:rPr>
          <w:rStyle w:val="FootnoteReference"/>
        </w:rPr>
        <w:footnoteReference w:id="82"/>
      </w:r>
      <w:r>
        <w:t xml:space="preserve"> The Beowulf poet doesn’t explain matters fully either and both poets have a different idea to us, the modern audience, as to what was important to their Anglo-Saxon audience.</w:t>
      </w:r>
      <w:r>
        <w:rPr>
          <w:rStyle w:val="FootnoteReference"/>
        </w:rPr>
        <w:footnoteReference w:id="83"/>
      </w:r>
      <w:r>
        <w:t xml:space="preserve"> Frank even comments that the behaviour and code of these heroes may be </w:t>
      </w:r>
      <w:r>
        <w:lastRenderedPageBreak/>
        <w:t>alarming to the modern audience and so “modesty, tolerance, ability at the bargaining table, even jovial backslapping, cut a poor figure, while bragging threatening and skill at decapitation are excruciatingly good manners”</w:t>
      </w:r>
      <w:r>
        <w:rPr>
          <w:rStyle w:val="FootnoteReference"/>
        </w:rPr>
        <w:footnoteReference w:id="84"/>
      </w:r>
      <w:r w:rsidR="00E277CC">
        <w:t xml:space="preserve"> </w:t>
      </w:r>
      <w:proofErr w:type="spellStart"/>
      <w:r w:rsidRPr="00B25EAE">
        <w:t>Shippey</w:t>
      </w:r>
      <w:proofErr w:type="spellEnd"/>
      <w:r w:rsidRPr="00B25EAE">
        <w:t xml:space="preserve"> argues that the original audience must have had some idea of how to respond to this type of poetry and that perhaps this does not now remain.</w:t>
      </w:r>
      <w:r w:rsidRPr="00B25EAE">
        <w:rPr>
          <w:rStyle w:val="FootnoteReference"/>
        </w:rPr>
        <w:footnoteReference w:id="85"/>
      </w:r>
      <w:r w:rsidRPr="00B25EAE">
        <w:t xml:space="preserve">  The Beowulf poet was constantly alluding to other legends that must have been familiar to the Anglo-Saxon audience and while they may not have understood Beowulf in the way that a modern reader does, who has access to other historical, literary and archaeological records, he argues that either they were very intelligent or that there was other assistance available to them which we do not have.</w:t>
      </w:r>
      <w:r w:rsidRPr="00B25EAE">
        <w:rPr>
          <w:rStyle w:val="FootnoteReference"/>
        </w:rPr>
        <w:footnoteReference w:id="86"/>
      </w:r>
      <w:r>
        <w:t xml:space="preserve"> </w:t>
      </w:r>
    </w:p>
    <w:p w14:paraId="77B6D8A9" w14:textId="3CA2CAC6" w:rsidR="00B25EAE" w:rsidRDefault="00B25EAE" w:rsidP="00266381">
      <w:pPr>
        <w:spacing w:line="360" w:lineRule="auto"/>
      </w:pPr>
    </w:p>
    <w:p w14:paraId="53DB5530" w14:textId="05DE5400" w:rsidR="00B25EAE" w:rsidRDefault="00B25EAE" w:rsidP="00266381">
      <w:pPr>
        <w:spacing w:line="360" w:lineRule="auto"/>
      </w:pPr>
      <w:r>
        <w:t>In Beowulf the theme of the poem is one of a heroic life, however in contrast to the Battle of Maldon and Battle of Brunanburh it is lacking in battle events. We do not hear much of Beowulf’s career only getting hints and oblique references to battles but the poet has minimised the battle scenes themselves.</w:t>
      </w:r>
      <w:r>
        <w:rPr>
          <w:rStyle w:val="FootnoteReference"/>
        </w:rPr>
        <w:footnoteReference w:id="87"/>
      </w:r>
      <w:r>
        <w:t xml:space="preserve"> However Beowulf has a reputation of heroic activity and the poet builds this around him and aside from the monsters in the poem it is the peril of the victims that serve to enhance Beowulf’s reputation as a hero.</w:t>
      </w:r>
      <w:r>
        <w:rPr>
          <w:rStyle w:val="FootnoteReference"/>
        </w:rPr>
        <w:footnoteReference w:id="88"/>
      </w:r>
      <w:r>
        <w:t xml:space="preserve"> The poet contrasts the events with </w:t>
      </w:r>
      <w:proofErr w:type="spellStart"/>
      <w:r>
        <w:t>Scyld</w:t>
      </w:r>
      <w:proofErr w:type="spellEnd"/>
      <w:r>
        <w:t xml:space="preserve"> </w:t>
      </w:r>
      <w:proofErr w:type="spellStart"/>
      <w:r>
        <w:t>Scefing</w:t>
      </w:r>
      <w:proofErr w:type="spellEnd"/>
      <w:r>
        <w:t xml:space="preserve"> who came to the Danes over the waves at their hour of need with the Beowulf also arriving from the across the sea, as Swanton explains “…another stranger who will cleanse their land and re-establish the glory of their kingdom”</w:t>
      </w:r>
      <w:r>
        <w:rPr>
          <w:rStyle w:val="FootnoteReference"/>
        </w:rPr>
        <w:footnoteReference w:id="89"/>
      </w:r>
      <w:r>
        <w:t xml:space="preserve">  Swanton explains “A new kind of hero is needed and his reputation has preceded him”.</w:t>
      </w:r>
      <w:r>
        <w:rPr>
          <w:rStyle w:val="FootnoteReference"/>
        </w:rPr>
        <w:footnoteReference w:id="90"/>
      </w:r>
      <w:r>
        <w:t xml:space="preserve"> Swanton goes onto to describe how Beowulf is a breath of new life in to the decaying Danish kingdom, who is introduced from the beginning  “…as an essentially active agent, clothed in the fine bright armour of his business.”</w:t>
      </w:r>
      <w:r>
        <w:rPr>
          <w:rStyle w:val="FootnoteReference"/>
        </w:rPr>
        <w:footnoteReference w:id="91"/>
      </w:r>
      <w:r>
        <w:t xml:space="preserve"> The use of arms and armour throughout the poem forms a characteristic symbol of the hero and heroic activity and emphasising Beowulf’s armour demonstrates a promise of action.</w:t>
      </w:r>
      <w:r>
        <w:rPr>
          <w:rStyle w:val="FootnoteReference"/>
        </w:rPr>
        <w:footnoteReference w:id="92"/>
      </w:r>
    </w:p>
    <w:p w14:paraId="4C49DFAD" w14:textId="77777777" w:rsidR="00B25EAE" w:rsidRDefault="00B25EAE" w:rsidP="00266381">
      <w:pPr>
        <w:spacing w:line="360" w:lineRule="auto"/>
      </w:pPr>
    </w:p>
    <w:p w14:paraId="7C3A899A" w14:textId="038E51A2" w:rsidR="00B25EAE" w:rsidRDefault="00B25EAE" w:rsidP="00266381">
      <w:pPr>
        <w:spacing w:line="360" w:lineRule="auto"/>
      </w:pPr>
      <w:r>
        <w:lastRenderedPageBreak/>
        <w:t>The poet tells us that it is through actions that lead to praise that a man may prosper and Swanton correctly asserts that this then is the key to the heroic ethic. “.</w:t>
      </w:r>
      <w:r w:rsidR="00EE490C">
        <w:t>.</w:t>
      </w:r>
      <w:r>
        <w:t>.action which leads to glory and praise, to the attainment of which all men should direct themselves. Life is fleeting; we shall all die; let us therefore so act as to merit the praise and remembrance of men”</w:t>
      </w:r>
      <w:r>
        <w:rPr>
          <w:rStyle w:val="FootnoteReference"/>
        </w:rPr>
        <w:footnoteReference w:id="93"/>
      </w:r>
      <w:r>
        <w:t xml:space="preserve"> The poet gives us the example of Hrothgar who having had success in battle presented as an example of a heroic king when he was in his youth.  A king who had inspired men to serve him resulting in a large army of warriors. In old age Hrothgar was able to accept the help that Beowulf offered as repayment for the help that Hrothgar had given to Beowulf’s father and this neatly sidesteps the issue of Hrothgar being seen as a weak king.</w:t>
      </w:r>
      <w:r>
        <w:rPr>
          <w:rStyle w:val="FootnoteReference"/>
        </w:rPr>
        <w:footnoteReference w:id="94"/>
      </w:r>
      <w:r>
        <w:t xml:space="preserve"> </w:t>
      </w:r>
    </w:p>
    <w:p w14:paraId="6D3F6743" w14:textId="06A5E4B3" w:rsidR="00B25EAE" w:rsidRDefault="00B25EAE" w:rsidP="00266381">
      <w:pPr>
        <w:spacing w:line="360" w:lineRule="auto"/>
      </w:pPr>
    </w:p>
    <w:p w14:paraId="06FC7D10" w14:textId="43FCEAAA" w:rsidR="00F70A5F" w:rsidRDefault="00F70A5F" w:rsidP="00266381">
      <w:pPr>
        <w:spacing w:line="360" w:lineRule="auto"/>
      </w:pPr>
      <w:r w:rsidRPr="00F70A5F">
        <w:t xml:space="preserve">In contrast to an epic hero who knows his opponent and while struggling against it, goes willingly to his fate, the Germanic hero fights against monsters, or agents of evil that are external to the hero, he is not fighting his own fate and “…whether victorious or defeated, therefore the end will be that glory, </w:t>
      </w:r>
      <w:proofErr w:type="spellStart"/>
      <w:r w:rsidRPr="00F70A5F">
        <w:t>lof</w:t>
      </w:r>
      <w:proofErr w:type="spellEnd"/>
      <w:r w:rsidRPr="00F70A5F">
        <w:t xml:space="preserve"> and </w:t>
      </w:r>
      <w:proofErr w:type="spellStart"/>
      <w:r w:rsidRPr="00F70A5F">
        <w:t>dom</w:t>
      </w:r>
      <w:proofErr w:type="spellEnd"/>
      <w:r w:rsidRPr="00F70A5F">
        <w:t>, for which Beowulf, of all men, was the most eager.”</w:t>
      </w:r>
      <w:r w:rsidRPr="00F70A5F">
        <w:rPr>
          <w:rStyle w:val="FootnoteReference"/>
        </w:rPr>
        <w:footnoteReference w:id="95"/>
      </w:r>
      <w:r w:rsidR="00E277CC">
        <w:t xml:space="preserve"> </w:t>
      </w:r>
      <w:r>
        <w:t>By the end Beowulf has ruled well for fifty years and while he is old his personal courage still exists, even if he has lost some self-confidence which is in contrast to Hrothgar’s inactivity.</w:t>
      </w:r>
      <w:r>
        <w:rPr>
          <w:rStyle w:val="FootnoteReference"/>
        </w:rPr>
        <w:footnoteReference w:id="96"/>
      </w:r>
      <w:r>
        <w:t xml:space="preserve"> Beowulf’s decision to fight the dragon along is not about arrogance or over confidence but rather showing us an excess of heroism. This was unnecessary as he could have had others fight the dragon for him in much the same way as Hrothgar had Beowulf fight for him against </w:t>
      </w:r>
      <w:proofErr w:type="spellStart"/>
      <w:r>
        <w:t>Grendal</w:t>
      </w:r>
      <w:proofErr w:type="spellEnd"/>
      <w:r>
        <w:t>.  It was never suggested that Hrothgar should fight the monster and there would have been on issue had Beowulf had others fight for him.</w:t>
      </w:r>
      <w:r>
        <w:rPr>
          <w:rStyle w:val="FootnoteReference"/>
        </w:rPr>
        <w:footnoteReference w:id="97"/>
      </w:r>
      <w:r>
        <w:t xml:space="preserve"> Not only does he go to fight the monster alone but he tells his men that it is not their duty to fight with him.  When it all goes wrong, all but one of them takes him at his word and they flee however there is one that remains.  At this point we are introduced to Wiglaf, </w:t>
      </w:r>
      <w:proofErr w:type="spellStart"/>
      <w:r>
        <w:t>Weohstan’s</w:t>
      </w:r>
      <w:proofErr w:type="spellEnd"/>
      <w:r>
        <w:t xml:space="preserve"> son and Beowulf’s successor. When Wiglaf joins the </w:t>
      </w:r>
      <w:proofErr w:type="gramStart"/>
      <w:r>
        <w:t>battle</w:t>
      </w:r>
      <w:proofErr w:type="gramEnd"/>
      <w:r>
        <w:t xml:space="preserve"> this is appealing to both the heroic code and also points to Beowulf’s stature.</w:t>
      </w:r>
      <w:r>
        <w:rPr>
          <w:rStyle w:val="FootnoteReference"/>
        </w:rPr>
        <w:footnoteReference w:id="98"/>
      </w:r>
      <w:r>
        <w:t xml:space="preserve"> The poet provides him with a formal introduction and now that Beowulf’s life is in danger his duty is clear. Despite the </w:t>
      </w:r>
      <w:r>
        <w:lastRenderedPageBreak/>
        <w:t>order from Beowulf that he would fight alone it is clear to Wiglaf that it is his duty to save Beowulf or die trying.</w:t>
      </w:r>
      <w:r>
        <w:rPr>
          <w:rStyle w:val="FootnoteReference"/>
        </w:rPr>
        <w:footnoteReference w:id="99"/>
      </w:r>
    </w:p>
    <w:p w14:paraId="1F7A3101" w14:textId="2DB6AFAF" w:rsidR="00F70A5F" w:rsidRDefault="00F70A5F" w:rsidP="00266381">
      <w:pPr>
        <w:spacing w:line="360" w:lineRule="auto"/>
      </w:pPr>
    </w:p>
    <w:p w14:paraId="70FC2ADE" w14:textId="77777777" w:rsidR="00F70A5F" w:rsidRDefault="00F70A5F" w:rsidP="00266381">
      <w:pPr>
        <w:spacing w:line="360" w:lineRule="auto"/>
      </w:pPr>
      <w:r>
        <w:t>When Beowulf dies he declares that the has ruled well for fifty years without resorting to stealthy combat or sworn false oaths, his conscience was clear.  Beowulf has laid down his life for his people and so for the poet and the audience of Christians this was an indication of the highest moral code he could reach.</w:t>
      </w:r>
      <w:r>
        <w:rPr>
          <w:rStyle w:val="FootnoteReference"/>
        </w:rPr>
        <w:footnoteReference w:id="100"/>
      </w:r>
      <w:r>
        <w:t xml:space="preserve">  Having died a sacrificial death it is now in the hands of Beowulf’s men to provide a suitable counter-gift.  The men who ran away are first sent into exile having proved themselves unworthy to be part of the honourable tradition of gift-giving. The warriors are asked to make a huge sacrifice in destroying all the treasure that was won under Beowulf’s leadership as well as that from the dragon’s hoard.  The could not honourably refuse as after Beowulf’s supreme sacrifice being asked for this total sacrifice of the treasure was necessary.</w:t>
      </w:r>
      <w:r>
        <w:rPr>
          <w:rStyle w:val="FootnoteReference"/>
        </w:rPr>
        <w:footnoteReference w:id="101"/>
      </w:r>
    </w:p>
    <w:p w14:paraId="547E8884" w14:textId="154815C9" w:rsidR="00F70A5F" w:rsidRDefault="00F70A5F" w:rsidP="00266381">
      <w:pPr>
        <w:spacing w:line="360" w:lineRule="auto"/>
      </w:pPr>
    </w:p>
    <w:p w14:paraId="5EA7BACB" w14:textId="3A9E80AE" w:rsidR="003B54D4" w:rsidRDefault="00990157" w:rsidP="00266381">
      <w:pPr>
        <w:spacing w:line="360" w:lineRule="auto"/>
      </w:pPr>
      <w:r>
        <w:t xml:space="preserve">In the three poems </w:t>
      </w:r>
      <w:r w:rsidR="00F21B0D">
        <w:t xml:space="preserve">discussed we </w:t>
      </w:r>
      <w:r w:rsidR="00522430">
        <w:t>have been able to</w:t>
      </w:r>
      <w:r w:rsidR="00F21B0D">
        <w:t xml:space="preserve"> identify the key elements that for the Anglo-Saxon audience would constitute a heroic figure.  They are a treasure giver, a warrior,</w:t>
      </w:r>
      <w:r w:rsidR="00EE490C">
        <w:t xml:space="preserve"> </w:t>
      </w:r>
      <w:r w:rsidR="00F21B0D">
        <w:t xml:space="preserve">a Lord, a kinsman, a </w:t>
      </w:r>
      <w:r w:rsidR="00EE490C">
        <w:t>k</w:t>
      </w:r>
      <w:r w:rsidR="00F21B0D">
        <w:t xml:space="preserve">ing. They may act rashly but this is always for the greater good and they are willing to make the ultimate </w:t>
      </w:r>
      <w:r w:rsidR="00522430">
        <w:t>sacrifice and</w:t>
      </w:r>
      <w:r w:rsidR="00F21B0D">
        <w:t xml:space="preserve"> can inspire their men to do the same. </w:t>
      </w:r>
      <w:proofErr w:type="spellStart"/>
      <w:r w:rsidR="00522430">
        <w:t>Shippey</w:t>
      </w:r>
      <w:proofErr w:type="spellEnd"/>
      <w:r w:rsidR="00522430">
        <w:t xml:space="preserve"> says of Beowulf that the quality of a hero is not arrogance of courage but rather his readiness to accept change.</w:t>
      </w:r>
      <w:r w:rsidR="00522430">
        <w:rPr>
          <w:rStyle w:val="FootnoteReference"/>
        </w:rPr>
        <w:footnoteReference w:id="102"/>
      </w:r>
      <w:r w:rsidR="00522430">
        <w:t xml:space="preserve"> </w:t>
      </w:r>
      <w:r w:rsidR="00CE4C18">
        <w:t>The men in these poems were in many ways relatable to the Anglo-Saxons, the fact that this poetry has survived is a testament to the importance it had to society. W</w:t>
      </w:r>
      <w:r w:rsidR="003B54D4">
        <w:t>e can conclude</w:t>
      </w:r>
      <w:r w:rsidR="00CE4C18">
        <w:t>, as Irving says,</w:t>
      </w:r>
      <w:r w:rsidR="003B54D4">
        <w:t xml:space="preserve"> that “…poets held heroes such as Beowulf up for admiration and emulation. Indeed</w:t>
      </w:r>
      <w:r w:rsidR="00EE490C">
        <w:t>,</w:t>
      </w:r>
      <w:r w:rsidR="003B54D4">
        <w:t xml:space="preserve"> it was perhaps the main purpose of such poetry to provide models of behaviour for semi-aristocratic warrior classes.”</w:t>
      </w:r>
      <w:r w:rsidR="003B54D4">
        <w:rPr>
          <w:rStyle w:val="FootnoteReference"/>
        </w:rPr>
        <w:footnoteReference w:id="103"/>
      </w:r>
    </w:p>
    <w:p w14:paraId="33BE6D01" w14:textId="34491AC5" w:rsidR="00522430" w:rsidRDefault="00522430" w:rsidP="00266381">
      <w:pPr>
        <w:spacing w:line="360" w:lineRule="auto"/>
      </w:pPr>
    </w:p>
    <w:p w14:paraId="7394CFAE" w14:textId="2EF0376E" w:rsidR="005A62D6" w:rsidRDefault="005A62D6" w:rsidP="00266381">
      <w:pPr>
        <w:spacing w:line="360" w:lineRule="auto"/>
      </w:pPr>
    </w:p>
    <w:p w14:paraId="508B3C1E" w14:textId="088E3DD8" w:rsidR="005A62D6" w:rsidRDefault="005A62D6" w:rsidP="00266381">
      <w:pPr>
        <w:spacing w:line="360" w:lineRule="auto"/>
      </w:pPr>
      <w:r>
        <w:br w:type="page"/>
      </w:r>
    </w:p>
    <w:p w14:paraId="27C22C9D" w14:textId="77777777" w:rsidR="005A62D6" w:rsidRDefault="005A62D6" w:rsidP="005A62D6">
      <w:pPr>
        <w:rPr>
          <w:u w:val="single"/>
        </w:rPr>
      </w:pPr>
      <w:r w:rsidRPr="000D39F0">
        <w:rPr>
          <w:u w:val="single"/>
        </w:rPr>
        <w:lastRenderedPageBreak/>
        <w:t>Bibliography</w:t>
      </w:r>
    </w:p>
    <w:p w14:paraId="5F3651A3" w14:textId="77777777" w:rsidR="005A62D6" w:rsidRDefault="005A62D6" w:rsidP="005A62D6">
      <w:pPr>
        <w:rPr>
          <w:u w:val="single"/>
        </w:rPr>
      </w:pPr>
    </w:p>
    <w:p w14:paraId="41E6B973" w14:textId="77777777" w:rsidR="005A62D6" w:rsidRPr="008B1DED" w:rsidRDefault="005A62D6" w:rsidP="005A62D6">
      <w:r>
        <w:t xml:space="preserve">Benson, L.D., ‘The Pagan Colouring of Beowulf’ in Creed, R.P., ed. </w:t>
      </w:r>
      <w:r w:rsidRPr="002C0B7B">
        <w:rPr>
          <w:i/>
        </w:rPr>
        <w:t>Old English Poetry, Fifteen Essays</w:t>
      </w:r>
      <w:r>
        <w:t>, (Rhode Island: Brown University Press, 1967) pp. 193-213</w:t>
      </w:r>
    </w:p>
    <w:p w14:paraId="4B654572" w14:textId="77777777" w:rsidR="005A62D6" w:rsidRDefault="005A62D6" w:rsidP="005A62D6"/>
    <w:p w14:paraId="072609FF" w14:textId="77777777" w:rsidR="005A62D6" w:rsidRDefault="005A62D6" w:rsidP="005A62D6">
      <w:r>
        <w:t xml:space="preserve">Blake, N.F., ‘The genesis of the Battle of Maldon’ in </w:t>
      </w:r>
      <w:r w:rsidRPr="002C0B7B">
        <w:rPr>
          <w:i/>
        </w:rPr>
        <w:t>Anglo-Saxon England</w:t>
      </w:r>
      <w:r>
        <w:t>, Vol 7, (1978), pp. 119-129</w:t>
      </w:r>
    </w:p>
    <w:p w14:paraId="595A3E79" w14:textId="77777777" w:rsidR="005A62D6" w:rsidRDefault="005A62D6" w:rsidP="005A62D6"/>
    <w:p w14:paraId="761B82B1" w14:textId="77777777" w:rsidR="005A62D6" w:rsidRDefault="005A62D6" w:rsidP="005A62D6">
      <w:proofErr w:type="spellStart"/>
      <w:r>
        <w:t>Bowra</w:t>
      </w:r>
      <w:proofErr w:type="spellEnd"/>
      <w:r>
        <w:t xml:space="preserve">, C.M., </w:t>
      </w:r>
      <w:r w:rsidRPr="002C0B7B">
        <w:rPr>
          <w:i/>
        </w:rPr>
        <w:t>Heroic Poetry</w:t>
      </w:r>
      <w:r>
        <w:t>, (London: Macmillan and Company Ltd, 1966)</w:t>
      </w:r>
    </w:p>
    <w:p w14:paraId="1871BF3B" w14:textId="77777777" w:rsidR="005A62D6" w:rsidRDefault="005A62D6" w:rsidP="005A62D6"/>
    <w:p w14:paraId="5EC208E2" w14:textId="77777777" w:rsidR="005A62D6" w:rsidRDefault="005A62D6" w:rsidP="005A62D6">
      <w:r>
        <w:t xml:space="preserve">Donahue, C., ‘Potlatch and Charity: Notes on the Heroic in Beowulf’ in Nicholson, L.E. and </w:t>
      </w:r>
      <w:proofErr w:type="spellStart"/>
      <w:r>
        <w:t>Frese</w:t>
      </w:r>
      <w:proofErr w:type="spellEnd"/>
      <w:r>
        <w:t xml:space="preserve">, D.W., ed. </w:t>
      </w:r>
      <w:r w:rsidRPr="002C0B7B">
        <w:rPr>
          <w:i/>
        </w:rPr>
        <w:t>Anglo-Saxon Poetry: Essays in appreciation</w:t>
      </w:r>
      <w:r>
        <w:t xml:space="preserve"> (Notre Dame: University of Notre Dame Press, 1975) pp. 23-40</w:t>
      </w:r>
    </w:p>
    <w:p w14:paraId="54DBA6C2" w14:textId="77777777" w:rsidR="005A62D6" w:rsidRDefault="005A62D6" w:rsidP="005A62D6"/>
    <w:p w14:paraId="09994675" w14:textId="77777777" w:rsidR="005A62D6" w:rsidRDefault="005A62D6" w:rsidP="005A62D6">
      <w:r>
        <w:t>Duncan-</w:t>
      </w:r>
      <w:proofErr w:type="spellStart"/>
      <w:r>
        <w:t>Speath</w:t>
      </w:r>
      <w:proofErr w:type="spellEnd"/>
      <w:r>
        <w:t xml:space="preserve">, J., </w:t>
      </w:r>
      <w:r w:rsidRPr="002C0B7B">
        <w:rPr>
          <w:i/>
        </w:rPr>
        <w:t>Old English</w:t>
      </w:r>
      <w:r>
        <w:t xml:space="preserve"> Poetry, (New York: Gordian Press, 1967)</w:t>
      </w:r>
    </w:p>
    <w:p w14:paraId="5830B225" w14:textId="77777777" w:rsidR="005A62D6" w:rsidRDefault="005A62D6" w:rsidP="005A62D6"/>
    <w:p w14:paraId="5F2F25C2" w14:textId="77777777" w:rsidR="005A62D6" w:rsidRDefault="005A62D6" w:rsidP="005A62D6">
      <w:r>
        <w:t xml:space="preserve">Fell, C., ‘Perceptions of transience’ in </w:t>
      </w:r>
      <w:r w:rsidRPr="002C0B7B">
        <w:rPr>
          <w:i/>
        </w:rPr>
        <w:t>The Cambridge Companion to Old English Literature</w:t>
      </w:r>
      <w:r>
        <w:t xml:space="preserve">, Godden, M. and </w:t>
      </w:r>
      <w:proofErr w:type="spellStart"/>
      <w:r>
        <w:t>Lapidge</w:t>
      </w:r>
      <w:proofErr w:type="spellEnd"/>
      <w:r>
        <w:t>, M. eds (Cambridge: Cambridge University Press 2005) pp. 172-189</w:t>
      </w:r>
    </w:p>
    <w:p w14:paraId="2EC86808" w14:textId="77777777" w:rsidR="005A62D6" w:rsidRDefault="005A62D6" w:rsidP="005A62D6"/>
    <w:p w14:paraId="594BCB9A" w14:textId="77777777" w:rsidR="005A62D6" w:rsidRDefault="005A62D6" w:rsidP="005A62D6">
      <w:r>
        <w:t xml:space="preserve">Frank, R., ‘The Battle of Maldon and Heroic Literature’ in </w:t>
      </w:r>
      <w:r w:rsidRPr="002C0B7B">
        <w:rPr>
          <w:i/>
        </w:rPr>
        <w:t>The Battle of Maldon AD991</w:t>
      </w:r>
      <w:r>
        <w:t>, Scragg, D. ed. (Oxford: Basil Blackwell Ltd 1991) pp. 196-207</w:t>
      </w:r>
    </w:p>
    <w:p w14:paraId="4BCEC4D6" w14:textId="77777777" w:rsidR="005A62D6" w:rsidRDefault="005A62D6" w:rsidP="005A62D6"/>
    <w:p w14:paraId="5662232D" w14:textId="77777777" w:rsidR="005A62D6" w:rsidRDefault="005A62D6" w:rsidP="005A62D6">
      <w:r>
        <w:t xml:space="preserve">Frank, R., ‘The Battle of Maldon. It’s reception 1726-1906’ in Damico, H. and </w:t>
      </w:r>
      <w:proofErr w:type="spellStart"/>
      <w:r>
        <w:t>Leyerle</w:t>
      </w:r>
      <w:proofErr w:type="spellEnd"/>
      <w:r>
        <w:t xml:space="preserve">, J., ed. </w:t>
      </w:r>
      <w:r w:rsidRPr="002C0B7B">
        <w:rPr>
          <w:i/>
        </w:rPr>
        <w:t>Heroic Poetry in the Anglo-Saxon Period</w:t>
      </w:r>
      <w:r>
        <w:t>, (Michigan: Medieval Institute Publications, 1993) pp. 29-38</w:t>
      </w:r>
    </w:p>
    <w:p w14:paraId="0DEC6299" w14:textId="77777777" w:rsidR="005A62D6" w:rsidRDefault="005A62D6" w:rsidP="005A62D6"/>
    <w:p w14:paraId="408F349D" w14:textId="77777777" w:rsidR="005A62D6" w:rsidRDefault="005A62D6" w:rsidP="005A62D6">
      <w:proofErr w:type="spellStart"/>
      <w:r>
        <w:t>Hieatt</w:t>
      </w:r>
      <w:proofErr w:type="spellEnd"/>
      <w:r>
        <w:t xml:space="preserve">, C.B., ‘Beowulf’s last words vs </w:t>
      </w:r>
      <w:proofErr w:type="spellStart"/>
      <w:r>
        <w:t>Bothvar</w:t>
      </w:r>
      <w:proofErr w:type="spellEnd"/>
      <w:r>
        <w:t xml:space="preserve"> </w:t>
      </w:r>
      <w:proofErr w:type="spellStart"/>
      <w:r>
        <w:t>Bjarki’s</w:t>
      </w:r>
      <w:proofErr w:type="spellEnd"/>
      <w:r>
        <w:t xml:space="preserve">: How the Hero faces his God’ in Damico, H. and </w:t>
      </w:r>
      <w:proofErr w:type="spellStart"/>
      <w:r>
        <w:t>Leyerle</w:t>
      </w:r>
      <w:proofErr w:type="spellEnd"/>
      <w:r>
        <w:t xml:space="preserve">, J., ed. </w:t>
      </w:r>
      <w:r w:rsidRPr="002C0B7B">
        <w:rPr>
          <w:i/>
        </w:rPr>
        <w:t>Heroic Poetry in the Anglo-Saxon Period</w:t>
      </w:r>
      <w:r>
        <w:t>, (Michigan: Medieval Institute Publications, 1993) pp. 403-419</w:t>
      </w:r>
    </w:p>
    <w:p w14:paraId="50E24B3E" w14:textId="77777777" w:rsidR="005A62D6" w:rsidRDefault="005A62D6" w:rsidP="005A62D6"/>
    <w:p w14:paraId="146D6C0F" w14:textId="77777777" w:rsidR="005A62D6" w:rsidRDefault="005A62D6" w:rsidP="005A62D6">
      <w:r>
        <w:t xml:space="preserve">Hill, T.D., ‘History and the Heroic Ethic in Maldon’ in </w:t>
      </w:r>
      <w:proofErr w:type="spellStart"/>
      <w:r w:rsidRPr="002C0B7B">
        <w:rPr>
          <w:i/>
        </w:rPr>
        <w:t>Neophilologus</w:t>
      </w:r>
      <w:proofErr w:type="spellEnd"/>
      <w:r>
        <w:t>, Vol 54, (1970), pp. 291-296</w:t>
      </w:r>
    </w:p>
    <w:p w14:paraId="44D72975" w14:textId="77777777" w:rsidR="005A62D6" w:rsidRDefault="005A62D6" w:rsidP="005A62D6"/>
    <w:p w14:paraId="0D5E3537" w14:textId="77777777" w:rsidR="005A62D6" w:rsidRDefault="005A62D6" w:rsidP="005A62D6">
      <w:proofErr w:type="spellStart"/>
      <w:r>
        <w:t>Huppe</w:t>
      </w:r>
      <w:proofErr w:type="spellEnd"/>
      <w:r>
        <w:t xml:space="preserve">, B.F., ‘The Concept of the Hero in the Early Middle Ages’ in </w:t>
      </w:r>
      <w:r w:rsidRPr="002C0B7B">
        <w:rPr>
          <w:i/>
        </w:rPr>
        <w:t>Concepts of the Hero in the Middle Ages and the Renaissance</w:t>
      </w:r>
      <w:r>
        <w:t>, Burns, N.T. and Reagan, C.T. eds. (Albany: State University of New York Press, 1975) pp. 1-26</w:t>
      </w:r>
    </w:p>
    <w:p w14:paraId="722C2BEF" w14:textId="77777777" w:rsidR="005A62D6" w:rsidRDefault="005A62D6" w:rsidP="005A62D6"/>
    <w:p w14:paraId="239E6F6E" w14:textId="77777777" w:rsidR="005A62D6" w:rsidRDefault="005A62D6" w:rsidP="005A62D6">
      <w:r>
        <w:t xml:space="preserve">Irving Jr, E.B., ‘Heroic role-models” Beowulf and Others’ in Damico, H. and </w:t>
      </w:r>
      <w:proofErr w:type="spellStart"/>
      <w:r>
        <w:t>Leyerle</w:t>
      </w:r>
      <w:proofErr w:type="spellEnd"/>
      <w:r>
        <w:t xml:space="preserve">, J., ed. </w:t>
      </w:r>
      <w:r w:rsidRPr="002C0B7B">
        <w:rPr>
          <w:i/>
        </w:rPr>
        <w:t>Heroic Poetry in the Anglo-Saxon Period</w:t>
      </w:r>
      <w:r>
        <w:t>, (Michigan: Medieval Institute Publications, 1993) pp. 347-370</w:t>
      </w:r>
    </w:p>
    <w:p w14:paraId="10258F54" w14:textId="77777777" w:rsidR="005A62D6" w:rsidRDefault="005A62D6" w:rsidP="005A62D6"/>
    <w:p w14:paraId="0BF83E1E" w14:textId="77777777" w:rsidR="005A62D6" w:rsidRDefault="005A62D6" w:rsidP="005A62D6">
      <w:r>
        <w:t xml:space="preserve">Ker, W.P., </w:t>
      </w:r>
      <w:r w:rsidRPr="002C0B7B">
        <w:rPr>
          <w:i/>
        </w:rPr>
        <w:t>Epic and Romance: Essays on Medieval Literature</w:t>
      </w:r>
      <w:r>
        <w:t>, (New York: Dover Publications Inc, 1957)</w:t>
      </w:r>
    </w:p>
    <w:p w14:paraId="4D73CC01" w14:textId="77777777" w:rsidR="005A62D6" w:rsidRDefault="005A62D6" w:rsidP="005A62D6"/>
    <w:p w14:paraId="6E662AA9" w14:textId="77777777" w:rsidR="005A62D6" w:rsidRDefault="005A62D6" w:rsidP="005A62D6">
      <w:r>
        <w:t xml:space="preserve">Leiter, L.H., ‘The Dream of the Rood: Patterns of Transformation’ in Creed, R.P., ed. </w:t>
      </w:r>
      <w:r w:rsidRPr="002C0B7B">
        <w:rPr>
          <w:i/>
        </w:rPr>
        <w:t>Old English Poetry, Fifteen Essays</w:t>
      </w:r>
      <w:r>
        <w:t>, (Rhode Island: Brown University Press, 1967) pp. 93-127</w:t>
      </w:r>
    </w:p>
    <w:p w14:paraId="607F8F9A" w14:textId="77777777" w:rsidR="005A62D6" w:rsidRDefault="005A62D6" w:rsidP="005A62D6"/>
    <w:p w14:paraId="18B4EAAD" w14:textId="77777777" w:rsidR="005A62D6" w:rsidRDefault="005A62D6" w:rsidP="005A62D6"/>
    <w:p w14:paraId="6F9BBF9E" w14:textId="77777777" w:rsidR="005A62D6" w:rsidRDefault="005A62D6" w:rsidP="005A62D6">
      <w:r>
        <w:t xml:space="preserve">Marsden, R., </w:t>
      </w:r>
      <w:r w:rsidRPr="002C0B7B">
        <w:rPr>
          <w:i/>
        </w:rPr>
        <w:t>The Cambridge Old English Reader</w:t>
      </w:r>
      <w:r>
        <w:t>, (Cambridge: Cambridge University Press, 2004)</w:t>
      </w:r>
    </w:p>
    <w:p w14:paraId="45130942" w14:textId="77777777" w:rsidR="005A62D6" w:rsidRDefault="005A62D6" w:rsidP="005A62D6"/>
    <w:p w14:paraId="0657025F" w14:textId="77777777" w:rsidR="005A62D6" w:rsidRDefault="005A62D6" w:rsidP="005A62D6">
      <w:proofErr w:type="spellStart"/>
      <w:r>
        <w:t>Matto</w:t>
      </w:r>
      <w:proofErr w:type="spellEnd"/>
      <w:r>
        <w:t xml:space="preserve">, M., ‘A War of Containment: The Heroic Image in The Battle of Maldon’ in </w:t>
      </w:r>
      <w:proofErr w:type="spellStart"/>
      <w:r w:rsidRPr="002C0B7B">
        <w:rPr>
          <w:i/>
        </w:rPr>
        <w:t>Studia</w:t>
      </w:r>
      <w:proofErr w:type="spellEnd"/>
      <w:r w:rsidRPr="002C0B7B">
        <w:rPr>
          <w:i/>
        </w:rPr>
        <w:t xml:space="preserve"> </w:t>
      </w:r>
      <w:proofErr w:type="spellStart"/>
      <w:r w:rsidRPr="002C0B7B">
        <w:rPr>
          <w:i/>
        </w:rPr>
        <w:t>Neophilologica</w:t>
      </w:r>
      <w:proofErr w:type="spellEnd"/>
      <w:r>
        <w:t>, Vol 74, (2002) pp.60-75</w:t>
      </w:r>
    </w:p>
    <w:p w14:paraId="53029E5F" w14:textId="77777777" w:rsidR="005A62D6" w:rsidRDefault="005A62D6" w:rsidP="005A62D6"/>
    <w:p w14:paraId="268294A1" w14:textId="77777777" w:rsidR="005A62D6" w:rsidRDefault="005A62D6" w:rsidP="005A62D6">
      <w:r>
        <w:t xml:space="preserve">Niles, J.D., ‘Pagan survivals and popular belief’ in </w:t>
      </w:r>
      <w:r w:rsidRPr="002C0B7B">
        <w:rPr>
          <w:i/>
        </w:rPr>
        <w:t>The Cambridge Companion to Old English Literature</w:t>
      </w:r>
      <w:r>
        <w:t xml:space="preserve">, Godden, M. and </w:t>
      </w:r>
      <w:proofErr w:type="spellStart"/>
      <w:r>
        <w:t>Lapidge</w:t>
      </w:r>
      <w:proofErr w:type="spellEnd"/>
      <w:r>
        <w:t>, M. eds. (Cambridge: Cambridge University Press, 2005) pp. 126-141</w:t>
      </w:r>
    </w:p>
    <w:p w14:paraId="7A8CB076" w14:textId="77777777" w:rsidR="005A62D6" w:rsidRDefault="005A62D6" w:rsidP="005A62D6"/>
    <w:p w14:paraId="025AA61E" w14:textId="77777777" w:rsidR="005A62D6" w:rsidRDefault="005A62D6" w:rsidP="005A62D6">
      <w:r>
        <w:t xml:space="preserve">O’Brien O’Keeffe K., ‘Heroic Values and Christian Ethics’ in </w:t>
      </w:r>
      <w:r w:rsidRPr="002C0B7B">
        <w:rPr>
          <w:i/>
        </w:rPr>
        <w:t>The Cambridge Companion to Old English Literature</w:t>
      </w:r>
      <w:r>
        <w:t xml:space="preserve">, Godden, M. and </w:t>
      </w:r>
      <w:proofErr w:type="spellStart"/>
      <w:r>
        <w:t>Lapidge</w:t>
      </w:r>
      <w:proofErr w:type="spellEnd"/>
      <w:r>
        <w:t>, M. eds. (Cambridge: Cambridge University Press, 2005) pp. 107-125</w:t>
      </w:r>
    </w:p>
    <w:p w14:paraId="6AA37B20" w14:textId="77777777" w:rsidR="005A62D6" w:rsidRDefault="005A62D6" w:rsidP="005A62D6"/>
    <w:p w14:paraId="1CB77D9B" w14:textId="77777777" w:rsidR="005A62D6" w:rsidRDefault="005A62D6" w:rsidP="005A62D6">
      <w:r>
        <w:t xml:space="preserve">Parks, W., </w:t>
      </w:r>
      <w:r w:rsidRPr="002C0B7B">
        <w:rPr>
          <w:i/>
        </w:rPr>
        <w:t xml:space="preserve">Verbal </w:t>
      </w:r>
      <w:proofErr w:type="spellStart"/>
      <w:r w:rsidRPr="002C0B7B">
        <w:rPr>
          <w:i/>
        </w:rPr>
        <w:t>Dueling</w:t>
      </w:r>
      <w:proofErr w:type="spellEnd"/>
      <w:r w:rsidRPr="002C0B7B">
        <w:rPr>
          <w:i/>
        </w:rPr>
        <w:t xml:space="preserve"> in Heroic Narrative: The Homeric and Old English Traditions</w:t>
      </w:r>
      <w:r>
        <w:t>, (Princeton: Princeton University Press, 1990)</w:t>
      </w:r>
    </w:p>
    <w:p w14:paraId="465A5AE8" w14:textId="77777777" w:rsidR="005A62D6" w:rsidRDefault="005A62D6" w:rsidP="005A62D6"/>
    <w:p w14:paraId="135E4795" w14:textId="77777777" w:rsidR="005A62D6" w:rsidRDefault="005A62D6" w:rsidP="005A62D6">
      <w:r>
        <w:t xml:space="preserve">Pope, J.C., ‘Offa in The Battle of Maldon’ in Damico, H. and </w:t>
      </w:r>
      <w:proofErr w:type="spellStart"/>
      <w:r>
        <w:t>Leyerle</w:t>
      </w:r>
      <w:proofErr w:type="spellEnd"/>
      <w:r>
        <w:t xml:space="preserve">, J., ed. </w:t>
      </w:r>
      <w:r w:rsidRPr="002C0B7B">
        <w:rPr>
          <w:i/>
        </w:rPr>
        <w:t>Heroic Poetry in the Anglo-Saxon Period</w:t>
      </w:r>
      <w:r>
        <w:t>, (Michigan: Medieval Institute Publications, 1993) pp. 1-22</w:t>
      </w:r>
    </w:p>
    <w:p w14:paraId="22ECD5AE" w14:textId="77777777" w:rsidR="005A62D6" w:rsidRDefault="005A62D6" w:rsidP="005A62D6"/>
    <w:p w14:paraId="72CE30AD" w14:textId="77777777" w:rsidR="005A62D6" w:rsidRDefault="005A62D6" w:rsidP="005A62D6">
      <w:r>
        <w:t xml:space="preserve">Schwab. U., ‘The Battle of Maldon: A Memorial Poem’ in </w:t>
      </w:r>
      <w:r w:rsidRPr="002C0B7B">
        <w:rPr>
          <w:i/>
        </w:rPr>
        <w:t>The Battle of Maldon, Fiction and Fact</w:t>
      </w:r>
      <w:r>
        <w:t>, Cooper, J. ed. (London: The Hambleton Press, 1993) pp. 63-85</w:t>
      </w:r>
    </w:p>
    <w:p w14:paraId="6B2E4D17" w14:textId="77777777" w:rsidR="005A62D6" w:rsidRDefault="005A62D6" w:rsidP="005A62D6"/>
    <w:p w14:paraId="6A504917" w14:textId="77777777" w:rsidR="005A62D6" w:rsidRDefault="005A62D6" w:rsidP="005A62D6">
      <w:r>
        <w:t xml:space="preserve">Scragg, D.G., </w:t>
      </w:r>
      <w:r w:rsidRPr="002C0B7B">
        <w:rPr>
          <w:i/>
        </w:rPr>
        <w:t>The Battle of Maldon</w:t>
      </w:r>
      <w:r>
        <w:t>, (Manchester: Manchester University Press, 1981)</w:t>
      </w:r>
    </w:p>
    <w:p w14:paraId="2510DA30" w14:textId="77777777" w:rsidR="005A62D6" w:rsidRDefault="005A62D6" w:rsidP="005A62D6"/>
    <w:p w14:paraId="128F2D52" w14:textId="77777777" w:rsidR="005A62D6" w:rsidRDefault="005A62D6" w:rsidP="005A62D6">
      <w:r>
        <w:t>Scragg, D.G., ‘The Battle of Maldon’, in T</w:t>
      </w:r>
      <w:r w:rsidRPr="002C0B7B">
        <w:rPr>
          <w:i/>
        </w:rPr>
        <w:t>he Battle of Maldon AD991</w:t>
      </w:r>
      <w:r>
        <w:t xml:space="preserve">, Scragg, D. ed. (Oxford: Basil Blackwell Ltd 1991) </w:t>
      </w:r>
    </w:p>
    <w:p w14:paraId="19CA5A04" w14:textId="77777777" w:rsidR="005A62D6" w:rsidRDefault="005A62D6" w:rsidP="005A62D6"/>
    <w:p w14:paraId="02EBF9EA" w14:textId="77777777" w:rsidR="005A62D6" w:rsidRDefault="005A62D6" w:rsidP="005A62D6">
      <w:proofErr w:type="spellStart"/>
      <w:r>
        <w:t>Shippey</w:t>
      </w:r>
      <w:proofErr w:type="spellEnd"/>
      <w:r>
        <w:t xml:space="preserve">, T.A., </w:t>
      </w:r>
      <w:r w:rsidRPr="002C0B7B">
        <w:rPr>
          <w:i/>
        </w:rPr>
        <w:t>Old English Verse</w:t>
      </w:r>
      <w:r>
        <w:t>, (London: Hutchinson University Library, 1972)</w:t>
      </w:r>
    </w:p>
    <w:p w14:paraId="31DF2ACC" w14:textId="77777777" w:rsidR="005A62D6" w:rsidRDefault="005A62D6" w:rsidP="005A62D6"/>
    <w:p w14:paraId="5979B511" w14:textId="77777777" w:rsidR="005A62D6" w:rsidRDefault="005A62D6" w:rsidP="005A62D6">
      <w:r>
        <w:t xml:space="preserve">Stuart, H., ‘The meaning of Maldon’ in </w:t>
      </w:r>
      <w:proofErr w:type="spellStart"/>
      <w:r w:rsidRPr="002C0B7B">
        <w:rPr>
          <w:i/>
        </w:rPr>
        <w:t>Neophilologus</w:t>
      </w:r>
      <w:proofErr w:type="spellEnd"/>
      <w:r>
        <w:t>, Vol 66, (1982), pp. 126-139</w:t>
      </w:r>
    </w:p>
    <w:p w14:paraId="2D243FAB" w14:textId="77777777" w:rsidR="005A62D6" w:rsidRDefault="005A62D6" w:rsidP="005A62D6"/>
    <w:p w14:paraId="62AB4B93" w14:textId="77777777" w:rsidR="005A62D6" w:rsidRDefault="005A62D6" w:rsidP="005A62D6">
      <w:r>
        <w:t xml:space="preserve">Swanton, M., ed. </w:t>
      </w:r>
      <w:r w:rsidRPr="002C0B7B">
        <w:rPr>
          <w:i/>
        </w:rPr>
        <w:t>Beowulf</w:t>
      </w:r>
      <w:r>
        <w:t xml:space="preserve"> (Revised edition), (Manchester: Manchester University Press, 1997)</w:t>
      </w:r>
    </w:p>
    <w:p w14:paraId="607F390A" w14:textId="77777777" w:rsidR="005A62D6" w:rsidRDefault="005A62D6" w:rsidP="005A62D6"/>
    <w:p w14:paraId="0BBC3164" w14:textId="77777777" w:rsidR="005A62D6" w:rsidRDefault="005A62D6" w:rsidP="005A62D6">
      <w:r>
        <w:t xml:space="preserve">Wardle, E.E., </w:t>
      </w:r>
      <w:r w:rsidRPr="002C0B7B">
        <w:rPr>
          <w:i/>
        </w:rPr>
        <w:t>Chapters on Old English Literature</w:t>
      </w:r>
      <w:r>
        <w:t xml:space="preserve">, (London: Kegan Paul, </w:t>
      </w:r>
      <w:proofErr w:type="spellStart"/>
      <w:r>
        <w:t>Grench</w:t>
      </w:r>
      <w:proofErr w:type="spellEnd"/>
      <w:r>
        <w:t xml:space="preserve"> </w:t>
      </w:r>
      <w:proofErr w:type="spellStart"/>
      <w:r>
        <w:t>Trubrier</w:t>
      </w:r>
      <w:proofErr w:type="spellEnd"/>
      <w:r>
        <w:t xml:space="preserve"> &amp; Co, 1935)</w:t>
      </w:r>
    </w:p>
    <w:p w14:paraId="4DBF8D5D" w14:textId="77777777" w:rsidR="005A62D6" w:rsidRDefault="005A62D6" w:rsidP="005A62D6"/>
    <w:p w14:paraId="489EFFED" w14:textId="77777777" w:rsidR="005A62D6" w:rsidRDefault="005A62D6" w:rsidP="005A62D6">
      <w:r>
        <w:t xml:space="preserve">Woolf, R., ‘The ideal of men dying with their Lord in the Germania and in The Battle of Maldon’ in </w:t>
      </w:r>
      <w:r w:rsidRPr="002C0B7B">
        <w:rPr>
          <w:i/>
        </w:rPr>
        <w:t>Anglo-Saxon England</w:t>
      </w:r>
      <w:r>
        <w:t>, Vol 5, (1976), pp. 63-81</w:t>
      </w:r>
    </w:p>
    <w:p w14:paraId="16CD0A75" w14:textId="77777777" w:rsidR="005A62D6" w:rsidRDefault="005A62D6" w:rsidP="005A62D6"/>
    <w:p w14:paraId="5316D86F" w14:textId="77777777" w:rsidR="005A62D6" w:rsidRDefault="005A62D6" w:rsidP="005A62D6">
      <w:r>
        <w:t xml:space="preserve">Wormald, P., ‘Anglo-Saxon society and its literature’ in </w:t>
      </w:r>
      <w:r w:rsidRPr="002C0B7B">
        <w:rPr>
          <w:i/>
        </w:rPr>
        <w:t>The Cambridge Companion to Old English Literature</w:t>
      </w:r>
      <w:r>
        <w:t xml:space="preserve">, Godden, M. and </w:t>
      </w:r>
      <w:proofErr w:type="spellStart"/>
      <w:r>
        <w:t>Lapidge</w:t>
      </w:r>
      <w:proofErr w:type="spellEnd"/>
      <w:r>
        <w:t>, M. eds. (Cambridge: Cambridge University Press, 2005) pp. 1-23</w:t>
      </w:r>
    </w:p>
    <w:p w14:paraId="2E7A016D" w14:textId="77777777" w:rsidR="005A62D6" w:rsidRDefault="005A62D6" w:rsidP="005A62D6"/>
    <w:p w14:paraId="024B8F39" w14:textId="18DD7A80" w:rsidR="005A62D6" w:rsidRDefault="005A62D6" w:rsidP="00522430">
      <w:r>
        <w:t xml:space="preserve">Wrenn, C.L., </w:t>
      </w:r>
      <w:r w:rsidRPr="002C0B7B">
        <w:rPr>
          <w:i/>
        </w:rPr>
        <w:t>A study in Old English Literature</w:t>
      </w:r>
      <w:r>
        <w:t xml:space="preserve">, (London: George G </w:t>
      </w:r>
      <w:proofErr w:type="spellStart"/>
      <w:r>
        <w:t>Harrap</w:t>
      </w:r>
      <w:proofErr w:type="spellEnd"/>
      <w:r>
        <w:t xml:space="preserve"> &amp; Co Ltd, 1967)</w:t>
      </w:r>
    </w:p>
    <w:sectPr w:rsidR="005A62D6" w:rsidSect="0001683F">
      <w:headerReference w:type="default" r:id="rId8"/>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D3A5BE1" w14:textId="77777777" w:rsidR="004D6699" w:rsidRDefault="004D6699" w:rsidP="00780DAE">
      <w:r>
        <w:separator/>
      </w:r>
    </w:p>
  </w:endnote>
  <w:endnote w:type="continuationSeparator" w:id="0">
    <w:p w14:paraId="5F52596E" w14:textId="77777777" w:rsidR="004D6699" w:rsidRDefault="004D6699" w:rsidP="00780DA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1C7D862" w14:textId="77777777" w:rsidR="004D6699" w:rsidRDefault="004D6699" w:rsidP="00780DAE">
      <w:r>
        <w:separator/>
      </w:r>
    </w:p>
  </w:footnote>
  <w:footnote w:type="continuationSeparator" w:id="0">
    <w:p w14:paraId="7200674A" w14:textId="77777777" w:rsidR="004D6699" w:rsidRDefault="004D6699" w:rsidP="00780DAE">
      <w:r>
        <w:continuationSeparator/>
      </w:r>
    </w:p>
  </w:footnote>
  <w:footnote w:id="1">
    <w:p w14:paraId="5546AD35" w14:textId="13FB5C25" w:rsidR="0058444E" w:rsidRPr="00EB059E" w:rsidRDefault="0058444E" w:rsidP="00C92BDF">
      <w:pPr>
        <w:rPr>
          <w:sz w:val="20"/>
          <w:szCs w:val="20"/>
        </w:rPr>
      </w:pPr>
      <w:r w:rsidRPr="00EB059E">
        <w:rPr>
          <w:rStyle w:val="FootnoteReference"/>
          <w:sz w:val="20"/>
          <w:szCs w:val="20"/>
        </w:rPr>
        <w:footnoteRef/>
      </w:r>
      <w:r w:rsidRPr="00EB059E">
        <w:rPr>
          <w:sz w:val="20"/>
          <w:szCs w:val="20"/>
        </w:rPr>
        <w:t xml:space="preserve"> </w:t>
      </w:r>
      <w:r w:rsidR="00201ED0" w:rsidRPr="00EB059E">
        <w:rPr>
          <w:sz w:val="20"/>
          <w:szCs w:val="20"/>
        </w:rPr>
        <w:t xml:space="preserve">M. Swanton, ed. </w:t>
      </w:r>
      <w:r w:rsidR="00201ED0" w:rsidRPr="00EB059E">
        <w:rPr>
          <w:i/>
          <w:iCs/>
          <w:sz w:val="20"/>
          <w:szCs w:val="20"/>
        </w:rPr>
        <w:t>Beowulf</w:t>
      </w:r>
      <w:r w:rsidR="00201ED0" w:rsidRPr="00EB059E">
        <w:rPr>
          <w:sz w:val="20"/>
          <w:szCs w:val="20"/>
        </w:rPr>
        <w:t xml:space="preserve"> (Revised edition), (Manchester: Manchester University Press, 1997)</w:t>
      </w:r>
      <w:r w:rsidR="00C92BDF" w:rsidRPr="00EB059E">
        <w:rPr>
          <w:sz w:val="20"/>
          <w:szCs w:val="20"/>
        </w:rPr>
        <w:t xml:space="preserve"> </w:t>
      </w:r>
      <w:r w:rsidRPr="00EB059E">
        <w:rPr>
          <w:sz w:val="20"/>
          <w:szCs w:val="20"/>
        </w:rPr>
        <w:t>p. 4</w:t>
      </w:r>
    </w:p>
  </w:footnote>
  <w:footnote w:id="2">
    <w:p w14:paraId="136F9EA0" w14:textId="6B05761B" w:rsidR="0058444E" w:rsidRPr="00EB059E" w:rsidRDefault="0058444E" w:rsidP="00C92BDF">
      <w:pPr>
        <w:rPr>
          <w:sz w:val="20"/>
          <w:szCs w:val="20"/>
        </w:rPr>
      </w:pPr>
      <w:r w:rsidRPr="00EB059E">
        <w:rPr>
          <w:rStyle w:val="FootnoteReference"/>
          <w:sz w:val="20"/>
          <w:szCs w:val="20"/>
        </w:rPr>
        <w:footnoteRef/>
      </w:r>
      <w:r w:rsidRPr="00EB059E">
        <w:rPr>
          <w:sz w:val="20"/>
          <w:szCs w:val="20"/>
        </w:rPr>
        <w:t xml:space="preserve"> </w:t>
      </w:r>
      <w:r w:rsidR="00E16622">
        <w:rPr>
          <w:sz w:val="20"/>
          <w:szCs w:val="20"/>
        </w:rPr>
        <w:t>Ibid</w:t>
      </w:r>
      <w:r w:rsidR="002C643C">
        <w:rPr>
          <w:sz w:val="20"/>
          <w:szCs w:val="20"/>
        </w:rPr>
        <w:t>.,</w:t>
      </w:r>
      <w:r w:rsidRPr="00EB059E">
        <w:rPr>
          <w:sz w:val="20"/>
          <w:szCs w:val="20"/>
        </w:rPr>
        <w:t xml:space="preserve"> p. 5</w:t>
      </w:r>
    </w:p>
  </w:footnote>
  <w:footnote w:id="3">
    <w:p w14:paraId="3C2527D5" w14:textId="08587912" w:rsidR="0058444E" w:rsidRPr="00EB059E" w:rsidRDefault="0058444E" w:rsidP="00C92BDF">
      <w:pPr>
        <w:rPr>
          <w:sz w:val="20"/>
          <w:szCs w:val="20"/>
        </w:rPr>
      </w:pPr>
      <w:r w:rsidRPr="00EB059E">
        <w:rPr>
          <w:rStyle w:val="FootnoteReference"/>
          <w:sz w:val="20"/>
          <w:szCs w:val="20"/>
        </w:rPr>
        <w:footnoteRef/>
      </w:r>
      <w:r w:rsidRPr="00EB059E">
        <w:rPr>
          <w:sz w:val="20"/>
          <w:szCs w:val="20"/>
        </w:rPr>
        <w:t xml:space="preserve"> </w:t>
      </w:r>
      <w:r w:rsidR="00E16622">
        <w:rPr>
          <w:sz w:val="20"/>
          <w:szCs w:val="20"/>
        </w:rPr>
        <w:t>Ibid</w:t>
      </w:r>
      <w:r w:rsidR="002C643C">
        <w:rPr>
          <w:sz w:val="20"/>
          <w:szCs w:val="20"/>
        </w:rPr>
        <w:t>.,</w:t>
      </w:r>
      <w:r w:rsidRPr="00EB059E">
        <w:rPr>
          <w:sz w:val="20"/>
          <w:szCs w:val="20"/>
        </w:rPr>
        <w:t xml:space="preserve"> p. 8</w:t>
      </w:r>
    </w:p>
  </w:footnote>
  <w:footnote w:id="4">
    <w:p w14:paraId="2A42B637" w14:textId="76244DD6" w:rsidR="00AF7F50" w:rsidRPr="00EB059E" w:rsidRDefault="00AF7F50" w:rsidP="00C92BDF">
      <w:pPr>
        <w:rPr>
          <w:sz w:val="20"/>
          <w:szCs w:val="20"/>
        </w:rPr>
      </w:pPr>
      <w:r w:rsidRPr="00EB059E">
        <w:rPr>
          <w:rStyle w:val="FootnoteReference"/>
          <w:sz w:val="20"/>
          <w:szCs w:val="20"/>
        </w:rPr>
        <w:footnoteRef/>
      </w:r>
      <w:r w:rsidRPr="00EB059E">
        <w:rPr>
          <w:sz w:val="20"/>
          <w:szCs w:val="20"/>
        </w:rPr>
        <w:t xml:space="preserve"> </w:t>
      </w:r>
      <w:r w:rsidR="00C53F8F" w:rsidRPr="00EB059E">
        <w:rPr>
          <w:sz w:val="20"/>
          <w:szCs w:val="20"/>
        </w:rPr>
        <w:t xml:space="preserve">T.A. </w:t>
      </w:r>
      <w:proofErr w:type="spellStart"/>
      <w:r w:rsidR="00C53F8F" w:rsidRPr="00EB059E">
        <w:rPr>
          <w:sz w:val="20"/>
          <w:szCs w:val="20"/>
        </w:rPr>
        <w:t>Shippey</w:t>
      </w:r>
      <w:proofErr w:type="spellEnd"/>
      <w:r w:rsidR="00C53F8F" w:rsidRPr="00EB059E">
        <w:rPr>
          <w:sz w:val="20"/>
          <w:szCs w:val="20"/>
        </w:rPr>
        <w:t xml:space="preserve">, </w:t>
      </w:r>
      <w:r w:rsidR="00C53F8F" w:rsidRPr="00EB059E">
        <w:rPr>
          <w:i/>
          <w:iCs/>
          <w:sz w:val="20"/>
          <w:szCs w:val="20"/>
        </w:rPr>
        <w:t>Old English Verse</w:t>
      </w:r>
      <w:r w:rsidR="00C53F8F" w:rsidRPr="00EB059E">
        <w:rPr>
          <w:sz w:val="20"/>
          <w:szCs w:val="20"/>
        </w:rPr>
        <w:t>, (London: Hutchinson University Library, 1972)</w:t>
      </w:r>
      <w:r w:rsidRPr="00EB059E">
        <w:rPr>
          <w:sz w:val="20"/>
          <w:szCs w:val="20"/>
        </w:rPr>
        <w:t xml:space="preserve"> p. 17</w:t>
      </w:r>
    </w:p>
  </w:footnote>
  <w:footnote w:id="5">
    <w:p w14:paraId="7361F222" w14:textId="69CB05C6" w:rsidR="00B42690" w:rsidRPr="00EB059E" w:rsidRDefault="00B42690" w:rsidP="00C92BDF">
      <w:pPr>
        <w:rPr>
          <w:sz w:val="20"/>
          <w:szCs w:val="20"/>
        </w:rPr>
      </w:pPr>
      <w:r w:rsidRPr="00EB059E">
        <w:rPr>
          <w:rStyle w:val="FootnoteReference"/>
          <w:sz w:val="20"/>
          <w:szCs w:val="20"/>
        </w:rPr>
        <w:footnoteRef/>
      </w:r>
      <w:r w:rsidRPr="00EB059E">
        <w:rPr>
          <w:sz w:val="20"/>
          <w:szCs w:val="20"/>
        </w:rPr>
        <w:t xml:space="preserve"> </w:t>
      </w:r>
      <w:r w:rsidR="00C92BDF" w:rsidRPr="00EB059E">
        <w:rPr>
          <w:sz w:val="20"/>
          <w:szCs w:val="20"/>
        </w:rPr>
        <w:t xml:space="preserve">R. Frank, ‘The Battle of Maldon and Heroic Literature’ in </w:t>
      </w:r>
      <w:r w:rsidR="00C92BDF" w:rsidRPr="00EB059E">
        <w:rPr>
          <w:i/>
          <w:iCs/>
          <w:sz w:val="20"/>
          <w:szCs w:val="20"/>
        </w:rPr>
        <w:t>The Battle of Maldon AD991</w:t>
      </w:r>
      <w:r w:rsidR="00C92BDF" w:rsidRPr="00EB059E">
        <w:rPr>
          <w:sz w:val="20"/>
          <w:szCs w:val="20"/>
        </w:rPr>
        <w:t>, D. Scragg, ed. (Oxford: Basil Blackwell Ltd 1991) pp. 196-207</w:t>
      </w:r>
      <w:r w:rsidRPr="00EB059E">
        <w:rPr>
          <w:sz w:val="20"/>
          <w:szCs w:val="20"/>
        </w:rPr>
        <w:t xml:space="preserve"> p. 199</w:t>
      </w:r>
    </w:p>
  </w:footnote>
  <w:footnote w:id="6">
    <w:p w14:paraId="145FB99D" w14:textId="40DC338F" w:rsidR="00F6192A" w:rsidRPr="00EB059E" w:rsidRDefault="00F6192A" w:rsidP="00C92BDF">
      <w:pPr>
        <w:rPr>
          <w:sz w:val="20"/>
          <w:szCs w:val="20"/>
        </w:rPr>
      </w:pPr>
      <w:r w:rsidRPr="00EB059E">
        <w:rPr>
          <w:rStyle w:val="FootnoteReference"/>
          <w:sz w:val="20"/>
          <w:szCs w:val="20"/>
        </w:rPr>
        <w:footnoteRef/>
      </w:r>
      <w:r w:rsidRPr="00EB059E">
        <w:rPr>
          <w:sz w:val="20"/>
          <w:szCs w:val="20"/>
        </w:rPr>
        <w:t xml:space="preserve"> </w:t>
      </w:r>
      <w:r w:rsidR="00C92BDF" w:rsidRPr="00EB059E">
        <w:rPr>
          <w:sz w:val="20"/>
          <w:szCs w:val="20"/>
        </w:rPr>
        <w:t xml:space="preserve">C.L. Wrenn, </w:t>
      </w:r>
      <w:r w:rsidR="00C92BDF" w:rsidRPr="00EB059E">
        <w:rPr>
          <w:i/>
          <w:iCs/>
          <w:sz w:val="20"/>
          <w:szCs w:val="20"/>
        </w:rPr>
        <w:t>A study in Old English Literature</w:t>
      </w:r>
      <w:r w:rsidR="00C92BDF" w:rsidRPr="00EB059E">
        <w:rPr>
          <w:sz w:val="20"/>
          <w:szCs w:val="20"/>
        </w:rPr>
        <w:t xml:space="preserve">, (London: George G </w:t>
      </w:r>
      <w:proofErr w:type="spellStart"/>
      <w:r w:rsidR="00C92BDF" w:rsidRPr="00EB059E">
        <w:rPr>
          <w:sz w:val="20"/>
          <w:szCs w:val="20"/>
        </w:rPr>
        <w:t>Harrap</w:t>
      </w:r>
      <w:proofErr w:type="spellEnd"/>
      <w:r w:rsidR="00C92BDF" w:rsidRPr="00EB059E">
        <w:rPr>
          <w:sz w:val="20"/>
          <w:szCs w:val="20"/>
        </w:rPr>
        <w:t xml:space="preserve"> &amp; Co Ltd, 1967)</w:t>
      </w:r>
      <w:r w:rsidRPr="00EB059E">
        <w:rPr>
          <w:sz w:val="20"/>
          <w:szCs w:val="20"/>
        </w:rPr>
        <w:t xml:space="preserve"> p. 182</w:t>
      </w:r>
    </w:p>
  </w:footnote>
  <w:footnote w:id="7">
    <w:p w14:paraId="37606ACB" w14:textId="656D8F8D" w:rsidR="00F6192A" w:rsidRPr="00EB059E" w:rsidRDefault="00F6192A" w:rsidP="00F6192A">
      <w:pPr>
        <w:pStyle w:val="FootnoteText"/>
      </w:pPr>
      <w:r w:rsidRPr="00EB059E">
        <w:rPr>
          <w:rStyle w:val="FootnoteReference"/>
        </w:rPr>
        <w:footnoteRef/>
      </w:r>
      <w:r w:rsidRPr="00EB059E">
        <w:t xml:space="preserve"> </w:t>
      </w:r>
      <w:r w:rsidR="00DB3B49" w:rsidRPr="00EB059E">
        <w:t xml:space="preserve">P. Wormald, ‘Anglo-Saxon society and its literature’ in </w:t>
      </w:r>
      <w:r w:rsidR="00DB3B49" w:rsidRPr="00EB059E">
        <w:rPr>
          <w:i/>
          <w:iCs/>
        </w:rPr>
        <w:t>The Cambridge Companion to Old English Literature</w:t>
      </w:r>
      <w:r w:rsidR="00DB3B49" w:rsidRPr="00EB059E">
        <w:t xml:space="preserve">, M. Godden, and M. </w:t>
      </w:r>
      <w:proofErr w:type="spellStart"/>
      <w:r w:rsidR="00DB3B49" w:rsidRPr="00EB059E">
        <w:t>Lapidge</w:t>
      </w:r>
      <w:proofErr w:type="spellEnd"/>
      <w:r w:rsidR="00DB3B49" w:rsidRPr="00EB059E">
        <w:t>, eds. (Cambridge: Cambridge University Press, 2005) pp. 1-23</w:t>
      </w:r>
      <w:r w:rsidRPr="00EB059E">
        <w:t xml:space="preserve"> p. 15</w:t>
      </w:r>
    </w:p>
  </w:footnote>
  <w:footnote w:id="8">
    <w:p w14:paraId="08EDAE6A" w14:textId="5E22B81E" w:rsidR="00F6192A" w:rsidRPr="00EB059E" w:rsidRDefault="00F6192A" w:rsidP="00E16622">
      <w:pPr>
        <w:rPr>
          <w:sz w:val="20"/>
          <w:szCs w:val="20"/>
        </w:rPr>
      </w:pPr>
      <w:r w:rsidRPr="00EB059E">
        <w:rPr>
          <w:rStyle w:val="FootnoteReference"/>
          <w:sz w:val="20"/>
          <w:szCs w:val="20"/>
        </w:rPr>
        <w:footnoteRef/>
      </w:r>
      <w:r w:rsidRPr="00EB059E">
        <w:rPr>
          <w:sz w:val="20"/>
          <w:szCs w:val="20"/>
        </w:rPr>
        <w:t xml:space="preserve"> </w:t>
      </w:r>
      <w:r w:rsidR="00DB3B49" w:rsidRPr="00EB059E">
        <w:rPr>
          <w:sz w:val="20"/>
          <w:szCs w:val="20"/>
        </w:rPr>
        <w:t xml:space="preserve">C. M. </w:t>
      </w:r>
      <w:proofErr w:type="spellStart"/>
      <w:r w:rsidR="00DB3B49" w:rsidRPr="00EB059E">
        <w:rPr>
          <w:sz w:val="20"/>
          <w:szCs w:val="20"/>
        </w:rPr>
        <w:t>Bowra</w:t>
      </w:r>
      <w:proofErr w:type="spellEnd"/>
      <w:r w:rsidR="00DB3B49" w:rsidRPr="00EB059E">
        <w:rPr>
          <w:sz w:val="20"/>
          <w:szCs w:val="20"/>
        </w:rPr>
        <w:t xml:space="preserve">, </w:t>
      </w:r>
      <w:r w:rsidR="00DB3B49" w:rsidRPr="00EB059E">
        <w:rPr>
          <w:i/>
          <w:iCs/>
          <w:sz w:val="20"/>
          <w:szCs w:val="20"/>
        </w:rPr>
        <w:t>Heroic Poetry</w:t>
      </w:r>
      <w:r w:rsidR="00DB3B49" w:rsidRPr="00EB059E">
        <w:rPr>
          <w:sz w:val="20"/>
          <w:szCs w:val="20"/>
        </w:rPr>
        <w:t>, (London: Macmillan and Company Ltd, 1966)</w:t>
      </w:r>
      <w:r w:rsidR="00E16622">
        <w:rPr>
          <w:sz w:val="20"/>
          <w:szCs w:val="20"/>
        </w:rPr>
        <w:t xml:space="preserve"> </w:t>
      </w:r>
      <w:r w:rsidRPr="00EB059E">
        <w:rPr>
          <w:sz w:val="20"/>
          <w:szCs w:val="20"/>
        </w:rPr>
        <w:t>p. 388</w:t>
      </w:r>
    </w:p>
  </w:footnote>
  <w:footnote w:id="9">
    <w:p w14:paraId="17A37258" w14:textId="5470978D" w:rsidR="00F02E9F" w:rsidRPr="00EB059E" w:rsidRDefault="00F02E9F" w:rsidP="00E16622">
      <w:pPr>
        <w:rPr>
          <w:sz w:val="20"/>
          <w:szCs w:val="20"/>
        </w:rPr>
      </w:pPr>
      <w:r w:rsidRPr="00EB059E">
        <w:rPr>
          <w:rStyle w:val="FootnoteReference"/>
          <w:sz w:val="20"/>
          <w:szCs w:val="20"/>
        </w:rPr>
        <w:footnoteRef/>
      </w:r>
      <w:r w:rsidRPr="00EB059E">
        <w:rPr>
          <w:sz w:val="20"/>
          <w:szCs w:val="20"/>
        </w:rPr>
        <w:t xml:space="preserve"> </w:t>
      </w:r>
      <w:r w:rsidR="00E16622">
        <w:rPr>
          <w:sz w:val="20"/>
          <w:szCs w:val="20"/>
        </w:rPr>
        <w:t>Ibid</w:t>
      </w:r>
      <w:r w:rsidR="002C643C">
        <w:rPr>
          <w:sz w:val="20"/>
          <w:szCs w:val="20"/>
        </w:rPr>
        <w:t>.,</w:t>
      </w:r>
      <w:r w:rsidRPr="00EB059E">
        <w:rPr>
          <w:sz w:val="20"/>
          <w:szCs w:val="20"/>
        </w:rPr>
        <w:t xml:space="preserve"> p. 343</w:t>
      </w:r>
    </w:p>
  </w:footnote>
  <w:footnote w:id="10">
    <w:p w14:paraId="74666A10" w14:textId="770DDA3B" w:rsidR="00F02E9F" w:rsidRPr="00EB059E" w:rsidRDefault="00F02E9F" w:rsidP="00F02E9F">
      <w:pPr>
        <w:pStyle w:val="FootnoteText"/>
      </w:pPr>
      <w:r w:rsidRPr="00EB059E">
        <w:rPr>
          <w:rStyle w:val="FootnoteReference"/>
        </w:rPr>
        <w:footnoteRef/>
      </w:r>
      <w:r w:rsidRPr="00EB059E">
        <w:t xml:space="preserve"> </w:t>
      </w:r>
      <w:r w:rsidR="00DB3B49" w:rsidRPr="00EB059E">
        <w:t xml:space="preserve">R. Marsden, </w:t>
      </w:r>
      <w:r w:rsidR="00DB3B49" w:rsidRPr="00EB059E">
        <w:rPr>
          <w:i/>
          <w:iCs/>
        </w:rPr>
        <w:t>The Cambridge Old English Reader</w:t>
      </w:r>
      <w:r w:rsidR="00DB3B49" w:rsidRPr="00EB059E">
        <w:t>, (Cambridge: Cambridge University Press, 2004)</w:t>
      </w:r>
      <w:r w:rsidRPr="00EB059E">
        <w:t xml:space="preserve"> p. 252</w:t>
      </w:r>
    </w:p>
  </w:footnote>
  <w:footnote w:id="11">
    <w:p w14:paraId="17FFEEB0" w14:textId="1EE48E1C" w:rsidR="00F02E9F" w:rsidRDefault="00F02E9F" w:rsidP="00E16622">
      <w:r>
        <w:rPr>
          <w:rStyle w:val="FootnoteReference"/>
        </w:rPr>
        <w:footnoteRef/>
      </w:r>
      <w:r w:rsidR="00DB3B49" w:rsidRPr="00482F60">
        <w:rPr>
          <w:sz w:val="20"/>
          <w:szCs w:val="20"/>
        </w:rPr>
        <w:t xml:space="preserve"> </w:t>
      </w:r>
      <w:proofErr w:type="spellStart"/>
      <w:r w:rsidR="00DB3B49" w:rsidRPr="00482F60">
        <w:rPr>
          <w:sz w:val="20"/>
          <w:szCs w:val="20"/>
        </w:rPr>
        <w:t>Bowra</w:t>
      </w:r>
      <w:proofErr w:type="spellEnd"/>
      <w:r w:rsidR="00DB3B49" w:rsidRPr="00482F60">
        <w:rPr>
          <w:sz w:val="20"/>
          <w:szCs w:val="20"/>
        </w:rPr>
        <w:t xml:space="preserve">, </w:t>
      </w:r>
      <w:r w:rsidR="00DB3B49" w:rsidRPr="00482F60">
        <w:rPr>
          <w:i/>
          <w:iCs/>
          <w:sz w:val="20"/>
          <w:szCs w:val="20"/>
        </w:rPr>
        <w:t>Heroic Poetry</w:t>
      </w:r>
      <w:r w:rsidR="00DB3B49" w:rsidRPr="00E16622">
        <w:rPr>
          <w:sz w:val="20"/>
          <w:szCs w:val="20"/>
        </w:rPr>
        <w:t xml:space="preserve">, </w:t>
      </w:r>
      <w:r w:rsidRPr="00E16622">
        <w:rPr>
          <w:sz w:val="20"/>
          <w:szCs w:val="20"/>
        </w:rPr>
        <w:t>p. 343-344</w:t>
      </w:r>
    </w:p>
  </w:footnote>
  <w:footnote w:id="12">
    <w:p w14:paraId="5074879D" w14:textId="7E72E6C4" w:rsidR="00F02E9F" w:rsidRDefault="00F02E9F" w:rsidP="00E16622">
      <w:r>
        <w:rPr>
          <w:rStyle w:val="FootnoteReference"/>
        </w:rPr>
        <w:footnoteRef/>
      </w:r>
      <w:r>
        <w:t xml:space="preserve"> </w:t>
      </w:r>
      <w:r w:rsidR="00E16622">
        <w:rPr>
          <w:sz w:val="20"/>
          <w:szCs w:val="20"/>
        </w:rPr>
        <w:t>Ibid</w:t>
      </w:r>
      <w:r w:rsidR="002C643C">
        <w:rPr>
          <w:sz w:val="20"/>
          <w:szCs w:val="20"/>
        </w:rPr>
        <w:t>.</w:t>
      </w:r>
      <w:r w:rsidR="00E16622">
        <w:rPr>
          <w:sz w:val="20"/>
          <w:szCs w:val="20"/>
        </w:rPr>
        <w:t>,</w:t>
      </w:r>
      <w:r>
        <w:t xml:space="preserve"> </w:t>
      </w:r>
      <w:r w:rsidRPr="00E16622">
        <w:rPr>
          <w:sz w:val="20"/>
          <w:szCs w:val="20"/>
        </w:rPr>
        <w:t>p. 466</w:t>
      </w:r>
    </w:p>
  </w:footnote>
  <w:footnote w:id="13">
    <w:p w14:paraId="21837C49" w14:textId="157BA7F9" w:rsidR="00F02E9F" w:rsidRPr="00EE490C" w:rsidRDefault="00F02E9F" w:rsidP="00EE490C">
      <w:pPr>
        <w:rPr>
          <w:sz w:val="20"/>
          <w:szCs w:val="20"/>
        </w:rPr>
      </w:pPr>
      <w:r>
        <w:rPr>
          <w:rStyle w:val="FootnoteReference"/>
        </w:rPr>
        <w:footnoteRef/>
      </w:r>
      <w:r>
        <w:t xml:space="preserve"> </w:t>
      </w:r>
      <w:bookmarkStart w:id="6" w:name="_Hlk18043725"/>
      <w:r w:rsidR="00B61A41" w:rsidRPr="00482F60">
        <w:rPr>
          <w:sz w:val="20"/>
          <w:szCs w:val="20"/>
        </w:rPr>
        <w:t xml:space="preserve">K. O’Brien O’Keeffe ‘Heroic Values and Christian Ethics’ in </w:t>
      </w:r>
      <w:r w:rsidR="00B61A41" w:rsidRPr="00482F60">
        <w:rPr>
          <w:i/>
          <w:iCs/>
          <w:sz w:val="20"/>
          <w:szCs w:val="20"/>
        </w:rPr>
        <w:t>The Cambridge Companion to Old English Literature</w:t>
      </w:r>
      <w:r w:rsidR="00B61A41" w:rsidRPr="00482F60">
        <w:rPr>
          <w:sz w:val="20"/>
          <w:szCs w:val="20"/>
        </w:rPr>
        <w:t xml:space="preserve">, M. Godden, and M. </w:t>
      </w:r>
      <w:proofErr w:type="spellStart"/>
      <w:r w:rsidR="00B61A41" w:rsidRPr="00482F60">
        <w:rPr>
          <w:sz w:val="20"/>
          <w:szCs w:val="20"/>
        </w:rPr>
        <w:t>Lapidge</w:t>
      </w:r>
      <w:proofErr w:type="spellEnd"/>
      <w:r w:rsidR="00B61A41" w:rsidRPr="00482F60">
        <w:rPr>
          <w:sz w:val="20"/>
          <w:szCs w:val="20"/>
        </w:rPr>
        <w:t>, eds. (Cambridge: Cambridge University Press, 2005) pp. 107-125</w:t>
      </w:r>
      <w:bookmarkEnd w:id="6"/>
      <w:r w:rsidR="00EE490C">
        <w:rPr>
          <w:sz w:val="20"/>
          <w:szCs w:val="20"/>
        </w:rPr>
        <w:t xml:space="preserve"> </w:t>
      </w:r>
      <w:r w:rsidRPr="00EE490C">
        <w:rPr>
          <w:sz w:val="20"/>
          <w:szCs w:val="20"/>
        </w:rPr>
        <w:t>p. 117</w:t>
      </w:r>
    </w:p>
  </w:footnote>
  <w:footnote w:id="14">
    <w:p w14:paraId="4C43C5B9" w14:textId="2C6500C0" w:rsidR="00F02E9F" w:rsidRDefault="00F02E9F" w:rsidP="00E16622">
      <w:r>
        <w:rPr>
          <w:rStyle w:val="FootnoteReference"/>
        </w:rPr>
        <w:footnoteRef/>
      </w:r>
      <w:r>
        <w:t xml:space="preserve"> </w:t>
      </w:r>
      <w:proofErr w:type="spellStart"/>
      <w:r w:rsidR="00DB3B49" w:rsidRPr="00482F60">
        <w:rPr>
          <w:sz w:val="20"/>
          <w:szCs w:val="20"/>
        </w:rPr>
        <w:t>Bowra</w:t>
      </w:r>
      <w:proofErr w:type="spellEnd"/>
      <w:r w:rsidR="00DB3B49" w:rsidRPr="00482F60">
        <w:rPr>
          <w:sz w:val="20"/>
          <w:szCs w:val="20"/>
        </w:rPr>
        <w:t xml:space="preserve">, </w:t>
      </w:r>
      <w:r w:rsidR="00DB3B49" w:rsidRPr="00482F60">
        <w:rPr>
          <w:i/>
          <w:iCs/>
          <w:sz w:val="20"/>
          <w:szCs w:val="20"/>
        </w:rPr>
        <w:t>Heroic Poetry</w:t>
      </w:r>
      <w:r w:rsidR="00DB3B49" w:rsidRPr="00E16622">
        <w:rPr>
          <w:sz w:val="20"/>
          <w:szCs w:val="20"/>
        </w:rPr>
        <w:t xml:space="preserve">, </w:t>
      </w:r>
      <w:r w:rsidRPr="00E16622">
        <w:rPr>
          <w:sz w:val="20"/>
          <w:szCs w:val="20"/>
        </w:rPr>
        <w:t>p. 510-511</w:t>
      </w:r>
      <w:r>
        <w:t xml:space="preserve"> and </w:t>
      </w:r>
      <w:r w:rsidR="00DB3B49" w:rsidRPr="00482F60">
        <w:rPr>
          <w:sz w:val="20"/>
          <w:szCs w:val="20"/>
        </w:rPr>
        <w:t xml:space="preserve">D.G. Scragg, </w:t>
      </w:r>
      <w:r w:rsidR="00DB3B49" w:rsidRPr="00482F60">
        <w:rPr>
          <w:i/>
          <w:iCs/>
          <w:sz w:val="20"/>
          <w:szCs w:val="20"/>
        </w:rPr>
        <w:t>The Battle of Maldon</w:t>
      </w:r>
      <w:r w:rsidR="00DB3B49" w:rsidRPr="00482F60">
        <w:rPr>
          <w:sz w:val="20"/>
          <w:szCs w:val="20"/>
        </w:rPr>
        <w:t>, (Manchester: Manchester University Press, 1981</w:t>
      </w:r>
      <w:r w:rsidR="00DB3B49" w:rsidRPr="00E16622">
        <w:rPr>
          <w:sz w:val="20"/>
          <w:szCs w:val="20"/>
        </w:rPr>
        <w:t>)</w:t>
      </w:r>
      <w:r w:rsidRPr="00E16622">
        <w:rPr>
          <w:sz w:val="20"/>
          <w:szCs w:val="20"/>
        </w:rPr>
        <w:t xml:space="preserve"> p. 13</w:t>
      </w:r>
    </w:p>
  </w:footnote>
  <w:footnote w:id="15">
    <w:p w14:paraId="5F0535CD" w14:textId="26FF929D" w:rsidR="00F02E9F" w:rsidRDefault="00F02E9F" w:rsidP="00E16622">
      <w:r>
        <w:rPr>
          <w:rStyle w:val="FootnoteReference"/>
        </w:rPr>
        <w:footnoteRef/>
      </w:r>
      <w:r>
        <w:t xml:space="preserve"> </w:t>
      </w:r>
      <w:r w:rsidR="000B3598" w:rsidRPr="00482F60">
        <w:rPr>
          <w:sz w:val="20"/>
          <w:szCs w:val="20"/>
        </w:rPr>
        <w:t>O’Brien O’Keeffe ‘Heroic Values and Christian Ethics’</w:t>
      </w:r>
      <w:r>
        <w:t xml:space="preserve"> </w:t>
      </w:r>
      <w:r w:rsidRPr="00E16622">
        <w:rPr>
          <w:sz w:val="20"/>
          <w:szCs w:val="20"/>
        </w:rPr>
        <w:t>p</w:t>
      </w:r>
      <w:r w:rsidR="00E16622">
        <w:rPr>
          <w:sz w:val="20"/>
          <w:szCs w:val="20"/>
        </w:rPr>
        <w:t>.</w:t>
      </w:r>
      <w:r w:rsidRPr="00E16622">
        <w:rPr>
          <w:sz w:val="20"/>
          <w:szCs w:val="20"/>
        </w:rPr>
        <w:t xml:space="preserve"> 117</w:t>
      </w:r>
    </w:p>
  </w:footnote>
  <w:footnote w:id="16">
    <w:p w14:paraId="234D007A" w14:textId="1705FB75" w:rsidR="00D44FF5" w:rsidRDefault="00D44FF5" w:rsidP="00E16622">
      <w:r>
        <w:rPr>
          <w:rStyle w:val="FootnoteReference"/>
        </w:rPr>
        <w:footnoteRef/>
      </w:r>
      <w:r>
        <w:t xml:space="preserve"> </w:t>
      </w:r>
      <w:r w:rsidR="00B61A41" w:rsidRPr="00482F60">
        <w:rPr>
          <w:sz w:val="20"/>
          <w:szCs w:val="20"/>
        </w:rPr>
        <w:t xml:space="preserve">U. Schwab, ‘The Battle of Maldon: A Memorial Poem’ in </w:t>
      </w:r>
      <w:r w:rsidR="00B61A41" w:rsidRPr="00482F60">
        <w:rPr>
          <w:i/>
          <w:iCs/>
          <w:sz w:val="20"/>
          <w:szCs w:val="20"/>
        </w:rPr>
        <w:t>The Battle of Maldon, Fiction and Fact</w:t>
      </w:r>
      <w:r w:rsidR="00B61A41" w:rsidRPr="00482F60">
        <w:rPr>
          <w:sz w:val="20"/>
          <w:szCs w:val="20"/>
        </w:rPr>
        <w:t>, J. Cooper, ed. (London: The Hambleton Press, 1993)</w:t>
      </w:r>
      <w:r>
        <w:t xml:space="preserve"> </w:t>
      </w:r>
      <w:r w:rsidRPr="00E16622">
        <w:rPr>
          <w:sz w:val="20"/>
          <w:szCs w:val="20"/>
        </w:rPr>
        <w:t>p. 74</w:t>
      </w:r>
    </w:p>
  </w:footnote>
  <w:footnote w:id="17">
    <w:p w14:paraId="5C18200F" w14:textId="190BF8A6" w:rsidR="00D44FF5" w:rsidRDefault="00D44FF5" w:rsidP="00E16622">
      <w:r>
        <w:rPr>
          <w:rStyle w:val="FootnoteReference"/>
        </w:rPr>
        <w:footnoteRef/>
      </w:r>
      <w:r>
        <w:t xml:space="preserve"> </w:t>
      </w:r>
      <w:r w:rsidR="00E16622">
        <w:rPr>
          <w:sz w:val="20"/>
          <w:szCs w:val="20"/>
        </w:rPr>
        <w:t>Ibid</w:t>
      </w:r>
      <w:r w:rsidR="002C643C">
        <w:rPr>
          <w:sz w:val="20"/>
          <w:szCs w:val="20"/>
        </w:rPr>
        <w:t>.</w:t>
      </w:r>
      <w:r w:rsidR="00E16622">
        <w:rPr>
          <w:sz w:val="20"/>
          <w:szCs w:val="20"/>
        </w:rPr>
        <w:t>,</w:t>
      </w:r>
      <w:r>
        <w:t xml:space="preserve"> </w:t>
      </w:r>
      <w:r w:rsidRPr="00E16622">
        <w:rPr>
          <w:sz w:val="20"/>
          <w:szCs w:val="20"/>
        </w:rPr>
        <w:t>p. 80</w:t>
      </w:r>
    </w:p>
  </w:footnote>
  <w:footnote w:id="18">
    <w:p w14:paraId="2148C29F" w14:textId="5C9CCE71" w:rsidR="00F6192A" w:rsidRDefault="00F6192A" w:rsidP="002C643C">
      <w:r>
        <w:rPr>
          <w:rStyle w:val="FootnoteReference"/>
        </w:rPr>
        <w:footnoteRef/>
      </w:r>
      <w:r>
        <w:t xml:space="preserve"> </w:t>
      </w:r>
      <w:r w:rsidR="00C92BDF" w:rsidRPr="00482F60">
        <w:rPr>
          <w:sz w:val="20"/>
          <w:szCs w:val="20"/>
        </w:rPr>
        <w:t xml:space="preserve">Wrenn, </w:t>
      </w:r>
      <w:r w:rsidR="00C92BDF" w:rsidRPr="00482F60">
        <w:rPr>
          <w:i/>
          <w:iCs/>
          <w:sz w:val="20"/>
          <w:szCs w:val="20"/>
        </w:rPr>
        <w:t>A study in Old English Literature</w:t>
      </w:r>
      <w:r w:rsidR="000344D4">
        <w:rPr>
          <w:i/>
          <w:iCs/>
          <w:sz w:val="20"/>
          <w:szCs w:val="20"/>
        </w:rPr>
        <w:t xml:space="preserve"> </w:t>
      </w:r>
      <w:r w:rsidRPr="002C643C">
        <w:rPr>
          <w:sz w:val="20"/>
          <w:szCs w:val="20"/>
        </w:rPr>
        <w:t>p. 182-183</w:t>
      </w:r>
    </w:p>
  </w:footnote>
  <w:footnote w:id="19">
    <w:p w14:paraId="7F5F0462" w14:textId="7CA6BFB9" w:rsidR="00F6192A" w:rsidRPr="002C643C" w:rsidRDefault="00F6192A" w:rsidP="002C643C">
      <w:pPr>
        <w:rPr>
          <w:sz w:val="20"/>
          <w:szCs w:val="20"/>
        </w:rPr>
      </w:pPr>
      <w:r>
        <w:rPr>
          <w:rStyle w:val="FootnoteReference"/>
        </w:rPr>
        <w:footnoteRef/>
      </w:r>
      <w:r>
        <w:t xml:space="preserve"> </w:t>
      </w:r>
      <w:r w:rsidR="002C643C">
        <w:rPr>
          <w:sz w:val="20"/>
          <w:szCs w:val="20"/>
        </w:rPr>
        <w:t>Ibid.,</w:t>
      </w:r>
      <w:r>
        <w:t xml:space="preserve"> </w:t>
      </w:r>
      <w:r w:rsidRPr="002C643C">
        <w:rPr>
          <w:sz w:val="20"/>
          <w:szCs w:val="20"/>
        </w:rPr>
        <w:t>p. 184</w:t>
      </w:r>
    </w:p>
  </w:footnote>
  <w:footnote w:id="20">
    <w:p w14:paraId="25AEDFB0" w14:textId="48F724EE" w:rsidR="00C31FD2" w:rsidRPr="002C643C" w:rsidRDefault="00C31FD2" w:rsidP="002C643C">
      <w:pPr>
        <w:rPr>
          <w:sz w:val="20"/>
          <w:szCs w:val="20"/>
        </w:rPr>
      </w:pPr>
      <w:r w:rsidRPr="002C643C">
        <w:rPr>
          <w:rStyle w:val="FootnoteReference"/>
          <w:sz w:val="20"/>
          <w:szCs w:val="20"/>
        </w:rPr>
        <w:footnoteRef/>
      </w:r>
      <w:r w:rsidRPr="002C643C">
        <w:rPr>
          <w:sz w:val="20"/>
          <w:szCs w:val="20"/>
        </w:rPr>
        <w:t xml:space="preserve"> </w:t>
      </w:r>
      <w:r w:rsidR="002C643C" w:rsidRPr="002C643C">
        <w:rPr>
          <w:sz w:val="20"/>
          <w:szCs w:val="20"/>
        </w:rPr>
        <w:t>Ibid.,</w:t>
      </w:r>
      <w:r w:rsidRPr="002C643C">
        <w:rPr>
          <w:sz w:val="20"/>
          <w:szCs w:val="20"/>
        </w:rPr>
        <w:t xml:space="preserve"> p. 185</w:t>
      </w:r>
    </w:p>
  </w:footnote>
  <w:footnote w:id="21">
    <w:p w14:paraId="16EA94DE" w14:textId="7108364E" w:rsidR="008C3738" w:rsidRDefault="008C3738" w:rsidP="002C643C">
      <w:r>
        <w:rPr>
          <w:rStyle w:val="FootnoteReference"/>
        </w:rPr>
        <w:footnoteRef/>
      </w:r>
      <w:r>
        <w:t xml:space="preserve"> </w:t>
      </w:r>
      <w:proofErr w:type="spellStart"/>
      <w:r w:rsidR="00DB3B49" w:rsidRPr="00482F60">
        <w:rPr>
          <w:sz w:val="20"/>
          <w:szCs w:val="20"/>
        </w:rPr>
        <w:t>Bowra</w:t>
      </w:r>
      <w:proofErr w:type="spellEnd"/>
      <w:r w:rsidR="00DB3B49" w:rsidRPr="00482F60">
        <w:rPr>
          <w:sz w:val="20"/>
          <w:szCs w:val="20"/>
        </w:rPr>
        <w:t xml:space="preserve">, </w:t>
      </w:r>
      <w:r w:rsidR="00DB3B49" w:rsidRPr="00482F60">
        <w:rPr>
          <w:i/>
          <w:iCs/>
          <w:sz w:val="20"/>
          <w:szCs w:val="20"/>
        </w:rPr>
        <w:t>Heroic Poetry</w:t>
      </w:r>
      <w:r w:rsidR="00DB3B49" w:rsidRPr="00482F60">
        <w:rPr>
          <w:sz w:val="20"/>
          <w:szCs w:val="20"/>
        </w:rPr>
        <w:t xml:space="preserve">, </w:t>
      </w:r>
      <w:r w:rsidRPr="002C643C">
        <w:rPr>
          <w:sz w:val="20"/>
          <w:szCs w:val="20"/>
        </w:rPr>
        <w:t>p. 48</w:t>
      </w:r>
    </w:p>
  </w:footnote>
  <w:footnote w:id="22">
    <w:p w14:paraId="405DCD35" w14:textId="6A8FB578" w:rsidR="008C3738" w:rsidRDefault="008C3738" w:rsidP="002C643C">
      <w:r>
        <w:rPr>
          <w:rStyle w:val="FootnoteReference"/>
        </w:rPr>
        <w:footnoteRef/>
      </w:r>
      <w:r>
        <w:t xml:space="preserve"> </w:t>
      </w:r>
      <w:r w:rsidR="000B3598" w:rsidRPr="00482F60">
        <w:rPr>
          <w:sz w:val="20"/>
          <w:szCs w:val="20"/>
        </w:rPr>
        <w:t xml:space="preserve">O’Brien O’Keeffe ‘Heroic Values and Christian Ethics’ </w:t>
      </w:r>
      <w:r w:rsidRPr="002C643C">
        <w:rPr>
          <w:sz w:val="20"/>
          <w:szCs w:val="20"/>
        </w:rPr>
        <w:t>p. 109</w:t>
      </w:r>
    </w:p>
  </w:footnote>
  <w:footnote w:id="23">
    <w:p w14:paraId="5C5C4E15" w14:textId="04BD41C2" w:rsidR="00C31FD2" w:rsidRDefault="00C31FD2" w:rsidP="002C643C">
      <w:r>
        <w:rPr>
          <w:rStyle w:val="FootnoteReference"/>
        </w:rPr>
        <w:footnoteRef/>
      </w:r>
      <w:r>
        <w:t xml:space="preserve"> </w:t>
      </w:r>
      <w:r w:rsidR="00C92BDF" w:rsidRPr="00482F60">
        <w:rPr>
          <w:sz w:val="20"/>
          <w:szCs w:val="20"/>
        </w:rPr>
        <w:t xml:space="preserve">Wrenn, </w:t>
      </w:r>
      <w:r w:rsidR="00C92BDF" w:rsidRPr="00482F60">
        <w:rPr>
          <w:i/>
          <w:iCs/>
          <w:sz w:val="20"/>
          <w:szCs w:val="20"/>
        </w:rPr>
        <w:t>A study in Old English Literature</w:t>
      </w:r>
      <w:r w:rsidR="002C643C">
        <w:rPr>
          <w:i/>
          <w:iCs/>
          <w:sz w:val="20"/>
          <w:szCs w:val="20"/>
        </w:rPr>
        <w:t>,</w:t>
      </w:r>
      <w:r>
        <w:t xml:space="preserve"> </w:t>
      </w:r>
      <w:r w:rsidRPr="002C643C">
        <w:rPr>
          <w:sz w:val="20"/>
          <w:szCs w:val="20"/>
        </w:rPr>
        <w:t>p. 186</w:t>
      </w:r>
    </w:p>
  </w:footnote>
  <w:footnote w:id="24">
    <w:p w14:paraId="5C2C6580" w14:textId="2A6F43B1" w:rsidR="00C31FD2" w:rsidRPr="00EE490C" w:rsidRDefault="00C31FD2" w:rsidP="00EE490C">
      <w:pPr>
        <w:rPr>
          <w:sz w:val="20"/>
          <w:szCs w:val="20"/>
        </w:rPr>
      </w:pPr>
      <w:r>
        <w:rPr>
          <w:rStyle w:val="FootnoteReference"/>
        </w:rPr>
        <w:footnoteRef/>
      </w:r>
      <w:r>
        <w:t xml:space="preserve"> </w:t>
      </w:r>
      <w:r w:rsidR="00B61A41" w:rsidRPr="00482F60">
        <w:rPr>
          <w:sz w:val="20"/>
          <w:szCs w:val="20"/>
        </w:rPr>
        <w:t xml:space="preserve">E.E. Wardle, </w:t>
      </w:r>
      <w:r w:rsidR="00B61A41" w:rsidRPr="00482F60">
        <w:rPr>
          <w:i/>
          <w:iCs/>
          <w:sz w:val="20"/>
          <w:szCs w:val="20"/>
        </w:rPr>
        <w:t>Chapters on Old English Literature</w:t>
      </w:r>
      <w:r w:rsidR="00B61A41" w:rsidRPr="00482F60">
        <w:rPr>
          <w:sz w:val="20"/>
          <w:szCs w:val="20"/>
        </w:rPr>
        <w:t xml:space="preserve">, (London: Kegan Paul, </w:t>
      </w:r>
      <w:proofErr w:type="spellStart"/>
      <w:r w:rsidR="00B61A41" w:rsidRPr="00482F60">
        <w:rPr>
          <w:sz w:val="20"/>
          <w:szCs w:val="20"/>
        </w:rPr>
        <w:t>Grench</w:t>
      </w:r>
      <w:proofErr w:type="spellEnd"/>
      <w:r w:rsidR="00B61A41" w:rsidRPr="00482F60">
        <w:rPr>
          <w:sz w:val="20"/>
          <w:szCs w:val="20"/>
        </w:rPr>
        <w:t xml:space="preserve"> </w:t>
      </w:r>
      <w:proofErr w:type="spellStart"/>
      <w:r w:rsidR="00B61A41" w:rsidRPr="00482F60">
        <w:rPr>
          <w:sz w:val="20"/>
          <w:szCs w:val="20"/>
        </w:rPr>
        <w:t>Trubrier</w:t>
      </w:r>
      <w:proofErr w:type="spellEnd"/>
      <w:r w:rsidR="00B61A41" w:rsidRPr="00482F60">
        <w:rPr>
          <w:sz w:val="20"/>
          <w:szCs w:val="20"/>
        </w:rPr>
        <w:t xml:space="preserve"> &amp; Co, 1935)</w:t>
      </w:r>
      <w:r>
        <w:t xml:space="preserve"> </w:t>
      </w:r>
      <w:r w:rsidRPr="00EE490C">
        <w:rPr>
          <w:sz w:val="20"/>
          <w:szCs w:val="20"/>
        </w:rPr>
        <w:t>p. 224</w:t>
      </w:r>
    </w:p>
  </w:footnote>
  <w:footnote w:id="25">
    <w:p w14:paraId="7B380D66" w14:textId="20D0CDBE" w:rsidR="00F6192A" w:rsidRPr="000344D4" w:rsidRDefault="00F6192A" w:rsidP="005F5561">
      <w:pPr>
        <w:rPr>
          <w:sz w:val="20"/>
          <w:szCs w:val="20"/>
        </w:rPr>
      </w:pPr>
      <w:r>
        <w:rPr>
          <w:rStyle w:val="FootnoteReference"/>
        </w:rPr>
        <w:footnoteRef/>
      </w:r>
      <w:r>
        <w:t xml:space="preserve"> </w:t>
      </w:r>
      <w:r w:rsidR="005F5561">
        <w:rPr>
          <w:sz w:val="20"/>
          <w:szCs w:val="20"/>
        </w:rPr>
        <w:t>Ibid.,</w:t>
      </w:r>
      <w:r>
        <w:t xml:space="preserve"> p</w:t>
      </w:r>
      <w:r w:rsidRPr="000344D4">
        <w:rPr>
          <w:sz w:val="20"/>
          <w:szCs w:val="20"/>
        </w:rPr>
        <w:t>. 227</w:t>
      </w:r>
    </w:p>
  </w:footnote>
  <w:footnote w:id="26">
    <w:p w14:paraId="3066EE2D" w14:textId="13EBB0D2" w:rsidR="00F6192A" w:rsidRPr="000344D4" w:rsidRDefault="00F6192A" w:rsidP="000344D4">
      <w:pPr>
        <w:rPr>
          <w:sz w:val="20"/>
          <w:szCs w:val="20"/>
        </w:rPr>
      </w:pPr>
      <w:r w:rsidRPr="000344D4">
        <w:rPr>
          <w:rStyle w:val="FootnoteReference"/>
          <w:sz w:val="20"/>
          <w:szCs w:val="20"/>
        </w:rPr>
        <w:footnoteRef/>
      </w:r>
      <w:r w:rsidRPr="000344D4">
        <w:rPr>
          <w:sz w:val="20"/>
          <w:szCs w:val="20"/>
        </w:rPr>
        <w:t xml:space="preserve"> </w:t>
      </w:r>
      <w:r w:rsidR="00C92BDF" w:rsidRPr="000344D4">
        <w:rPr>
          <w:sz w:val="20"/>
          <w:szCs w:val="20"/>
        </w:rPr>
        <w:t xml:space="preserve">Wrenn, </w:t>
      </w:r>
      <w:r w:rsidR="00C92BDF" w:rsidRPr="000344D4">
        <w:rPr>
          <w:i/>
          <w:iCs/>
          <w:sz w:val="20"/>
          <w:szCs w:val="20"/>
        </w:rPr>
        <w:t>A study in Old English Literature</w:t>
      </w:r>
      <w:r w:rsidR="00C92BDF" w:rsidRPr="000344D4">
        <w:rPr>
          <w:sz w:val="20"/>
          <w:szCs w:val="20"/>
        </w:rPr>
        <w:t xml:space="preserve">, </w:t>
      </w:r>
      <w:r w:rsidRPr="000344D4">
        <w:rPr>
          <w:sz w:val="20"/>
          <w:szCs w:val="20"/>
        </w:rPr>
        <w:t>p. 185</w:t>
      </w:r>
    </w:p>
  </w:footnote>
  <w:footnote w:id="27">
    <w:p w14:paraId="77CC1261" w14:textId="53EB1445" w:rsidR="00F6192A" w:rsidRPr="000344D4" w:rsidRDefault="00F6192A" w:rsidP="000344D4">
      <w:pPr>
        <w:rPr>
          <w:sz w:val="20"/>
          <w:szCs w:val="20"/>
        </w:rPr>
      </w:pPr>
      <w:r w:rsidRPr="000344D4">
        <w:rPr>
          <w:rStyle w:val="FootnoteReference"/>
          <w:sz w:val="20"/>
          <w:szCs w:val="20"/>
        </w:rPr>
        <w:footnoteRef/>
      </w:r>
      <w:r w:rsidRPr="000344D4">
        <w:rPr>
          <w:sz w:val="20"/>
          <w:szCs w:val="20"/>
        </w:rPr>
        <w:t xml:space="preserve"> </w:t>
      </w:r>
      <w:r w:rsidR="000344D4">
        <w:rPr>
          <w:sz w:val="20"/>
          <w:szCs w:val="20"/>
        </w:rPr>
        <w:t>Ibid.,</w:t>
      </w:r>
      <w:r w:rsidR="00C92BDF" w:rsidRPr="000344D4">
        <w:rPr>
          <w:sz w:val="20"/>
          <w:szCs w:val="20"/>
        </w:rPr>
        <w:t xml:space="preserve"> </w:t>
      </w:r>
      <w:r w:rsidRPr="000344D4">
        <w:rPr>
          <w:sz w:val="20"/>
          <w:szCs w:val="20"/>
        </w:rPr>
        <w:t>p. 185</w:t>
      </w:r>
    </w:p>
  </w:footnote>
  <w:footnote w:id="28">
    <w:p w14:paraId="6AEA11DD" w14:textId="06A8BC31" w:rsidR="00F6192A" w:rsidRPr="000344D4" w:rsidRDefault="00F6192A" w:rsidP="00C92BDF">
      <w:pPr>
        <w:rPr>
          <w:sz w:val="20"/>
          <w:szCs w:val="20"/>
        </w:rPr>
      </w:pPr>
      <w:r w:rsidRPr="000344D4">
        <w:rPr>
          <w:rStyle w:val="FootnoteReference"/>
          <w:sz w:val="20"/>
          <w:szCs w:val="20"/>
        </w:rPr>
        <w:footnoteRef/>
      </w:r>
      <w:r w:rsidRPr="000344D4">
        <w:rPr>
          <w:sz w:val="20"/>
          <w:szCs w:val="20"/>
        </w:rPr>
        <w:t xml:space="preserve"> </w:t>
      </w:r>
      <w:r w:rsidR="00C92BDF" w:rsidRPr="000344D4">
        <w:rPr>
          <w:sz w:val="20"/>
          <w:szCs w:val="20"/>
        </w:rPr>
        <w:t xml:space="preserve">R. Frank, ‘The Battle of Maldon and Heroic Literature’ </w:t>
      </w:r>
      <w:r w:rsidRPr="000344D4">
        <w:rPr>
          <w:sz w:val="20"/>
          <w:szCs w:val="20"/>
        </w:rPr>
        <w:t>p. 196</w:t>
      </w:r>
    </w:p>
  </w:footnote>
  <w:footnote w:id="29">
    <w:p w14:paraId="4EF7B30C" w14:textId="12696182" w:rsidR="00F6192A" w:rsidRPr="000344D4" w:rsidRDefault="00F6192A" w:rsidP="000344D4">
      <w:pPr>
        <w:rPr>
          <w:sz w:val="20"/>
          <w:szCs w:val="20"/>
        </w:rPr>
      </w:pPr>
      <w:r w:rsidRPr="000344D4">
        <w:rPr>
          <w:rStyle w:val="FootnoteReference"/>
          <w:sz w:val="20"/>
          <w:szCs w:val="20"/>
        </w:rPr>
        <w:footnoteRef/>
      </w:r>
      <w:r w:rsidRPr="000344D4">
        <w:rPr>
          <w:sz w:val="20"/>
          <w:szCs w:val="20"/>
        </w:rPr>
        <w:t xml:space="preserve"> </w:t>
      </w:r>
      <w:r w:rsidR="000B3598" w:rsidRPr="000344D4">
        <w:rPr>
          <w:sz w:val="20"/>
          <w:szCs w:val="20"/>
        </w:rPr>
        <w:t>O’Brien O’Keeffe ‘Heroic Values and Christian Ethics’</w:t>
      </w:r>
      <w:r w:rsidRPr="000344D4">
        <w:rPr>
          <w:sz w:val="20"/>
          <w:szCs w:val="20"/>
        </w:rPr>
        <w:t xml:space="preserve"> p. 107</w:t>
      </w:r>
    </w:p>
  </w:footnote>
  <w:footnote w:id="30">
    <w:p w14:paraId="0F9CC1BB" w14:textId="3E2C5428" w:rsidR="00F6192A" w:rsidRPr="00EE490C" w:rsidRDefault="00F6192A" w:rsidP="00EE490C">
      <w:pPr>
        <w:rPr>
          <w:sz w:val="20"/>
          <w:szCs w:val="20"/>
        </w:rPr>
      </w:pPr>
      <w:r w:rsidRPr="000344D4">
        <w:rPr>
          <w:rStyle w:val="FootnoteReference"/>
          <w:sz w:val="20"/>
          <w:szCs w:val="20"/>
        </w:rPr>
        <w:footnoteRef/>
      </w:r>
      <w:r w:rsidRPr="000344D4">
        <w:rPr>
          <w:sz w:val="20"/>
          <w:szCs w:val="20"/>
        </w:rPr>
        <w:t xml:space="preserve"> </w:t>
      </w:r>
      <w:r w:rsidR="00357CA3" w:rsidRPr="000344D4">
        <w:rPr>
          <w:sz w:val="20"/>
          <w:szCs w:val="20"/>
        </w:rPr>
        <w:t xml:space="preserve">C. Donahue, ‘Potlatch and Charity: Notes on the Heroic in Beowulf’ in L.E. Nicholson and D.W. </w:t>
      </w:r>
      <w:proofErr w:type="spellStart"/>
      <w:r w:rsidR="00357CA3" w:rsidRPr="000344D4">
        <w:rPr>
          <w:sz w:val="20"/>
          <w:szCs w:val="20"/>
        </w:rPr>
        <w:t>Frese</w:t>
      </w:r>
      <w:proofErr w:type="spellEnd"/>
      <w:r w:rsidR="00357CA3" w:rsidRPr="000344D4">
        <w:rPr>
          <w:sz w:val="20"/>
          <w:szCs w:val="20"/>
        </w:rPr>
        <w:t xml:space="preserve">, eds. </w:t>
      </w:r>
      <w:r w:rsidR="00357CA3" w:rsidRPr="000344D4">
        <w:rPr>
          <w:i/>
          <w:iCs/>
          <w:sz w:val="20"/>
          <w:szCs w:val="20"/>
        </w:rPr>
        <w:t>Anglo-Saxon Poetry: Essays in appreciation</w:t>
      </w:r>
      <w:r w:rsidR="00357CA3" w:rsidRPr="000344D4">
        <w:rPr>
          <w:sz w:val="20"/>
          <w:szCs w:val="20"/>
        </w:rPr>
        <w:t xml:space="preserve"> (Notre Dame: University of Notre Dame Press, 1975) pp. 23-40</w:t>
      </w:r>
      <w:r w:rsidR="00EE490C">
        <w:rPr>
          <w:sz w:val="20"/>
          <w:szCs w:val="20"/>
        </w:rPr>
        <w:t xml:space="preserve"> </w:t>
      </w:r>
      <w:r w:rsidRPr="00EE490C">
        <w:rPr>
          <w:sz w:val="20"/>
          <w:szCs w:val="20"/>
        </w:rPr>
        <w:t>p. 24</w:t>
      </w:r>
    </w:p>
  </w:footnote>
  <w:footnote w:id="31">
    <w:p w14:paraId="0BC0EBC4" w14:textId="79EEE422" w:rsidR="00F6192A" w:rsidRPr="000344D4" w:rsidRDefault="00F6192A" w:rsidP="000344D4">
      <w:pPr>
        <w:rPr>
          <w:sz w:val="20"/>
          <w:szCs w:val="20"/>
        </w:rPr>
      </w:pPr>
      <w:r w:rsidRPr="000344D4">
        <w:rPr>
          <w:rStyle w:val="FootnoteReference"/>
          <w:sz w:val="20"/>
          <w:szCs w:val="20"/>
        </w:rPr>
        <w:footnoteRef/>
      </w:r>
      <w:r w:rsidRPr="000344D4">
        <w:rPr>
          <w:sz w:val="20"/>
          <w:szCs w:val="20"/>
        </w:rPr>
        <w:t xml:space="preserve"> </w:t>
      </w:r>
      <w:r w:rsidR="000344D4" w:rsidRPr="000344D4">
        <w:rPr>
          <w:sz w:val="20"/>
          <w:szCs w:val="20"/>
        </w:rPr>
        <w:t>Ibid.,</w:t>
      </w:r>
      <w:r w:rsidRPr="000344D4">
        <w:rPr>
          <w:sz w:val="20"/>
          <w:szCs w:val="20"/>
        </w:rPr>
        <w:t xml:space="preserve"> p. 25</w:t>
      </w:r>
    </w:p>
  </w:footnote>
  <w:footnote w:id="32">
    <w:p w14:paraId="4A8B7942" w14:textId="2943D0BD" w:rsidR="00F20D54" w:rsidRPr="000344D4" w:rsidRDefault="00F20D54" w:rsidP="000344D4">
      <w:pPr>
        <w:rPr>
          <w:sz w:val="20"/>
          <w:szCs w:val="20"/>
        </w:rPr>
      </w:pPr>
      <w:r w:rsidRPr="000344D4">
        <w:rPr>
          <w:rStyle w:val="FootnoteReference"/>
          <w:sz w:val="20"/>
          <w:szCs w:val="20"/>
        </w:rPr>
        <w:footnoteRef/>
      </w:r>
      <w:r w:rsidRPr="000344D4">
        <w:rPr>
          <w:sz w:val="20"/>
          <w:szCs w:val="20"/>
        </w:rPr>
        <w:t xml:space="preserve"> </w:t>
      </w:r>
      <w:r w:rsidR="000344D4" w:rsidRPr="000344D4">
        <w:rPr>
          <w:sz w:val="20"/>
          <w:szCs w:val="20"/>
        </w:rPr>
        <w:t>Ibid.,</w:t>
      </w:r>
      <w:r w:rsidRPr="000344D4">
        <w:rPr>
          <w:sz w:val="20"/>
          <w:szCs w:val="20"/>
        </w:rPr>
        <w:t xml:space="preserve"> p. 27-28</w:t>
      </w:r>
    </w:p>
  </w:footnote>
  <w:footnote w:id="33">
    <w:p w14:paraId="48244C16" w14:textId="6FCE7225" w:rsidR="003577BF" w:rsidRPr="000344D4" w:rsidRDefault="003577BF" w:rsidP="000344D4">
      <w:pPr>
        <w:rPr>
          <w:sz w:val="20"/>
          <w:szCs w:val="20"/>
        </w:rPr>
      </w:pPr>
      <w:r>
        <w:rPr>
          <w:rStyle w:val="FootnoteReference"/>
        </w:rPr>
        <w:footnoteRef/>
      </w:r>
      <w:r>
        <w:t xml:space="preserve"> </w:t>
      </w:r>
      <w:r w:rsidR="00357CA3" w:rsidRPr="00482F60">
        <w:rPr>
          <w:sz w:val="20"/>
          <w:szCs w:val="20"/>
        </w:rPr>
        <w:t xml:space="preserve">W. Parks, </w:t>
      </w:r>
      <w:r w:rsidR="00357CA3" w:rsidRPr="00482F60">
        <w:rPr>
          <w:i/>
          <w:iCs/>
          <w:sz w:val="20"/>
          <w:szCs w:val="20"/>
        </w:rPr>
        <w:t xml:space="preserve">Verbal </w:t>
      </w:r>
      <w:proofErr w:type="spellStart"/>
      <w:r w:rsidR="00357CA3" w:rsidRPr="00482F60">
        <w:rPr>
          <w:i/>
          <w:iCs/>
          <w:sz w:val="20"/>
          <w:szCs w:val="20"/>
        </w:rPr>
        <w:t>Dueling</w:t>
      </w:r>
      <w:proofErr w:type="spellEnd"/>
      <w:r w:rsidR="00357CA3" w:rsidRPr="00482F60">
        <w:rPr>
          <w:i/>
          <w:iCs/>
          <w:sz w:val="20"/>
          <w:szCs w:val="20"/>
        </w:rPr>
        <w:t xml:space="preserve"> in Heroic Narrative: The Homeric and Old English Traditions</w:t>
      </w:r>
      <w:r w:rsidR="00357CA3" w:rsidRPr="00482F60">
        <w:rPr>
          <w:sz w:val="20"/>
          <w:szCs w:val="20"/>
        </w:rPr>
        <w:t>, (Princeton: Princeton University Press, 1990</w:t>
      </w:r>
      <w:r w:rsidR="00357CA3" w:rsidRPr="000344D4">
        <w:rPr>
          <w:sz w:val="20"/>
          <w:szCs w:val="20"/>
        </w:rPr>
        <w:t>)</w:t>
      </w:r>
      <w:r w:rsidRPr="000344D4">
        <w:rPr>
          <w:sz w:val="20"/>
          <w:szCs w:val="20"/>
        </w:rPr>
        <w:t xml:space="preserve"> p. 22-23</w:t>
      </w:r>
    </w:p>
  </w:footnote>
  <w:footnote w:id="34">
    <w:p w14:paraId="3387C6A1" w14:textId="68D2BA80" w:rsidR="003577BF" w:rsidRPr="000344D4" w:rsidRDefault="003577BF" w:rsidP="000344D4">
      <w:pPr>
        <w:rPr>
          <w:sz w:val="20"/>
          <w:szCs w:val="20"/>
        </w:rPr>
      </w:pPr>
      <w:r w:rsidRPr="000344D4">
        <w:rPr>
          <w:rStyle w:val="FootnoteReference"/>
          <w:sz w:val="20"/>
          <w:szCs w:val="20"/>
        </w:rPr>
        <w:footnoteRef/>
      </w:r>
      <w:r w:rsidRPr="000344D4">
        <w:rPr>
          <w:sz w:val="20"/>
          <w:szCs w:val="20"/>
        </w:rPr>
        <w:t xml:space="preserve"> </w:t>
      </w:r>
      <w:r w:rsidR="000344D4" w:rsidRPr="000344D4">
        <w:rPr>
          <w:sz w:val="20"/>
          <w:szCs w:val="20"/>
        </w:rPr>
        <w:t>Ibid.,</w:t>
      </w:r>
      <w:r w:rsidRPr="000344D4">
        <w:rPr>
          <w:sz w:val="20"/>
          <w:szCs w:val="20"/>
        </w:rPr>
        <w:t xml:space="preserve"> p. 26</w:t>
      </w:r>
    </w:p>
  </w:footnote>
  <w:footnote w:id="35">
    <w:p w14:paraId="7ADBD1C5" w14:textId="527675BF" w:rsidR="003577BF" w:rsidRPr="000344D4" w:rsidRDefault="003577BF" w:rsidP="000344D4">
      <w:pPr>
        <w:rPr>
          <w:sz w:val="20"/>
          <w:szCs w:val="20"/>
        </w:rPr>
      </w:pPr>
      <w:r w:rsidRPr="000344D4">
        <w:rPr>
          <w:rStyle w:val="FootnoteReference"/>
          <w:sz w:val="20"/>
          <w:szCs w:val="20"/>
        </w:rPr>
        <w:footnoteRef/>
      </w:r>
      <w:r w:rsidRPr="000344D4">
        <w:rPr>
          <w:sz w:val="20"/>
          <w:szCs w:val="20"/>
        </w:rPr>
        <w:t xml:space="preserve"> </w:t>
      </w:r>
      <w:r w:rsidR="000344D4" w:rsidRPr="000344D4">
        <w:rPr>
          <w:sz w:val="20"/>
          <w:szCs w:val="20"/>
        </w:rPr>
        <w:t>Ibid.,</w:t>
      </w:r>
      <w:r w:rsidRPr="000344D4">
        <w:rPr>
          <w:sz w:val="20"/>
          <w:szCs w:val="20"/>
        </w:rPr>
        <w:t xml:space="preserve"> p. 27</w:t>
      </w:r>
    </w:p>
  </w:footnote>
  <w:footnote w:id="36">
    <w:p w14:paraId="5E0B771D" w14:textId="7C758CCE" w:rsidR="003577BF" w:rsidRPr="000344D4" w:rsidRDefault="003577BF" w:rsidP="000344D4">
      <w:pPr>
        <w:rPr>
          <w:sz w:val="20"/>
          <w:szCs w:val="20"/>
        </w:rPr>
      </w:pPr>
      <w:r w:rsidRPr="000344D4">
        <w:rPr>
          <w:rStyle w:val="FootnoteReference"/>
          <w:sz w:val="20"/>
          <w:szCs w:val="20"/>
        </w:rPr>
        <w:footnoteRef/>
      </w:r>
      <w:r w:rsidRPr="000344D4">
        <w:rPr>
          <w:sz w:val="20"/>
          <w:szCs w:val="20"/>
        </w:rPr>
        <w:t xml:space="preserve"> </w:t>
      </w:r>
      <w:r w:rsidR="00201ED0" w:rsidRPr="000344D4">
        <w:rPr>
          <w:sz w:val="20"/>
          <w:szCs w:val="20"/>
        </w:rPr>
        <w:t xml:space="preserve">Swanton, </w:t>
      </w:r>
      <w:r w:rsidR="00201ED0" w:rsidRPr="000344D4">
        <w:rPr>
          <w:i/>
          <w:iCs/>
          <w:sz w:val="20"/>
          <w:szCs w:val="20"/>
        </w:rPr>
        <w:t>Beowulf</w:t>
      </w:r>
      <w:r w:rsidR="000344D4" w:rsidRPr="000344D4">
        <w:rPr>
          <w:sz w:val="20"/>
          <w:szCs w:val="20"/>
        </w:rPr>
        <w:t xml:space="preserve">, </w:t>
      </w:r>
      <w:r w:rsidRPr="000344D4">
        <w:rPr>
          <w:sz w:val="20"/>
          <w:szCs w:val="20"/>
        </w:rPr>
        <w:t>p. 21</w:t>
      </w:r>
    </w:p>
  </w:footnote>
  <w:footnote w:id="37">
    <w:p w14:paraId="2FBF7F42" w14:textId="44A7B0B3" w:rsidR="00F61110" w:rsidRPr="000344D4" w:rsidRDefault="00F61110" w:rsidP="000344D4">
      <w:pPr>
        <w:rPr>
          <w:sz w:val="20"/>
          <w:szCs w:val="20"/>
        </w:rPr>
      </w:pPr>
      <w:r w:rsidRPr="000344D4">
        <w:rPr>
          <w:rStyle w:val="FootnoteReference"/>
          <w:sz w:val="20"/>
          <w:szCs w:val="20"/>
        </w:rPr>
        <w:footnoteRef/>
      </w:r>
      <w:r w:rsidRPr="000344D4">
        <w:rPr>
          <w:sz w:val="20"/>
          <w:szCs w:val="20"/>
        </w:rPr>
        <w:t xml:space="preserve"> </w:t>
      </w:r>
      <w:r w:rsidR="000344D4" w:rsidRPr="000344D4">
        <w:rPr>
          <w:sz w:val="20"/>
          <w:szCs w:val="20"/>
        </w:rPr>
        <w:t xml:space="preserve">Ibid., </w:t>
      </w:r>
      <w:r w:rsidRPr="000344D4">
        <w:rPr>
          <w:sz w:val="20"/>
          <w:szCs w:val="20"/>
        </w:rPr>
        <w:t>p. 21-22</w:t>
      </w:r>
    </w:p>
  </w:footnote>
  <w:footnote w:id="38">
    <w:p w14:paraId="78E701E4" w14:textId="70329239" w:rsidR="005B50B1" w:rsidRPr="000344D4" w:rsidRDefault="005B50B1" w:rsidP="000344D4">
      <w:pPr>
        <w:rPr>
          <w:sz w:val="20"/>
          <w:szCs w:val="20"/>
        </w:rPr>
      </w:pPr>
      <w:r w:rsidRPr="000344D4">
        <w:rPr>
          <w:rStyle w:val="FootnoteReference"/>
          <w:sz w:val="20"/>
          <w:szCs w:val="20"/>
        </w:rPr>
        <w:footnoteRef/>
      </w:r>
      <w:r w:rsidRPr="000344D4">
        <w:rPr>
          <w:sz w:val="20"/>
          <w:szCs w:val="20"/>
        </w:rPr>
        <w:t xml:space="preserve"> </w:t>
      </w:r>
      <w:r w:rsidR="000B3598" w:rsidRPr="000344D4">
        <w:rPr>
          <w:sz w:val="20"/>
          <w:szCs w:val="20"/>
        </w:rPr>
        <w:t>O’Brien O’Keeffe ‘Heroic Values and Christian Ethics’</w:t>
      </w:r>
      <w:r w:rsidRPr="000344D4">
        <w:rPr>
          <w:sz w:val="20"/>
          <w:szCs w:val="20"/>
        </w:rPr>
        <w:t xml:space="preserve"> p. 123</w:t>
      </w:r>
    </w:p>
  </w:footnote>
  <w:footnote w:id="39">
    <w:p w14:paraId="5140840F" w14:textId="52E703A2" w:rsidR="005B50B1" w:rsidRPr="000344D4" w:rsidRDefault="005B50B1" w:rsidP="005B50B1">
      <w:pPr>
        <w:pStyle w:val="FootnoteText"/>
      </w:pPr>
      <w:r w:rsidRPr="000344D4">
        <w:rPr>
          <w:rStyle w:val="FootnoteReference"/>
        </w:rPr>
        <w:footnoteRef/>
      </w:r>
      <w:r w:rsidRPr="000344D4">
        <w:t xml:space="preserve"> </w:t>
      </w:r>
      <w:r w:rsidR="00013667" w:rsidRPr="000344D4">
        <w:t xml:space="preserve">W.P. Ker, </w:t>
      </w:r>
      <w:r w:rsidR="00013667" w:rsidRPr="000344D4">
        <w:rPr>
          <w:i/>
          <w:iCs/>
        </w:rPr>
        <w:t>Epic and Romance: Essays on Medieval Literature</w:t>
      </w:r>
      <w:r w:rsidR="00013667" w:rsidRPr="000344D4">
        <w:t>, (New York: Dover Publications Inc, 1957)</w:t>
      </w:r>
      <w:r w:rsidRPr="000344D4">
        <w:t xml:space="preserve"> p. 55</w:t>
      </w:r>
    </w:p>
  </w:footnote>
  <w:footnote w:id="40">
    <w:p w14:paraId="33171395" w14:textId="2B93ED1A" w:rsidR="005B50B1" w:rsidRPr="000344D4" w:rsidRDefault="005B50B1" w:rsidP="002D31D8">
      <w:pPr>
        <w:rPr>
          <w:sz w:val="20"/>
          <w:szCs w:val="20"/>
        </w:rPr>
      </w:pPr>
      <w:r w:rsidRPr="000344D4">
        <w:rPr>
          <w:rStyle w:val="FootnoteReference"/>
          <w:sz w:val="20"/>
          <w:szCs w:val="20"/>
        </w:rPr>
        <w:footnoteRef/>
      </w:r>
      <w:r w:rsidRPr="000344D4">
        <w:rPr>
          <w:sz w:val="20"/>
          <w:szCs w:val="20"/>
        </w:rPr>
        <w:t xml:space="preserve"> </w:t>
      </w:r>
      <w:r w:rsidR="00B61A41" w:rsidRPr="000344D4">
        <w:rPr>
          <w:sz w:val="20"/>
          <w:szCs w:val="20"/>
        </w:rPr>
        <w:t xml:space="preserve">Schwab, ‘The Battle of Maldon: A Memorial </w:t>
      </w:r>
      <w:r w:rsidRPr="000344D4">
        <w:rPr>
          <w:sz w:val="20"/>
          <w:szCs w:val="20"/>
        </w:rPr>
        <w:t>p. 75</w:t>
      </w:r>
    </w:p>
  </w:footnote>
  <w:footnote w:id="41">
    <w:p w14:paraId="07A26E99" w14:textId="15C16B8B" w:rsidR="00E84237" w:rsidRPr="000344D4" w:rsidRDefault="00E84237" w:rsidP="00013667">
      <w:pPr>
        <w:rPr>
          <w:sz w:val="20"/>
          <w:szCs w:val="20"/>
        </w:rPr>
      </w:pPr>
      <w:r w:rsidRPr="000344D4">
        <w:rPr>
          <w:rStyle w:val="FootnoteReference"/>
          <w:sz w:val="20"/>
          <w:szCs w:val="20"/>
        </w:rPr>
        <w:footnoteRef/>
      </w:r>
      <w:r w:rsidRPr="000344D4">
        <w:rPr>
          <w:sz w:val="20"/>
          <w:szCs w:val="20"/>
        </w:rPr>
        <w:t xml:space="preserve"> </w:t>
      </w:r>
      <w:r w:rsidR="00DB3B49" w:rsidRPr="000344D4">
        <w:rPr>
          <w:sz w:val="20"/>
          <w:szCs w:val="20"/>
        </w:rPr>
        <w:t xml:space="preserve">D.G. Scragg, </w:t>
      </w:r>
      <w:r w:rsidR="00DB3B49" w:rsidRPr="000344D4">
        <w:rPr>
          <w:i/>
          <w:iCs/>
          <w:sz w:val="20"/>
          <w:szCs w:val="20"/>
        </w:rPr>
        <w:t>The Battle of Maldon</w:t>
      </w:r>
      <w:r w:rsidR="00DB3B49" w:rsidRPr="000344D4">
        <w:rPr>
          <w:sz w:val="20"/>
          <w:szCs w:val="20"/>
        </w:rPr>
        <w:t>, (Manchester: Manchester University Press, 1981)</w:t>
      </w:r>
      <w:r w:rsidRPr="000344D4">
        <w:rPr>
          <w:sz w:val="20"/>
          <w:szCs w:val="20"/>
        </w:rPr>
        <w:t xml:space="preserve"> p. 27</w:t>
      </w:r>
    </w:p>
  </w:footnote>
  <w:footnote w:id="42">
    <w:p w14:paraId="7D798885" w14:textId="7C1CBB9A" w:rsidR="00E84237" w:rsidRPr="000344D4" w:rsidRDefault="00E84237" w:rsidP="00013667">
      <w:pPr>
        <w:rPr>
          <w:sz w:val="20"/>
          <w:szCs w:val="20"/>
        </w:rPr>
      </w:pPr>
      <w:r w:rsidRPr="000344D4">
        <w:rPr>
          <w:rStyle w:val="FootnoteReference"/>
          <w:sz w:val="20"/>
          <w:szCs w:val="20"/>
        </w:rPr>
        <w:footnoteRef/>
      </w:r>
      <w:r w:rsidRPr="000344D4">
        <w:rPr>
          <w:sz w:val="20"/>
          <w:szCs w:val="20"/>
        </w:rPr>
        <w:t xml:space="preserve"> </w:t>
      </w:r>
      <w:r w:rsidR="00013667" w:rsidRPr="000344D4">
        <w:rPr>
          <w:sz w:val="20"/>
          <w:szCs w:val="20"/>
        </w:rPr>
        <w:t xml:space="preserve">D.G. Scragg, ‘The Battle of Maldon’, in </w:t>
      </w:r>
      <w:r w:rsidR="00013667" w:rsidRPr="000344D4">
        <w:rPr>
          <w:i/>
          <w:iCs/>
          <w:sz w:val="20"/>
          <w:szCs w:val="20"/>
        </w:rPr>
        <w:t>The Battle of Maldon AD991</w:t>
      </w:r>
      <w:r w:rsidR="00013667" w:rsidRPr="000344D4">
        <w:rPr>
          <w:sz w:val="20"/>
          <w:szCs w:val="20"/>
        </w:rPr>
        <w:t>, D. Scragg, ed. (Oxford: Basil Blackwell Ltd 1991)</w:t>
      </w:r>
      <w:r w:rsidRPr="000344D4">
        <w:rPr>
          <w:sz w:val="20"/>
          <w:szCs w:val="20"/>
        </w:rPr>
        <w:t xml:space="preserve"> p. 33</w:t>
      </w:r>
    </w:p>
  </w:footnote>
  <w:footnote w:id="43">
    <w:p w14:paraId="3A774536" w14:textId="12D15E14" w:rsidR="00E84237" w:rsidRPr="000344D4" w:rsidRDefault="00E84237" w:rsidP="000344D4">
      <w:pPr>
        <w:rPr>
          <w:sz w:val="20"/>
          <w:szCs w:val="20"/>
        </w:rPr>
      </w:pPr>
      <w:r w:rsidRPr="000344D4">
        <w:rPr>
          <w:rStyle w:val="FootnoteReference"/>
          <w:sz w:val="20"/>
          <w:szCs w:val="20"/>
        </w:rPr>
        <w:footnoteRef/>
      </w:r>
      <w:r w:rsidR="000B3598" w:rsidRPr="000344D4">
        <w:rPr>
          <w:sz w:val="20"/>
          <w:szCs w:val="20"/>
        </w:rPr>
        <w:t xml:space="preserve"> O’Brien O’Keeffe ‘Heroic Values and Christian Ethics’ </w:t>
      </w:r>
      <w:r w:rsidRPr="000344D4">
        <w:rPr>
          <w:sz w:val="20"/>
          <w:szCs w:val="20"/>
        </w:rPr>
        <w:t>p. 121</w:t>
      </w:r>
    </w:p>
  </w:footnote>
  <w:footnote w:id="44">
    <w:p w14:paraId="7E40853B" w14:textId="5C55882B" w:rsidR="00DF1814" w:rsidRPr="000344D4" w:rsidRDefault="00DF1814" w:rsidP="002D31D8">
      <w:pPr>
        <w:rPr>
          <w:sz w:val="20"/>
          <w:szCs w:val="20"/>
        </w:rPr>
      </w:pPr>
      <w:r w:rsidRPr="000344D4">
        <w:rPr>
          <w:rStyle w:val="FootnoteReference"/>
          <w:sz w:val="20"/>
          <w:szCs w:val="20"/>
        </w:rPr>
        <w:footnoteRef/>
      </w:r>
      <w:r w:rsidRPr="000344D4">
        <w:rPr>
          <w:sz w:val="20"/>
          <w:szCs w:val="20"/>
        </w:rPr>
        <w:t xml:space="preserve"> </w:t>
      </w:r>
      <w:r w:rsidR="00357CA3" w:rsidRPr="000344D4">
        <w:rPr>
          <w:sz w:val="20"/>
          <w:szCs w:val="20"/>
        </w:rPr>
        <w:t xml:space="preserve">Parks, </w:t>
      </w:r>
      <w:r w:rsidR="00357CA3" w:rsidRPr="000344D4">
        <w:rPr>
          <w:i/>
          <w:iCs/>
          <w:sz w:val="20"/>
          <w:szCs w:val="20"/>
        </w:rPr>
        <w:t xml:space="preserve">Verbal </w:t>
      </w:r>
      <w:proofErr w:type="spellStart"/>
      <w:r w:rsidR="00357CA3" w:rsidRPr="000344D4">
        <w:rPr>
          <w:i/>
          <w:iCs/>
          <w:sz w:val="20"/>
          <w:szCs w:val="20"/>
        </w:rPr>
        <w:t>Dueling</w:t>
      </w:r>
      <w:proofErr w:type="spellEnd"/>
      <w:r w:rsidR="00357CA3" w:rsidRPr="000344D4">
        <w:rPr>
          <w:i/>
          <w:iCs/>
          <w:sz w:val="20"/>
          <w:szCs w:val="20"/>
        </w:rPr>
        <w:t xml:space="preserve"> in Heroic Narrative: The Homeric and Old English Traditions</w:t>
      </w:r>
      <w:r w:rsidR="000344D4" w:rsidRPr="000344D4">
        <w:rPr>
          <w:i/>
          <w:iCs/>
          <w:sz w:val="20"/>
          <w:szCs w:val="20"/>
        </w:rPr>
        <w:t>,</w:t>
      </w:r>
      <w:r w:rsidRPr="000344D4">
        <w:rPr>
          <w:sz w:val="20"/>
          <w:szCs w:val="20"/>
        </w:rPr>
        <w:t xml:space="preserve"> p. 29</w:t>
      </w:r>
    </w:p>
  </w:footnote>
  <w:footnote w:id="45">
    <w:p w14:paraId="7B00FCE8" w14:textId="6A768BAD" w:rsidR="00DF1814" w:rsidRPr="000344D4" w:rsidRDefault="00DF1814" w:rsidP="002D31D8">
      <w:pPr>
        <w:rPr>
          <w:sz w:val="20"/>
          <w:szCs w:val="20"/>
        </w:rPr>
      </w:pPr>
      <w:r w:rsidRPr="000344D4">
        <w:rPr>
          <w:rStyle w:val="FootnoteReference"/>
          <w:sz w:val="20"/>
          <w:szCs w:val="20"/>
        </w:rPr>
        <w:footnoteRef/>
      </w:r>
      <w:r w:rsidRPr="000344D4">
        <w:rPr>
          <w:sz w:val="20"/>
          <w:szCs w:val="20"/>
        </w:rPr>
        <w:t xml:space="preserve"> </w:t>
      </w:r>
      <w:r w:rsidR="00DB3B49" w:rsidRPr="000344D4">
        <w:rPr>
          <w:sz w:val="20"/>
          <w:szCs w:val="20"/>
        </w:rPr>
        <w:t xml:space="preserve">Scragg, </w:t>
      </w:r>
      <w:r w:rsidR="00DB3B49" w:rsidRPr="000344D4">
        <w:rPr>
          <w:i/>
          <w:iCs/>
          <w:sz w:val="20"/>
          <w:szCs w:val="20"/>
        </w:rPr>
        <w:t>The Battle of Maldon</w:t>
      </w:r>
      <w:r w:rsidR="00DB3B49" w:rsidRPr="000344D4">
        <w:rPr>
          <w:sz w:val="20"/>
          <w:szCs w:val="20"/>
        </w:rPr>
        <w:t xml:space="preserve">, </w:t>
      </w:r>
      <w:r w:rsidRPr="000344D4">
        <w:rPr>
          <w:sz w:val="20"/>
          <w:szCs w:val="20"/>
        </w:rPr>
        <w:t>p. 37</w:t>
      </w:r>
    </w:p>
  </w:footnote>
  <w:footnote w:id="46">
    <w:p w14:paraId="6FF33847" w14:textId="44915C45" w:rsidR="00DF1814" w:rsidRPr="00EE490C" w:rsidRDefault="00DF1814" w:rsidP="002D31D8">
      <w:pPr>
        <w:rPr>
          <w:sz w:val="20"/>
          <w:szCs w:val="20"/>
        </w:rPr>
      </w:pPr>
      <w:r w:rsidRPr="00EE490C">
        <w:rPr>
          <w:rStyle w:val="FootnoteReference"/>
          <w:sz w:val="20"/>
          <w:szCs w:val="20"/>
        </w:rPr>
        <w:footnoteRef/>
      </w:r>
      <w:r w:rsidRPr="00EE490C">
        <w:rPr>
          <w:sz w:val="20"/>
          <w:szCs w:val="20"/>
        </w:rPr>
        <w:t xml:space="preserve"> </w:t>
      </w:r>
      <w:r w:rsidR="00357CA3" w:rsidRPr="00EE490C">
        <w:rPr>
          <w:sz w:val="20"/>
          <w:szCs w:val="20"/>
        </w:rPr>
        <w:t xml:space="preserve">E.B. Irving Jr, ‘Heroic role-models” Beowulf and Others’ in H. Damico, and J. </w:t>
      </w:r>
      <w:proofErr w:type="spellStart"/>
      <w:r w:rsidR="00357CA3" w:rsidRPr="00EE490C">
        <w:rPr>
          <w:sz w:val="20"/>
          <w:szCs w:val="20"/>
        </w:rPr>
        <w:t>Leyerle</w:t>
      </w:r>
      <w:proofErr w:type="spellEnd"/>
      <w:r w:rsidR="00357CA3" w:rsidRPr="00EE490C">
        <w:rPr>
          <w:sz w:val="20"/>
          <w:szCs w:val="20"/>
        </w:rPr>
        <w:t xml:space="preserve">, eds. </w:t>
      </w:r>
      <w:r w:rsidR="00357CA3" w:rsidRPr="00EE490C">
        <w:rPr>
          <w:i/>
          <w:iCs/>
          <w:sz w:val="20"/>
          <w:szCs w:val="20"/>
        </w:rPr>
        <w:t>Heroic Poetry in the Anglo-Saxon Period</w:t>
      </w:r>
      <w:r w:rsidR="00357CA3" w:rsidRPr="00EE490C">
        <w:rPr>
          <w:sz w:val="20"/>
          <w:szCs w:val="20"/>
        </w:rPr>
        <w:t>, (Michigan: Medieval Institute Publications, 1993) pp. 347-370</w:t>
      </w:r>
      <w:r w:rsidR="002D31D8" w:rsidRPr="00EE490C">
        <w:rPr>
          <w:sz w:val="20"/>
          <w:szCs w:val="20"/>
        </w:rPr>
        <w:t xml:space="preserve"> </w:t>
      </w:r>
      <w:r w:rsidRPr="00EE490C">
        <w:rPr>
          <w:sz w:val="20"/>
          <w:szCs w:val="20"/>
        </w:rPr>
        <w:t>p. 354</w:t>
      </w:r>
    </w:p>
  </w:footnote>
  <w:footnote w:id="47">
    <w:p w14:paraId="60C3007D" w14:textId="5F2094AF" w:rsidR="00DF1814" w:rsidRPr="00EE490C" w:rsidRDefault="00DF1814" w:rsidP="00C739E3">
      <w:pPr>
        <w:rPr>
          <w:sz w:val="20"/>
          <w:szCs w:val="20"/>
        </w:rPr>
      </w:pPr>
      <w:r w:rsidRPr="00EE490C">
        <w:rPr>
          <w:rStyle w:val="FootnoteReference"/>
          <w:sz w:val="20"/>
          <w:szCs w:val="20"/>
        </w:rPr>
        <w:footnoteRef/>
      </w:r>
      <w:r w:rsidRPr="00EE490C">
        <w:rPr>
          <w:sz w:val="20"/>
          <w:szCs w:val="20"/>
        </w:rPr>
        <w:t xml:space="preserve"> </w:t>
      </w:r>
      <w:r w:rsidR="00DB3B49" w:rsidRPr="00EE490C">
        <w:rPr>
          <w:sz w:val="20"/>
          <w:szCs w:val="20"/>
        </w:rPr>
        <w:t xml:space="preserve">Scragg, </w:t>
      </w:r>
      <w:r w:rsidR="00DB3B49" w:rsidRPr="00EE490C">
        <w:rPr>
          <w:i/>
          <w:iCs/>
          <w:sz w:val="20"/>
          <w:szCs w:val="20"/>
        </w:rPr>
        <w:t>The Battle of Maldon</w:t>
      </w:r>
      <w:r w:rsidR="00DB3B49" w:rsidRPr="00EE490C">
        <w:rPr>
          <w:sz w:val="20"/>
          <w:szCs w:val="20"/>
        </w:rPr>
        <w:t xml:space="preserve">, </w:t>
      </w:r>
      <w:r w:rsidRPr="00EE490C">
        <w:rPr>
          <w:sz w:val="20"/>
          <w:szCs w:val="20"/>
        </w:rPr>
        <w:t>p. 37-38</w:t>
      </w:r>
    </w:p>
  </w:footnote>
  <w:footnote w:id="48">
    <w:p w14:paraId="55844C2C" w14:textId="22F1085D" w:rsidR="00DF1814" w:rsidRPr="00EE490C" w:rsidRDefault="00DF1814" w:rsidP="00C739E3">
      <w:pPr>
        <w:rPr>
          <w:sz w:val="20"/>
          <w:szCs w:val="20"/>
        </w:rPr>
      </w:pPr>
      <w:r w:rsidRPr="00EE490C">
        <w:rPr>
          <w:rStyle w:val="FootnoteReference"/>
          <w:sz w:val="20"/>
          <w:szCs w:val="20"/>
        </w:rPr>
        <w:footnoteRef/>
      </w:r>
      <w:r w:rsidRPr="00EE490C">
        <w:rPr>
          <w:sz w:val="20"/>
          <w:szCs w:val="20"/>
        </w:rPr>
        <w:t xml:space="preserve"> </w:t>
      </w:r>
      <w:proofErr w:type="spellStart"/>
      <w:r w:rsidR="00DB3B49" w:rsidRPr="00EE490C">
        <w:rPr>
          <w:sz w:val="20"/>
          <w:szCs w:val="20"/>
        </w:rPr>
        <w:t>Bowra</w:t>
      </w:r>
      <w:proofErr w:type="spellEnd"/>
      <w:r w:rsidR="00DB3B49" w:rsidRPr="00EE490C">
        <w:rPr>
          <w:sz w:val="20"/>
          <w:szCs w:val="20"/>
        </w:rPr>
        <w:t xml:space="preserve">, </w:t>
      </w:r>
      <w:r w:rsidR="00DB3B49" w:rsidRPr="00EE490C">
        <w:rPr>
          <w:i/>
          <w:iCs/>
          <w:sz w:val="20"/>
          <w:szCs w:val="20"/>
        </w:rPr>
        <w:t>Heroic Poetry</w:t>
      </w:r>
      <w:r w:rsidR="00C739E3" w:rsidRPr="00EE490C">
        <w:rPr>
          <w:sz w:val="20"/>
          <w:szCs w:val="20"/>
        </w:rPr>
        <w:t>,</w:t>
      </w:r>
      <w:r w:rsidRPr="00EE490C">
        <w:rPr>
          <w:sz w:val="20"/>
          <w:szCs w:val="20"/>
        </w:rPr>
        <w:t xml:space="preserve"> p. 122-123</w:t>
      </w:r>
    </w:p>
  </w:footnote>
  <w:footnote w:id="49">
    <w:p w14:paraId="4F6B0EA6" w14:textId="00EE07AD" w:rsidR="00DF1814" w:rsidRPr="00EE490C" w:rsidRDefault="00DF1814" w:rsidP="00C739E3">
      <w:pPr>
        <w:rPr>
          <w:sz w:val="20"/>
          <w:szCs w:val="20"/>
        </w:rPr>
      </w:pPr>
      <w:r w:rsidRPr="00EE490C">
        <w:rPr>
          <w:rStyle w:val="FootnoteReference"/>
          <w:sz w:val="20"/>
          <w:szCs w:val="20"/>
        </w:rPr>
        <w:footnoteRef/>
      </w:r>
      <w:r w:rsidR="00357CA3" w:rsidRPr="00EE490C">
        <w:rPr>
          <w:sz w:val="20"/>
          <w:szCs w:val="20"/>
        </w:rPr>
        <w:t xml:space="preserve"> Parks, </w:t>
      </w:r>
      <w:r w:rsidR="00357CA3" w:rsidRPr="00EE490C">
        <w:rPr>
          <w:i/>
          <w:iCs/>
          <w:sz w:val="20"/>
          <w:szCs w:val="20"/>
        </w:rPr>
        <w:t xml:space="preserve">Verbal </w:t>
      </w:r>
      <w:proofErr w:type="spellStart"/>
      <w:r w:rsidR="00357CA3" w:rsidRPr="00EE490C">
        <w:rPr>
          <w:i/>
          <w:iCs/>
          <w:sz w:val="20"/>
          <w:szCs w:val="20"/>
        </w:rPr>
        <w:t>Dueling</w:t>
      </w:r>
      <w:proofErr w:type="spellEnd"/>
      <w:r w:rsidR="00357CA3" w:rsidRPr="00EE490C">
        <w:rPr>
          <w:i/>
          <w:iCs/>
          <w:sz w:val="20"/>
          <w:szCs w:val="20"/>
        </w:rPr>
        <w:t xml:space="preserve"> in Heroic Narrative: The Homeric and Old English Traditions</w:t>
      </w:r>
      <w:r w:rsidR="00357CA3" w:rsidRPr="00EE490C">
        <w:rPr>
          <w:sz w:val="20"/>
          <w:szCs w:val="20"/>
        </w:rPr>
        <w:t xml:space="preserve">, </w:t>
      </w:r>
      <w:r w:rsidRPr="00EE490C">
        <w:rPr>
          <w:sz w:val="20"/>
          <w:szCs w:val="20"/>
        </w:rPr>
        <w:t>p. 31</w:t>
      </w:r>
    </w:p>
  </w:footnote>
  <w:footnote w:id="50">
    <w:p w14:paraId="591DC7E7" w14:textId="2AA5D21D" w:rsidR="00DF1814" w:rsidRPr="00EE490C" w:rsidRDefault="00DF1814" w:rsidP="00DF1814">
      <w:pPr>
        <w:pStyle w:val="FootnoteText"/>
      </w:pPr>
      <w:r w:rsidRPr="00EE490C">
        <w:rPr>
          <w:rStyle w:val="FootnoteReference"/>
        </w:rPr>
        <w:footnoteRef/>
      </w:r>
      <w:r w:rsidRPr="00EE490C">
        <w:t xml:space="preserve"> </w:t>
      </w:r>
      <w:r w:rsidR="002D31D8" w:rsidRPr="00EE490C">
        <w:t xml:space="preserve">N.F. Blake, ‘The genesis of the Battle of Maldon’ in </w:t>
      </w:r>
      <w:r w:rsidR="002D31D8" w:rsidRPr="00EE490C">
        <w:rPr>
          <w:i/>
          <w:iCs/>
        </w:rPr>
        <w:t>Anglo-Saxon England</w:t>
      </w:r>
      <w:r w:rsidR="002D31D8" w:rsidRPr="00EE490C">
        <w:t>, Vol 7, (1978), pp. 119-129</w:t>
      </w:r>
      <w:r w:rsidRPr="00EE490C">
        <w:t xml:space="preserve"> p. 124</w:t>
      </w:r>
    </w:p>
  </w:footnote>
  <w:footnote w:id="51">
    <w:p w14:paraId="668ABB56" w14:textId="72A25B64" w:rsidR="00DF1814" w:rsidRPr="00EE490C" w:rsidRDefault="00DF1814" w:rsidP="00C739E3">
      <w:pPr>
        <w:rPr>
          <w:sz w:val="20"/>
          <w:szCs w:val="20"/>
        </w:rPr>
      </w:pPr>
      <w:r w:rsidRPr="00EE490C">
        <w:rPr>
          <w:rStyle w:val="FootnoteReference"/>
          <w:sz w:val="20"/>
          <w:szCs w:val="20"/>
        </w:rPr>
        <w:footnoteRef/>
      </w:r>
      <w:r w:rsidR="000B3598" w:rsidRPr="00EE490C">
        <w:rPr>
          <w:sz w:val="20"/>
          <w:szCs w:val="20"/>
        </w:rPr>
        <w:t xml:space="preserve"> O’Brien O’Keeffe ‘Heroic Values and Christian Ethics’ </w:t>
      </w:r>
      <w:r w:rsidRPr="00EE490C">
        <w:rPr>
          <w:sz w:val="20"/>
          <w:szCs w:val="20"/>
        </w:rPr>
        <w:t>p. 120</w:t>
      </w:r>
    </w:p>
  </w:footnote>
  <w:footnote w:id="52">
    <w:p w14:paraId="7341CAF3" w14:textId="5B098404" w:rsidR="00DF1814" w:rsidRPr="00EE490C" w:rsidRDefault="00DF1814" w:rsidP="00DF1814">
      <w:pPr>
        <w:pStyle w:val="FootnoteText"/>
      </w:pPr>
      <w:r w:rsidRPr="00EE490C">
        <w:rPr>
          <w:rStyle w:val="FootnoteReference"/>
        </w:rPr>
        <w:footnoteRef/>
      </w:r>
      <w:r w:rsidRPr="00EE490C">
        <w:t xml:space="preserve"> </w:t>
      </w:r>
      <w:r w:rsidR="002D31D8" w:rsidRPr="00EE490C">
        <w:t xml:space="preserve">Blake, ‘The genesis of the Battle of Maldon’ </w:t>
      </w:r>
      <w:r w:rsidRPr="00EE490C">
        <w:t>p. 124</w:t>
      </w:r>
    </w:p>
  </w:footnote>
  <w:footnote w:id="53">
    <w:p w14:paraId="3E13BE05" w14:textId="4ADB10C2" w:rsidR="00DF1814" w:rsidRPr="00EE490C" w:rsidRDefault="00DF1814" w:rsidP="00DF1814">
      <w:pPr>
        <w:pStyle w:val="FootnoteText"/>
      </w:pPr>
      <w:r w:rsidRPr="00EE490C">
        <w:rPr>
          <w:rStyle w:val="FootnoteReference"/>
        </w:rPr>
        <w:footnoteRef/>
      </w:r>
      <w:r w:rsidR="00C739E3" w:rsidRPr="00EE490C">
        <w:t xml:space="preserve"> </w:t>
      </w:r>
      <w:r w:rsidR="00013667" w:rsidRPr="00EE490C">
        <w:t xml:space="preserve">Ker, </w:t>
      </w:r>
      <w:r w:rsidR="00013667" w:rsidRPr="00EE490C">
        <w:rPr>
          <w:i/>
          <w:iCs/>
        </w:rPr>
        <w:t>Epic and Romance: Essays on Medieval Literature</w:t>
      </w:r>
      <w:r w:rsidR="00013667" w:rsidRPr="00EE490C">
        <w:t xml:space="preserve">, </w:t>
      </w:r>
      <w:r w:rsidRPr="00EE490C">
        <w:t>p. 54</w:t>
      </w:r>
    </w:p>
  </w:footnote>
  <w:footnote w:id="54">
    <w:p w14:paraId="166D9578" w14:textId="511EBA5E" w:rsidR="00DF1814" w:rsidRPr="00EE490C" w:rsidRDefault="00DF1814" w:rsidP="002D31D8">
      <w:pPr>
        <w:rPr>
          <w:sz w:val="20"/>
          <w:szCs w:val="20"/>
        </w:rPr>
      </w:pPr>
      <w:r w:rsidRPr="00EE490C">
        <w:rPr>
          <w:rStyle w:val="FootnoteReference"/>
          <w:sz w:val="20"/>
          <w:szCs w:val="20"/>
        </w:rPr>
        <w:footnoteRef/>
      </w:r>
      <w:r w:rsidR="00C739E3" w:rsidRPr="00EE490C">
        <w:rPr>
          <w:sz w:val="20"/>
          <w:szCs w:val="20"/>
        </w:rPr>
        <w:t xml:space="preserve"> </w:t>
      </w:r>
      <w:r w:rsidR="002D31D8" w:rsidRPr="00EE490C">
        <w:rPr>
          <w:sz w:val="20"/>
          <w:szCs w:val="20"/>
        </w:rPr>
        <w:t xml:space="preserve">B.F. </w:t>
      </w:r>
      <w:proofErr w:type="spellStart"/>
      <w:r w:rsidR="002D31D8" w:rsidRPr="00EE490C">
        <w:rPr>
          <w:sz w:val="20"/>
          <w:szCs w:val="20"/>
        </w:rPr>
        <w:t>Huppe</w:t>
      </w:r>
      <w:proofErr w:type="spellEnd"/>
      <w:r w:rsidR="002D31D8" w:rsidRPr="00EE490C">
        <w:rPr>
          <w:sz w:val="20"/>
          <w:szCs w:val="20"/>
        </w:rPr>
        <w:t xml:space="preserve">, ‘The Concept of the Hero in the Early Middle Ages’ in </w:t>
      </w:r>
      <w:r w:rsidR="002D31D8" w:rsidRPr="00EE490C">
        <w:rPr>
          <w:i/>
          <w:iCs/>
          <w:sz w:val="20"/>
          <w:szCs w:val="20"/>
        </w:rPr>
        <w:t>Concepts of the Hero in the Middle Ages and the Renaissance,</w:t>
      </w:r>
      <w:r w:rsidR="002D31D8" w:rsidRPr="00EE490C">
        <w:rPr>
          <w:sz w:val="20"/>
          <w:szCs w:val="20"/>
        </w:rPr>
        <w:t xml:space="preserve"> N.T. Burns, and C.T. Reagan, eds. (Albany: State University of New York Press, 1975) pp. 1-26 </w:t>
      </w:r>
      <w:r w:rsidRPr="00EE490C">
        <w:rPr>
          <w:sz w:val="20"/>
          <w:szCs w:val="20"/>
        </w:rPr>
        <w:t>p. 10</w:t>
      </w:r>
    </w:p>
  </w:footnote>
  <w:footnote w:id="55">
    <w:p w14:paraId="050BD34C" w14:textId="177B3D06" w:rsidR="00DF1814" w:rsidRPr="00EE490C" w:rsidRDefault="00DF1814" w:rsidP="002D31D8">
      <w:pPr>
        <w:rPr>
          <w:sz w:val="20"/>
          <w:szCs w:val="20"/>
        </w:rPr>
      </w:pPr>
      <w:r w:rsidRPr="00EE490C">
        <w:rPr>
          <w:rStyle w:val="FootnoteReference"/>
          <w:sz w:val="20"/>
          <w:szCs w:val="20"/>
        </w:rPr>
        <w:footnoteRef/>
      </w:r>
      <w:r w:rsidRPr="00EE490C">
        <w:rPr>
          <w:sz w:val="20"/>
          <w:szCs w:val="20"/>
        </w:rPr>
        <w:t xml:space="preserve"> </w:t>
      </w:r>
      <w:r w:rsidR="00C739E3" w:rsidRPr="00EE490C">
        <w:rPr>
          <w:sz w:val="20"/>
          <w:szCs w:val="20"/>
        </w:rPr>
        <w:t>Ibid.,</w:t>
      </w:r>
      <w:r w:rsidR="002D31D8" w:rsidRPr="00EE490C">
        <w:rPr>
          <w:sz w:val="20"/>
          <w:szCs w:val="20"/>
        </w:rPr>
        <w:t xml:space="preserve"> </w:t>
      </w:r>
      <w:r w:rsidRPr="00EE490C">
        <w:rPr>
          <w:sz w:val="20"/>
          <w:szCs w:val="20"/>
        </w:rPr>
        <w:t>p. 12</w:t>
      </w:r>
    </w:p>
  </w:footnote>
  <w:footnote w:id="56">
    <w:p w14:paraId="31B5AEA7" w14:textId="7EBD9A72" w:rsidR="00DF1814" w:rsidRPr="00EE490C" w:rsidRDefault="00DF1814" w:rsidP="002D31D8">
      <w:pPr>
        <w:rPr>
          <w:sz w:val="20"/>
          <w:szCs w:val="20"/>
        </w:rPr>
      </w:pPr>
      <w:r w:rsidRPr="00EE490C">
        <w:rPr>
          <w:rStyle w:val="FootnoteReference"/>
          <w:sz w:val="20"/>
          <w:szCs w:val="20"/>
        </w:rPr>
        <w:footnoteRef/>
      </w:r>
      <w:r w:rsidRPr="00EE490C">
        <w:rPr>
          <w:sz w:val="20"/>
          <w:szCs w:val="20"/>
        </w:rPr>
        <w:t xml:space="preserve"> </w:t>
      </w:r>
      <w:r w:rsidR="00C739E3" w:rsidRPr="00EE490C">
        <w:rPr>
          <w:sz w:val="20"/>
          <w:szCs w:val="20"/>
        </w:rPr>
        <w:t>Ibid.,</w:t>
      </w:r>
      <w:r w:rsidRPr="00EE490C">
        <w:rPr>
          <w:sz w:val="20"/>
          <w:szCs w:val="20"/>
        </w:rPr>
        <w:t xml:space="preserve"> p. 13</w:t>
      </w:r>
    </w:p>
  </w:footnote>
  <w:footnote w:id="57">
    <w:p w14:paraId="381B7BAB" w14:textId="7BACACD4" w:rsidR="00DD6B9B" w:rsidRPr="00EE490C" w:rsidRDefault="00DD6B9B" w:rsidP="00EE490C">
      <w:pPr>
        <w:rPr>
          <w:sz w:val="20"/>
          <w:szCs w:val="20"/>
        </w:rPr>
      </w:pPr>
      <w:r w:rsidRPr="00EE490C">
        <w:rPr>
          <w:rStyle w:val="FootnoteReference"/>
          <w:sz w:val="20"/>
          <w:szCs w:val="20"/>
        </w:rPr>
        <w:footnoteRef/>
      </w:r>
      <w:r w:rsidR="00C53F8F" w:rsidRPr="00EE490C">
        <w:rPr>
          <w:sz w:val="20"/>
          <w:szCs w:val="20"/>
        </w:rPr>
        <w:t xml:space="preserve">T.A. </w:t>
      </w:r>
      <w:proofErr w:type="spellStart"/>
      <w:r w:rsidR="00C53F8F" w:rsidRPr="00EE490C">
        <w:rPr>
          <w:sz w:val="20"/>
          <w:szCs w:val="20"/>
        </w:rPr>
        <w:t>Shippey</w:t>
      </w:r>
      <w:proofErr w:type="spellEnd"/>
      <w:r w:rsidR="00C53F8F" w:rsidRPr="00EE490C">
        <w:rPr>
          <w:sz w:val="20"/>
          <w:szCs w:val="20"/>
        </w:rPr>
        <w:t xml:space="preserve">, </w:t>
      </w:r>
      <w:r w:rsidR="00C53F8F" w:rsidRPr="00EE490C">
        <w:rPr>
          <w:i/>
          <w:iCs/>
          <w:sz w:val="20"/>
          <w:szCs w:val="20"/>
        </w:rPr>
        <w:t>Old English Verse</w:t>
      </w:r>
      <w:r w:rsidR="00C53F8F" w:rsidRPr="00EE490C">
        <w:rPr>
          <w:sz w:val="20"/>
          <w:szCs w:val="20"/>
        </w:rPr>
        <w:t>, (London: Hutchinson University Library, 1972)</w:t>
      </w:r>
      <w:r w:rsidR="00EE490C">
        <w:rPr>
          <w:sz w:val="20"/>
          <w:szCs w:val="20"/>
        </w:rPr>
        <w:t xml:space="preserve"> </w:t>
      </w:r>
      <w:r w:rsidRPr="00EE490C">
        <w:rPr>
          <w:sz w:val="20"/>
          <w:szCs w:val="20"/>
        </w:rPr>
        <w:t>p. 27</w:t>
      </w:r>
    </w:p>
  </w:footnote>
  <w:footnote w:id="58">
    <w:p w14:paraId="11641688" w14:textId="72CEB823" w:rsidR="00DD6B9B" w:rsidRPr="00EE490C" w:rsidRDefault="00DD6B9B" w:rsidP="00C739E3">
      <w:pPr>
        <w:rPr>
          <w:sz w:val="20"/>
          <w:szCs w:val="20"/>
        </w:rPr>
      </w:pPr>
      <w:r w:rsidRPr="00EE490C">
        <w:rPr>
          <w:rStyle w:val="FootnoteReference"/>
          <w:sz w:val="20"/>
          <w:szCs w:val="20"/>
        </w:rPr>
        <w:footnoteRef/>
      </w:r>
      <w:r w:rsidRPr="00EE490C">
        <w:rPr>
          <w:sz w:val="20"/>
          <w:szCs w:val="20"/>
        </w:rPr>
        <w:t xml:space="preserve"> </w:t>
      </w:r>
      <w:proofErr w:type="spellStart"/>
      <w:r w:rsidR="00C53F8F" w:rsidRPr="00EE490C">
        <w:rPr>
          <w:sz w:val="20"/>
          <w:szCs w:val="20"/>
        </w:rPr>
        <w:t>Shippey</w:t>
      </w:r>
      <w:proofErr w:type="spellEnd"/>
      <w:r w:rsidR="00C53F8F" w:rsidRPr="00EE490C">
        <w:rPr>
          <w:sz w:val="20"/>
          <w:szCs w:val="20"/>
        </w:rPr>
        <w:t xml:space="preserve">, </w:t>
      </w:r>
      <w:r w:rsidR="00C53F8F" w:rsidRPr="00EE490C">
        <w:rPr>
          <w:i/>
          <w:iCs/>
          <w:sz w:val="20"/>
          <w:szCs w:val="20"/>
        </w:rPr>
        <w:t>Old English Verse</w:t>
      </w:r>
      <w:r w:rsidR="00C53F8F" w:rsidRPr="00EE490C">
        <w:rPr>
          <w:sz w:val="20"/>
          <w:szCs w:val="20"/>
        </w:rPr>
        <w:t>,</w:t>
      </w:r>
      <w:r w:rsidRPr="00EE490C">
        <w:rPr>
          <w:sz w:val="20"/>
          <w:szCs w:val="20"/>
        </w:rPr>
        <w:t xml:space="preserve"> p. 28</w:t>
      </w:r>
    </w:p>
  </w:footnote>
  <w:footnote w:id="59">
    <w:p w14:paraId="55EA204B" w14:textId="2EFD34C6" w:rsidR="00E738F5" w:rsidRPr="00EE490C" w:rsidRDefault="00E738F5" w:rsidP="00C739E3">
      <w:pPr>
        <w:rPr>
          <w:sz w:val="20"/>
          <w:szCs w:val="20"/>
        </w:rPr>
      </w:pPr>
      <w:r w:rsidRPr="00EE490C">
        <w:rPr>
          <w:rStyle w:val="FootnoteReference"/>
          <w:sz w:val="20"/>
          <w:szCs w:val="20"/>
        </w:rPr>
        <w:footnoteRef/>
      </w:r>
      <w:r w:rsidRPr="00EE490C">
        <w:rPr>
          <w:sz w:val="20"/>
          <w:szCs w:val="20"/>
        </w:rPr>
        <w:t xml:space="preserve"> </w:t>
      </w:r>
      <w:r w:rsidR="00357CA3" w:rsidRPr="00EE490C">
        <w:rPr>
          <w:sz w:val="20"/>
          <w:szCs w:val="20"/>
        </w:rPr>
        <w:t xml:space="preserve">Parks, </w:t>
      </w:r>
      <w:r w:rsidR="00357CA3" w:rsidRPr="00EE490C">
        <w:rPr>
          <w:i/>
          <w:iCs/>
          <w:sz w:val="20"/>
          <w:szCs w:val="20"/>
        </w:rPr>
        <w:t xml:space="preserve">Verbal </w:t>
      </w:r>
      <w:proofErr w:type="spellStart"/>
      <w:r w:rsidR="00357CA3" w:rsidRPr="00EE490C">
        <w:rPr>
          <w:i/>
          <w:iCs/>
          <w:sz w:val="20"/>
          <w:szCs w:val="20"/>
        </w:rPr>
        <w:t>Dueling</w:t>
      </w:r>
      <w:proofErr w:type="spellEnd"/>
      <w:r w:rsidR="00357CA3" w:rsidRPr="00EE490C">
        <w:rPr>
          <w:i/>
          <w:iCs/>
          <w:sz w:val="20"/>
          <w:szCs w:val="20"/>
        </w:rPr>
        <w:t xml:space="preserve"> in Heroic Narrative: The Homeric and Old English Traditions</w:t>
      </w:r>
      <w:r w:rsidR="00357CA3" w:rsidRPr="00EE490C">
        <w:rPr>
          <w:sz w:val="20"/>
          <w:szCs w:val="20"/>
        </w:rPr>
        <w:t>, (Princeton: Princeton University Press, 1990)</w:t>
      </w:r>
      <w:r w:rsidRPr="00EE490C">
        <w:rPr>
          <w:sz w:val="20"/>
          <w:szCs w:val="20"/>
        </w:rPr>
        <w:t xml:space="preserve"> p. 45</w:t>
      </w:r>
    </w:p>
  </w:footnote>
  <w:footnote w:id="60">
    <w:p w14:paraId="11E5C0E7" w14:textId="48CFA806" w:rsidR="00E738F5" w:rsidRPr="00EE490C" w:rsidRDefault="00E738F5" w:rsidP="00C739E3">
      <w:pPr>
        <w:rPr>
          <w:sz w:val="20"/>
          <w:szCs w:val="20"/>
        </w:rPr>
      </w:pPr>
      <w:r w:rsidRPr="00EE490C">
        <w:rPr>
          <w:rStyle w:val="FootnoteReference"/>
          <w:sz w:val="20"/>
          <w:szCs w:val="20"/>
        </w:rPr>
        <w:footnoteRef/>
      </w:r>
      <w:r w:rsidRPr="00EE490C">
        <w:rPr>
          <w:sz w:val="20"/>
          <w:szCs w:val="20"/>
        </w:rPr>
        <w:t xml:space="preserve"> </w:t>
      </w:r>
      <w:r w:rsidR="00C739E3" w:rsidRPr="00EE490C">
        <w:rPr>
          <w:sz w:val="20"/>
          <w:szCs w:val="20"/>
        </w:rPr>
        <w:t>Ibid.,</w:t>
      </w:r>
      <w:r w:rsidRPr="00EE490C">
        <w:rPr>
          <w:sz w:val="20"/>
          <w:szCs w:val="20"/>
        </w:rPr>
        <w:t xml:space="preserve"> p. 46</w:t>
      </w:r>
    </w:p>
  </w:footnote>
  <w:footnote w:id="61">
    <w:p w14:paraId="362627B9" w14:textId="0510C5BD" w:rsidR="00E738F5" w:rsidRPr="00EE490C" w:rsidRDefault="00E738F5" w:rsidP="00C739E3">
      <w:pPr>
        <w:rPr>
          <w:sz w:val="20"/>
          <w:szCs w:val="20"/>
        </w:rPr>
      </w:pPr>
      <w:r w:rsidRPr="00EE490C">
        <w:rPr>
          <w:rStyle w:val="FootnoteReference"/>
          <w:sz w:val="20"/>
          <w:szCs w:val="20"/>
        </w:rPr>
        <w:footnoteRef/>
      </w:r>
      <w:r w:rsidRPr="00EE490C">
        <w:rPr>
          <w:sz w:val="20"/>
          <w:szCs w:val="20"/>
        </w:rPr>
        <w:t xml:space="preserve"> </w:t>
      </w:r>
      <w:r w:rsidR="00C739E3" w:rsidRPr="00EE490C">
        <w:rPr>
          <w:sz w:val="20"/>
          <w:szCs w:val="20"/>
        </w:rPr>
        <w:t>Ibid.,</w:t>
      </w:r>
      <w:r w:rsidRPr="00EE490C">
        <w:rPr>
          <w:sz w:val="20"/>
          <w:szCs w:val="20"/>
        </w:rPr>
        <w:t xml:space="preserve"> p. 50</w:t>
      </w:r>
    </w:p>
  </w:footnote>
  <w:footnote w:id="62">
    <w:p w14:paraId="70CEBAD2" w14:textId="7D315530" w:rsidR="00E738F5" w:rsidRPr="00EE490C" w:rsidRDefault="00E738F5" w:rsidP="00C739E3">
      <w:pPr>
        <w:rPr>
          <w:sz w:val="20"/>
          <w:szCs w:val="20"/>
        </w:rPr>
      </w:pPr>
      <w:r w:rsidRPr="00EE490C">
        <w:rPr>
          <w:rStyle w:val="FootnoteReference"/>
          <w:sz w:val="20"/>
          <w:szCs w:val="20"/>
        </w:rPr>
        <w:footnoteRef/>
      </w:r>
      <w:r w:rsidRPr="00EE490C">
        <w:rPr>
          <w:sz w:val="20"/>
          <w:szCs w:val="20"/>
        </w:rPr>
        <w:t xml:space="preserve"> </w:t>
      </w:r>
      <w:r w:rsidR="00C739E3" w:rsidRPr="00EE490C">
        <w:rPr>
          <w:sz w:val="20"/>
          <w:szCs w:val="20"/>
        </w:rPr>
        <w:t>Ibid.,</w:t>
      </w:r>
      <w:r w:rsidRPr="00EE490C">
        <w:rPr>
          <w:sz w:val="20"/>
          <w:szCs w:val="20"/>
        </w:rPr>
        <w:t xml:space="preserve"> p. 55</w:t>
      </w:r>
    </w:p>
  </w:footnote>
  <w:footnote w:id="63">
    <w:p w14:paraId="7706F9F2" w14:textId="18119710" w:rsidR="00E738F5" w:rsidRPr="00EE490C" w:rsidRDefault="00E738F5" w:rsidP="00C739E3">
      <w:pPr>
        <w:rPr>
          <w:sz w:val="20"/>
          <w:szCs w:val="20"/>
        </w:rPr>
      </w:pPr>
      <w:r w:rsidRPr="00EE490C">
        <w:rPr>
          <w:rStyle w:val="FootnoteReference"/>
          <w:sz w:val="20"/>
          <w:szCs w:val="20"/>
        </w:rPr>
        <w:footnoteRef/>
      </w:r>
      <w:r w:rsidRPr="00EE490C">
        <w:rPr>
          <w:sz w:val="20"/>
          <w:szCs w:val="20"/>
        </w:rPr>
        <w:t xml:space="preserve"> </w:t>
      </w:r>
      <w:r w:rsidR="00C739E3" w:rsidRPr="00EE490C">
        <w:rPr>
          <w:sz w:val="20"/>
          <w:szCs w:val="20"/>
        </w:rPr>
        <w:t>Ibid.,</w:t>
      </w:r>
      <w:r w:rsidRPr="00EE490C">
        <w:rPr>
          <w:sz w:val="20"/>
          <w:szCs w:val="20"/>
        </w:rPr>
        <w:t xml:space="preserve"> p. 53</w:t>
      </w:r>
    </w:p>
  </w:footnote>
  <w:footnote w:id="64">
    <w:p w14:paraId="21F9FE4F" w14:textId="0FCC3E34" w:rsidR="00DF1814" w:rsidRPr="00EE490C" w:rsidRDefault="00DF1814" w:rsidP="00C739E3">
      <w:pPr>
        <w:rPr>
          <w:sz w:val="20"/>
          <w:szCs w:val="20"/>
        </w:rPr>
      </w:pPr>
      <w:r w:rsidRPr="00EE490C">
        <w:rPr>
          <w:rStyle w:val="FootnoteReference"/>
          <w:sz w:val="20"/>
          <w:szCs w:val="20"/>
        </w:rPr>
        <w:footnoteRef/>
      </w:r>
      <w:r w:rsidR="00DB3B49" w:rsidRPr="00EE490C">
        <w:rPr>
          <w:sz w:val="20"/>
          <w:szCs w:val="20"/>
        </w:rPr>
        <w:t xml:space="preserve"> </w:t>
      </w:r>
      <w:proofErr w:type="spellStart"/>
      <w:r w:rsidR="00DB3B49" w:rsidRPr="00EE490C">
        <w:rPr>
          <w:sz w:val="20"/>
          <w:szCs w:val="20"/>
        </w:rPr>
        <w:t>Bowra</w:t>
      </w:r>
      <w:proofErr w:type="spellEnd"/>
      <w:r w:rsidR="00DB3B49" w:rsidRPr="00EE490C">
        <w:rPr>
          <w:sz w:val="20"/>
          <w:szCs w:val="20"/>
        </w:rPr>
        <w:t xml:space="preserve">, </w:t>
      </w:r>
      <w:r w:rsidR="00DB3B49" w:rsidRPr="00EE490C">
        <w:rPr>
          <w:i/>
          <w:iCs/>
          <w:sz w:val="20"/>
          <w:szCs w:val="20"/>
        </w:rPr>
        <w:t>Heroic Poetry</w:t>
      </w:r>
      <w:r w:rsidR="00DB3B49" w:rsidRPr="00EE490C">
        <w:rPr>
          <w:sz w:val="20"/>
          <w:szCs w:val="20"/>
        </w:rPr>
        <w:t xml:space="preserve">, </w:t>
      </w:r>
      <w:r w:rsidRPr="00EE490C">
        <w:rPr>
          <w:sz w:val="20"/>
          <w:szCs w:val="20"/>
        </w:rPr>
        <w:t>p. 75</w:t>
      </w:r>
    </w:p>
  </w:footnote>
  <w:footnote w:id="65">
    <w:p w14:paraId="74D03620" w14:textId="071AD6ED" w:rsidR="007B4702" w:rsidRPr="00EE490C" w:rsidRDefault="007B4702" w:rsidP="00013667">
      <w:pPr>
        <w:rPr>
          <w:sz w:val="20"/>
          <w:szCs w:val="20"/>
        </w:rPr>
      </w:pPr>
      <w:r w:rsidRPr="00EE490C">
        <w:rPr>
          <w:rStyle w:val="FootnoteReference"/>
          <w:sz w:val="20"/>
          <w:szCs w:val="20"/>
        </w:rPr>
        <w:footnoteRef/>
      </w:r>
      <w:r w:rsidR="00013667" w:rsidRPr="00EE490C">
        <w:rPr>
          <w:sz w:val="20"/>
          <w:szCs w:val="20"/>
        </w:rPr>
        <w:t xml:space="preserve"> Scragg, ‘The Battle of </w:t>
      </w:r>
      <w:proofErr w:type="spellStart"/>
      <w:r w:rsidR="00013667" w:rsidRPr="00EE490C">
        <w:rPr>
          <w:sz w:val="20"/>
          <w:szCs w:val="20"/>
        </w:rPr>
        <w:t>Maldon</w:t>
      </w:r>
      <w:proofErr w:type="gramStart"/>
      <w:r w:rsidR="00013667" w:rsidRPr="00EE490C">
        <w:rPr>
          <w:sz w:val="20"/>
          <w:szCs w:val="20"/>
        </w:rPr>
        <w:t>’,</w:t>
      </w:r>
      <w:r w:rsidRPr="00EE490C">
        <w:rPr>
          <w:sz w:val="20"/>
          <w:szCs w:val="20"/>
        </w:rPr>
        <w:t>p</w:t>
      </w:r>
      <w:proofErr w:type="spellEnd"/>
      <w:r w:rsidRPr="00EE490C">
        <w:rPr>
          <w:sz w:val="20"/>
          <w:szCs w:val="20"/>
        </w:rPr>
        <w:t>.</w:t>
      </w:r>
      <w:proofErr w:type="gramEnd"/>
      <w:r w:rsidRPr="00EE490C">
        <w:rPr>
          <w:sz w:val="20"/>
          <w:szCs w:val="20"/>
        </w:rPr>
        <w:t xml:space="preserve"> 34</w:t>
      </w:r>
    </w:p>
  </w:footnote>
  <w:footnote w:id="66">
    <w:p w14:paraId="0E9DD4AD" w14:textId="42EA0332" w:rsidR="00DF1814" w:rsidRPr="00EE490C" w:rsidRDefault="00DF1814" w:rsidP="003D7D58">
      <w:pPr>
        <w:rPr>
          <w:sz w:val="20"/>
          <w:szCs w:val="20"/>
        </w:rPr>
      </w:pPr>
      <w:r w:rsidRPr="00EE490C">
        <w:rPr>
          <w:rStyle w:val="FootnoteReference"/>
          <w:sz w:val="20"/>
          <w:szCs w:val="20"/>
        </w:rPr>
        <w:footnoteRef/>
      </w:r>
      <w:r w:rsidRPr="00EE490C">
        <w:rPr>
          <w:sz w:val="20"/>
          <w:szCs w:val="20"/>
        </w:rPr>
        <w:t xml:space="preserve"> </w:t>
      </w:r>
      <w:proofErr w:type="spellStart"/>
      <w:r w:rsidR="00DB3B49" w:rsidRPr="00EE490C">
        <w:rPr>
          <w:sz w:val="20"/>
          <w:szCs w:val="20"/>
        </w:rPr>
        <w:t>Bowra</w:t>
      </w:r>
      <w:proofErr w:type="spellEnd"/>
      <w:r w:rsidR="00DB3B49" w:rsidRPr="00EE490C">
        <w:rPr>
          <w:sz w:val="20"/>
          <w:szCs w:val="20"/>
        </w:rPr>
        <w:t xml:space="preserve">, </w:t>
      </w:r>
      <w:r w:rsidR="00DB3B49" w:rsidRPr="00EE490C">
        <w:rPr>
          <w:i/>
          <w:iCs/>
          <w:sz w:val="20"/>
          <w:szCs w:val="20"/>
        </w:rPr>
        <w:t>Heroic Poetry</w:t>
      </w:r>
      <w:r w:rsidR="003D7D58" w:rsidRPr="00EE490C">
        <w:rPr>
          <w:sz w:val="20"/>
          <w:szCs w:val="20"/>
        </w:rPr>
        <w:t>,</w:t>
      </w:r>
      <w:r w:rsidRPr="00EE490C">
        <w:rPr>
          <w:sz w:val="20"/>
          <w:szCs w:val="20"/>
        </w:rPr>
        <w:t xml:space="preserve"> p. 76-77</w:t>
      </w:r>
    </w:p>
  </w:footnote>
  <w:footnote w:id="67">
    <w:p w14:paraId="0CA6FBDE" w14:textId="6B7C9AB3" w:rsidR="00E84237" w:rsidRPr="00EE490C" w:rsidRDefault="00E84237" w:rsidP="003D7D58">
      <w:pPr>
        <w:rPr>
          <w:sz w:val="20"/>
          <w:szCs w:val="20"/>
        </w:rPr>
      </w:pPr>
      <w:r w:rsidRPr="00EE490C">
        <w:rPr>
          <w:rStyle w:val="FootnoteReference"/>
          <w:sz w:val="20"/>
          <w:szCs w:val="20"/>
        </w:rPr>
        <w:footnoteRef/>
      </w:r>
      <w:r w:rsidRPr="00EE490C">
        <w:rPr>
          <w:sz w:val="20"/>
          <w:szCs w:val="20"/>
        </w:rPr>
        <w:t xml:space="preserve"> </w:t>
      </w:r>
      <w:r w:rsidR="00DB3B49" w:rsidRPr="00EE490C">
        <w:rPr>
          <w:sz w:val="20"/>
          <w:szCs w:val="20"/>
        </w:rPr>
        <w:t xml:space="preserve">Scragg, </w:t>
      </w:r>
      <w:r w:rsidR="00DB3B49" w:rsidRPr="00EE490C">
        <w:rPr>
          <w:i/>
          <w:iCs/>
          <w:sz w:val="20"/>
          <w:szCs w:val="20"/>
        </w:rPr>
        <w:t>The Battle of Maldon</w:t>
      </w:r>
      <w:r w:rsidR="00DB3B49" w:rsidRPr="00EE490C">
        <w:rPr>
          <w:sz w:val="20"/>
          <w:szCs w:val="20"/>
        </w:rPr>
        <w:t xml:space="preserve">, </w:t>
      </w:r>
      <w:r w:rsidRPr="00EE490C">
        <w:rPr>
          <w:sz w:val="20"/>
          <w:szCs w:val="20"/>
        </w:rPr>
        <w:t>p. 22</w:t>
      </w:r>
    </w:p>
  </w:footnote>
  <w:footnote w:id="68">
    <w:p w14:paraId="7D191F8E" w14:textId="32A25931" w:rsidR="00E84237" w:rsidRPr="00EE490C" w:rsidRDefault="00E84237" w:rsidP="00013667">
      <w:pPr>
        <w:rPr>
          <w:sz w:val="20"/>
          <w:szCs w:val="20"/>
        </w:rPr>
      </w:pPr>
      <w:r w:rsidRPr="00EE490C">
        <w:rPr>
          <w:rStyle w:val="FootnoteReference"/>
          <w:sz w:val="20"/>
          <w:szCs w:val="20"/>
        </w:rPr>
        <w:footnoteRef/>
      </w:r>
      <w:r w:rsidRPr="00EE490C">
        <w:rPr>
          <w:sz w:val="20"/>
          <w:szCs w:val="20"/>
        </w:rPr>
        <w:t xml:space="preserve"> </w:t>
      </w:r>
      <w:r w:rsidR="00013667" w:rsidRPr="00EE490C">
        <w:rPr>
          <w:sz w:val="20"/>
          <w:szCs w:val="20"/>
        </w:rPr>
        <w:t>Scragg, ‘The Battle of Maldon’</w:t>
      </w:r>
      <w:r w:rsidR="003D7D58" w:rsidRPr="00EE490C">
        <w:rPr>
          <w:sz w:val="20"/>
          <w:szCs w:val="20"/>
        </w:rPr>
        <w:t xml:space="preserve"> </w:t>
      </w:r>
      <w:r w:rsidRPr="00EE490C">
        <w:rPr>
          <w:sz w:val="20"/>
          <w:szCs w:val="20"/>
        </w:rPr>
        <w:t>p. 33</w:t>
      </w:r>
    </w:p>
  </w:footnote>
  <w:footnote w:id="69">
    <w:p w14:paraId="1D48F091" w14:textId="28E12EBC" w:rsidR="00E84237" w:rsidRPr="00EE490C" w:rsidRDefault="00E84237" w:rsidP="00E84237">
      <w:pPr>
        <w:pStyle w:val="FootnoteText"/>
      </w:pPr>
      <w:r w:rsidRPr="00EE490C">
        <w:rPr>
          <w:rStyle w:val="FootnoteReference"/>
        </w:rPr>
        <w:footnoteRef/>
      </w:r>
      <w:r w:rsidRPr="00EE490C">
        <w:t xml:space="preserve"> </w:t>
      </w:r>
      <w:r w:rsidR="00DB3B49" w:rsidRPr="00EE490C">
        <w:t xml:space="preserve">Marsden, </w:t>
      </w:r>
      <w:r w:rsidR="00DB3B49" w:rsidRPr="00EE490C">
        <w:rPr>
          <w:i/>
          <w:iCs/>
        </w:rPr>
        <w:t>The Cambridge Old English Reader</w:t>
      </w:r>
      <w:r w:rsidR="00DB3B49" w:rsidRPr="00EE490C">
        <w:t xml:space="preserve">, </w:t>
      </w:r>
      <w:r w:rsidR="00EE490C">
        <w:t>p</w:t>
      </w:r>
      <w:r w:rsidRPr="00EE490C">
        <w:t>. 252</w:t>
      </w:r>
    </w:p>
  </w:footnote>
  <w:footnote w:id="70">
    <w:p w14:paraId="175716B2" w14:textId="61CAA79B" w:rsidR="005B50B1" w:rsidRPr="00EE490C" w:rsidRDefault="005B50B1" w:rsidP="003D7D58">
      <w:pPr>
        <w:rPr>
          <w:sz w:val="20"/>
          <w:szCs w:val="20"/>
        </w:rPr>
      </w:pPr>
      <w:r w:rsidRPr="00EE490C">
        <w:rPr>
          <w:rStyle w:val="FootnoteReference"/>
          <w:sz w:val="20"/>
          <w:szCs w:val="20"/>
        </w:rPr>
        <w:footnoteRef/>
      </w:r>
      <w:r w:rsidRPr="00EE490C">
        <w:rPr>
          <w:sz w:val="20"/>
          <w:szCs w:val="20"/>
        </w:rPr>
        <w:t xml:space="preserve"> </w:t>
      </w:r>
      <w:r w:rsidR="00357CA3" w:rsidRPr="00EE490C">
        <w:rPr>
          <w:sz w:val="20"/>
          <w:szCs w:val="20"/>
        </w:rPr>
        <w:t>Irving Jr, ‘Heroic role-models” Beowulf and Others’</w:t>
      </w:r>
      <w:r w:rsidRPr="00EE490C">
        <w:rPr>
          <w:sz w:val="20"/>
          <w:szCs w:val="20"/>
        </w:rPr>
        <w:t xml:space="preserve"> p. 354 </w:t>
      </w:r>
    </w:p>
  </w:footnote>
  <w:footnote w:id="71">
    <w:p w14:paraId="42E2229A" w14:textId="5936DE55" w:rsidR="00E84237" w:rsidRPr="00EE490C" w:rsidRDefault="00E84237" w:rsidP="00E84237">
      <w:pPr>
        <w:pStyle w:val="FootnoteText"/>
      </w:pPr>
      <w:r w:rsidRPr="00EE490C">
        <w:rPr>
          <w:rStyle w:val="FootnoteReference"/>
        </w:rPr>
        <w:footnoteRef/>
      </w:r>
      <w:r w:rsidRPr="00EE490C">
        <w:t xml:space="preserve"> </w:t>
      </w:r>
      <w:r w:rsidR="002D31D8" w:rsidRPr="00EE490C">
        <w:t xml:space="preserve">Blake, ‘The genesis of the Battle of Maldon’ </w:t>
      </w:r>
      <w:r w:rsidRPr="00EE490C">
        <w:t>p. 123</w:t>
      </w:r>
    </w:p>
  </w:footnote>
  <w:footnote w:id="72">
    <w:p w14:paraId="78564456" w14:textId="584601B2" w:rsidR="00E84237" w:rsidRPr="00EE490C" w:rsidRDefault="00E84237" w:rsidP="003D7D58">
      <w:pPr>
        <w:rPr>
          <w:sz w:val="20"/>
          <w:szCs w:val="20"/>
        </w:rPr>
      </w:pPr>
      <w:r w:rsidRPr="00EE490C">
        <w:rPr>
          <w:rStyle w:val="FootnoteReference"/>
          <w:sz w:val="20"/>
          <w:szCs w:val="20"/>
        </w:rPr>
        <w:footnoteRef/>
      </w:r>
      <w:r w:rsidRPr="00EE490C">
        <w:rPr>
          <w:sz w:val="20"/>
          <w:szCs w:val="20"/>
        </w:rPr>
        <w:t xml:space="preserve"> </w:t>
      </w:r>
      <w:proofErr w:type="spellStart"/>
      <w:r w:rsidR="00DB3B49" w:rsidRPr="00EE490C">
        <w:rPr>
          <w:sz w:val="20"/>
          <w:szCs w:val="20"/>
        </w:rPr>
        <w:t>Bowra</w:t>
      </w:r>
      <w:proofErr w:type="spellEnd"/>
      <w:r w:rsidR="00DB3B49" w:rsidRPr="00EE490C">
        <w:rPr>
          <w:sz w:val="20"/>
          <w:szCs w:val="20"/>
        </w:rPr>
        <w:t xml:space="preserve">, </w:t>
      </w:r>
      <w:r w:rsidR="00DB3B49" w:rsidRPr="00EE490C">
        <w:rPr>
          <w:i/>
          <w:iCs/>
          <w:sz w:val="20"/>
          <w:szCs w:val="20"/>
        </w:rPr>
        <w:t>Heroic Poetry</w:t>
      </w:r>
      <w:r w:rsidR="00DB3B49" w:rsidRPr="00EE490C">
        <w:rPr>
          <w:sz w:val="20"/>
          <w:szCs w:val="20"/>
        </w:rPr>
        <w:t xml:space="preserve">, </w:t>
      </w:r>
      <w:r w:rsidRPr="00EE490C">
        <w:rPr>
          <w:sz w:val="20"/>
          <w:szCs w:val="20"/>
        </w:rPr>
        <w:t>p 113</w:t>
      </w:r>
    </w:p>
  </w:footnote>
  <w:footnote w:id="73">
    <w:p w14:paraId="030E5CCC" w14:textId="39F8CAE5" w:rsidR="005B50B1" w:rsidRPr="00EE490C" w:rsidRDefault="005B50B1" w:rsidP="005B50B1">
      <w:pPr>
        <w:pStyle w:val="FootnoteText"/>
      </w:pPr>
      <w:r w:rsidRPr="00EE490C">
        <w:rPr>
          <w:rStyle w:val="FootnoteReference"/>
        </w:rPr>
        <w:footnoteRef/>
      </w:r>
      <w:r w:rsidRPr="00EE490C">
        <w:t xml:space="preserve"> </w:t>
      </w:r>
      <w:r w:rsidR="00DB3B49" w:rsidRPr="00EE490C">
        <w:t xml:space="preserve">Marsden, </w:t>
      </w:r>
      <w:r w:rsidR="00DB3B49" w:rsidRPr="00EE490C">
        <w:rPr>
          <w:i/>
          <w:iCs/>
        </w:rPr>
        <w:t>The Cambridge Old English Reader</w:t>
      </w:r>
      <w:r w:rsidR="00DB3B49" w:rsidRPr="00EE490C">
        <w:t xml:space="preserve">, </w:t>
      </w:r>
      <w:r w:rsidRPr="00EE490C">
        <w:t>p. 251</w:t>
      </w:r>
    </w:p>
  </w:footnote>
  <w:footnote w:id="74">
    <w:p w14:paraId="590A9F14" w14:textId="5F2CE47A" w:rsidR="005B50B1" w:rsidRPr="00EE490C" w:rsidRDefault="005B50B1" w:rsidP="003D7D58">
      <w:pPr>
        <w:rPr>
          <w:sz w:val="20"/>
          <w:szCs w:val="20"/>
        </w:rPr>
      </w:pPr>
      <w:r w:rsidRPr="00EE490C">
        <w:rPr>
          <w:rStyle w:val="FootnoteReference"/>
          <w:sz w:val="20"/>
          <w:szCs w:val="20"/>
        </w:rPr>
        <w:footnoteRef/>
      </w:r>
      <w:r w:rsidRPr="00EE490C">
        <w:rPr>
          <w:sz w:val="20"/>
          <w:szCs w:val="20"/>
        </w:rPr>
        <w:t xml:space="preserve"> </w:t>
      </w:r>
      <w:r w:rsidR="000B3598" w:rsidRPr="00EE490C">
        <w:rPr>
          <w:sz w:val="20"/>
          <w:szCs w:val="20"/>
        </w:rPr>
        <w:t>O’Brien O’Keeffe ‘Heroic Values and Christian Ethics’</w:t>
      </w:r>
      <w:r w:rsidRPr="00EE490C">
        <w:rPr>
          <w:sz w:val="20"/>
          <w:szCs w:val="20"/>
        </w:rPr>
        <w:t xml:space="preserve"> p. 117 and</w:t>
      </w:r>
      <w:r w:rsidR="002D31D8" w:rsidRPr="00EE490C">
        <w:rPr>
          <w:sz w:val="20"/>
          <w:szCs w:val="20"/>
        </w:rPr>
        <w:t xml:space="preserve"> Blake, ‘The genesis of the Battle of Maldon’ </w:t>
      </w:r>
      <w:r w:rsidR="00EE490C">
        <w:rPr>
          <w:sz w:val="20"/>
          <w:szCs w:val="20"/>
        </w:rPr>
        <w:t>p.</w:t>
      </w:r>
      <w:r w:rsidRPr="00EE490C">
        <w:rPr>
          <w:sz w:val="20"/>
          <w:szCs w:val="20"/>
        </w:rPr>
        <w:t>120</w:t>
      </w:r>
    </w:p>
  </w:footnote>
  <w:footnote w:id="75">
    <w:p w14:paraId="13166C9E" w14:textId="5A002FFC" w:rsidR="00245A3A" w:rsidRPr="00EE490C" w:rsidRDefault="00245A3A" w:rsidP="00245A3A">
      <w:pPr>
        <w:pStyle w:val="FootnoteText"/>
      </w:pPr>
      <w:r w:rsidRPr="00EE490C">
        <w:rPr>
          <w:rStyle w:val="FootnoteReference"/>
        </w:rPr>
        <w:footnoteRef/>
      </w:r>
      <w:r w:rsidRPr="00EE490C">
        <w:t xml:space="preserve"> </w:t>
      </w:r>
      <w:r w:rsidR="00013667" w:rsidRPr="00EE490C">
        <w:t xml:space="preserve">Ker, </w:t>
      </w:r>
      <w:r w:rsidR="00013667" w:rsidRPr="00EE490C">
        <w:rPr>
          <w:i/>
          <w:iCs/>
        </w:rPr>
        <w:t>Epic and Romance: Essays on Medieval Literature</w:t>
      </w:r>
      <w:r w:rsidR="00013667" w:rsidRPr="00EE490C">
        <w:t xml:space="preserve">, </w:t>
      </w:r>
      <w:r w:rsidRPr="00EE490C">
        <w:t>p. 11</w:t>
      </w:r>
    </w:p>
  </w:footnote>
  <w:footnote w:id="76">
    <w:p w14:paraId="5E5197B4" w14:textId="2D46B08C" w:rsidR="00245A3A" w:rsidRPr="00EE490C" w:rsidRDefault="00245A3A" w:rsidP="00245A3A">
      <w:pPr>
        <w:pStyle w:val="FootnoteText"/>
      </w:pPr>
      <w:r w:rsidRPr="00EE490C">
        <w:rPr>
          <w:rStyle w:val="FootnoteReference"/>
        </w:rPr>
        <w:footnoteRef/>
      </w:r>
      <w:r w:rsidR="00013667" w:rsidRPr="00EE490C">
        <w:t xml:space="preserve"> </w:t>
      </w:r>
      <w:r w:rsidR="003D7D58" w:rsidRPr="00EE490C">
        <w:t xml:space="preserve">Ibid., </w:t>
      </w:r>
      <w:r w:rsidRPr="00EE490C">
        <w:t>p. 57</w:t>
      </w:r>
    </w:p>
  </w:footnote>
  <w:footnote w:id="77">
    <w:p w14:paraId="02BF7B82" w14:textId="08319A83" w:rsidR="00B25EAE" w:rsidRPr="00EE490C" w:rsidRDefault="00B25EAE" w:rsidP="002D31D8">
      <w:pPr>
        <w:rPr>
          <w:sz w:val="20"/>
          <w:szCs w:val="20"/>
        </w:rPr>
      </w:pPr>
      <w:r w:rsidRPr="00EE490C">
        <w:rPr>
          <w:rStyle w:val="FootnoteReference"/>
          <w:sz w:val="20"/>
          <w:szCs w:val="20"/>
        </w:rPr>
        <w:footnoteRef/>
      </w:r>
      <w:r w:rsidRPr="00EE490C">
        <w:rPr>
          <w:sz w:val="20"/>
          <w:szCs w:val="20"/>
        </w:rPr>
        <w:t xml:space="preserve"> </w:t>
      </w:r>
      <w:bookmarkStart w:id="7" w:name="_Hlk18044651"/>
      <w:proofErr w:type="spellStart"/>
      <w:r w:rsidR="002D31D8" w:rsidRPr="00EE490C">
        <w:rPr>
          <w:sz w:val="20"/>
          <w:szCs w:val="20"/>
        </w:rPr>
        <w:t>Huppe</w:t>
      </w:r>
      <w:proofErr w:type="spellEnd"/>
      <w:r w:rsidR="002D31D8" w:rsidRPr="00EE490C">
        <w:rPr>
          <w:sz w:val="20"/>
          <w:szCs w:val="20"/>
        </w:rPr>
        <w:t xml:space="preserve">, ‘The Concept of the Hero in the Early Middle Ages’ </w:t>
      </w:r>
      <w:bookmarkEnd w:id="7"/>
      <w:r w:rsidRPr="00EE490C">
        <w:rPr>
          <w:sz w:val="20"/>
          <w:szCs w:val="20"/>
        </w:rPr>
        <w:t>p. 8-9</w:t>
      </w:r>
    </w:p>
  </w:footnote>
  <w:footnote w:id="78">
    <w:p w14:paraId="06F1E6B3" w14:textId="50A7C550" w:rsidR="00B25EAE" w:rsidRPr="00EE490C" w:rsidRDefault="00B25EAE" w:rsidP="003D7D58">
      <w:pPr>
        <w:rPr>
          <w:sz w:val="20"/>
          <w:szCs w:val="20"/>
        </w:rPr>
      </w:pPr>
      <w:r w:rsidRPr="00EE490C">
        <w:rPr>
          <w:rStyle w:val="FootnoteReference"/>
          <w:sz w:val="20"/>
          <w:szCs w:val="20"/>
        </w:rPr>
        <w:footnoteRef/>
      </w:r>
      <w:r w:rsidRPr="00EE490C">
        <w:rPr>
          <w:sz w:val="20"/>
          <w:szCs w:val="20"/>
        </w:rPr>
        <w:t xml:space="preserve"> </w:t>
      </w:r>
      <w:r w:rsidR="00C723B2" w:rsidRPr="00EE490C">
        <w:rPr>
          <w:sz w:val="20"/>
          <w:szCs w:val="20"/>
        </w:rPr>
        <w:t xml:space="preserve">Wrenn, </w:t>
      </w:r>
      <w:r w:rsidR="00C723B2" w:rsidRPr="00EE490C">
        <w:rPr>
          <w:i/>
          <w:iCs/>
          <w:sz w:val="20"/>
          <w:szCs w:val="20"/>
        </w:rPr>
        <w:t>A study in Old English Literature</w:t>
      </w:r>
      <w:r w:rsidR="00C723B2" w:rsidRPr="00EE490C">
        <w:rPr>
          <w:sz w:val="20"/>
          <w:szCs w:val="20"/>
        </w:rPr>
        <w:t xml:space="preserve">, </w:t>
      </w:r>
      <w:r w:rsidRPr="00EE490C">
        <w:rPr>
          <w:sz w:val="20"/>
          <w:szCs w:val="20"/>
        </w:rPr>
        <w:t>p. 186</w:t>
      </w:r>
    </w:p>
  </w:footnote>
  <w:footnote w:id="79">
    <w:p w14:paraId="092C048D" w14:textId="4F4968BA" w:rsidR="00B25EAE" w:rsidRPr="00EE490C" w:rsidRDefault="00B25EAE" w:rsidP="003D7D58">
      <w:pPr>
        <w:rPr>
          <w:sz w:val="20"/>
          <w:szCs w:val="20"/>
        </w:rPr>
      </w:pPr>
      <w:r w:rsidRPr="00EE490C">
        <w:rPr>
          <w:rStyle w:val="FootnoteReference"/>
          <w:sz w:val="20"/>
          <w:szCs w:val="20"/>
        </w:rPr>
        <w:footnoteRef/>
      </w:r>
      <w:r w:rsidRPr="00EE490C">
        <w:rPr>
          <w:sz w:val="20"/>
          <w:szCs w:val="20"/>
        </w:rPr>
        <w:t xml:space="preserve"> </w:t>
      </w:r>
      <w:r w:rsidR="00357CA3" w:rsidRPr="00EE490C">
        <w:rPr>
          <w:sz w:val="20"/>
          <w:szCs w:val="20"/>
        </w:rPr>
        <w:t xml:space="preserve">Donahue, ‘Potlatch and Charity: Notes on the Heroic in Beowulf’ </w:t>
      </w:r>
      <w:r w:rsidRPr="00EE490C">
        <w:rPr>
          <w:sz w:val="20"/>
          <w:szCs w:val="20"/>
        </w:rPr>
        <w:t>p. 23-24</w:t>
      </w:r>
    </w:p>
  </w:footnote>
  <w:footnote w:id="80">
    <w:p w14:paraId="78B73D12" w14:textId="004AFE6A" w:rsidR="00B25EAE" w:rsidRPr="00EE490C" w:rsidRDefault="00B25EAE" w:rsidP="003D7D58">
      <w:pPr>
        <w:rPr>
          <w:sz w:val="20"/>
          <w:szCs w:val="20"/>
        </w:rPr>
      </w:pPr>
      <w:r w:rsidRPr="00EE490C">
        <w:rPr>
          <w:rStyle w:val="FootnoteReference"/>
          <w:sz w:val="20"/>
          <w:szCs w:val="20"/>
        </w:rPr>
        <w:footnoteRef/>
      </w:r>
      <w:r w:rsidR="003D7D58" w:rsidRPr="00EE490C">
        <w:rPr>
          <w:sz w:val="20"/>
          <w:szCs w:val="20"/>
        </w:rPr>
        <w:t xml:space="preserve"> Ibid., </w:t>
      </w:r>
      <w:r w:rsidRPr="00EE490C">
        <w:rPr>
          <w:sz w:val="20"/>
          <w:szCs w:val="20"/>
        </w:rPr>
        <w:t>p. 40</w:t>
      </w:r>
    </w:p>
  </w:footnote>
  <w:footnote w:id="81">
    <w:p w14:paraId="28AEE4C3" w14:textId="0D796FC7" w:rsidR="00B25EAE" w:rsidRPr="00EE490C" w:rsidRDefault="00B25EAE" w:rsidP="003D7D58">
      <w:pPr>
        <w:rPr>
          <w:sz w:val="20"/>
          <w:szCs w:val="20"/>
        </w:rPr>
      </w:pPr>
      <w:r w:rsidRPr="00EE490C">
        <w:rPr>
          <w:rStyle w:val="FootnoteReference"/>
          <w:sz w:val="20"/>
          <w:szCs w:val="20"/>
        </w:rPr>
        <w:footnoteRef/>
      </w:r>
      <w:r w:rsidRPr="00EE490C">
        <w:rPr>
          <w:sz w:val="20"/>
          <w:szCs w:val="20"/>
        </w:rPr>
        <w:t xml:space="preserve"> </w:t>
      </w:r>
      <w:r w:rsidR="003D7D58" w:rsidRPr="00EE490C">
        <w:rPr>
          <w:sz w:val="20"/>
          <w:szCs w:val="20"/>
        </w:rPr>
        <w:t>Ibid.,</w:t>
      </w:r>
      <w:r w:rsidRPr="00EE490C">
        <w:rPr>
          <w:sz w:val="20"/>
          <w:szCs w:val="20"/>
        </w:rPr>
        <w:t xml:space="preserve"> p. 40</w:t>
      </w:r>
    </w:p>
  </w:footnote>
  <w:footnote w:id="82">
    <w:p w14:paraId="3BC0AFDF" w14:textId="47AB1690" w:rsidR="00B25EAE" w:rsidRPr="00EE490C" w:rsidRDefault="00B25EAE" w:rsidP="003D7D58">
      <w:pPr>
        <w:rPr>
          <w:sz w:val="20"/>
          <w:szCs w:val="20"/>
        </w:rPr>
      </w:pPr>
      <w:r w:rsidRPr="00EE490C">
        <w:rPr>
          <w:rStyle w:val="FootnoteReference"/>
          <w:sz w:val="20"/>
          <w:szCs w:val="20"/>
        </w:rPr>
        <w:footnoteRef/>
      </w:r>
      <w:r w:rsidRPr="00EE490C">
        <w:rPr>
          <w:sz w:val="20"/>
          <w:szCs w:val="20"/>
        </w:rPr>
        <w:t xml:space="preserve"> </w:t>
      </w:r>
      <w:proofErr w:type="spellStart"/>
      <w:r w:rsidR="00C53F8F" w:rsidRPr="00EE490C">
        <w:rPr>
          <w:sz w:val="20"/>
          <w:szCs w:val="20"/>
        </w:rPr>
        <w:t>Shippey</w:t>
      </w:r>
      <w:proofErr w:type="spellEnd"/>
      <w:r w:rsidR="00C53F8F" w:rsidRPr="00EE490C">
        <w:rPr>
          <w:sz w:val="20"/>
          <w:szCs w:val="20"/>
        </w:rPr>
        <w:t xml:space="preserve">, </w:t>
      </w:r>
      <w:r w:rsidR="00C53F8F" w:rsidRPr="00EE490C">
        <w:rPr>
          <w:i/>
          <w:iCs/>
          <w:sz w:val="20"/>
          <w:szCs w:val="20"/>
        </w:rPr>
        <w:t>Old English Verse</w:t>
      </w:r>
      <w:r w:rsidR="003D7D58" w:rsidRPr="00EE490C">
        <w:rPr>
          <w:i/>
          <w:iCs/>
          <w:sz w:val="20"/>
          <w:szCs w:val="20"/>
        </w:rPr>
        <w:t>,</w:t>
      </w:r>
      <w:r w:rsidRPr="00EE490C">
        <w:rPr>
          <w:sz w:val="20"/>
          <w:szCs w:val="20"/>
        </w:rPr>
        <w:t xml:space="preserve"> p. 19-20</w:t>
      </w:r>
    </w:p>
  </w:footnote>
  <w:footnote w:id="83">
    <w:p w14:paraId="6A27C258" w14:textId="2CEE9F0D" w:rsidR="00B25EAE" w:rsidRPr="00EE490C" w:rsidRDefault="00B25EAE" w:rsidP="003D7D58">
      <w:pPr>
        <w:rPr>
          <w:sz w:val="20"/>
          <w:szCs w:val="20"/>
        </w:rPr>
      </w:pPr>
      <w:r w:rsidRPr="00EE490C">
        <w:rPr>
          <w:rStyle w:val="FootnoteReference"/>
          <w:sz w:val="20"/>
          <w:szCs w:val="20"/>
        </w:rPr>
        <w:footnoteRef/>
      </w:r>
      <w:r w:rsidRPr="00EE490C">
        <w:rPr>
          <w:sz w:val="20"/>
          <w:szCs w:val="20"/>
        </w:rPr>
        <w:t xml:space="preserve"> </w:t>
      </w:r>
      <w:r w:rsidR="003D7D58" w:rsidRPr="00EE490C">
        <w:rPr>
          <w:sz w:val="20"/>
          <w:szCs w:val="20"/>
        </w:rPr>
        <w:t xml:space="preserve">Ibid., </w:t>
      </w:r>
      <w:r w:rsidRPr="00EE490C">
        <w:rPr>
          <w:sz w:val="20"/>
          <w:szCs w:val="20"/>
        </w:rPr>
        <w:t>p. 21</w:t>
      </w:r>
    </w:p>
  </w:footnote>
  <w:footnote w:id="84">
    <w:p w14:paraId="12579CFD" w14:textId="327D9DA6" w:rsidR="00B25EAE" w:rsidRPr="00EE490C" w:rsidRDefault="00B25EAE" w:rsidP="003D7D58">
      <w:pPr>
        <w:rPr>
          <w:sz w:val="20"/>
          <w:szCs w:val="20"/>
        </w:rPr>
      </w:pPr>
      <w:r w:rsidRPr="00EE490C">
        <w:rPr>
          <w:rStyle w:val="FootnoteReference"/>
          <w:sz w:val="20"/>
          <w:szCs w:val="20"/>
        </w:rPr>
        <w:footnoteRef/>
      </w:r>
      <w:r w:rsidRPr="00EE490C">
        <w:rPr>
          <w:sz w:val="20"/>
          <w:szCs w:val="20"/>
        </w:rPr>
        <w:t xml:space="preserve"> </w:t>
      </w:r>
      <w:bookmarkStart w:id="8" w:name="_Hlk18043209"/>
      <w:r w:rsidR="002D31D8" w:rsidRPr="00EE490C">
        <w:rPr>
          <w:sz w:val="20"/>
          <w:szCs w:val="20"/>
        </w:rPr>
        <w:t xml:space="preserve">Frank, ‘The Battle of Maldon and Heroic Literature’ </w:t>
      </w:r>
      <w:bookmarkEnd w:id="8"/>
      <w:r w:rsidRPr="00EE490C">
        <w:rPr>
          <w:sz w:val="20"/>
          <w:szCs w:val="20"/>
        </w:rPr>
        <w:t>p. 196</w:t>
      </w:r>
    </w:p>
  </w:footnote>
  <w:footnote w:id="85">
    <w:p w14:paraId="15CC5310" w14:textId="4F7A968E" w:rsidR="00B25EAE" w:rsidRPr="00EE490C" w:rsidRDefault="00B25EAE" w:rsidP="003D7D58">
      <w:pPr>
        <w:rPr>
          <w:sz w:val="20"/>
          <w:szCs w:val="20"/>
        </w:rPr>
      </w:pPr>
      <w:r w:rsidRPr="00EE490C">
        <w:rPr>
          <w:rStyle w:val="FootnoteReference"/>
          <w:sz w:val="20"/>
          <w:szCs w:val="20"/>
        </w:rPr>
        <w:footnoteRef/>
      </w:r>
      <w:r w:rsidRPr="00EE490C">
        <w:rPr>
          <w:sz w:val="20"/>
          <w:szCs w:val="20"/>
        </w:rPr>
        <w:t xml:space="preserve"> </w:t>
      </w:r>
      <w:proofErr w:type="spellStart"/>
      <w:r w:rsidR="00C53F8F" w:rsidRPr="00EE490C">
        <w:rPr>
          <w:sz w:val="20"/>
          <w:szCs w:val="20"/>
        </w:rPr>
        <w:t>Shippey</w:t>
      </w:r>
      <w:proofErr w:type="spellEnd"/>
      <w:r w:rsidR="00C53F8F" w:rsidRPr="00EE490C">
        <w:rPr>
          <w:sz w:val="20"/>
          <w:szCs w:val="20"/>
        </w:rPr>
        <w:t xml:space="preserve">, </w:t>
      </w:r>
      <w:r w:rsidR="00C53F8F" w:rsidRPr="00EE490C">
        <w:rPr>
          <w:i/>
          <w:iCs/>
          <w:sz w:val="20"/>
          <w:szCs w:val="20"/>
        </w:rPr>
        <w:t>Old English Verse</w:t>
      </w:r>
      <w:r w:rsidR="00C53F8F" w:rsidRPr="00EE490C">
        <w:rPr>
          <w:sz w:val="20"/>
          <w:szCs w:val="20"/>
        </w:rPr>
        <w:t>,</w:t>
      </w:r>
      <w:r w:rsidRPr="00EE490C">
        <w:rPr>
          <w:sz w:val="20"/>
          <w:szCs w:val="20"/>
        </w:rPr>
        <w:t xml:space="preserve"> p. 19</w:t>
      </w:r>
    </w:p>
  </w:footnote>
  <w:footnote w:id="86">
    <w:p w14:paraId="5A9B5C3C" w14:textId="59588AEA" w:rsidR="00B25EAE" w:rsidRPr="00EE490C" w:rsidRDefault="00B25EAE" w:rsidP="003D7D58">
      <w:pPr>
        <w:rPr>
          <w:sz w:val="20"/>
          <w:szCs w:val="20"/>
        </w:rPr>
      </w:pPr>
      <w:r w:rsidRPr="00EE490C">
        <w:rPr>
          <w:rStyle w:val="FootnoteReference"/>
          <w:sz w:val="20"/>
          <w:szCs w:val="20"/>
        </w:rPr>
        <w:footnoteRef/>
      </w:r>
      <w:r w:rsidRPr="00EE490C">
        <w:rPr>
          <w:sz w:val="20"/>
          <w:szCs w:val="20"/>
        </w:rPr>
        <w:t xml:space="preserve"> </w:t>
      </w:r>
      <w:r w:rsidR="003D7D58" w:rsidRPr="00EE490C">
        <w:rPr>
          <w:sz w:val="20"/>
          <w:szCs w:val="20"/>
        </w:rPr>
        <w:t xml:space="preserve">Ibid., </w:t>
      </w:r>
      <w:r w:rsidRPr="00EE490C">
        <w:rPr>
          <w:sz w:val="20"/>
          <w:szCs w:val="20"/>
        </w:rPr>
        <w:t>p. 18</w:t>
      </w:r>
    </w:p>
  </w:footnote>
  <w:footnote w:id="87">
    <w:p w14:paraId="205FF5DF" w14:textId="63D07738" w:rsidR="00B25EAE" w:rsidRPr="00EE490C" w:rsidRDefault="00B25EAE" w:rsidP="003D7D58">
      <w:pPr>
        <w:rPr>
          <w:sz w:val="20"/>
          <w:szCs w:val="20"/>
        </w:rPr>
      </w:pPr>
      <w:r w:rsidRPr="00EE490C">
        <w:rPr>
          <w:rStyle w:val="FootnoteReference"/>
          <w:sz w:val="20"/>
          <w:szCs w:val="20"/>
        </w:rPr>
        <w:footnoteRef/>
      </w:r>
      <w:r w:rsidRPr="00EE490C">
        <w:rPr>
          <w:sz w:val="20"/>
          <w:szCs w:val="20"/>
        </w:rPr>
        <w:t xml:space="preserve"> </w:t>
      </w:r>
      <w:r w:rsidR="00201ED0" w:rsidRPr="00EE490C">
        <w:rPr>
          <w:sz w:val="20"/>
          <w:szCs w:val="20"/>
        </w:rPr>
        <w:t xml:space="preserve">Swanton, ed. </w:t>
      </w:r>
      <w:r w:rsidR="00201ED0" w:rsidRPr="00EE490C">
        <w:rPr>
          <w:i/>
          <w:iCs/>
          <w:sz w:val="20"/>
          <w:szCs w:val="20"/>
        </w:rPr>
        <w:t>Beowulf</w:t>
      </w:r>
      <w:r w:rsidR="003D7D58" w:rsidRPr="00EE490C">
        <w:rPr>
          <w:sz w:val="20"/>
          <w:szCs w:val="20"/>
        </w:rPr>
        <w:t xml:space="preserve">, </w:t>
      </w:r>
      <w:r w:rsidRPr="00EE490C">
        <w:rPr>
          <w:sz w:val="20"/>
          <w:szCs w:val="20"/>
        </w:rPr>
        <w:t>p. 23</w:t>
      </w:r>
    </w:p>
  </w:footnote>
  <w:footnote w:id="88">
    <w:p w14:paraId="1C6820EA" w14:textId="753DED96" w:rsidR="00B25EAE" w:rsidRPr="00EE490C" w:rsidRDefault="00B25EAE" w:rsidP="003D7D58">
      <w:pPr>
        <w:rPr>
          <w:sz w:val="20"/>
          <w:szCs w:val="20"/>
        </w:rPr>
      </w:pPr>
      <w:r w:rsidRPr="00EE490C">
        <w:rPr>
          <w:rStyle w:val="FootnoteReference"/>
          <w:sz w:val="20"/>
          <w:szCs w:val="20"/>
        </w:rPr>
        <w:footnoteRef/>
      </w:r>
      <w:r w:rsidRPr="00EE490C">
        <w:rPr>
          <w:sz w:val="20"/>
          <w:szCs w:val="20"/>
        </w:rPr>
        <w:t xml:space="preserve"> </w:t>
      </w:r>
      <w:r w:rsidR="003D7D58" w:rsidRPr="00EE490C">
        <w:rPr>
          <w:sz w:val="20"/>
          <w:szCs w:val="20"/>
        </w:rPr>
        <w:t xml:space="preserve">Ibid., </w:t>
      </w:r>
      <w:r w:rsidRPr="00EE490C">
        <w:rPr>
          <w:sz w:val="20"/>
          <w:szCs w:val="20"/>
        </w:rPr>
        <w:t>p. 13-15</w:t>
      </w:r>
    </w:p>
  </w:footnote>
  <w:footnote w:id="89">
    <w:p w14:paraId="61C36DA0" w14:textId="115E99C6" w:rsidR="00B25EAE" w:rsidRPr="00EE490C" w:rsidRDefault="00B25EAE" w:rsidP="003D7D58">
      <w:pPr>
        <w:rPr>
          <w:sz w:val="20"/>
          <w:szCs w:val="20"/>
        </w:rPr>
      </w:pPr>
      <w:r w:rsidRPr="00EE490C">
        <w:rPr>
          <w:rStyle w:val="FootnoteReference"/>
          <w:sz w:val="20"/>
          <w:szCs w:val="20"/>
        </w:rPr>
        <w:footnoteRef/>
      </w:r>
      <w:r w:rsidRPr="00EE490C">
        <w:rPr>
          <w:sz w:val="20"/>
          <w:szCs w:val="20"/>
        </w:rPr>
        <w:t xml:space="preserve"> </w:t>
      </w:r>
      <w:r w:rsidR="003D7D58" w:rsidRPr="00EE490C">
        <w:rPr>
          <w:sz w:val="20"/>
          <w:szCs w:val="20"/>
        </w:rPr>
        <w:t xml:space="preserve">Ibid., </w:t>
      </w:r>
      <w:r w:rsidRPr="00EE490C">
        <w:rPr>
          <w:sz w:val="20"/>
          <w:szCs w:val="20"/>
        </w:rPr>
        <w:t>p. 15</w:t>
      </w:r>
    </w:p>
  </w:footnote>
  <w:footnote w:id="90">
    <w:p w14:paraId="21516AF1" w14:textId="220E1594" w:rsidR="00B25EAE" w:rsidRPr="00EE490C" w:rsidRDefault="00B25EAE" w:rsidP="003D7D58">
      <w:pPr>
        <w:rPr>
          <w:sz w:val="20"/>
          <w:szCs w:val="20"/>
        </w:rPr>
      </w:pPr>
      <w:r w:rsidRPr="00EE490C">
        <w:rPr>
          <w:rStyle w:val="FootnoteReference"/>
          <w:sz w:val="20"/>
          <w:szCs w:val="20"/>
        </w:rPr>
        <w:footnoteRef/>
      </w:r>
      <w:r w:rsidRPr="00EE490C">
        <w:rPr>
          <w:sz w:val="20"/>
          <w:szCs w:val="20"/>
        </w:rPr>
        <w:t xml:space="preserve"> </w:t>
      </w:r>
      <w:r w:rsidR="003D7D58" w:rsidRPr="00EE490C">
        <w:rPr>
          <w:sz w:val="20"/>
          <w:szCs w:val="20"/>
        </w:rPr>
        <w:t xml:space="preserve">Ibid., </w:t>
      </w:r>
      <w:r w:rsidRPr="00EE490C">
        <w:rPr>
          <w:sz w:val="20"/>
          <w:szCs w:val="20"/>
        </w:rPr>
        <w:t>p. 22</w:t>
      </w:r>
    </w:p>
  </w:footnote>
  <w:footnote w:id="91">
    <w:p w14:paraId="4B8074E5" w14:textId="61382210" w:rsidR="00B25EAE" w:rsidRPr="00EE490C" w:rsidRDefault="00B25EAE" w:rsidP="003D7D58">
      <w:pPr>
        <w:rPr>
          <w:sz w:val="20"/>
          <w:szCs w:val="20"/>
        </w:rPr>
      </w:pPr>
      <w:r w:rsidRPr="00EE490C">
        <w:rPr>
          <w:rStyle w:val="FootnoteReference"/>
          <w:sz w:val="20"/>
          <w:szCs w:val="20"/>
        </w:rPr>
        <w:footnoteRef/>
      </w:r>
      <w:r w:rsidRPr="00EE490C">
        <w:rPr>
          <w:sz w:val="20"/>
          <w:szCs w:val="20"/>
        </w:rPr>
        <w:t xml:space="preserve"> </w:t>
      </w:r>
      <w:r w:rsidR="003D7D58" w:rsidRPr="00EE490C">
        <w:rPr>
          <w:sz w:val="20"/>
          <w:szCs w:val="20"/>
        </w:rPr>
        <w:t xml:space="preserve">Ibid., </w:t>
      </w:r>
      <w:r w:rsidRPr="00EE490C">
        <w:rPr>
          <w:sz w:val="20"/>
          <w:szCs w:val="20"/>
        </w:rPr>
        <w:t>p. 22</w:t>
      </w:r>
    </w:p>
  </w:footnote>
  <w:footnote w:id="92">
    <w:p w14:paraId="1A114AC3" w14:textId="77F731A3" w:rsidR="00B25EAE" w:rsidRPr="00EE490C" w:rsidRDefault="00B25EAE" w:rsidP="003D7D58">
      <w:pPr>
        <w:rPr>
          <w:sz w:val="20"/>
          <w:szCs w:val="20"/>
        </w:rPr>
      </w:pPr>
      <w:r w:rsidRPr="00EE490C">
        <w:rPr>
          <w:rStyle w:val="FootnoteReference"/>
          <w:sz w:val="20"/>
          <w:szCs w:val="20"/>
        </w:rPr>
        <w:footnoteRef/>
      </w:r>
      <w:r w:rsidRPr="00EE490C">
        <w:rPr>
          <w:sz w:val="20"/>
          <w:szCs w:val="20"/>
        </w:rPr>
        <w:t xml:space="preserve"> </w:t>
      </w:r>
      <w:r w:rsidR="003D7D58" w:rsidRPr="00EE490C">
        <w:rPr>
          <w:sz w:val="20"/>
          <w:szCs w:val="20"/>
        </w:rPr>
        <w:t xml:space="preserve">Ibid., </w:t>
      </w:r>
      <w:r w:rsidRPr="00EE490C">
        <w:rPr>
          <w:sz w:val="20"/>
          <w:szCs w:val="20"/>
        </w:rPr>
        <w:t>p. 22</w:t>
      </w:r>
    </w:p>
  </w:footnote>
  <w:footnote w:id="93">
    <w:p w14:paraId="6CBDDA7E" w14:textId="25E53CBB" w:rsidR="00B25EAE" w:rsidRPr="00EE490C" w:rsidRDefault="00B25EAE" w:rsidP="00326F62">
      <w:pPr>
        <w:rPr>
          <w:sz w:val="20"/>
          <w:szCs w:val="20"/>
        </w:rPr>
      </w:pPr>
      <w:r w:rsidRPr="00EE490C">
        <w:rPr>
          <w:rStyle w:val="FootnoteReference"/>
          <w:sz w:val="20"/>
          <w:szCs w:val="20"/>
        </w:rPr>
        <w:footnoteRef/>
      </w:r>
      <w:r w:rsidRPr="00EE490C">
        <w:rPr>
          <w:sz w:val="20"/>
          <w:szCs w:val="20"/>
        </w:rPr>
        <w:t xml:space="preserve"> </w:t>
      </w:r>
      <w:r w:rsidR="003D7D58" w:rsidRPr="00EE490C">
        <w:rPr>
          <w:sz w:val="20"/>
          <w:szCs w:val="20"/>
        </w:rPr>
        <w:t>Ibid.,</w:t>
      </w:r>
      <w:r w:rsidR="00326F62" w:rsidRPr="00EE490C">
        <w:rPr>
          <w:sz w:val="20"/>
          <w:szCs w:val="20"/>
        </w:rPr>
        <w:t xml:space="preserve"> </w:t>
      </w:r>
      <w:r w:rsidRPr="00EE490C">
        <w:rPr>
          <w:sz w:val="20"/>
          <w:szCs w:val="20"/>
        </w:rPr>
        <w:t>p. 19</w:t>
      </w:r>
    </w:p>
  </w:footnote>
  <w:footnote w:id="94">
    <w:p w14:paraId="4A741639" w14:textId="77C0A4CA" w:rsidR="00B25EAE" w:rsidRPr="00EE490C" w:rsidRDefault="00B25EAE" w:rsidP="00326F62">
      <w:pPr>
        <w:rPr>
          <w:sz w:val="20"/>
          <w:szCs w:val="20"/>
        </w:rPr>
      </w:pPr>
      <w:r w:rsidRPr="00EE490C">
        <w:rPr>
          <w:rStyle w:val="FootnoteReference"/>
          <w:sz w:val="20"/>
          <w:szCs w:val="20"/>
        </w:rPr>
        <w:footnoteRef/>
      </w:r>
      <w:r w:rsidRPr="00EE490C">
        <w:rPr>
          <w:sz w:val="20"/>
          <w:szCs w:val="20"/>
        </w:rPr>
        <w:t xml:space="preserve"> </w:t>
      </w:r>
      <w:r w:rsidR="00326F62" w:rsidRPr="00EE490C">
        <w:rPr>
          <w:sz w:val="20"/>
          <w:szCs w:val="20"/>
        </w:rPr>
        <w:t xml:space="preserve">Ibid., </w:t>
      </w:r>
      <w:r w:rsidRPr="00EE490C">
        <w:rPr>
          <w:sz w:val="20"/>
          <w:szCs w:val="20"/>
        </w:rPr>
        <w:t>p. 20</w:t>
      </w:r>
    </w:p>
  </w:footnote>
  <w:footnote w:id="95">
    <w:p w14:paraId="4F194564" w14:textId="47FFA814" w:rsidR="00F70A5F" w:rsidRPr="00EE490C" w:rsidRDefault="00F70A5F" w:rsidP="00326F62">
      <w:pPr>
        <w:rPr>
          <w:sz w:val="20"/>
          <w:szCs w:val="20"/>
        </w:rPr>
      </w:pPr>
      <w:r w:rsidRPr="00EE490C">
        <w:rPr>
          <w:rStyle w:val="FootnoteReference"/>
          <w:sz w:val="20"/>
          <w:szCs w:val="20"/>
        </w:rPr>
        <w:footnoteRef/>
      </w:r>
      <w:r w:rsidRPr="00EE490C">
        <w:rPr>
          <w:sz w:val="20"/>
          <w:szCs w:val="20"/>
        </w:rPr>
        <w:t xml:space="preserve"> </w:t>
      </w:r>
      <w:r w:rsidR="00326F62" w:rsidRPr="00EE490C">
        <w:rPr>
          <w:sz w:val="20"/>
          <w:szCs w:val="20"/>
        </w:rPr>
        <w:t xml:space="preserve">Ibid., </w:t>
      </w:r>
      <w:r w:rsidRPr="00EE490C">
        <w:rPr>
          <w:sz w:val="20"/>
          <w:szCs w:val="20"/>
        </w:rPr>
        <w:t>p. 26-27</w:t>
      </w:r>
    </w:p>
  </w:footnote>
  <w:footnote w:id="96">
    <w:p w14:paraId="1F567913" w14:textId="68FACFE3" w:rsidR="00F70A5F" w:rsidRPr="00EE490C" w:rsidRDefault="00F70A5F" w:rsidP="00326F62">
      <w:pPr>
        <w:rPr>
          <w:sz w:val="20"/>
          <w:szCs w:val="20"/>
        </w:rPr>
      </w:pPr>
      <w:r w:rsidRPr="00EE490C">
        <w:rPr>
          <w:rStyle w:val="FootnoteReference"/>
          <w:sz w:val="20"/>
          <w:szCs w:val="20"/>
        </w:rPr>
        <w:footnoteRef/>
      </w:r>
      <w:r w:rsidRPr="00EE490C">
        <w:rPr>
          <w:sz w:val="20"/>
          <w:szCs w:val="20"/>
        </w:rPr>
        <w:t xml:space="preserve"> </w:t>
      </w:r>
      <w:r w:rsidR="00326F62" w:rsidRPr="00EE490C">
        <w:rPr>
          <w:sz w:val="20"/>
          <w:szCs w:val="20"/>
        </w:rPr>
        <w:t xml:space="preserve">Ibid., </w:t>
      </w:r>
      <w:r w:rsidRPr="00EE490C">
        <w:rPr>
          <w:sz w:val="20"/>
          <w:szCs w:val="20"/>
        </w:rPr>
        <w:t>p. 25</w:t>
      </w:r>
    </w:p>
  </w:footnote>
  <w:footnote w:id="97">
    <w:p w14:paraId="536F9276" w14:textId="5D8BB706" w:rsidR="00F70A5F" w:rsidRPr="00EE490C" w:rsidRDefault="00F70A5F" w:rsidP="00326F62">
      <w:pPr>
        <w:rPr>
          <w:sz w:val="20"/>
          <w:szCs w:val="20"/>
        </w:rPr>
      </w:pPr>
      <w:r w:rsidRPr="00EE490C">
        <w:rPr>
          <w:rStyle w:val="FootnoteReference"/>
          <w:sz w:val="20"/>
          <w:szCs w:val="20"/>
        </w:rPr>
        <w:footnoteRef/>
      </w:r>
      <w:r w:rsidRPr="00EE490C">
        <w:rPr>
          <w:sz w:val="20"/>
          <w:szCs w:val="20"/>
        </w:rPr>
        <w:t xml:space="preserve"> </w:t>
      </w:r>
      <w:r w:rsidR="00357CA3" w:rsidRPr="00EE490C">
        <w:rPr>
          <w:sz w:val="20"/>
          <w:szCs w:val="20"/>
        </w:rPr>
        <w:t>Donahue, ‘Potlatch and Charity: Notes on the Heroic in Beowulf’</w:t>
      </w:r>
      <w:r w:rsidRPr="00EE490C">
        <w:rPr>
          <w:sz w:val="20"/>
          <w:szCs w:val="20"/>
        </w:rPr>
        <w:t xml:space="preserve"> p. 29-30</w:t>
      </w:r>
    </w:p>
  </w:footnote>
  <w:footnote w:id="98">
    <w:p w14:paraId="7A529A6C" w14:textId="1FC96D68" w:rsidR="00F70A5F" w:rsidRPr="00EE490C" w:rsidRDefault="00F70A5F" w:rsidP="00326F62">
      <w:pPr>
        <w:rPr>
          <w:sz w:val="20"/>
          <w:szCs w:val="20"/>
        </w:rPr>
      </w:pPr>
      <w:r w:rsidRPr="00EE490C">
        <w:rPr>
          <w:rStyle w:val="FootnoteReference"/>
          <w:sz w:val="20"/>
          <w:szCs w:val="20"/>
        </w:rPr>
        <w:footnoteRef/>
      </w:r>
      <w:r w:rsidRPr="00EE490C">
        <w:rPr>
          <w:sz w:val="20"/>
          <w:szCs w:val="20"/>
        </w:rPr>
        <w:t xml:space="preserve"> </w:t>
      </w:r>
      <w:r w:rsidR="00201ED0" w:rsidRPr="00EE490C">
        <w:rPr>
          <w:sz w:val="20"/>
          <w:szCs w:val="20"/>
        </w:rPr>
        <w:t xml:space="preserve">Swanton, ed. </w:t>
      </w:r>
      <w:r w:rsidR="00201ED0" w:rsidRPr="00EE490C">
        <w:rPr>
          <w:i/>
          <w:iCs/>
          <w:sz w:val="20"/>
          <w:szCs w:val="20"/>
        </w:rPr>
        <w:t>Beowulf</w:t>
      </w:r>
      <w:r w:rsidR="00201ED0" w:rsidRPr="00EE490C">
        <w:rPr>
          <w:sz w:val="20"/>
          <w:szCs w:val="20"/>
        </w:rPr>
        <w:t xml:space="preserve"> </w:t>
      </w:r>
      <w:r w:rsidRPr="00EE490C">
        <w:rPr>
          <w:sz w:val="20"/>
          <w:szCs w:val="20"/>
        </w:rPr>
        <w:t>p. 25</w:t>
      </w:r>
    </w:p>
  </w:footnote>
  <w:footnote w:id="99">
    <w:p w14:paraId="4DFB0E1B" w14:textId="53F9589D" w:rsidR="00F70A5F" w:rsidRPr="00EE490C" w:rsidRDefault="00F70A5F" w:rsidP="00326F62">
      <w:pPr>
        <w:rPr>
          <w:sz w:val="20"/>
          <w:szCs w:val="20"/>
        </w:rPr>
      </w:pPr>
      <w:r w:rsidRPr="00EE490C">
        <w:rPr>
          <w:rStyle w:val="FootnoteReference"/>
          <w:sz w:val="20"/>
          <w:szCs w:val="20"/>
        </w:rPr>
        <w:footnoteRef/>
      </w:r>
      <w:r w:rsidRPr="00EE490C">
        <w:rPr>
          <w:sz w:val="20"/>
          <w:szCs w:val="20"/>
        </w:rPr>
        <w:t xml:space="preserve"> </w:t>
      </w:r>
      <w:r w:rsidR="00357CA3" w:rsidRPr="00EE490C">
        <w:rPr>
          <w:sz w:val="20"/>
          <w:szCs w:val="20"/>
        </w:rPr>
        <w:t xml:space="preserve">Donahue, ‘Potlatch and Charity: Notes on the Heroic in Beowulf’ </w:t>
      </w:r>
      <w:r w:rsidRPr="00EE490C">
        <w:rPr>
          <w:sz w:val="20"/>
          <w:szCs w:val="20"/>
        </w:rPr>
        <w:t>p. 31</w:t>
      </w:r>
    </w:p>
  </w:footnote>
  <w:footnote w:id="100">
    <w:p w14:paraId="15056B48" w14:textId="6D942772" w:rsidR="00F70A5F" w:rsidRPr="00EE490C" w:rsidRDefault="00F70A5F" w:rsidP="00326F62">
      <w:pPr>
        <w:rPr>
          <w:sz w:val="20"/>
          <w:szCs w:val="20"/>
        </w:rPr>
      </w:pPr>
      <w:r w:rsidRPr="00EE490C">
        <w:rPr>
          <w:rStyle w:val="FootnoteReference"/>
          <w:sz w:val="20"/>
          <w:szCs w:val="20"/>
        </w:rPr>
        <w:footnoteRef/>
      </w:r>
      <w:r w:rsidRPr="00EE490C">
        <w:rPr>
          <w:sz w:val="20"/>
          <w:szCs w:val="20"/>
        </w:rPr>
        <w:t xml:space="preserve"> </w:t>
      </w:r>
      <w:r w:rsidR="00326F62" w:rsidRPr="00EE490C">
        <w:rPr>
          <w:sz w:val="20"/>
          <w:szCs w:val="20"/>
        </w:rPr>
        <w:t>Ibid.,</w:t>
      </w:r>
      <w:r w:rsidRPr="00EE490C">
        <w:rPr>
          <w:sz w:val="20"/>
          <w:szCs w:val="20"/>
        </w:rPr>
        <w:t xml:space="preserve"> p. 31-32</w:t>
      </w:r>
    </w:p>
  </w:footnote>
  <w:footnote w:id="101">
    <w:p w14:paraId="0BF15A8A" w14:textId="6D8385CB" w:rsidR="00F70A5F" w:rsidRPr="00EE490C" w:rsidRDefault="00F70A5F" w:rsidP="00326F62">
      <w:pPr>
        <w:rPr>
          <w:sz w:val="20"/>
          <w:szCs w:val="20"/>
        </w:rPr>
      </w:pPr>
      <w:r w:rsidRPr="00EE490C">
        <w:rPr>
          <w:rStyle w:val="FootnoteReference"/>
          <w:sz w:val="20"/>
          <w:szCs w:val="20"/>
        </w:rPr>
        <w:footnoteRef/>
      </w:r>
      <w:r w:rsidRPr="00EE490C">
        <w:rPr>
          <w:sz w:val="20"/>
          <w:szCs w:val="20"/>
        </w:rPr>
        <w:t xml:space="preserve"> </w:t>
      </w:r>
      <w:r w:rsidR="00326F62" w:rsidRPr="00EE490C">
        <w:rPr>
          <w:sz w:val="20"/>
          <w:szCs w:val="20"/>
        </w:rPr>
        <w:t>Ibid.,</w:t>
      </w:r>
      <w:r w:rsidRPr="00EE490C">
        <w:rPr>
          <w:sz w:val="20"/>
          <w:szCs w:val="20"/>
        </w:rPr>
        <w:t xml:space="preserve"> p. 35</w:t>
      </w:r>
    </w:p>
  </w:footnote>
  <w:footnote w:id="102">
    <w:p w14:paraId="2B688905" w14:textId="62AA7F00" w:rsidR="00522430" w:rsidRPr="00EE490C" w:rsidRDefault="00522430" w:rsidP="00326F62">
      <w:pPr>
        <w:rPr>
          <w:sz w:val="20"/>
          <w:szCs w:val="20"/>
        </w:rPr>
      </w:pPr>
      <w:r w:rsidRPr="00EE490C">
        <w:rPr>
          <w:rStyle w:val="FootnoteReference"/>
          <w:sz w:val="20"/>
          <w:szCs w:val="20"/>
        </w:rPr>
        <w:footnoteRef/>
      </w:r>
      <w:r w:rsidRPr="00EE490C">
        <w:rPr>
          <w:sz w:val="20"/>
          <w:szCs w:val="20"/>
        </w:rPr>
        <w:t xml:space="preserve"> </w:t>
      </w:r>
      <w:proofErr w:type="spellStart"/>
      <w:r w:rsidR="00C53F8F" w:rsidRPr="00EE490C">
        <w:rPr>
          <w:sz w:val="20"/>
          <w:szCs w:val="20"/>
        </w:rPr>
        <w:t>Shippey</w:t>
      </w:r>
      <w:proofErr w:type="spellEnd"/>
      <w:r w:rsidR="00C53F8F" w:rsidRPr="00EE490C">
        <w:rPr>
          <w:sz w:val="20"/>
          <w:szCs w:val="20"/>
        </w:rPr>
        <w:t xml:space="preserve">, </w:t>
      </w:r>
      <w:r w:rsidR="00C53F8F" w:rsidRPr="00EE490C">
        <w:rPr>
          <w:i/>
          <w:iCs/>
          <w:sz w:val="20"/>
          <w:szCs w:val="20"/>
        </w:rPr>
        <w:t>Old English Verse</w:t>
      </w:r>
      <w:r w:rsidR="00C53F8F" w:rsidRPr="00EE490C">
        <w:rPr>
          <w:sz w:val="20"/>
          <w:szCs w:val="20"/>
        </w:rPr>
        <w:t xml:space="preserve">, </w:t>
      </w:r>
      <w:r w:rsidRPr="00EE490C">
        <w:rPr>
          <w:sz w:val="20"/>
          <w:szCs w:val="20"/>
        </w:rPr>
        <w:t>p. 39</w:t>
      </w:r>
    </w:p>
  </w:footnote>
  <w:footnote w:id="103">
    <w:p w14:paraId="63B5E7B1" w14:textId="5400AAD6" w:rsidR="003B54D4" w:rsidRPr="00EE490C" w:rsidRDefault="003B54D4" w:rsidP="00326F62">
      <w:pPr>
        <w:rPr>
          <w:sz w:val="20"/>
          <w:szCs w:val="20"/>
        </w:rPr>
      </w:pPr>
      <w:r w:rsidRPr="00EE490C">
        <w:rPr>
          <w:rStyle w:val="FootnoteReference"/>
          <w:sz w:val="20"/>
          <w:szCs w:val="20"/>
        </w:rPr>
        <w:footnoteRef/>
      </w:r>
      <w:r w:rsidR="00357CA3" w:rsidRPr="00EE490C">
        <w:rPr>
          <w:sz w:val="20"/>
          <w:szCs w:val="20"/>
        </w:rPr>
        <w:t xml:space="preserve"> Irving Jr, ‘Heroic role-models” Beowulf and Others’ </w:t>
      </w:r>
      <w:r w:rsidRPr="00EE490C">
        <w:rPr>
          <w:sz w:val="20"/>
          <w:szCs w:val="20"/>
        </w:rPr>
        <w:t>p. 347</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094522" w14:textId="77777777" w:rsidR="00260A2E" w:rsidRDefault="00260A2E">
    <w:pPr>
      <w:pStyle w:val="Header"/>
    </w:pPr>
    <w:r>
      <w:t>Karen Hunt</w:t>
    </w:r>
    <w:r>
      <w:ptab w:relativeTo="margin" w:alignment="center" w:leader="none"/>
    </w:r>
    <w:r>
      <w:t>CSEN7028</w:t>
    </w:r>
    <w:r>
      <w:ptab w:relativeTo="margin" w:alignment="right" w:leader="none"/>
    </w:r>
    <w:r>
      <w:t>Assignment 1</w:t>
    </w:r>
  </w:p>
  <w:p w14:paraId="63ADE7FD" w14:textId="01D84E8E" w:rsidR="00260A2E" w:rsidRDefault="00260A2E">
    <w:pPr>
      <w:pStyle w:val="Header"/>
    </w:pPr>
    <w:r>
      <w:t>1703957</w:t>
    </w:r>
    <w:r>
      <w:tab/>
    </w:r>
    <w:r w:rsidR="00582BBB">
      <w:t>Beowulf and the Anglo-Saxon Heroic</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57CC"/>
    <w:rsid w:val="0000008B"/>
    <w:rsid w:val="0000676A"/>
    <w:rsid w:val="0001362B"/>
    <w:rsid w:val="00013667"/>
    <w:rsid w:val="0001683F"/>
    <w:rsid w:val="0002571F"/>
    <w:rsid w:val="000344D4"/>
    <w:rsid w:val="000429E3"/>
    <w:rsid w:val="0005094F"/>
    <w:rsid w:val="00091035"/>
    <w:rsid w:val="000B3598"/>
    <w:rsid w:val="000D1DE3"/>
    <w:rsid w:val="00101A1A"/>
    <w:rsid w:val="00106762"/>
    <w:rsid w:val="00113D9C"/>
    <w:rsid w:val="00122B54"/>
    <w:rsid w:val="0012790F"/>
    <w:rsid w:val="00137159"/>
    <w:rsid w:val="001411FD"/>
    <w:rsid w:val="00167ACC"/>
    <w:rsid w:val="00170257"/>
    <w:rsid w:val="00172D5F"/>
    <w:rsid w:val="001B3E22"/>
    <w:rsid w:val="001B6658"/>
    <w:rsid w:val="001E0DB9"/>
    <w:rsid w:val="001E1D53"/>
    <w:rsid w:val="00201ED0"/>
    <w:rsid w:val="00215544"/>
    <w:rsid w:val="00241AAE"/>
    <w:rsid w:val="00245A3A"/>
    <w:rsid w:val="002508A3"/>
    <w:rsid w:val="00260A2E"/>
    <w:rsid w:val="00266381"/>
    <w:rsid w:val="002B5FB7"/>
    <w:rsid w:val="002C643C"/>
    <w:rsid w:val="002C79C3"/>
    <w:rsid w:val="002D28DB"/>
    <w:rsid w:val="002D31D8"/>
    <w:rsid w:val="00302A4A"/>
    <w:rsid w:val="0032095C"/>
    <w:rsid w:val="00326F62"/>
    <w:rsid w:val="00344CEE"/>
    <w:rsid w:val="00347D9D"/>
    <w:rsid w:val="003577BF"/>
    <w:rsid w:val="00357CA3"/>
    <w:rsid w:val="003622A2"/>
    <w:rsid w:val="0038314F"/>
    <w:rsid w:val="00390608"/>
    <w:rsid w:val="003A04C3"/>
    <w:rsid w:val="003A0EEE"/>
    <w:rsid w:val="003B54D4"/>
    <w:rsid w:val="003B59CD"/>
    <w:rsid w:val="003D7D58"/>
    <w:rsid w:val="00400717"/>
    <w:rsid w:val="0041097D"/>
    <w:rsid w:val="00415DC2"/>
    <w:rsid w:val="00424A69"/>
    <w:rsid w:val="00443527"/>
    <w:rsid w:val="00450321"/>
    <w:rsid w:val="00450B87"/>
    <w:rsid w:val="00454AF3"/>
    <w:rsid w:val="00476C8C"/>
    <w:rsid w:val="004A0187"/>
    <w:rsid w:val="004B67E3"/>
    <w:rsid w:val="004D1D7A"/>
    <w:rsid w:val="004D6699"/>
    <w:rsid w:val="004D70AA"/>
    <w:rsid w:val="004E2190"/>
    <w:rsid w:val="004F214C"/>
    <w:rsid w:val="00522430"/>
    <w:rsid w:val="00531844"/>
    <w:rsid w:val="00563847"/>
    <w:rsid w:val="00575F45"/>
    <w:rsid w:val="00582408"/>
    <w:rsid w:val="00582BBB"/>
    <w:rsid w:val="0058444E"/>
    <w:rsid w:val="005A1622"/>
    <w:rsid w:val="005A62D6"/>
    <w:rsid w:val="005B50B1"/>
    <w:rsid w:val="005B537B"/>
    <w:rsid w:val="005C1450"/>
    <w:rsid w:val="005E4B45"/>
    <w:rsid w:val="005F5561"/>
    <w:rsid w:val="00605379"/>
    <w:rsid w:val="00612346"/>
    <w:rsid w:val="006773E0"/>
    <w:rsid w:val="00684A19"/>
    <w:rsid w:val="00695E36"/>
    <w:rsid w:val="006C5B04"/>
    <w:rsid w:val="006D159A"/>
    <w:rsid w:val="006E585C"/>
    <w:rsid w:val="0071628B"/>
    <w:rsid w:val="00736B6B"/>
    <w:rsid w:val="00737A75"/>
    <w:rsid w:val="00743FB0"/>
    <w:rsid w:val="00750CFA"/>
    <w:rsid w:val="00780DAE"/>
    <w:rsid w:val="0078215B"/>
    <w:rsid w:val="007B4702"/>
    <w:rsid w:val="007D0FAE"/>
    <w:rsid w:val="007D7AB9"/>
    <w:rsid w:val="007E3274"/>
    <w:rsid w:val="008147EA"/>
    <w:rsid w:val="00827E9B"/>
    <w:rsid w:val="0083432D"/>
    <w:rsid w:val="008405F6"/>
    <w:rsid w:val="00844812"/>
    <w:rsid w:val="00844864"/>
    <w:rsid w:val="008555F8"/>
    <w:rsid w:val="00860BAE"/>
    <w:rsid w:val="008750E1"/>
    <w:rsid w:val="00897407"/>
    <w:rsid w:val="008978CC"/>
    <w:rsid w:val="008A1199"/>
    <w:rsid w:val="008A1828"/>
    <w:rsid w:val="008B4D5B"/>
    <w:rsid w:val="008C3738"/>
    <w:rsid w:val="009220B4"/>
    <w:rsid w:val="009428A8"/>
    <w:rsid w:val="00954F7D"/>
    <w:rsid w:val="009852FF"/>
    <w:rsid w:val="00990157"/>
    <w:rsid w:val="009A2615"/>
    <w:rsid w:val="009B4414"/>
    <w:rsid w:val="009D3CE7"/>
    <w:rsid w:val="00A01203"/>
    <w:rsid w:val="00A016FE"/>
    <w:rsid w:val="00A0202E"/>
    <w:rsid w:val="00A10B67"/>
    <w:rsid w:val="00A55342"/>
    <w:rsid w:val="00A66555"/>
    <w:rsid w:val="00A7485F"/>
    <w:rsid w:val="00A849F4"/>
    <w:rsid w:val="00A86536"/>
    <w:rsid w:val="00A87D3F"/>
    <w:rsid w:val="00AC5F5F"/>
    <w:rsid w:val="00AC5FBC"/>
    <w:rsid w:val="00AD21C1"/>
    <w:rsid w:val="00AD3035"/>
    <w:rsid w:val="00AE0411"/>
    <w:rsid w:val="00AE1874"/>
    <w:rsid w:val="00AF7F50"/>
    <w:rsid w:val="00B016AD"/>
    <w:rsid w:val="00B04576"/>
    <w:rsid w:val="00B25EAE"/>
    <w:rsid w:val="00B40F6A"/>
    <w:rsid w:val="00B42690"/>
    <w:rsid w:val="00B61A41"/>
    <w:rsid w:val="00B632C7"/>
    <w:rsid w:val="00B63B5B"/>
    <w:rsid w:val="00B64491"/>
    <w:rsid w:val="00B657F9"/>
    <w:rsid w:val="00B75FEC"/>
    <w:rsid w:val="00B84906"/>
    <w:rsid w:val="00B85074"/>
    <w:rsid w:val="00B870C9"/>
    <w:rsid w:val="00BB6E6B"/>
    <w:rsid w:val="00BE0A15"/>
    <w:rsid w:val="00BE3F24"/>
    <w:rsid w:val="00BF2BD4"/>
    <w:rsid w:val="00C1338D"/>
    <w:rsid w:val="00C16B7E"/>
    <w:rsid w:val="00C31FD2"/>
    <w:rsid w:val="00C374DF"/>
    <w:rsid w:val="00C53F8F"/>
    <w:rsid w:val="00C66CCB"/>
    <w:rsid w:val="00C66CF1"/>
    <w:rsid w:val="00C723B2"/>
    <w:rsid w:val="00C739E3"/>
    <w:rsid w:val="00C92BDF"/>
    <w:rsid w:val="00CB3F90"/>
    <w:rsid w:val="00CC0F59"/>
    <w:rsid w:val="00CC61F7"/>
    <w:rsid w:val="00CD7173"/>
    <w:rsid w:val="00CE4C18"/>
    <w:rsid w:val="00D44FF5"/>
    <w:rsid w:val="00DA36DB"/>
    <w:rsid w:val="00DA5FE6"/>
    <w:rsid w:val="00DB3B49"/>
    <w:rsid w:val="00DB57CC"/>
    <w:rsid w:val="00DB67CD"/>
    <w:rsid w:val="00DD0339"/>
    <w:rsid w:val="00DD6B9B"/>
    <w:rsid w:val="00DE78F8"/>
    <w:rsid w:val="00DF1814"/>
    <w:rsid w:val="00DF7B63"/>
    <w:rsid w:val="00E14E65"/>
    <w:rsid w:val="00E16622"/>
    <w:rsid w:val="00E21084"/>
    <w:rsid w:val="00E21EB9"/>
    <w:rsid w:val="00E24774"/>
    <w:rsid w:val="00E277CC"/>
    <w:rsid w:val="00E61E53"/>
    <w:rsid w:val="00E711CD"/>
    <w:rsid w:val="00E738F5"/>
    <w:rsid w:val="00E75D9B"/>
    <w:rsid w:val="00E83F00"/>
    <w:rsid w:val="00E84237"/>
    <w:rsid w:val="00E85B36"/>
    <w:rsid w:val="00EB059E"/>
    <w:rsid w:val="00EC3A75"/>
    <w:rsid w:val="00EE490C"/>
    <w:rsid w:val="00EF00D3"/>
    <w:rsid w:val="00F02E9F"/>
    <w:rsid w:val="00F07E0E"/>
    <w:rsid w:val="00F20D54"/>
    <w:rsid w:val="00F21B0D"/>
    <w:rsid w:val="00F51568"/>
    <w:rsid w:val="00F610E7"/>
    <w:rsid w:val="00F61110"/>
    <w:rsid w:val="00F6192A"/>
    <w:rsid w:val="00F70A5F"/>
    <w:rsid w:val="00F74D4F"/>
    <w:rsid w:val="00F84AA3"/>
    <w:rsid w:val="00F85CAE"/>
    <w:rsid w:val="00FA50C4"/>
    <w:rsid w:val="00FB7821"/>
    <w:rsid w:val="00FC1608"/>
    <w:rsid w:val="00FC38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3C3DC2"/>
  <w14:defaultImageDpi w14:val="32767"/>
  <w15:chartTrackingRefBased/>
  <w15:docId w15:val="{0FE1A702-2AF9-5E49-B7EE-1EEF7B9DAE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3">
    <w:name w:val="heading 3"/>
    <w:basedOn w:val="Normal"/>
    <w:link w:val="Heading3Char"/>
    <w:qFormat/>
    <w:rsid w:val="009428A8"/>
    <w:pPr>
      <w:keepNext/>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80DAE"/>
    <w:pPr>
      <w:tabs>
        <w:tab w:val="center" w:pos="4513"/>
        <w:tab w:val="right" w:pos="9026"/>
      </w:tabs>
    </w:pPr>
  </w:style>
  <w:style w:type="character" w:customStyle="1" w:styleId="HeaderChar">
    <w:name w:val="Header Char"/>
    <w:basedOn w:val="DefaultParagraphFont"/>
    <w:link w:val="Header"/>
    <w:uiPriority w:val="99"/>
    <w:rsid w:val="00780DAE"/>
  </w:style>
  <w:style w:type="paragraph" w:styleId="Footer">
    <w:name w:val="footer"/>
    <w:basedOn w:val="Normal"/>
    <w:link w:val="FooterChar"/>
    <w:uiPriority w:val="99"/>
    <w:unhideWhenUsed/>
    <w:rsid w:val="00780DAE"/>
    <w:pPr>
      <w:tabs>
        <w:tab w:val="center" w:pos="4513"/>
        <w:tab w:val="right" w:pos="9026"/>
      </w:tabs>
    </w:pPr>
  </w:style>
  <w:style w:type="character" w:customStyle="1" w:styleId="FooterChar">
    <w:name w:val="Footer Char"/>
    <w:basedOn w:val="DefaultParagraphFont"/>
    <w:link w:val="Footer"/>
    <w:uiPriority w:val="99"/>
    <w:rsid w:val="00780DAE"/>
  </w:style>
  <w:style w:type="paragraph" w:styleId="FootnoteText">
    <w:name w:val="footnote text"/>
    <w:basedOn w:val="Normal"/>
    <w:link w:val="FootnoteTextChar"/>
    <w:uiPriority w:val="99"/>
    <w:semiHidden/>
    <w:unhideWhenUsed/>
    <w:rsid w:val="006E585C"/>
    <w:rPr>
      <w:sz w:val="20"/>
      <w:szCs w:val="20"/>
    </w:rPr>
  </w:style>
  <w:style w:type="character" w:customStyle="1" w:styleId="FootnoteTextChar">
    <w:name w:val="Footnote Text Char"/>
    <w:basedOn w:val="DefaultParagraphFont"/>
    <w:link w:val="FootnoteText"/>
    <w:uiPriority w:val="99"/>
    <w:semiHidden/>
    <w:rsid w:val="006E585C"/>
    <w:rPr>
      <w:sz w:val="20"/>
      <w:szCs w:val="20"/>
    </w:rPr>
  </w:style>
  <w:style w:type="character" w:styleId="FootnoteReference">
    <w:name w:val="footnote reference"/>
    <w:basedOn w:val="DefaultParagraphFont"/>
    <w:uiPriority w:val="99"/>
    <w:semiHidden/>
    <w:unhideWhenUsed/>
    <w:rsid w:val="006E585C"/>
    <w:rPr>
      <w:vertAlign w:val="superscript"/>
    </w:rPr>
  </w:style>
  <w:style w:type="character" w:customStyle="1" w:styleId="Heading3Char">
    <w:name w:val="Heading 3 Char"/>
    <w:basedOn w:val="DefaultParagraphFont"/>
    <w:link w:val="Heading3"/>
    <w:rsid w:val="009428A8"/>
    <w:rPr>
      <w:rFonts w:ascii="Tahoma" w:eastAsia="SimSun" w:hAnsi="Tahoma" w:cs="Tahoma"/>
      <w:b/>
      <w:bCs/>
      <w:sz w:val="20"/>
      <w:szCs w:val="20"/>
      <w:lang w:eastAsia="zh-CN"/>
    </w:rPr>
  </w:style>
  <w:style w:type="paragraph" w:styleId="NormalWeb">
    <w:name w:val="Normal (Web)"/>
    <w:basedOn w:val="Normal"/>
    <w:rsid w:val="009428A8"/>
    <w:pPr>
      <w:spacing w:before="100" w:beforeAutospacing="1" w:after="100" w:afterAutospacing="1"/>
    </w:pPr>
    <w:rPr>
      <w:rFonts w:ascii="Georgia" w:eastAsia="SimSun" w:hAnsi="Georgia" w:cs="Times New Roman"/>
      <w:color w:val="000000"/>
      <w:sz w:val="21"/>
      <w:szCs w:val="21"/>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5EC51A-21CE-41A5-89C6-FF8D702ADF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777</TotalTime>
  <Pages>17</Pages>
  <Words>4841</Words>
  <Characters>27598</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32375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Karen Hunt (1703957)</dc:creator>
  <cp:keywords/>
  <dc:description/>
  <cp:lastModifiedBy>Karen Hunt</cp:lastModifiedBy>
  <cp:revision>116</cp:revision>
  <cp:lastPrinted>2019-08-28T16:02:00Z</cp:lastPrinted>
  <dcterms:created xsi:type="dcterms:W3CDTF">2019-08-24T13:31:00Z</dcterms:created>
  <dcterms:modified xsi:type="dcterms:W3CDTF">2019-08-30T12:27:00Z</dcterms:modified>
</cp:coreProperties>
</file>