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1D939" w14:textId="77777777" w:rsidR="00560514" w:rsidRDefault="00560514" w:rsidP="00560514">
      <w:pPr>
        <w:jc w:val="center"/>
        <w:rPr>
          <w:lang w:val="en-US"/>
        </w:rPr>
      </w:pPr>
    </w:p>
    <w:p w14:paraId="1E07392C" w14:textId="77777777" w:rsidR="00560514" w:rsidRDefault="00560514" w:rsidP="00560514">
      <w:pPr>
        <w:jc w:val="center"/>
        <w:rPr>
          <w:lang w:val="en-US"/>
        </w:rPr>
      </w:pPr>
    </w:p>
    <w:p w14:paraId="1629222E" w14:textId="77777777" w:rsidR="00560514" w:rsidRDefault="00560514" w:rsidP="00560514">
      <w:pPr>
        <w:jc w:val="center"/>
        <w:rPr>
          <w:lang w:val="en-US"/>
        </w:rPr>
      </w:pPr>
    </w:p>
    <w:p w14:paraId="43110658" w14:textId="77777777" w:rsidR="00560514" w:rsidRDefault="00560514" w:rsidP="00560514">
      <w:pPr>
        <w:spacing w:line="360" w:lineRule="auto"/>
        <w:jc w:val="center"/>
        <w:rPr>
          <w:lang w:val="en-US"/>
        </w:rPr>
      </w:pPr>
      <w:r>
        <w:rPr>
          <w:lang w:val="en-US"/>
        </w:rPr>
        <w:t>CIPD Diploma In Applied Human Resources (CIPDL5-PTCIPD-IDA)</w:t>
      </w:r>
    </w:p>
    <w:p w14:paraId="7F2D2A51" w14:textId="77777777" w:rsidR="00560514" w:rsidRDefault="00560514" w:rsidP="00560514">
      <w:pPr>
        <w:spacing w:line="360" w:lineRule="auto"/>
        <w:jc w:val="center"/>
        <w:rPr>
          <w:lang w:val="en-US"/>
        </w:rPr>
      </w:pPr>
    </w:p>
    <w:p w14:paraId="02BD6927" w14:textId="4F145E4F" w:rsidR="00560514" w:rsidRDefault="00560514" w:rsidP="00560514">
      <w:pPr>
        <w:spacing w:line="360" w:lineRule="auto"/>
        <w:jc w:val="center"/>
        <w:rPr>
          <w:lang w:val="en-US"/>
        </w:rPr>
      </w:pPr>
      <w:r>
        <w:rPr>
          <w:lang w:val="en-US"/>
        </w:rPr>
        <w:t>Contributing to Coaching and Mentoring in the Organisation</w:t>
      </w:r>
    </w:p>
    <w:p w14:paraId="3777BD3C" w14:textId="4304346F" w:rsidR="00560514" w:rsidRDefault="00560514" w:rsidP="00560514">
      <w:pPr>
        <w:spacing w:line="360" w:lineRule="auto"/>
        <w:jc w:val="center"/>
        <w:rPr>
          <w:lang w:val="en-US"/>
        </w:rPr>
      </w:pPr>
      <w:r>
        <w:rPr>
          <w:lang w:val="en-US"/>
        </w:rPr>
        <w:t>5ADCM – Learning Outcome 1 - 2</w:t>
      </w:r>
    </w:p>
    <w:p w14:paraId="07A365E5" w14:textId="040924EB" w:rsidR="00560514" w:rsidRDefault="00560514" w:rsidP="00560514">
      <w:pPr>
        <w:spacing w:line="360" w:lineRule="auto"/>
        <w:jc w:val="center"/>
        <w:rPr>
          <w:lang w:val="en-US"/>
        </w:rPr>
      </w:pPr>
      <w:r>
        <w:rPr>
          <w:lang w:val="en-US"/>
        </w:rPr>
        <w:t>3000 word portfolio</w:t>
      </w:r>
    </w:p>
    <w:p w14:paraId="2288A410" w14:textId="5650DF15" w:rsidR="00560514" w:rsidRDefault="00560514" w:rsidP="00560514">
      <w:pPr>
        <w:spacing w:line="360" w:lineRule="auto"/>
        <w:jc w:val="center"/>
        <w:rPr>
          <w:lang w:val="en-US"/>
        </w:rPr>
      </w:pPr>
      <w:r>
        <w:rPr>
          <w:lang w:val="en-US"/>
        </w:rPr>
        <w:t>July 2021</w:t>
      </w:r>
    </w:p>
    <w:p w14:paraId="6F0AB12F" w14:textId="23718CF5" w:rsidR="00560514" w:rsidRDefault="00560514" w:rsidP="00560514">
      <w:pPr>
        <w:spacing w:line="360" w:lineRule="auto"/>
        <w:jc w:val="center"/>
        <w:rPr>
          <w:lang w:val="en-US"/>
        </w:rPr>
      </w:pPr>
      <w:r>
        <w:rPr>
          <w:lang w:val="en-US"/>
        </w:rPr>
        <w:t>Antonia Brown – 1708085</w:t>
      </w:r>
    </w:p>
    <w:p w14:paraId="5639596F" w14:textId="7128EDA2" w:rsidR="00F803CB" w:rsidRDefault="00F803CB" w:rsidP="00560514">
      <w:pPr>
        <w:spacing w:line="360" w:lineRule="auto"/>
        <w:jc w:val="center"/>
        <w:rPr>
          <w:lang w:val="en-US"/>
        </w:rPr>
      </w:pPr>
    </w:p>
    <w:p w14:paraId="4A3158C9" w14:textId="6227F773" w:rsidR="00F803CB" w:rsidRDefault="00F803CB" w:rsidP="00560514">
      <w:pPr>
        <w:spacing w:line="360" w:lineRule="auto"/>
        <w:jc w:val="center"/>
        <w:rPr>
          <w:lang w:val="en-US"/>
        </w:rPr>
      </w:pPr>
    </w:p>
    <w:p w14:paraId="330EA2F2" w14:textId="77545023" w:rsidR="00F803CB" w:rsidRDefault="00F803CB" w:rsidP="00F803CB">
      <w:pPr>
        <w:spacing w:line="360" w:lineRule="auto"/>
        <w:jc w:val="center"/>
      </w:pPr>
      <w:r w:rsidRPr="00F803CB">
        <w:t>TITLE</w:t>
      </w:r>
      <w:r w:rsidRPr="00F803CB">
        <w:br/>
        <w:t>CONTENTS</w:t>
      </w:r>
      <w:r w:rsidRPr="00F803CB">
        <w:br/>
        <w:t>EVIDENCE MATRIX</w:t>
      </w:r>
      <w:r w:rsidRPr="00F803CB">
        <w:br/>
        <w:t>LO1 INC REFERENCES</w:t>
      </w:r>
      <w:r w:rsidRPr="00F803CB">
        <w:br/>
        <w:t>EVIDENCE FOR LO1</w:t>
      </w:r>
      <w:r w:rsidRPr="00F803CB">
        <w:br/>
        <w:t>LO2 INC REF</w:t>
      </w:r>
      <w:r>
        <w:t>ERENCES</w:t>
      </w:r>
      <w:r w:rsidRPr="00F803CB">
        <w:br/>
        <w:t>EVIDENCE FOR LO2</w:t>
      </w:r>
    </w:p>
    <w:p w14:paraId="789357C1" w14:textId="479A8FDB" w:rsidR="007B78F8" w:rsidRDefault="007B78F8" w:rsidP="00F803CB">
      <w:pPr>
        <w:spacing w:line="360" w:lineRule="auto"/>
        <w:jc w:val="center"/>
      </w:pPr>
    </w:p>
    <w:p w14:paraId="09A9C072" w14:textId="77777777" w:rsidR="00560514" w:rsidRPr="00F803CB" w:rsidRDefault="00560514" w:rsidP="00560514">
      <w:pPr>
        <w:spacing w:line="360" w:lineRule="auto"/>
        <w:jc w:val="center"/>
      </w:pPr>
    </w:p>
    <w:p w14:paraId="50487854" w14:textId="77777777" w:rsidR="00560514" w:rsidRPr="00F803CB" w:rsidRDefault="00560514" w:rsidP="00560514">
      <w:pPr>
        <w:spacing w:line="360" w:lineRule="auto"/>
        <w:jc w:val="center"/>
      </w:pPr>
    </w:p>
    <w:p w14:paraId="4F2AF20D" w14:textId="77777777" w:rsidR="00560514" w:rsidRPr="00F803CB" w:rsidRDefault="00560514" w:rsidP="00560514"/>
    <w:p w14:paraId="0AC7C4A7" w14:textId="77777777" w:rsidR="000E5207" w:rsidRDefault="000E5207" w:rsidP="00886BD1">
      <w:pPr>
        <w:contextualSpacing/>
        <w:rPr>
          <w:rFonts w:ascii="Arial" w:hAnsi="Arial" w:cs="Arial"/>
          <w:b/>
          <w:color w:val="3C3C3C"/>
        </w:rPr>
        <w:sectPr w:rsidR="000E5207">
          <w:pgSz w:w="11906" w:h="16838"/>
          <w:pgMar w:top="1440" w:right="1440" w:bottom="1440" w:left="1440" w:header="708" w:footer="708" w:gutter="0"/>
          <w:cols w:space="708"/>
          <w:docGrid w:linePitch="360"/>
        </w:sectPr>
      </w:pPr>
    </w:p>
    <w:tbl>
      <w:tblPr>
        <w:tblW w:w="15318" w:type="dxa"/>
        <w:tblInd w:w="-69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1440"/>
      </w:tblGrid>
      <w:tr w:rsidR="000E5207" w:rsidRPr="00E758AC" w14:paraId="7DC57901" w14:textId="77777777" w:rsidTr="00886BD1">
        <w:trPr>
          <w:trHeight w:val="425"/>
        </w:trPr>
        <w:tc>
          <w:tcPr>
            <w:tcW w:w="11085" w:type="dxa"/>
            <w:gridSpan w:val="5"/>
          </w:tcPr>
          <w:p w14:paraId="56E6DA7E" w14:textId="51497985" w:rsidR="000E5207" w:rsidRPr="00E758AC" w:rsidRDefault="000E5207" w:rsidP="00886BD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Antonia Brown</w:t>
            </w:r>
          </w:p>
        </w:tc>
        <w:tc>
          <w:tcPr>
            <w:tcW w:w="4233" w:type="dxa"/>
            <w:gridSpan w:val="4"/>
          </w:tcPr>
          <w:p w14:paraId="7158FBEC" w14:textId="77777777" w:rsidR="000E5207" w:rsidRPr="00E758AC" w:rsidRDefault="000E5207" w:rsidP="00886BD1">
            <w:pPr>
              <w:contextualSpacing/>
              <w:rPr>
                <w:rFonts w:ascii="Arial" w:hAnsi="Arial" w:cs="Arial"/>
                <w:color w:val="3C3C3C"/>
              </w:rPr>
            </w:pPr>
            <w:r w:rsidRPr="00E758AC">
              <w:rPr>
                <w:rFonts w:ascii="Arial" w:hAnsi="Arial" w:cs="Arial"/>
                <w:b/>
                <w:color w:val="3C3C3C"/>
              </w:rPr>
              <w:t>CIPD Membership/registration No.:</w:t>
            </w:r>
          </w:p>
        </w:tc>
      </w:tr>
      <w:tr w:rsidR="000E5207" w:rsidRPr="00E758AC" w14:paraId="0BF2701E" w14:textId="77777777" w:rsidTr="00886BD1">
        <w:tc>
          <w:tcPr>
            <w:tcW w:w="11085" w:type="dxa"/>
            <w:gridSpan w:val="5"/>
          </w:tcPr>
          <w:p w14:paraId="1BC00756"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Applied Human Resource Level 5</w:t>
            </w:r>
          </w:p>
        </w:tc>
        <w:tc>
          <w:tcPr>
            <w:tcW w:w="4233" w:type="dxa"/>
            <w:gridSpan w:val="4"/>
          </w:tcPr>
          <w:p w14:paraId="30E63E57" w14:textId="77777777" w:rsidR="000E5207" w:rsidRPr="00B10B70" w:rsidRDefault="000E5207" w:rsidP="00886BD1">
            <w:pPr>
              <w:contextualSpacing/>
              <w:rPr>
                <w:rFonts w:ascii="Arial" w:hAnsi="Arial" w:cs="Arial"/>
                <w:b/>
                <w:color w:val="3C3C3C"/>
              </w:rPr>
            </w:pPr>
            <w:r w:rsidRPr="00E758AC">
              <w:rPr>
                <w:rFonts w:ascii="Arial" w:hAnsi="Arial" w:cs="Arial"/>
                <w:b/>
                <w:color w:val="3C3C3C"/>
              </w:rPr>
              <w:t>Unique Learner No. (ULN):</w:t>
            </w:r>
          </w:p>
        </w:tc>
      </w:tr>
      <w:tr w:rsidR="000E5207" w:rsidRPr="00E758AC" w14:paraId="27775ADE" w14:textId="77777777" w:rsidTr="00886BD1">
        <w:trPr>
          <w:cantSplit/>
          <w:trHeight w:val="791"/>
        </w:trPr>
        <w:tc>
          <w:tcPr>
            <w:tcW w:w="827" w:type="dxa"/>
            <w:shd w:val="clear" w:color="auto" w:fill="DBD3E5"/>
          </w:tcPr>
          <w:p w14:paraId="6EC3E093"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Unit code</w:t>
            </w:r>
          </w:p>
        </w:tc>
        <w:tc>
          <w:tcPr>
            <w:tcW w:w="3419" w:type="dxa"/>
            <w:gridSpan w:val="2"/>
            <w:shd w:val="clear" w:color="auto" w:fill="DBD3E5"/>
          </w:tcPr>
          <w:p w14:paraId="6B8B51A6"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5AC83D05"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4ED9E26D"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17D041DF"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2B7BCC6C"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Assessor</w:t>
            </w:r>
          </w:p>
          <w:p w14:paraId="475E1EDB"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00D28650"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I/V initials if sampled</w:t>
            </w:r>
          </w:p>
        </w:tc>
      </w:tr>
      <w:tr w:rsidR="000E5207" w:rsidRPr="00E758AC" w14:paraId="662819C6" w14:textId="77777777" w:rsidTr="00886BD1">
        <w:tc>
          <w:tcPr>
            <w:tcW w:w="827" w:type="dxa"/>
          </w:tcPr>
          <w:p w14:paraId="28E5CC25" w14:textId="51DA7E43" w:rsidR="000E5207" w:rsidRPr="00E758AC" w:rsidRDefault="000E5207" w:rsidP="00886BD1">
            <w:pPr>
              <w:contextualSpacing/>
              <w:rPr>
                <w:rFonts w:ascii="Arial" w:hAnsi="Arial" w:cs="Arial"/>
                <w:color w:val="3C3C3C"/>
              </w:rPr>
            </w:pPr>
            <w:r>
              <w:rPr>
                <w:rFonts w:ascii="Arial" w:hAnsi="Arial" w:cs="Arial"/>
                <w:color w:val="3C3C3C"/>
              </w:rPr>
              <w:t>5ADCM</w:t>
            </w:r>
          </w:p>
        </w:tc>
        <w:tc>
          <w:tcPr>
            <w:tcW w:w="3419" w:type="dxa"/>
            <w:gridSpan w:val="2"/>
          </w:tcPr>
          <w:p w14:paraId="12D57016" w14:textId="532FC5DF" w:rsidR="000E5207" w:rsidRPr="00E758AC" w:rsidRDefault="000E5207" w:rsidP="00886BD1">
            <w:pPr>
              <w:contextualSpacing/>
              <w:rPr>
                <w:rFonts w:ascii="Arial" w:hAnsi="Arial" w:cs="Arial"/>
                <w:color w:val="3C3C3C"/>
              </w:rPr>
            </w:pPr>
            <w:r>
              <w:rPr>
                <w:rFonts w:ascii="Arial" w:hAnsi="Arial" w:cs="Arial"/>
                <w:color w:val="3C3C3C"/>
              </w:rPr>
              <w:t>Contributing to Coaching and Mentoring in the Organisation</w:t>
            </w:r>
          </w:p>
        </w:tc>
        <w:tc>
          <w:tcPr>
            <w:tcW w:w="1703" w:type="dxa"/>
          </w:tcPr>
          <w:p w14:paraId="2139C683" w14:textId="250957D7" w:rsidR="000E5207" w:rsidRPr="00E758AC" w:rsidRDefault="000E5207" w:rsidP="00886BD1">
            <w:pPr>
              <w:contextualSpacing/>
              <w:rPr>
                <w:rFonts w:ascii="Arial" w:hAnsi="Arial" w:cs="Arial"/>
                <w:color w:val="3C3C3C"/>
              </w:rPr>
            </w:pPr>
            <w:r>
              <w:rPr>
                <w:rFonts w:ascii="Arial" w:hAnsi="Arial" w:cs="Arial"/>
                <w:color w:val="3C3C3C"/>
              </w:rPr>
              <w:t>LO1</w:t>
            </w:r>
          </w:p>
        </w:tc>
        <w:tc>
          <w:tcPr>
            <w:tcW w:w="5136" w:type="dxa"/>
          </w:tcPr>
          <w:p w14:paraId="40814880" w14:textId="15AA92C5" w:rsidR="000E5207" w:rsidRPr="00E758AC" w:rsidRDefault="000E5207" w:rsidP="00886BD1">
            <w:pPr>
              <w:contextualSpacing/>
              <w:rPr>
                <w:rFonts w:ascii="Arial" w:hAnsi="Arial" w:cs="Arial"/>
                <w:color w:val="3C3C3C"/>
              </w:rPr>
            </w:pPr>
            <w:r>
              <w:rPr>
                <w:rFonts w:ascii="Arial" w:hAnsi="Arial" w:cs="Arial"/>
                <w:color w:val="3C3C3C"/>
              </w:rPr>
              <w:t>Learning &amp; Development Policy</w:t>
            </w:r>
          </w:p>
        </w:tc>
        <w:tc>
          <w:tcPr>
            <w:tcW w:w="1353" w:type="dxa"/>
            <w:gridSpan w:val="2"/>
          </w:tcPr>
          <w:p w14:paraId="3AC71B79" w14:textId="5A765241" w:rsidR="000E5207" w:rsidRPr="00E758AC" w:rsidRDefault="000E5207" w:rsidP="00886BD1">
            <w:pPr>
              <w:contextualSpacing/>
              <w:rPr>
                <w:rFonts w:ascii="Arial" w:hAnsi="Arial" w:cs="Arial"/>
                <w:color w:val="3C3C3C"/>
              </w:rPr>
            </w:pPr>
            <w:r>
              <w:rPr>
                <w:rFonts w:ascii="Arial" w:hAnsi="Arial" w:cs="Arial"/>
                <w:color w:val="3C3C3C"/>
              </w:rPr>
              <w:t>Evidence 1</w:t>
            </w:r>
          </w:p>
        </w:tc>
        <w:tc>
          <w:tcPr>
            <w:tcW w:w="1440" w:type="dxa"/>
          </w:tcPr>
          <w:p w14:paraId="0375BF56" w14:textId="77777777" w:rsidR="000E5207" w:rsidRPr="00E758AC" w:rsidRDefault="000E5207" w:rsidP="00886BD1">
            <w:pPr>
              <w:contextualSpacing/>
              <w:rPr>
                <w:rFonts w:ascii="Arial" w:hAnsi="Arial" w:cs="Arial"/>
                <w:color w:val="3C3C3C"/>
              </w:rPr>
            </w:pPr>
          </w:p>
        </w:tc>
        <w:tc>
          <w:tcPr>
            <w:tcW w:w="1440" w:type="dxa"/>
          </w:tcPr>
          <w:p w14:paraId="5739F991" w14:textId="77777777" w:rsidR="000E5207" w:rsidRPr="00E758AC" w:rsidRDefault="000E5207" w:rsidP="00886BD1">
            <w:pPr>
              <w:contextualSpacing/>
              <w:rPr>
                <w:rFonts w:ascii="Arial" w:hAnsi="Arial" w:cs="Arial"/>
                <w:color w:val="3C3C3C"/>
              </w:rPr>
            </w:pPr>
          </w:p>
        </w:tc>
      </w:tr>
      <w:tr w:rsidR="000E5207" w:rsidRPr="00E758AC" w14:paraId="2A4DAD4B" w14:textId="77777777" w:rsidTr="00886BD1">
        <w:tc>
          <w:tcPr>
            <w:tcW w:w="827" w:type="dxa"/>
          </w:tcPr>
          <w:p w14:paraId="2B71A290" w14:textId="462A9F17" w:rsidR="000E5207" w:rsidRPr="00E758AC" w:rsidRDefault="000E5207" w:rsidP="00886BD1">
            <w:pPr>
              <w:contextualSpacing/>
              <w:rPr>
                <w:rFonts w:ascii="Arial" w:hAnsi="Arial" w:cs="Arial"/>
                <w:color w:val="3C3C3C"/>
              </w:rPr>
            </w:pPr>
          </w:p>
        </w:tc>
        <w:tc>
          <w:tcPr>
            <w:tcW w:w="3419" w:type="dxa"/>
            <w:gridSpan w:val="2"/>
          </w:tcPr>
          <w:p w14:paraId="6FE0872D" w14:textId="77777777" w:rsidR="000E5207" w:rsidRPr="00E758AC" w:rsidRDefault="000E5207" w:rsidP="00886BD1">
            <w:pPr>
              <w:contextualSpacing/>
              <w:rPr>
                <w:rFonts w:ascii="Arial" w:hAnsi="Arial" w:cs="Arial"/>
                <w:color w:val="3C3C3C"/>
              </w:rPr>
            </w:pPr>
          </w:p>
        </w:tc>
        <w:tc>
          <w:tcPr>
            <w:tcW w:w="1703" w:type="dxa"/>
          </w:tcPr>
          <w:p w14:paraId="13AEBE8A" w14:textId="056D7F54" w:rsidR="000E5207" w:rsidRPr="00E758AC" w:rsidRDefault="000362D6" w:rsidP="00886BD1">
            <w:pPr>
              <w:contextualSpacing/>
              <w:rPr>
                <w:rFonts w:ascii="Arial" w:hAnsi="Arial" w:cs="Arial"/>
                <w:color w:val="3C3C3C"/>
              </w:rPr>
            </w:pPr>
            <w:r>
              <w:rPr>
                <w:rFonts w:ascii="Arial" w:hAnsi="Arial" w:cs="Arial"/>
                <w:color w:val="3C3C3C"/>
              </w:rPr>
              <w:t>LO1</w:t>
            </w:r>
          </w:p>
        </w:tc>
        <w:tc>
          <w:tcPr>
            <w:tcW w:w="5136" w:type="dxa"/>
          </w:tcPr>
          <w:p w14:paraId="31D06AE8" w14:textId="788D6B76" w:rsidR="000E5207" w:rsidRPr="00E758AC" w:rsidRDefault="000362D6" w:rsidP="00886BD1">
            <w:pPr>
              <w:contextualSpacing/>
              <w:rPr>
                <w:rFonts w:ascii="Arial" w:hAnsi="Arial" w:cs="Arial"/>
                <w:color w:val="3C3C3C"/>
              </w:rPr>
            </w:pPr>
            <w:r>
              <w:rPr>
                <w:rFonts w:ascii="Arial" w:hAnsi="Arial" w:cs="Arial"/>
                <w:color w:val="3C3C3C"/>
              </w:rPr>
              <w:t>POA Review, Objectives</w:t>
            </w:r>
          </w:p>
        </w:tc>
        <w:tc>
          <w:tcPr>
            <w:tcW w:w="1353" w:type="dxa"/>
            <w:gridSpan w:val="2"/>
          </w:tcPr>
          <w:p w14:paraId="23A217A8" w14:textId="67188D69" w:rsidR="000E5207" w:rsidRPr="00E758AC" w:rsidRDefault="000362D6" w:rsidP="00886BD1">
            <w:pPr>
              <w:contextualSpacing/>
              <w:rPr>
                <w:rFonts w:ascii="Arial" w:hAnsi="Arial" w:cs="Arial"/>
                <w:color w:val="3C3C3C"/>
              </w:rPr>
            </w:pPr>
            <w:r>
              <w:rPr>
                <w:rFonts w:ascii="Arial" w:hAnsi="Arial" w:cs="Arial"/>
                <w:color w:val="3C3C3C"/>
              </w:rPr>
              <w:t>Evidence 2</w:t>
            </w:r>
          </w:p>
        </w:tc>
        <w:tc>
          <w:tcPr>
            <w:tcW w:w="1440" w:type="dxa"/>
          </w:tcPr>
          <w:p w14:paraId="1C72458D" w14:textId="77777777" w:rsidR="000E5207" w:rsidRPr="00E758AC" w:rsidRDefault="000E5207" w:rsidP="00886BD1">
            <w:pPr>
              <w:contextualSpacing/>
              <w:rPr>
                <w:rFonts w:ascii="Arial" w:hAnsi="Arial" w:cs="Arial"/>
                <w:color w:val="3C3C3C"/>
              </w:rPr>
            </w:pPr>
          </w:p>
        </w:tc>
        <w:tc>
          <w:tcPr>
            <w:tcW w:w="1440" w:type="dxa"/>
          </w:tcPr>
          <w:p w14:paraId="66E2EA91" w14:textId="77777777" w:rsidR="000E5207" w:rsidRPr="00E758AC" w:rsidRDefault="000E5207" w:rsidP="00886BD1">
            <w:pPr>
              <w:contextualSpacing/>
              <w:rPr>
                <w:rFonts w:ascii="Arial" w:hAnsi="Arial" w:cs="Arial"/>
                <w:color w:val="3C3C3C"/>
              </w:rPr>
            </w:pPr>
          </w:p>
        </w:tc>
      </w:tr>
      <w:tr w:rsidR="000E5207" w:rsidRPr="00E758AC" w14:paraId="2E507BDA" w14:textId="77777777" w:rsidTr="00886BD1">
        <w:tc>
          <w:tcPr>
            <w:tcW w:w="827" w:type="dxa"/>
          </w:tcPr>
          <w:p w14:paraId="00FDF050" w14:textId="6C260B85" w:rsidR="000E5207" w:rsidRPr="00E758AC" w:rsidRDefault="000E5207" w:rsidP="00886BD1">
            <w:pPr>
              <w:contextualSpacing/>
              <w:rPr>
                <w:rFonts w:ascii="Arial" w:hAnsi="Arial" w:cs="Arial"/>
                <w:color w:val="3C3C3C"/>
              </w:rPr>
            </w:pPr>
          </w:p>
        </w:tc>
        <w:tc>
          <w:tcPr>
            <w:tcW w:w="3419" w:type="dxa"/>
            <w:gridSpan w:val="2"/>
          </w:tcPr>
          <w:p w14:paraId="70B389D1" w14:textId="77777777" w:rsidR="000E5207" w:rsidRPr="00E758AC" w:rsidRDefault="000E5207" w:rsidP="00886BD1">
            <w:pPr>
              <w:contextualSpacing/>
              <w:rPr>
                <w:rFonts w:ascii="Arial" w:hAnsi="Arial" w:cs="Arial"/>
                <w:color w:val="3C3C3C"/>
              </w:rPr>
            </w:pPr>
          </w:p>
        </w:tc>
        <w:tc>
          <w:tcPr>
            <w:tcW w:w="1703" w:type="dxa"/>
          </w:tcPr>
          <w:p w14:paraId="32BB1824" w14:textId="0E178E0B" w:rsidR="000E5207" w:rsidRPr="00E758AC" w:rsidRDefault="000E5207" w:rsidP="00886BD1">
            <w:pPr>
              <w:contextualSpacing/>
              <w:rPr>
                <w:rFonts w:ascii="Arial" w:hAnsi="Arial" w:cs="Arial"/>
                <w:color w:val="3C3C3C"/>
              </w:rPr>
            </w:pPr>
          </w:p>
        </w:tc>
        <w:tc>
          <w:tcPr>
            <w:tcW w:w="5136" w:type="dxa"/>
          </w:tcPr>
          <w:p w14:paraId="4E99ED07" w14:textId="36C76DF8" w:rsidR="000E5207" w:rsidRPr="00E758AC" w:rsidRDefault="000E5207" w:rsidP="00886BD1">
            <w:pPr>
              <w:contextualSpacing/>
              <w:rPr>
                <w:rFonts w:ascii="Arial" w:hAnsi="Arial" w:cs="Arial"/>
                <w:color w:val="3C3C3C"/>
              </w:rPr>
            </w:pPr>
          </w:p>
        </w:tc>
        <w:tc>
          <w:tcPr>
            <w:tcW w:w="1353" w:type="dxa"/>
            <w:gridSpan w:val="2"/>
          </w:tcPr>
          <w:p w14:paraId="0226F81E" w14:textId="77777777" w:rsidR="000E5207" w:rsidRPr="000055CD" w:rsidRDefault="000E5207" w:rsidP="00886BD1">
            <w:pPr>
              <w:contextualSpacing/>
              <w:rPr>
                <w:rFonts w:ascii="Arial" w:hAnsi="Arial" w:cs="Arial"/>
                <w:color w:val="3C3C3C"/>
              </w:rPr>
            </w:pPr>
          </w:p>
        </w:tc>
        <w:tc>
          <w:tcPr>
            <w:tcW w:w="1440" w:type="dxa"/>
          </w:tcPr>
          <w:p w14:paraId="2C0950D2" w14:textId="77777777" w:rsidR="000E5207" w:rsidRPr="00E758AC" w:rsidRDefault="000E5207" w:rsidP="00886BD1">
            <w:pPr>
              <w:contextualSpacing/>
              <w:rPr>
                <w:rFonts w:ascii="Arial" w:hAnsi="Arial" w:cs="Arial"/>
                <w:color w:val="3C3C3C"/>
              </w:rPr>
            </w:pPr>
          </w:p>
        </w:tc>
        <w:tc>
          <w:tcPr>
            <w:tcW w:w="1440" w:type="dxa"/>
          </w:tcPr>
          <w:p w14:paraId="7C6E4B6C" w14:textId="77777777" w:rsidR="000E5207" w:rsidRPr="00E758AC" w:rsidRDefault="000E5207" w:rsidP="00886BD1">
            <w:pPr>
              <w:contextualSpacing/>
              <w:rPr>
                <w:rFonts w:ascii="Arial" w:hAnsi="Arial" w:cs="Arial"/>
                <w:color w:val="3C3C3C"/>
              </w:rPr>
            </w:pPr>
          </w:p>
        </w:tc>
      </w:tr>
      <w:tr w:rsidR="000E5207" w:rsidRPr="00E758AC" w14:paraId="6E1C0A47" w14:textId="77777777" w:rsidTr="00886BD1">
        <w:tc>
          <w:tcPr>
            <w:tcW w:w="827" w:type="dxa"/>
          </w:tcPr>
          <w:p w14:paraId="60AC195C" w14:textId="0A94E92D" w:rsidR="000E5207" w:rsidRPr="00E758AC" w:rsidRDefault="000E5207" w:rsidP="00886BD1">
            <w:pPr>
              <w:contextualSpacing/>
              <w:rPr>
                <w:rFonts w:ascii="Arial" w:hAnsi="Arial" w:cs="Arial"/>
                <w:color w:val="3C3C3C"/>
              </w:rPr>
            </w:pPr>
          </w:p>
        </w:tc>
        <w:tc>
          <w:tcPr>
            <w:tcW w:w="3419" w:type="dxa"/>
            <w:gridSpan w:val="2"/>
          </w:tcPr>
          <w:p w14:paraId="4555BCFB" w14:textId="0C4AC13D" w:rsidR="000E5207" w:rsidRPr="00E758AC" w:rsidRDefault="000E5207" w:rsidP="00886BD1">
            <w:pPr>
              <w:contextualSpacing/>
              <w:rPr>
                <w:rFonts w:ascii="Arial" w:hAnsi="Arial" w:cs="Arial"/>
                <w:color w:val="3C3C3C"/>
              </w:rPr>
            </w:pPr>
          </w:p>
        </w:tc>
        <w:tc>
          <w:tcPr>
            <w:tcW w:w="1703" w:type="dxa"/>
          </w:tcPr>
          <w:p w14:paraId="053FCBDE" w14:textId="38B0EC1A" w:rsidR="000E5207" w:rsidRPr="00E758AC" w:rsidRDefault="000E5207" w:rsidP="00886BD1">
            <w:pPr>
              <w:contextualSpacing/>
              <w:rPr>
                <w:rFonts w:ascii="Arial" w:hAnsi="Arial" w:cs="Arial"/>
                <w:color w:val="3C3C3C"/>
              </w:rPr>
            </w:pPr>
          </w:p>
        </w:tc>
        <w:tc>
          <w:tcPr>
            <w:tcW w:w="5136" w:type="dxa"/>
          </w:tcPr>
          <w:p w14:paraId="7B7CBF96" w14:textId="1BD294B1" w:rsidR="000E5207" w:rsidRPr="00E758AC" w:rsidRDefault="000E5207" w:rsidP="00886BD1">
            <w:pPr>
              <w:contextualSpacing/>
              <w:rPr>
                <w:rFonts w:ascii="Arial" w:hAnsi="Arial" w:cs="Arial"/>
                <w:color w:val="3C3C3C"/>
              </w:rPr>
            </w:pPr>
          </w:p>
        </w:tc>
        <w:tc>
          <w:tcPr>
            <w:tcW w:w="1353" w:type="dxa"/>
            <w:gridSpan w:val="2"/>
          </w:tcPr>
          <w:p w14:paraId="7BCEE9AE" w14:textId="77777777" w:rsidR="000E5207" w:rsidRPr="00E758AC" w:rsidRDefault="000E5207" w:rsidP="00886BD1">
            <w:pPr>
              <w:contextualSpacing/>
              <w:rPr>
                <w:rFonts w:ascii="Arial" w:hAnsi="Arial" w:cs="Arial"/>
                <w:color w:val="3C3C3C"/>
              </w:rPr>
            </w:pPr>
          </w:p>
        </w:tc>
        <w:tc>
          <w:tcPr>
            <w:tcW w:w="1440" w:type="dxa"/>
          </w:tcPr>
          <w:p w14:paraId="4BE7B2B8" w14:textId="77777777" w:rsidR="000E5207" w:rsidRPr="00E758AC" w:rsidRDefault="000E5207" w:rsidP="00886BD1">
            <w:pPr>
              <w:contextualSpacing/>
              <w:rPr>
                <w:rFonts w:ascii="Arial" w:hAnsi="Arial" w:cs="Arial"/>
                <w:color w:val="3C3C3C"/>
              </w:rPr>
            </w:pPr>
          </w:p>
        </w:tc>
        <w:tc>
          <w:tcPr>
            <w:tcW w:w="1440" w:type="dxa"/>
          </w:tcPr>
          <w:p w14:paraId="12C01616" w14:textId="77777777" w:rsidR="000E5207" w:rsidRPr="00E758AC" w:rsidRDefault="000E5207" w:rsidP="00886BD1">
            <w:pPr>
              <w:contextualSpacing/>
              <w:rPr>
                <w:rFonts w:ascii="Arial" w:hAnsi="Arial" w:cs="Arial"/>
                <w:color w:val="3C3C3C"/>
              </w:rPr>
            </w:pPr>
          </w:p>
        </w:tc>
      </w:tr>
      <w:tr w:rsidR="000E5207" w:rsidRPr="00E758AC" w14:paraId="73980460" w14:textId="77777777" w:rsidTr="00886BD1">
        <w:tc>
          <w:tcPr>
            <w:tcW w:w="827" w:type="dxa"/>
          </w:tcPr>
          <w:p w14:paraId="44C34027" w14:textId="77777777" w:rsidR="000E5207" w:rsidRPr="00E758AC" w:rsidRDefault="000E5207" w:rsidP="00886BD1">
            <w:pPr>
              <w:contextualSpacing/>
              <w:rPr>
                <w:rFonts w:ascii="Arial" w:hAnsi="Arial" w:cs="Arial"/>
                <w:color w:val="3C3C3C"/>
              </w:rPr>
            </w:pPr>
          </w:p>
        </w:tc>
        <w:tc>
          <w:tcPr>
            <w:tcW w:w="3419" w:type="dxa"/>
            <w:gridSpan w:val="2"/>
          </w:tcPr>
          <w:p w14:paraId="1180E379" w14:textId="77777777" w:rsidR="000E5207" w:rsidRPr="00E758AC" w:rsidRDefault="000E5207" w:rsidP="00886BD1">
            <w:pPr>
              <w:contextualSpacing/>
              <w:rPr>
                <w:rFonts w:ascii="Arial" w:hAnsi="Arial" w:cs="Arial"/>
                <w:color w:val="3C3C3C"/>
              </w:rPr>
            </w:pPr>
          </w:p>
          <w:p w14:paraId="18A3617E" w14:textId="77777777" w:rsidR="000E5207" w:rsidRPr="00E758AC" w:rsidRDefault="000E5207" w:rsidP="00886BD1">
            <w:pPr>
              <w:contextualSpacing/>
              <w:rPr>
                <w:rFonts w:ascii="Arial" w:hAnsi="Arial" w:cs="Arial"/>
                <w:color w:val="3C3C3C"/>
              </w:rPr>
            </w:pPr>
          </w:p>
        </w:tc>
        <w:tc>
          <w:tcPr>
            <w:tcW w:w="1703" w:type="dxa"/>
          </w:tcPr>
          <w:p w14:paraId="4EDFCBA8" w14:textId="77777777" w:rsidR="000E5207" w:rsidRPr="00E758AC" w:rsidRDefault="000E5207" w:rsidP="00886BD1">
            <w:pPr>
              <w:contextualSpacing/>
              <w:rPr>
                <w:rFonts w:ascii="Arial" w:hAnsi="Arial" w:cs="Arial"/>
                <w:color w:val="3C3C3C"/>
              </w:rPr>
            </w:pPr>
          </w:p>
        </w:tc>
        <w:tc>
          <w:tcPr>
            <w:tcW w:w="5136" w:type="dxa"/>
          </w:tcPr>
          <w:p w14:paraId="7A94BE4D" w14:textId="77777777" w:rsidR="000E5207" w:rsidRPr="00E758AC" w:rsidRDefault="000E5207" w:rsidP="00886BD1">
            <w:pPr>
              <w:contextualSpacing/>
              <w:rPr>
                <w:rFonts w:ascii="Arial" w:hAnsi="Arial" w:cs="Arial"/>
                <w:color w:val="3C3C3C"/>
              </w:rPr>
            </w:pPr>
          </w:p>
        </w:tc>
        <w:tc>
          <w:tcPr>
            <w:tcW w:w="1353" w:type="dxa"/>
            <w:gridSpan w:val="2"/>
          </w:tcPr>
          <w:p w14:paraId="37557ABF" w14:textId="77777777" w:rsidR="000E5207" w:rsidRPr="00E758AC" w:rsidRDefault="000E5207" w:rsidP="00886BD1">
            <w:pPr>
              <w:contextualSpacing/>
              <w:rPr>
                <w:rFonts w:ascii="Arial" w:hAnsi="Arial" w:cs="Arial"/>
                <w:color w:val="3C3C3C"/>
              </w:rPr>
            </w:pPr>
          </w:p>
        </w:tc>
        <w:tc>
          <w:tcPr>
            <w:tcW w:w="1440" w:type="dxa"/>
          </w:tcPr>
          <w:p w14:paraId="6552C514" w14:textId="77777777" w:rsidR="000E5207" w:rsidRPr="00E758AC" w:rsidRDefault="000E5207" w:rsidP="00886BD1">
            <w:pPr>
              <w:contextualSpacing/>
              <w:rPr>
                <w:rFonts w:ascii="Arial" w:hAnsi="Arial" w:cs="Arial"/>
                <w:color w:val="3C3C3C"/>
              </w:rPr>
            </w:pPr>
          </w:p>
        </w:tc>
        <w:tc>
          <w:tcPr>
            <w:tcW w:w="1440" w:type="dxa"/>
          </w:tcPr>
          <w:p w14:paraId="335F8C59" w14:textId="77777777" w:rsidR="000E5207" w:rsidRPr="00E758AC" w:rsidRDefault="000E5207" w:rsidP="00886BD1">
            <w:pPr>
              <w:contextualSpacing/>
              <w:rPr>
                <w:rFonts w:ascii="Arial" w:hAnsi="Arial" w:cs="Arial"/>
                <w:color w:val="3C3C3C"/>
              </w:rPr>
            </w:pPr>
          </w:p>
        </w:tc>
      </w:tr>
      <w:tr w:rsidR="000E5207" w:rsidRPr="00E758AC" w14:paraId="6F1B3473" w14:textId="77777777" w:rsidTr="00886BD1">
        <w:tc>
          <w:tcPr>
            <w:tcW w:w="827" w:type="dxa"/>
          </w:tcPr>
          <w:p w14:paraId="29ECD31C" w14:textId="77777777" w:rsidR="000E5207" w:rsidRPr="00E758AC" w:rsidRDefault="000E5207" w:rsidP="00886BD1">
            <w:pPr>
              <w:contextualSpacing/>
              <w:rPr>
                <w:rFonts w:ascii="Arial" w:hAnsi="Arial" w:cs="Arial"/>
                <w:color w:val="3C3C3C"/>
              </w:rPr>
            </w:pPr>
          </w:p>
        </w:tc>
        <w:tc>
          <w:tcPr>
            <w:tcW w:w="3419" w:type="dxa"/>
            <w:gridSpan w:val="2"/>
          </w:tcPr>
          <w:p w14:paraId="7D6B92F0" w14:textId="77777777" w:rsidR="000E5207" w:rsidRPr="00E758AC" w:rsidRDefault="000E5207" w:rsidP="00886BD1">
            <w:pPr>
              <w:contextualSpacing/>
              <w:rPr>
                <w:rFonts w:ascii="Arial" w:hAnsi="Arial" w:cs="Arial"/>
                <w:color w:val="3C3C3C"/>
              </w:rPr>
            </w:pPr>
          </w:p>
          <w:p w14:paraId="22F1031E" w14:textId="77777777" w:rsidR="000E5207" w:rsidRPr="00E758AC" w:rsidRDefault="000E5207" w:rsidP="00886BD1">
            <w:pPr>
              <w:contextualSpacing/>
              <w:rPr>
                <w:rFonts w:ascii="Arial" w:hAnsi="Arial" w:cs="Arial"/>
                <w:color w:val="3C3C3C"/>
              </w:rPr>
            </w:pPr>
          </w:p>
        </w:tc>
        <w:tc>
          <w:tcPr>
            <w:tcW w:w="1703" w:type="dxa"/>
          </w:tcPr>
          <w:p w14:paraId="1311482E" w14:textId="77777777" w:rsidR="000E5207" w:rsidRPr="00E758AC" w:rsidRDefault="000E5207" w:rsidP="00886BD1">
            <w:pPr>
              <w:contextualSpacing/>
              <w:rPr>
                <w:rFonts w:ascii="Arial" w:hAnsi="Arial" w:cs="Arial"/>
                <w:color w:val="3C3C3C"/>
              </w:rPr>
            </w:pPr>
          </w:p>
        </w:tc>
        <w:tc>
          <w:tcPr>
            <w:tcW w:w="5136" w:type="dxa"/>
          </w:tcPr>
          <w:p w14:paraId="190ABB9E" w14:textId="77777777" w:rsidR="000E5207" w:rsidRPr="00E758AC" w:rsidRDefault="000E5207" w:rsidP="00886BD1">
            <w:pPr>
              <w:contextualSpacing/>
              <w:rPr>
                <w:rFonts w:ascii="Arial" w:hAnsi="Arial" w:cs="Arial"/>
                <w:color w:val="3C3C3C"/>
              </w:rPr>
            </w:pPr>
          </w:p>
        </w:tc>
        <w:tc>
          <w:tcPr>
            <w:tcW w:w="1353" w:type="dxa"/>
            <w:gridSpan w:val="2"/>
          </w:tcPr>
          <w:p w14:paraId="4BCC6AFF" w14:textId="77777777" w:rsidR="000E5207" w:rsidRPr="00E758AC" w:rsidRDefault="000E5207" w:rsidP="00886BD1">
            <w:pPr>
              <w:contextualSpacing/>
              <w:rPr>
                <w:rFonts w:ascii="Arial" w:hAnsi="Arial" w:cs="Arial"/>
                <w:color w:val="3C3C3C"/>
              </w:rPr>
            </w:pPr>
          </w:p>
        </w:tc>
        <w:tc>
          <w:tcPr>
            <w:tcW w:w="1440" w:type="dxa"/>
          </w:tcPr>
          <w:p w14:paraId="7C31A73A" w14:textId="77777777" w:rsidR="000E5207" w:rsidRPr="00E758AC" w:rsidRDefault="000E5207" w:rsidP="00886BD1">
            <w:pPr>
              <w:contextualSpacing/>
              <w:rPr>
                <w:rFonts w:ascii="Arial" w:hAnsi="Arial" w:cs="Arial"/>
                <w:color w:val="3C3C3C"/>
              </w:rPr>
            </w:pPr>
          </w:p>
        </w:tc>
        <w:tc>
          <w:tcPr>
            <w:tcW w:w="1440" w:type="dxa"/>
          </w:tcPr>
          <w:p w14:paraId="17E9602C" w14:textId="77777777" w:rsidR="000E5207" w:rsidRPr="00E758AC" w:rsidRDefault="000E5207" w:rsidP="00886BD1">
            <w:pPr>
              <w:contextualSpacing/>
              <w:rPr>
                <w:rFonts w:ascii="Arial" w:hAnsi="Arial" w:cs="Arial"/>
                <w:color w:val="3C3C3C"/>
              </w:rPr>
            </w:pPr>
          </w:p>
        </w:tc>
      </w:tr>
      <w:tr w:rsidR="000E5207" w:rsidRPr="00E758AC" w14:paraId="0D4B6D8E" w14:textId="77777777" w:rsidTr="00886BD1">
        <w:tc>
          <w:tcPr>
            <w:tcW w:w="15318" w:type="dxa"/>
            <w:gridSpan w:val="9"/>
            <w:shd w:val="clear" w:color="auto" w:fill="DBD3E5"/>
          </w:tcPr>
          <w:p w14:paraId="01B81006" w14:textId="77777777" w:rsidR="000E5207" w:rsidRPr="00E758AC" w:rsidRDefault="000E5207" w:rsidP="00886BD1">
            <w:pPr>
              <w:contextualSpacing/>
              <w:rPr>
                <w:rFonts w:ascii="Arial" w:hAnsi="Arial" w:cs="Arial"/>
                <w:b/>
                <w:color w:val="3C3C3C"/>
              </w:rPr>
            </w:pPr>
            <w:r w:rsidRPr="00E758AC">
              <w:rPr>
                <w:rFonts w:ascii="Arial" w:hAnsi="Arial" w:cs="Arial"/>
                <w:b/>
                <w:color w:val="3C3C3C"/>
              </w:rPr>
              <w:t>Candidate declaration:</w:t>
            </w:r>
          </w:p>
        </w:tc>
      </w:tr>
      <w:tr w:rsidR="000E5207" w:rsidRPr="00E758AC" w14:paraId="7DF98732" w14:textId="77777777" w:rsidTr="00886BD1">
        <w:tc>
          <w:tcPr>
            <w:tcW w:w="15318" w:type="dxa"/>
            <w:gridSpan w:val="9"/>
            <w:shd w:val="clear" w:color="auto" w:fill="auto"/>
          </w:tcPr>
          <w:p w14:paraId="21B69CFC" w14:textId="77777777" w:rsidR="000E5207" w:rsidRPr="00E758AC" w:rsidRDefault="000E5207" w:rsidP="000E5207">
            <w:pPr>
              <w:pStyle w:val="ListParagraph"/>
              <w:numPr>
                <w:ilvl w:val="0"/>
                <w:numId w:val="1"/>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5B12316" w14:textId="77777777" w:rsidR="000E5207" w:rsidRPr="00E758AC" w:rsidRDefault="000E5207" w:rsidP="000E5207">
            <w:pPr>
              <w:pStyle w:val="ListParagraph"/>
              <w:numPr>
                <w:ilvl w:val="0"/>
                <w:numId w:val="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79BF2C0" w14:textId="77777777" w:rsidR="000E5207" w:rsidRPr="00E758AC" w:rsidRDefault="000E5207" w:rsidP="000E5207">
            <w:pPr>
              <w:pStyle w:val="ListParagraph"/>
              <w:numPr>
                <w:ilvl w:val="0"/>
                <w:numId w:val="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4BC7343" w14:textId="77777777" w:rsidR="000E5207" w:rsidRPr="00E758AC" w:rsidRDefault="000E5207" w:rsidP="000E5207">
            <w:pPr>
              <w:pStyle w:val="ListParagraph"/>
              <w:numPr>
                <w:ilvl w:val="0"/>
                <w:numId w:val="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C9E9E10" w14:textId="77777777" w:rsidR="000E5207" w:rsidRPr="00E758AC" w:rsidRDefault="000E5207" w:rsidP="000E5207">
            <w:pPr>
              <w:pStyle w:val="ListParagraph"/>
              <w:numPr>
                <w:ilvl w:val="0"/>
                <w:numId w:val="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1C22CC04" w14:textId="77777777" w:rsidR="000E5207" w:rsidRPr="00E758AC" w:rsidRDefault="000E5207" w:rsidP="000E5207">
            <w:pPr>
              <w:pStyle w:val="ListParagraph"/>
              <w:numPr>
                <w:ilvl w:val="0"/>
                <w:numId w:val="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0E5207" w:rsidRPr="00E758AC" w14:paraId="2E0F1806" w14:textId="77777777" w:rsidTr="00886BD1">
        <w:trPr>
          <w:trHeight w:val="380"/>
        </w:trPr>
        <w:tc>
          <w:tcPr>
            <w:tcW w:w="2516" w:type="dxa"/>
            <w:gridSpan w:val="2"/>
            <w:shd w:val="clear" w:color="auto" w:fill="DBD3E5"/>
            <w:vAlign w:val="center"/>
          </w:tcPr>
          <w:p w14:paraId="68C48FE2" w14:textId="77777777" w:rsidR="000E5207" w:rsidRPr="00E758AC" w:rsidRDefault="000E5207" w:rsidP="00886BD1">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57D0C1B8" w14:textId="77777777" w:rsidR="000E5207" w:rsidRPr="00E758AC" w:rsidRDefault="000E5207" w:rsidP="00886BD1">
            <w:pPr>
              <w:rPr>
                <w:rFonts w:ascii="Arial" w:hAnsi="Arial" w:cs="Arial"/>
                <w:b/>
                <w:color w:val="3C3C3C"/>
              </w:rPr>
            </w:pPr>
            <w:r>
              <w:rPr>
                <w:rFonts w:ascii="Arial" w:hAnsi="Arial" w:cs="Arial"/>
                <w:b/>
                <w:color w:val="3C3C3C"/>
              </w:rPr>
              <w:t>A Brown</w:t>
            </w:r>
          </w:p>
        </w:tc>
        <w:tc>
          <w:tcPr>
            <w:tcW w:w="1273" w:type="dxa"/>
            <w:shd w:val="clear" w:color="auto" w:fill="DBD3E5"/>
            <w:vAlign w:val="center"/>
          </w:tcPr>
          <w:p w14:paraId="7EA489E7" w14:textId="77777777" w:rsidR="000E5207" w:rsidRPr="00E758AC" w:rsidRDefault="000E5207" w:rsidP="00886BD1">
            <w:pPr>
              <w:rPr>
                <w:rFonts w:ascii="Arial" w:hAnsi="Arial" w:cs="Arial"/>
                <w:b/>
                <w:color w:val="3C3C3C"/>
              </w:rPr>
            </w:pPr>
            <w:r w:rsidRPr="00E758AC">
              <w:rPr>
                <w:rFonts w:ascii="Arial" w:hAnsi="Arial" w:cs="Arial"/>
                <w:b/>
                <w:color w:val="3C3C3C"/>
              </w:rPr>
              <w:t>Date:</w:t>
            </w:r>
          </w:p>
        </w:tc>
        <w:tc>
          <w:tcPr>
            <w:tcW w:w="2880" w:type="dxa"/>
            <w:gridSpan w:val="2"/>
            <w:vAlign w:val="center"/>
          </w:tcPr>
          <w:p w14:paraId="094B6FDD" w14:textId="53EEBAB5" w:rsidR="000E5207" w:rsidRPr="00E758AC" w:rsidRDefault="000E5207" w:rsidP="00886BD1">
            <w:pPr>
              <w:rPr>
                <w:rFonts w:ascii="Arial" w:hAnsi="Arial" w:cs="Arial"/>
                <w:b/>
                <w:color w:val="3C3C3C"/>
              </w:rPr>
            </w:pPr>
            <w:r>
              <w:rPr>
                <w:rFonts w:ascii="Arial" w:hAnsi="Arial" w:cs="Arial"/>
                <w:b/>
                <w:color w:val="3C3C3C"/>
              </w:rPr>
              <w:t>0</w:t>
            </w:r>
            <w:r w:rsidR="000362D6">
              <w:rPr>
                <w:rFonts w:ascii="Arial" w:hAnsi="Arial" w:cs="Arial"/>
                <w:b/>
                <w:color w:val="3C3C3C"/>
              </w:rPr>
              <w:t>7</w:t>
            </w:r>
            <w:r>
              <w:rPr>
                <w:rFonts w:ascii="Arial" w:hAnsi="Arial" w:cs="Arial"/>
                <w:b/>
                <w:color w:val="3C3C3C"/>
              </w:rPr>
              <w:t>/07/2021</w:t>
            </w:r>
          </w:p>
        </w:tc>
      </w:tr>
    </w:tbl>
    <w:p w14:paraId="3FA7F659" w14:textId="77777777" w:rsidR="000E5207" w:rsidRDefault="000E5207" w:rsidP="00560514">
      <w:pPr>
        <w:sectPr w:rsidR="000E5207" w:rsidSect="000E5207">
          <w:pgSz w:w="16838" w:h="11906" w:orient="landscape" w:code="9"/>
          <w:pgMar w:top="1440" w:right="1440" w:bottom="1440" w:left="1440" w:header="709" w:footer="709" w:gutter="0"/>
          <w:cols w:space="708"/>
          <w:docGrid w:linePitch="360"/>
        </w:sectPr>
      </w:pPr>
    </w:p>
    <w:p w14:paraId="3D94CB3E" w14:textId="595E8286" w:rsidR="00560514" w:rsidRDefault="00560514" w:rsidP="00560514">
      <w:pPr>
        <w:rPr>
          <w:b/>
          <w:bCs/>
        </w:rPr>
      </w:pPr>
      <w:r>
        <w:rPr>
          <w:b/>
          <w:bCs/>
        </w:rPr>
        <w:lastRenderedPageBreak/>
        <w:t>LO1 – Be able to assess the impact of coaching and mentoring activity within an organisation and make recommendations for further development</w:t>
      </w:r>
    </w:p>
    <w:p w14:paraId="1045E04B" w14:textId="648ADCA6" w:rsidR="00560514" w:rsidRDefault="00560514" w:rsidP="00560514">
      <w:pPr>
        <w:rPr>
          <w:i/>
          <w:iCs/>
        </w:rPr>
      </w:pPr>
      <w:r>
        <w:rPr>
          <w:i/>
          <w:iCs/>
        </w:rPr>
        <w:t xml:space="preserve">‘1.1 Investigate the extent to which coaching and mentoring take place within an organisation.’ </w:t>
      </w:r>
    </w:p>
    <w:p w14:paraId="554C919C" w14:textId="498CAB13" w:rsidR="00E40B61" w:rsidRDefault="00077869" w:rsidP="00E40B61">
      <w:pPr>
        <w:spacing w:line="360" w:lineRule="auto"/>
        <w:rPr>
          <w:lang w:val="en-US"/>
        </w:rPr>
      </w:pPr>
      <w:r>
        <w:t xml:space="preserve">The organisation I have chosen to conduct this assignment on is BlueTree Home and Garden Ltd. The company has only recently expanded with employee numbers, so have yet to put together a coaching and mentoring plan. A learning and development policy has only just been created recently to show and encourage coaching and mentoring. </w:t>
      </w:r>
      <w:r w:rsidR="00E40B61">
        <w:rPr>
          <w:lang w:val="en-US"/>
        </w:rPr>
        <w:t xml:space="preserve">BlueTree Home and Garden, at the beginning of 2020, had only three employees on permanent full-time contracts and unfortunately did not conduct any learning and development, including coaching and mentoring. During winter 2020, BlueTree Home and Garden took on an additional two full-time permanent employees, which then required legal documents to be in place. In September 2020, I attended workshops with </w:t>
      </w:r>
      <w:proofErr w:type="spellStart"/>
      <w:r w:rsidR="00E40B61">
        <w:rPr>
          <w:lang w:val="en-US"/>
        </w:rPr>
        <w:t>Chwarae</w:t>
      </w:r>
      <w:proofErr w:type="spellEnd"/>
      <w:r w:rsidR="00E40B61">
        <w:rPr>
          <w:lang w:val="en-US"/>
        </w:rPr>
        <w:t xml:space="preserve"> Teg to help the business promote women in the workplace. We also had one to one meetings to get legal documents, policies and procedures in place for employment contracts and the employee handbook. This is where the learning and development policy was created</w:t>
      </w:r>
      <w:r w:rsidR="000E5207">
        <w:rPr>
          <w:lang w:val="en-US"/>
        </w:rPr>
        <w:t xml:space="preserve"> (Evidence 1)</w:t>
      </w:r>
      <w:r w:rsidR="00E40B61">
        <w:rPr>
          <w:lang w:val="en-US"/>
        </w:rPr>
        <w:t xml:space="preserve">. Unfortunately, the company is yet to put any coaching and mentoring plans in place for employees. In the future, this is something the business wants and promote the employees within the business. </w:t>
      </w:r>
      <w:r w:rsidR="00E40B61">
        <w:rPr>
          <w:rFonts w:cstheme="minorHAnsi"/>
          <w:color w:val="000000"/>
          <w:bdr w:val="none" w:sz="0" w:space="0" w:color="auto" w:frame="1"/>
          <w:shd w:val="clear" w:color="auto" w:fill="FFFFFF"/>
        </w:rPr>
        <w:t xml:space="preserve">Stated in this policy, </w:t>
      </w:r>
      <w:proofErr w:type="spellStart"/>
      <w:r w:rsidR="00E40B61">
        <w:rPr>
          <w:rFonts w:cstheme="minorHAnsi"/>
          <w:color w:val="000000"/>
          <w:bdr w:val="none" w:sz="0" w:space="0" w:color="auto" w:frame="1"/>
          <w:shd w:val="clear" w:color="auto" w:fill="FFFFFF"/>
        </w:rPr>
        <w:t>Bluetree</w:t>
      </w:r>
      <w:proofErr w:type="spellEnd"/>
      <w:r w:rsidR="00E40B61">
        <w:rPr>
          <w:rFonts w:cstheme="minorHAnsi"/>
          <w:color w:val="000000"/>
          <w:bdr w:val="none" w:sz="0" w:space="0" w:color="auto" w:frame="1"/>
          <w:shd w:val="clear" w:color="auto" w:fill="FFFFFF"/>
        </w:rPr>
        <w:t xml:space="preserve"> Home and Garden mention coaching and mentoring as a form of learning and development. Unfortunately, the policy does not go into greater detail as to how coaching and mentoring will be formed as part of the learning and development process of employees. I feel though, this policy could be adopted to include more aspects of the benefits of coaching and mentoring and the process the company would use to bring out the benefits of this training method. </w:t>
      </w:r>
      <w:r w:rsidR="00E40B61">
        <w:rPr>
          <w:lang w:val="en-US"/>
        </w:rPr>
        <w:t xml:space="preserve">The top coaching and mentoring trends to date include the most dominating method as being virtual coaching (Coach Foundation, 2021). From this, the next best methods include a demand for measurable results, relationship driven approach, continued learning and finally coaching will be a normality within their role (et al.). Following on from these current trends on coaching and mentoring I feel our policy needs to be adopted to include processes to ensure coaching and mentoring is fulfilled to its best advantage within the business. If BlueTree Home and Garden was to adopt and consider these trends, firstly the top trend is virtual coaching. Due to the company leaning into technology as one of its goals, this would be a good adaptation for the business. This type of coaching and mentoring process would mean that training can be undertaken at </w:t>
      </w:r>
      <w:proofErr w:type="spellStart"/>
      <w:r w:rsidR="00E40B61">
        <w:rPr>
          <w:lang w:val="en-US"/>
        </w:rPr>
        <w:t>anytime</w:t>
      </w:r>
      <w:proofErr w:type="spellEnd"/>
      <w:r w:rsidR="00E40B61">
        <w:rPr>
          <w:lang w:val="en-US"/>
        </w:rPr>
        <w:t xml:space="preserve"> and any location. Along with this trend, I have picked out the other current trends that I feel fall in line with the goals and objectives of the business. If BlueTree Home and Garden was to adopt a policy on coaching and mentoring and followed the most dominating trends, this would be of great success to them long term with the expansion of the business happening year on year. </w:t>
      </w:r>
    </w:p>
    <w:p w14:paraId="466A8FCE" w14:textId="77777777" w:rsidR="00560514" w:rsidRDefault="00560514" w:rsidP="00560514">
      <w:pPr>
        <w:rPr>
          <w:i/>
          <w:iCs/>
        </w:rPr>
      </w:pPr>
      <w:r>
        <w:rPr>
          <w:i/>
          <w:iCs/>
        </w:rPr>
        <w:lastRenderedPageBreak/>
        <w:t>‘1.2 Evaluate how current coaching and mentoring activity supports achievement of individual, team and organisational objectives.’</w:t>
      </w:r>
    </w:p>
    <w:p w14:paraId="59B25E56" w14:textId="4C92CC27" w:rsidR="00A87901" w:rsidRDefault="000362D6" w:rsidP="000362D6">
      <w:pPr>
        <w:spacing w:line="360" w:lineRule="auto"/>
        <w:rPr>
          <w:lang w:val="en-US"/>
        </w:rPr>
      </w:pPr>
      <w:r>
        <w:t xml:space="preserve">Current coaching and mentoring activity supports the achievement of individuals, team and organisational objectives. </w:t>
      </w:r>
      <w:r w:rsidR="00A87901">
        <w:rPr>
          <w:lang w:val="en-US"/>
        </w:rPr>
        <w:t xml:space="preserve">CIPD suggests considering the </w:t>
      </w:r>
      <w:r w:rsidR="00B23370">
        <w:rPr>
          <w:lang w:val="en-US"/>
        </w:rPr>
        <w:t>Organisation’s</w:t>
      </w:r>
      <w:r w:rsidR="00A87901">
        <w:rPr>
          <w:lang w:val="en-US"/>
        </w:rPr>
        <w:t xml:space="preserve"> strategy (CIPD (1), 2021). BlueTree Home and Garden have been developing the business strategy over the winter and company objectives and key results. The OKR's get adapted every three months to help keep the business in line with its main goal and strategy. To help employees stay in line with these OKR's these are mentioned within the employee's POA Review</w:t>
      </w:r>
      <w:r>
        <w:rPr>
          <w:lang w:val="en-US"/>
        </w:rPr>
        <w:t xml:space="preserve"> (Evidence 2).</w:t>
      </w:r>
      <w:r w:rsidR="00A87901">
        <w:rPr>
          <w:lang w:val="en-US"/>
        </w:rPr>
        <w:t xml:space="preserve"> </w:t>
      </w:r>
      <w:r>
        <w:rPr>
          <w:lang w:val="en-US"/>
        </w:rPr>
        <w:t xml:space="preserve">Each employee has new objectives set every 3 months </w:t>
      </w:r>
      <w:r w:rsidR="0044277F">
        <w:rPr>
          <w:lang w:val="en-US"/>
        </w:rPr>
        <w:t xml:space="preserve">in line with the OKR’s for that quarter. </w:t>
      </w:r>
      <w:r w:rsidR="009372A0">
        <w:rPr>
          <w:lang w:val="en-US"/>
        </w:rPr>
        <w:t xml:space="preserve">Although the company do not conduct coaching and mentoring, or have a policy, procedure in place for this. I do believe that including the business OKR’s in the employees POA reviews is a good start to implement coaching and mentoring. </w:t>
      </w:r>
      <w:r w:rsidR="00F61292">
        <w:rPr>
          <w:lang w:val="en-US"/>
        </w:rPr>
        <w:t xml:space="preserve">This will be able to be expanded on over time to ensure that this process gets the best outcome. </w:t>
      </w:r>
    </w:p>
    <w:p w14:paraId="2EE2BCFA" w14:textId="55498E6B" w:rsidR="00827ADB" w:rsidRPr="00A87901" w:rsidRDefault="00827ADB" w:rsidP="000362D6">
      <w:pPr>
        <w:spacing w:line="360" w:lineRule="auto"/>
        <w:rPr>
          <w:lang w:val="en-US"/>
        </w:rPr>
      </w:pPr>
    </w:p>
    <w:p w14:paraId="1D3701CA" w14:textId="77777777" w:rsidR="00560514" w:rsidRDefault="00560514" w:rsidP="00560514">
      <w:pPr>
        <w:rPr>
          <w:i/>
          <w:iCs/>
        </w:rPr>
      </w:pPr>
    </w:p>
    <w:p w14:paraId="1259AD7F" w14:textId="77777777" w:rsidR="00560514" w:rsidRDefault="00560514" w:rsidP="00560514">
      <w:pPr>
        <w:rPr>
          <w:i/>
          <w:iCs/>
        </w:rPr>
      </w:pPr>
      <w:r>
        <w:rPr>
          <w:i/>
          <w:iCs/>
        </w:rPr>
        <w:t>‘1.3 Assess factors in the organisation including other learning strategies which could impact on the further development of coaching and mentoring.’</w:t>
      </w:r>
    </w:p>
    <w:p w14:paraId="74A1D8C3" w14:textId="6EC31850" w:rsidR="00560514" w:rsidRDefault="006809FD" w:rsidP="00FA49FE">
      <w:pPr>
        <w:spacing w:line="360" w:lineRule="auto"/>
      </w:pPr>
      <w:r>
        <w:t xml:space="preserve">As previously stated BlueTree Home and Garden do not have any form of direct coaching and mentoring policy or procedure. </w:t>
      </w:r>
      <w:r w:rsidR="00686FD0">
        <w:t>It is known that without a clear learning and development strategy, organisations tend to lose focus and effectiveness in achieving the strategic goals set out for the business (Cara, 2019).</w:t>
      </w:r>
      <w:r w:rsidR="00D32D74">
        <w:t xml:space="preserve"> </w:t>
      </w:r>
    </w:p>
    <w:p w14:paraId="3D0779C6" w14:textId="62D77DFD" w:rsidR="00686FD0" w:rsidRDefault="00686FD0" w:rsidP="00560514"/>
    <w:p w14:paraId="5B238AAF" w14:textId="77777777" w:rsidR="00560514" w:rsidRDefault="00560514" w:rsidP="00560514">
      <w:pPr>
        <w:rPr>
          <w:i/>
          <w:iCs/>
        </w:rPr>
      </w:pPr>
    </w:p>
    <w:p w14:paraId="7D8C4405" w14:textId="4B2DCFCF" w:rsidR="00560514" w:rsidRDefault="00560514" w:rsidP="00560514">
      <w:pPr>
        <w:rPr>
          <w:i/>
          <w:iCs/>
        </w:rPr>
      </w:pPr>
      <w:r>
        <w:rPr>
          <w:i/>
          <w:iCs/>
        </w:rPr>
        <w:t xml:space="preserve">‘1.4 Make justified recommendations for how coaching and mentoring activity can be developed to benefit the organisation.’ </w:t>
      </w:r>
    </w:p>
    <w:p w14:paraId="1CF47C75" w14:textId="09DC059A" w:rsidR="00A87901" w:rsidRDefault="00A87901" w:rsidP="00A87901">
      <w:pPr>
        <w:spacing w:line="360" w:lineRule="auto"/>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t xml:space="preserve">To start with BlueTree Home and Garden should use the CIPD Profession Map which is there to set out the benchmark for people profession to help develop a coaching and mentoring activity to benefit the organisation. It can be used to make better decisions and help individuals progress within their career (CIPD (2), 2021). Using this map as a guidance for the areas of improvement of my skills and knowledge would be to include I believe majority of the areas. The Core knowledge areas include people practice, culture and behaviour which I feel can always be developed to ensure individuals within the organisation are of their happiest when in work (CIPD (3), 2021). The next category I feel I require additional training, skills and knowledge in is included in the specialist </w:t>
      </w:r>
      <w:r>
        <w:rPr>
          <w:rFonts w:cstheme="minorHAnsi"/>
          <w:color w:val="000000"/>
          <w:bdr w:val="none" w:sz="0" w:space="0" w:color="auto" w:frame="1"/>
          <w:shd w:val="clear" w:color="auto" w:fill="FFFFFF"/>
        </w:rPr>
        <w:lastRenderedPageBreak/>
        <w:t xml:space="preserve">knowledge sector of the profession map. This is all aspects entailed in a Human Resource role. I am very new to this type of job, with only undertaking the HR duties of the company in September 2020. I believe in the specialist knowledge area would also include the best practice of adopting coaching and mentoring within the management department for employees within the business (CIPD (4), 2021).  If BlueTree Home and Garden promotes staff development and ensure the management team have the knowledge and resources to coach and mentor employees, this will filter down the appreciation within the job for employees and ensure they are made to feel important and valued within the business which is of main importance to BlueTree Home and Garden. </w:t>
      </w:r>
    </w:p>
    <w:p w14:paraId="3A104359" w14:textId="77777777" w:rsidR="00A87901" w:rsidRDefault="00A87901" w:rsidP="00560514"/>
    <w:p w14:paraId="6E33F911" w14:textId="77777777" w:rsidR="00560514" w:rsidRDefault="00560514" w:rsidP="00560514"/>
    <w:p w14:paraId="69CB15A1" w14:textId="77777777" w:rsidR="00686FD0" w:rsidRDefault="00686FD0" w:rsidP="00E40B61"/>
    <w:p w14:paraId="54CD9039" w14:textId="6D22C421" w:rsidR="00686FD0" w:rsidRDefault="00E40B61" w:rsidP="00E40B61">
      <w:r>
        <w:br w:type="page"/>
      </w:r>
    </w:p>
    <w:p w14:paraId="22530C41" w14:textId="32513441" w:rsidR="00686FD0" w:rsidRDefault="00686FD0" w:rsidP="00E40B61">
      <w:pPr>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lastRenderedPageBreak/>
        <w:t xml:space="preserve">CARA. (2019) ‘Learning and development’ [online]. Available at: </w:t>
      </w:r>
      <w:hyperlink r:id="rId5" w:history="1">
        <w:r w:rsidRPr="001A12D6">
          <w:rPr>
            <w:rStyle w:val="Hyperlink"/>
            <w:rFonts w:cstheme="minorHAnsi"/>
            <w:bdr w:val="none" w:sz="0" w:space="0" w:color="auto" w:frame="1"/>
            <w:shd w:val="clear" w:color="auto" w:fill="FFFFFF"/>
          </w:rPr>
          <w:t>https://www.thecaragroup.com/top-10-elements-of-an-organizational-learning-strategy/</w:t>
        </w:r>
      </w:hyperlink>
      <w:r>
        <w:rPr>
          <w:rFonts w:cstheme="minorHAnsi"/>
          <w:color w:val="000000"/>
          <w:bdr w:val="none" w:sz="0" w:space="0" w:color="auto" w:frame="1"/>
          <w:shd w:val="clear" w:color="auto" w:fill="FFFFFF"/>
        </w:rPr>
        <w:t xml:space="preserve"> [accessed 06.2021]</w:t>
      </w:r>
    </w:p>
    <w:p w14:paraId="024FE10C" w14:textId="2F09B434" w:rsidR="00A87901" w:rsidRDefault="00A87901" w:rsidP="00E40B61">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CIPD (1). (2021) ‘Coaching and Mentoring’ [online]. Available at:</w:t>
      </w:r>
      <w:r w:rsidRPr="007D4E0A">
        <w:rPr>
          <w:rFonts w:cstheme="minorHAnsi"/>
        </w:rPr>
        <w:t xml:space="preserve"> </w:t>
      </w:r>
      <w:hyperlink r:id="rId6" w:anchor="gref" w:history="1">
        <w:r w:rsidRPr="007D4E0A">
          <w:rPr>
            <w:rStyle w:val="Hyperlink"/>
            <w:rFonts w:cstheme="minorHAnsi"/>
            <w:bdr w:val="none" w:sz="0" w:space="0" w:color="auto" w:frame="1"/>
            <w:shd w:val="clear" w:color="auto" w:fill="FFFFFF"/>
          </w:rPr>
          <w:t>https://www.cipd.co.uk/knowledge/fundamentals/people/development/coaching-mentoring-factsheet#gref</w:t>
        </w:r>
      </w:hyperlink>
      <w:r w:rsidRPr="007D4E0A">
        <w:rPr>
          <w:rFonts w:cstheme="minorHAnsi"/>
          <w:color w:val="000000"/>
          <w:bdr w:val="none" w:sz="0" w:space="0" w:color="auto" w:frame="1"/>
          <w:shd w:val="clear" w:color="auto" w:fill="FFFFFF"/>
        </w:rPr>
        <w:t xml:space="preserve"> [accessed 06.2021]</w:t>
      </w:r>
    </w:p>
    <w:p w14:paraId="123F85AB" w14:textId="0B987D33" w:rsidR="00A87901" w:rsidRPr="007D4E0A" w:rsidRDefault="00A87901" w:rsidP="00A87901">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CIPD (2). (2021) ‘Profession Map’ [online]. Available at: </w:t>
      </w:r>
      <w:hyperlink r:id="rId7" w:anchor="gref" w:history="1">
        <w:r w:rsidRPr="007D4E0A">
          <w:rPr>
            <w:rStyle w:val="Hyperlink"/>
            <w:rFonts w:cstheme="minorHAnsi"/>
            <w:bdr w:val="none" w:sz="0" w:space="0" w:color="auto" w:frame="1"/>
            <w:shd w:val="clear" w:color="auto" w:fill="FFFFFF"/>
          </w:rPr>
          <w:t>https://peopleprofession.cipd.org/profession-map#gref</w:t>
        </w:r>
      </w:hyperlink>
      <w:r w:rsidRPr="007D4E0A">
        <w:rPr>
          <w:rFonts w:cstheme="minorHAnsi"/>
          <w:color w:val="000000"/>
          <w:bdr w:val="none" w:sz="0" w:space="0" w:color="auto" w:frame="1"/>
          <w:shd w:val="clear" w:color="auto" w:fill="FFFFFF"/>
        </w:rPr>
        <w:t xml:space="preserve"> [accessed 0</w:t>
      </w:r>
      <w:r w:rsidR="00686FD0">
        <w:rPr>
          <w:rFonts w:cstheme="minorHAnsi"/>
          <w:color w:val="000000"/>
          <w:bdr w:val="none" w:sz="0" w:space="0" w:color="auto" w:frame="1"/>
          <w:shd w:val="clear" w:color="auto" w:fill="FFFFFF"/>
        </w:rPr>
        <w:t>6</w:t>
      </w:r>
      <w:r w:rsidRPr="007D4E0A">
        <w:rPr>
          <w:rFonts w:cstheme="minorHAnsi"/>
          <w:color w:val="000000"/>
          <w:bdr w:val="none" w:sz="0" w:space="0" w:color="auto" w:frame="1"/>
          <w:shd w:val="clear" w:color="auto" w:fill="FFFFFF"/>
        </w:rPr>
        <w:t>.2021]</w:t>
      </w:r>
    </w:p>
    <w:p w14:paraId="29F7B9CE" w14:textId="67FA1B3E" w:rsidR="00A87901" w:rsidRPr="007D4E0A" w:rsidRDefault="00A87901" w:rsidP="00A87901">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CIPD (3). (2021) ‘Core Knowledge’ [online]. Available at: </w:t>
      </w:r>
      <w:hyperlink r:id="rId8" w:history="1">
        <w:r w:rsidRPr="007D4E0A">
          <w:rPr>
            <w:rStyle w:val="Hyperlink"/>
            <w:rFonts w:cstheme="minorHAnsi"/>
            <w:bdr w:val="none" w:sz="0" w:space="0" w:color="auto" w:frame="1"/>
            <w:shd w:val="clear" w:color="auto" w:fill="FFFFFF"/>
          </w:rPr>
          <w:t>https://peopleprofession.cipd.org/profession-map/core-knowledge</w:t>
        </w:r>
      </w:hyperlink>
      <w:r w:rsidRPr="007D4E0A">
        <w:rPr>
          <w:rFonts w:cstheme="minorHAnsi"/>
          <w:color w:val="000000"/>
          <w:bdr w:val="none" w:sz="0" w:space="0" w:color="auto" w:frame="1"/>
          <w:shd w:val="clear" w:color="auto" w:fill="FFFFFF"/>
        </w:rPr>
        <w:t xml:space="preserve"> [accessed 0</w:t>
      </w:r>
      <w:r w:rsidR="00686FD0">
        <w:rPr>
          <w:rFonts w:cstheme="minorHAnsi"/>
          <w:color w:val="000000"/>
          <w:bdr w:val="none" w:sz="0" w:space="0" w:color="auto" w:frame="1"/>
          <w:shd w:val="clear" w:color="auto" w:fill="FFFFFF"/>
        </w:rPr>
        <w:t>6</w:t>
      </w:r>
      <w:r w:rsidRPr="007D4E0A">
        <w:rPr>
          <w:rFonts w:cstheme="minorHAnsi"/>
          <w:color w:val="000000"/>
          <w:bdr w:val="none" w:sz="0" w:space="0" w:color="auto" w:frame="1"/>
          <w:shd w:val="clear" w:color="auto" w:fill="FFFFFF"/>
        </w:rPr>
        <w:t>.2021]</w:t>
      </w:r>
    </w:p>
    <w:p w14:paraId="1F9FCEA8" w14:textId="2AA67EA1" w:rsidR="00A87901" w:rsidRPr="007D4E0A" w:rsidRDefault="00A87901" w:rsidP="00A87901">
      <w:pPr>
        <w:rPr>
          <w:rFonts w:cstheme="minorHAnsi"/>
        </w:rPr>
      </w:pPr>
      <w:r w:rsidRPr="007D4E0A">
        <w:rPr>
          <w:rFonts w:cstheme="minorHAnsi"/>
          <w:color w:val="000000"/>
          <w:bdr w:val="none" w:sz="0" w:space="0" w:color="auto" w:frame="1"/>
          <w:shd w:val="clear" w:color="auto" w:fill="FFFFFF"/>
        </w:rPr>
        <w:t xml:space="preserve">CIPD (4). (2021) ‘Specialist Knowledge’ [online]. Available at: </w:t>
      </w:r>
      <w:hyperlink r:id="rId9" w:history="1">
        <w:r w:rsidRPr="007D4E0A">
          <w:rPr>
            <w:rStyle w:val="Hyperlink"/>
            <w:rFonts w:cstheme="minorHAnsi"/>
            <w:bdr w:val="none" w:sz="0" w:space="0" w:color="auto" w:frame="1"/>
            <w:shd w:val="clear" w:color="auto" w:fill="FFFFFF"/>
          </w:rPr>
          <w:t>https://peopleprofession.cipd.org/profession-map/specialist-knowledge</w:t>
        </w:r>
      </w:hyperlink>
      <w:r w:rsidRPr="007D4E0A">
        <w:rPr>
          <w:rFonts w:cstheme="minorHAnsi"/>
          <w:color w:val="000000"/>
          <w:bdr w:val="none" w:sz="0" w:space="0" w:color="auto" w:frame="1"/>
          <w:shd w:val="clear" w:color="auto" w:fill="FFFFFF"/>
        </w:rPr>
        <w:t xml:space="preserve"> [accessed 0</w:t>
      </w:r>
      <w:r w:rsidR="00686FD0">
        <w:rPr>
          <w:rFonts w:cstheme="minorHAnsi"/>
          <w:color w:val="000000"/>
          <w:bdr w:val="none" w:sz="0" w:space="0" w:color="auto" w:frame="1"/>
          <w:shd w:val="clear" w:color="auto" w:fill="FFFFFF"/>
        </w:rPr>
        <w:t>6</w:t>
      </w:r>
      <w:r w:rsidRPr="007D4E0A">
        <w:rPr>
          <w:rFonts w:cstheme="minorHAnsi"/>
          <w:color w:val="000000"/>
          <w:bdr w:val="none" w:sz="0" w:space="0" w:color="auto" w:frame="1"/>
          <w:shd w:val="clear" w:color="auto" w:fill="FFFFFF"/>
        </w:rPr>
        <w:t>.2021]</w:t>
      </w:r>
    </w:p>
    <w:p w14:paraId="313BB47E" w14:textId="5D607F54" w:rsidR="00A87901" w:rsidRDefault="00A87901" w:rsidP="00E40B61">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Coach Foundation. (2021) ‘Top 30 Coaching Trends’ [online]. Available at: </w:t>
      </w:r>
      <w:hyperlink r:id="rId10" w:history="1">
        <w:r w:rsidRPr="007D4E0A">
          <w:rPr>
            <w:rStyle w:val="Hyperlink"/>
            <w:rFonts w:cstheme="minorHAnsi"/>
            <w:bdr w:val="none" w:sz="0" w:space="0" w:color="auto" w:frame="1"/>
            <w:shd w:val="clear" w:color="auto" w:fill="FFFFFF"/>
          </w:rPr>
          <w:t>https://coachfoundation.com/blog/30-coaching-trends/</w:t>
        </w:r>
      </w:hyperlink>
      <w:r w:rsidRPr="007D4E0A">
        <w:rPr>
          <w:rFonts w:cstheme="minorHAnsi"/>
          <w:color w:val="000000"/>
          <w:bdr w:val="none" w:sz="0" w:space="0" w:color="auto" w:frame="1"/>
          <w:shd w:val="clear" w:color="auto" w:fill="FFFFFF"/>
        </w:rPr>
        <w:t xml:space="preserve"> [accessed 0</w:t>
      </w:r>
      <w:r w:rsidR="00686FD0">
        <w:rPr>
          <w:rFonts w:cstheme="minorHAnsi"/>
          <w:color w:val="000000"/>
          <w:bdr w:val="none" w:sz="0" w:space="0" w:color="auto" w:frame="1"/>
          <w:shd w:val="clear" w:color="auto" w:fill="FFFFFF"/>
        </w:rPr>
        <w:t>6</w:t>
      </w:r>
      <w:r w:rsidRPr="007D4E0A">
        <w:rPr>
          <w:rFonts w:cstheme="minorHAnsi"/>
          <w:color w:val="000000"/>
          <w:bdr w:val="none" w:sz="0" w:space="0" w:color="auto" w:frame="1"/>
          <w:shd w:val="clear" w:color="auto" w:fill="FFFFFF"/>
        </w:rPr>
        <w:t>.2021]</w:t>
      </w:r>
    </w:p>
    <w:p w14:paraId="618CB0A8" w14:textId="77777777" w:rsidR="000E5207" w:rsidRDefault="000E5207">
      <w:pPr>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br w:type="page"/>
      </w:r>
    </w:p>
    <w:p w14:paraId="1FFE873A" w14:textId="7B5D3BAD" w:rsidR="00E40B61" w:rsidRDefault="000E5207" w:rsidP="00E40B61">
      <w:pPr>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lastRenderedPageBreak/>
        <w:t>Evidence 1</w:t>
      </w:r>
    </w:p>
    <w:p w14:paraId="42C76617" w14:textId="48D057AB" w:rsidR="000E5207" w:rsidRPr="007D4E0A" w:rsidRDefault="00484447" w:rsidP="00E40B61">
      <w:pPr>
        <w:rPr>
          <w:rFonts w:cstheme="minorHAnsi"/>
          <w:color w:val="000000"/>
          <w:bdr w:val="none" w:sz="0" w:space="0" w:color="auto" w:frame="1"/>
          <w:shd w:val="clear" w:color="auto" w:fill="FFFFFF"/>
        </w:rPr>
      </w:pPr>
      <w:r w:rsidRPr="00484447">
        <w:rPr>
          <w:rFonts w:cstheme="minorHAnsi"/>
          <w:noProof/>
          <w:color w:val="000000"/>
          <w:bdr w:val="none" w:sz="0" w:space="0" w:color="auto" w:frame="1"/>
          <w:shd w:val="clear" w:color="auto" w:fill="FFFFFF"/>
        </w:rPr>
        <w:drawing>
          <wp:inline distT="0" distB="0" distL="0" distR="0" wp14:anchorId="7BC0061F" wp14:editId="79EDD29F">
            <wp:extent cx="5731510" cy="6630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630035"/>
                    </a:xfrm>
                    <a:prstGeom prst="rect">
                      <a:avLst/>
                    </a:prstGeom>
                  </pic:spPr>
                </pic:pic>
              </a:graphicData>
            </a:graphic>
          </wp:inline>
        </w:drawing>
      </w:r>
    </w:p>
    <w:p w14:paraId="64B9E7D1" w14:textId="4306B1A7" w:rsidR="00E40B61" w:rsidRDefault="00E40B61"/>
    <w:p w14:paraId="157A2872" w14:textId="77777777" w:rsidR="000362D6" w:rsidRDefault="000362D6"/>
    <w:p w14:paraId="48BCC2FC" w14:textId="77777777" w:rsidR="000362D6" w:rsidRDefault="000362D6"/>
    <w:p w14:paraId="38238124" w14:textId="77777777" w:rsidR="000362D6" w:rsidRDefault="000362D6"/>
    <w:p w14:paraId="30162D0D" w14:textId="77777777" w:rsidR="000362D6" w:rsidRDefault="000362D6"/>
    <w:p w14:paraId="549B006D" w14:textId="77777777" w:rsidR="000362D6" w:rsidRDefault="000362D6"/>
    <w:p w14:paraId="72DA3EF6" w14:textId="5DCB2017" w:rsidR="000362D6" w:rsidRDefault="000362D6">
      <w:r>
        <w:lastRenderedPageBreak/>
        <w:t>Evidence 2</w:t>
      </w:r>
    </w:p>
    <w:p w14:paraId="70C2DBD2" w14:textId="428DCF44" w:rsidR="000362D6" w:rsidRDefault="000362D6">
      <w:r w:rsidRPr="000362D6">
        <w:drawing>
          <wp:inline distT="0" distB="0" distL="0" distR="0" wp14:anchorId="55552EEE" wp14:editId="7A5B4A71">
            <wp:extent cx="2766544" cy="30899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70762" cy="3094621"/>
                    </a:xfrm>
                    <a:prstGeom prst="rect">
                      <a:avLst/>
                    </a:prstGeom>
                  </pic:spPr>
                </pic:pic>
              </a:graphicData>
            </a:graphic>
          </wp:inline>
        </w:drawing>
      </w:r>
    </w:p>
    <w:p w14:paraId="38E51A2F" w14:textId="77777777" w:rsidR="00560514" w:rsidRDefault="00560514" w:rsidP="00560514"/>
    <w:p w14:paraId="0FDE2C0B" w14:textId="77777777" w:rsidR="00D32D74" w:rsidRDefault="00D32D74">
      <w:pPr>
        <w:rPr>
          <w:b/>
          <w:bCs/>
        </w:rPr>
      </w:pPr>
      <w:r>
        <w:rPr>
          <w:b/>
          <w:bCs/>
        </w:rPr>
        <w:br w:type="page"/>
      </w:r>
    </w:p>
    <w:p w14:paraId="1CBCFFD1" w14:textId="4D88B03E" w:rsidR="00560514" w:rsidRDefault="00560514" w:rsidP="00560514">
      <w:pPr>
        <w:rPr>
          <w:b/>
          <w:bCs/>
        </w:rPr>
      </w:pPr>
      <w:r>
        <w:rPr>
          <w:b/>
          <w:bCs/>
        </w:rPr>
        <w:lastRenderedPageBreak/>
        <w:t>LO2 – Be able to support the implementation of coaching and/or mentoring programmes within an organisation</w:t>
      </w:r>
    </w:p>
    <w:p w14:paraId="172D0BB7" w14:textId="45AFE342" w:rsidR="00560514" w:rsidRDefault="00560514" w:rsidP="00560514">
      <w:pPr>
        <w:rPr>
          <w:i/>
          <w:iCs/>
        </w:rPr>
      </w:pPr>
      <w:r>
        <w:rPr>
          <w:i/>
          <w:iCs/>
        </w:rPr>
        <w:t xml:space="preserve">‘2.1 Promote the benefits of coaching/mentoring within the organisation, recognising and addressing the potential barriers.’ </w:t>
      </w:r>
    </w:p>
    <w:p w14:paraId="36272CF8" w14:textId="3A11973C" w:rsidR="00560514" w:rsidRDefault="00D32D74" w:rsidP="00D32D74">
      <w:pPr>
        <w:spacing w:line="360" w:lineRule="auto"/>
      </w:pPr>
      <w:r>
        <w:t xml:space="preserve">There are many benefits when it comes to coaching and mentoring within an organisation. Coaching or mentoring an employee makes them valuable to the organisation as it develops and </w:t>
      </w:r>
      <w:proofErr w:type="spellStart"/>
      <w:r>
        <w:t>enchances</w:t>
      </w:r>
      <w:proofErr w:type="spellEnd"/>
      <w:r>
        <w:t xml:space="preserve"> their skills (Bright HR, 2021). Not only does coaching and mentoring develop the employees skills but it also shows that the employer is interested in their growth and will automatically increase employee loyalty to the organisation. Not all businesses use both coaching and mentoring methods, some will choose one over.</w:t>
      </w:r>
    </w:p>
    <w:p w14:paraId="4FE3A838" w14:textId="2C043892" w:rsidR="006B4F63" w:rsidRDefault="006B4F63" w:rsidP="00D32D74">
      <w:pPr>
        <w:spacing w:line="360" w:lineRule="auto"/>
      </w:pPr>
      <w:r>
        <w:t xml:space="preserve">Although there are positives to coaching and mentoring there is however, barriers that are identified when it comes to coaching and mentoring. </w:t>
      </w:r>
      <w:r w:rsidR="00301624">
        <w:t xml:space="preserve"> This can include things such as creation of false promotional expectations, incorrect matching of mentors/coaches and learners and blurring of role boundaries (</w:t>
      </w:r>
      <w:proofErr w:type="spellStart"/>
      <w:r w:rsidR="00301624">
        <w:t>Ehrich</w:t>
      </w:r>
      <w:proofErr w:type="spellEnd"/>
      <w:r w:rsidR="00301624">
        <w:t>, 1999).</w:t>
      </w:r>
    </w:p>
    <w:p w14:paraId="6A49FFCF" w14:textId="77777777" w:rsidR="00D32D74" w:rsidRDefault="00D32D74" w:rsidP="00560514"/>
    <w:p w14:paraId="4CE50AAE" w14:textId="0F7802B4" w:rsidR="00560514" w:rsidRDefault="00560514" w:rsidP="00560514">
      <w:pPr>
        <w:rPr>
          <w:i/>
          <w:iCs/>
        </w:rPr>
      </w:pPr>
      <w:r>
        <w:rPr>
          <w:i/>
          <w:iCs/>
        </w:rPr>
        <w:t xml:space="preserve">‘2.2 Contribute to the development of organisational coaching/mentoring processes.’ </w:t>
      </w:r>
    </w:p>
    <w:p w14:paraId="1B5FA6F7" w14:textId="3F951C5C" w:rsidR="00560514" w:rsidRDefault="00560514" w:rsidP="00560514"/>
    <w:p w14:paraId="4D3694B4" w14:textId="01A0D7B8" w:rsidR="00560514" w:rsidRDefault="00560514" w:rsidP="00560514">
      <w:pPr>
        <w:rPr>
          <w:i/>
          <w:iCs/>
        </w:rPr>
      </w:pPr>
      <w:r>
        <w:rPr>
          <w:i/>
          <w:iCs/>
        </w:rPr>
        <w:t xml:space="preserve">‘2.3 Support coaches/mentors to build and develop the knowledge, skills and behaviours required for the role.’ </w:t>
      </w:r>
    </w:p>
    <w:p w14:paraId="61B23D81" w14:textId="0DEE6A07" w:rsidR="00560514" w:rsidRDefault="00560514" w:rsidP="00560514"/>
    <w:p w14:paraId="0241FF8A" w14:textId="2A5BC4C5" w:rsidR="00560514" w:rsidRDefault="00560514" w:rsidP="00560514">
      <w:pPr>
        <w:rPr>
          <w:i/>
          <w:iCs/>
        </w:rPr>
      </w:pPr>
      <w:r>
        <w:rPr>
          <w:i/>
          <w:iCs/>
        </w:rPr>
        <w:t xml:space="preserve">‘2.4 Assist potential </w:t>
      </w:r>
      <w:proofErr w:type="spellStart"/>
      <w:r>
        <w:rPr>
          <w:i/>
          <w:iCs/>
        </w:rPr>
        <w:t>coachees</w:t>
      </w:r>
      <w:proofErr w:type="spellEnd"/>
      <w:r>
        <w:rPr>
          <w:i/>
          <w:iCs/>
        </w:rPr>
        <w:t xml:space="preserve">/mentees to understand and participate fully in coaching/mentoring programmes.’ </w:t>
      </w:r>
    </w:p>
    <w:p w14:paraId="2BD6F9B4" w14:textId="77777777" w:rsidR="00355997" w:rsidRDefault="00355997" w:rsidP="00560514">
      <w:pPr>
        <w:rPr>
          <w:i/>
          <w:iCs/>
        </w:rPr>
      </w:pPr>
    </w:p>
    <w:p w14:paraId="62EAF70C" w14:textId="4B2A2B96" w:rsidR="00560514" w:rsidRDefault="00560514" w:rsidP="00560514">
      <w:pPr>
        <w:rPr>
          <w:i/>
          <w:iCs/>
        </w:rPr>
      </w:pPr>
      <w:r>
        <w:rPr>
          <w:i/>
          <w:iCs/>
        </w:rPr>
        <w:t xml:space="preserve">‘2.5 Support the on-going evaluation and continuous improvement of the organisation’s coaching/mentoring programmes.’ </w:t>
      </w:r>
    </w:p>
    <w:p w14:paraId="3376DBCA" w14:textId="77777777" w:rsidR="00D32D74" w:rsidRDefault="00D32D74">
      <w:r>
        <w:br w:type="page"/>
      </w:r>
    </w:p>
    <w:p w14:paraId="352C4CBC" w14:textId="26E4ECBA" w:rsidR="00560514" w:rsidRDefault="00D32D74" w:rsidP="00560514">
      <w:r>
        <w:lastRenderedPageBreak/>
        <w:t xml:space="preserve">Bright HR. (2021) ‘Benefits of Coaching &amp; Mentoring’ [online]. Available at: </w:t>
      </w:r>
      <w:hyperlink r:id="rId13" w:history="1">
        <w:r w:rsidRPr="001A12D6">
          <w:rPr>
            <w:rStyle w:val="Hyperlink"/>
          </w:rPr>
          <w:t>https://www.brighthr.com/articles/training/coaching-mentoring/benefits-of-coaching-and-mentoring-in-the-workplace/</w:t>
        </w:r>
      </w:hyperlink>
      <w:r>
        <w:t xml:space="preserve"> [accessed 06.2021]</w:t>
      </w:r>
    </w:p>
    <w:p w14:paraId="375A551E" w14:textId="1F80268F" w:rsidR="00301624" w:rsidRDefault="00301624" w:rsidP="00560514"/>
    <w:p w14:paraId="1253FA71" w14:textId="3154DFA4" w:rsidR="00301624" w:rsidRDefault="00301624" w:rsidP="00560514">
      <w:proofErr w:type="spellStart"/>
      <w:r>
        <w:t>Ehrich</w:t>
      </w:r>
      <w:proofErr w:type="spellEnd"/>
      <w:r>
        <w:t xml:space="preserve">, L C and </w:t>
      </w:r>
      <w:proofErr w:type="spellStart"/>
      <w:r>
        <w:t>Hansford</w:t>
      </w:r>
      <w:proofErr w:type="spellEnd"/>
      <w:r>
        <w:t xml:space="preserve">, B (1999) ‘Mentoring: pros and cons for HRM’ </w:t>
      </w:r>
    </w:p>
    <w:p w14:paraId="2140FC21" w14:textId="77777777" w:rsidR="00301624" w:rsidRDefault="00301624" w:rsidP="00560514"/>
    <w:sectPr w:rsidR="00301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736B2EBF"/>
    <w:multiLevelType w:val="multilevel"/>
    <w:tmpl w:val="025A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2NTQ1NjcyNzUwNbFQ0lEKTi0uzszPAykwrgUAlGP3CCwAAAA="/>
  </w:docVars>
  <w:rsids>
    <w:rsidRoot w:val="00560514"/>
    <w:rsid w:val="000362D6"/>
    <w:rsid w:val="00077869"/>
    <w:rsid w:val="000E5207"/>
    <w:rsid w:val="002C31C3"/>
    <w:rsid w:val="00301624"/>
    <w:rsid w:val="00355997"/>
    <w:rsid w:val="0044277F"/>
    <w:rsid w:val="00484447"/>
    <w:rsid w:val="005067DD"/>
    <w:rsid w:val="00560514"/>
    <w:rsid w:val="00626FB1"/>
    <w:rsid w:val="006809FD"/>
    <w:rsid w:val="00686FD0"/>
    <w:rsid w:val="006B4F63"/>
    <w:rsid w:val="007512DD"/>
    <w:rsid w:val="007B78F8"/>
    <w:rsid w:val="00827ADB"/>
    <w:rsid w:val="009372A0"/>
    <w:rsid w:val="00A87901"/>
    <w:rsid w:val="00B23370"/>
    <w:rsid w:val="00D32D74"/>
    <w:rsid w:val="00DF2745"/>
    <w:rsid w:val="00E40B61"/>
    <w:rsid w:val="00F61292"/>
    <w:rsid w:val="00F803CB"/>
    <w:rsid w:val="00FA4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C94A0"/>
  <w15:chartTrackingRefBased/>
  <w15:docId w15:val="{02F0761B-72FC-42EE-B02A-E9AD12E23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5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0B61"/>
    <w:rPr>
      <w:color w:val="0563C1" w:themeColor="hyperlink"/>
      <w:u w:val="single"/>
    </w:rPr>
  </w:style>
  <w:style w:type="paragraph" w:styleId="ListParagraph">
    <w:name w:val="List Paragraph"/>
    <w:basedOn w:val="Normal"/>
    <w:uiPriority w:val="34"/>
    <w:qFormat/>
    <w:rsid w:val="000E5207"/>
    <w:pPr>
      <w:spacing w:after="200" w:line="276" w:lineRule="auto"/>
      <w:ind w:left="720"/>
      <w:contextualSpacing/>
    </w:pPr>
    <w:rPr>
      <w:rFonts w:eastAsiaTheme="minorEastAsia"/>
      <w:lang w:eastAsia="en-GB"/>
    </w:rPr>
  </w:style>
  <w:style w:type="character" w:styleId="UnresolvedMention">
    <w:name w:val="Unresolved Mention"/>
    <w:basedOn w:val="DefaultParagraphFont"/>
    <w:uiPriority w:val="99"/>
    <w:semiHidden/>
    <w:unhideWhenUsed/>
    <w:rsid w:val="00686FD0"/>
    <w:rPr>
      <w:color w:val="605E5C"/>
      <w:shd w:val="clear" w:color="auto" w:fill="E1DFDD"/>
    </w:rPr>
  </w:style>
  <w:style w:type="paragraph" w:customStyle="1" w:styleId="mb-4">
    <w:name w:val="mb-4"/>
    <w:basedOn w:val="Normal"/>
    <w:rsid w:val="00D32D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2D74"/>
    <w:rPr>
      <w:b/>
      <w:bCs/>
    </w:rPr>
  </w:style>
  <w:style w:type="character" w:styleId="Emphasis">
    <w:name w:val="Emphasis"/>
    <w:basedOn w:val="DefaultParagraphFont"/>
    <w:uiPriority w:val="20"/>
    <w:qFormat/>
    <w:rsid w:val="00D32D74"/>
    <w:rPr>
      <w:i/>
      <w:iCs/>
    </w:rPr>
  </w:style>
  <w:style w:type="paragraph" w:styleId="NormalWeb">
    <w:name w:val="Normal (Web)"/>
    <w:basedOn w:val="Normal"/>
    <w:uiPriority w:val="99"/>
    <w:semiHidden/>
    <w:unhideWhenUsed/>
    <w:rsid w:val="006B4F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11191">
      <w:bodyDiv w:val="1"/>
      <w:marLeft w:val="0"/>
      <w:marRight w:val="0"/>
      <w:marTop w:val="0"/>
      <w:marBottom w:val="0"/>
      <w:divBdr>
        <w:top w:val="none" w:sz="0" w:space="0" w:color="auto"/>
        <w:left w:val="none" w:sz="0" w:space="0" w:color="auto"/>
        <w:bottom w:val="none" w:sz="0" w:space="0" w:color="auto"/>
        <w:right w:val="none" w:sz="0" w:space="0" w:color="auto"/>
      </w:divBdr>
    </w:div>
    <w:div w:id="725882702">
      <w:bodyDiv w:val="1"/>
      <w:marLeft w:val="0"/>
      <w:marRight w:val="0"/>
      <w:marTop w:val="0"/>
      <w:marBottom w:val="0"/>
      <w:divBdr>
        <w:top w:val="none" w:sz="0" w:space="0" w:color="auto"/>
        <w:left w:val="none" w:sz="0" w:space="0" w:color="auto"/>
        <w:bottom w:val="none" w:sz="0" w:space="0" w:color="auto"/>
        <w:right w:val="none" w:sz="0" w:space="0" w:color="auto"/>
      </w:divBdr>
    </w:div>
    <w:div w:id="79301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core-knowledge" TargetMode="External"/><Relationship Id="rId13" Type="http://schemas.openxmlformats.org/officeDocument/2006/relationships/hyperlink" Target="https://www.brighthr.com/articles/training/coaching-mentoring/benefits-of-coaching-and-mentoring-in-the-workplace/" TargetMode="External"/><Relationship Id="rId3" Type="http://schemas.openxmlformats.org/officeDocument/2006/relationships/settings" Target="settings.xml"/><Relationship Id="rId7" Type="http://schemas.openxmlformats.org/officeDocument/2006/relationships/hyperlink" Target="https://peopleprofession.cipd.org/profession-map"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people/development/coaching-mentoring-factsheet" TargetMode="External"/><Relationship Id="rId11" Type="http://schemas.openxmlformats.org/officeDocument/2006/relationships/image" Target="media/image1.png"/><Relationship Id="rId5" Type="http://schemas.openxmlformats.org/officeDocument/2006/relationships/hyperlink" Target="https://www.thecaragroup.com/top-10-elements-of-an-organizational-learning-strategy/" TargetMode="External"/><Relationship Id="rId15" Type="http://schemas.openxmlformats.org/officeDocument/2006/relationships/theme" Target="theme/theme1.xml"/><Relationship Id="rId10" Type="http://schemas.openxmlformats.org/officeDocument/2006/relationships/hyperlink" Target="https://coachfoundation.com/blog/30-coaching-trends/" TargetMode="External"/><Relationship Id="rId4" Type="http://schemas.openxmlformats.org/officeDocument/2006/relationships/webSettings" Target="webSettings.xml"/><Relationship Id="rId9" Type="http://schemas.openxmlformats.org/officeDocument/2006/relationships/hyperlink" Target="https://peopleprofession.cipd.org/profession-map/specialist-knowled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1732</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14</cp:revision>
  <dcterms:created xsi:type="dcterms:W3CDTF">2021-06-17T10:19:00Z</dcterms:created>
  <dcterms:modified xsi:type="dcterms:W3CDTF">2021-07-07T19:04:00Z</dcterms:modified>
</cp:coreProperties>
</file>