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48"/>
          <w:szCs w:val="48"/>
        </w:rPr>
      </w:pPr>
      <w:r w:rsidDel="00000000" w:rsidR="00000000" w:rsidRPr="00000000">
        <w:rPr>
          <w:sz w:val="48"/>
          <w:szCs w:val="48"/>
          <w:rtl w:val="0"/>
        </w:rPr>
        <w:t xml:space="preserve">Forensic Recovery and Examination</w:t>
      </w:r>
    </w:p>
    <w:p w:rsidR="00000000" w:rsidDel="00000000" w:rsidP="00000000" w:rsidRDefault="00000000" w:rsidRPr="00000000" w14:paraId="00000002">
      <w:pPr>
        <w:spacing w:line="360" w:lineRule="auto"/>
        <w:rPr>
          <w:sz w:val="48"/>
          <w:szCs w:val="48"/>
        </w:rPr>
      </w:pPr>
      <w:r w:rsidDel="00000000" w:rsidR="00000000" w:rsidRPr="00000000">
        <w:rPr>
          <w:rtl w:val="0"/>
        </w:rPr>
      </w:r>
    </w:p>
    <w:p w:rsidR="00000000" w:rsidDel="00000000" w:rsidP="00000000" w:rsidRDefault="00000000" w:rsidRPr="00000000" w14:paraId="00000003">
      <w:pPr>
        <w:spacing w:line="360" w:lineRule="auto"/>
        <w:rPr>
          <w:sz w:val="48"/>
          <w:szCs w:val="48"/>
        </w:rPr>
      </w:pPr>
      <w:r w:rsidDel="00000000" w:rsidR="00000000" w:rsidRPr="00000000">
        <w:rPr>
          <w:rtl w:val="0"/>
        </w:rPr>
      </w:r>
    </w:p>
    <w:p w:rsidR="00000000" w:rsidDel="00000000" w:rsidP="00000000" w:rsidRDefault="00000000" w:rsidRPr="00000000" w14:paraId="00000004">
      <w:pPr>
        <w:spacing w:line="360" w:lineRule="auto"/>
        <w:rPr>
          <w:sz w:val="48"/>
          <w:szCs w:val="48"/>
        </w:rPr>
      </w:pPr>
      <w:r w:rsidDel="00000000" w:rsidR="00000000" w:rsidRPr="00000000">
        <w:rPr>
          <w:sz w:val="48"/>
          <w:szCs w:val="48"/>
          <w:rtl w:val="0"/>
        </w:rPr>
        <w:t xml:space="preserve">Module Code: BMPS6009 </w:t>
      </w:r>
    </w:p>
    <w:p w:rsidR="00000000" w:rsidDel="00000000" w:rsidP="00000000" w:rsidRDefault="00000000" w:rsidRPr="00000000" w14:paraId="00000005">
      <w:pPr>
        <w:spacing w:line="360" w:lineRule="auto"/>
        <w:rPr>
          <w:sz w:val="48"/>
          <w:szCs w:val="48"/>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Part A. Critically evaluate the processes and procedures adopted by the First Attending Officer (FAO) at a crime scene in order to reduce the possibilities of cross contamination.</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48"/>
          <w:szCs w:val="48"/>
        </w:rPr>
      </w:pPr>
      <w:r w:rsidDel="00000000" w:rsidR="00000000" w:rsidRPr="00000000">
        <w:rPr>
          <w:sz w:val="24"/>
          <w:szCs w:val="24"/>
          <w:rtl w:val="0"/>
        </w:rPr>
        <w:t xml:space="preserve">Part B. Critically analyse the methods in practice for the recovery and examination of forensic evidence at crime scenes evaluating the legislation, strategies, policies and procedures with regard to forensic recovery and examination.</w:t>
      </w:r>
      <w:r w:rsidDel="00000000" w:rsidR="00000000" w:rsidRPr="00000000">
        <w:rPr>
          <w:rtl w:val="0"/>
        </w:rPr>
      </w:r>
    </w:p>
    <w:p w:rsidR="00000000" w:rsidDel="00000000" w:rsidP="00000000" w:rsidRDefault="00000000" w:rsidRPr="00000000" w14:paraId="00000009">
      <w:pPr>
        <w:spacing w:line="360" w:lineRule="auto"/>
        <w:rPr>
          <w:sz w:val="48"/>
          <w:szCs w:val="48"/>
        </w:rPr>
      </w:pPr>
      <w:r w:rsidDel="00000000" w:rsidR="00000000" w:rsidRPr="00000000">
        <w:rPr>
          <w:rtl w:val="0"/>
        </w:rPr>
      </w:r>
    </w:p>
    <w:p w:rsidR="00000000" w:rsidDel="00000000" w:rsidP="00000000" w:rsidRDefault="00000000" w:rsidRPr="00000000" w14:paraId="0000000A">
      <w:pPr>
        <w:spacing w:line="360" w:lineRule="auto"/>
        <w:jc w:val="center"/>
        <w:rPr>
          <w:sz w:val="36"/>
          <w:szCs w:val="36"/>
        </w:rPr>
      </w:pPr>
      <w:r w:rsidDel="00000000" w:rsidR="00000000" w:rsidRPr="00000000">
        <w:rPr>
          <w:sz w:val="36"/>
          <w:szCs w:val="36"/>
          <w:rtl w:val="0"/>
        </w:rPr>
        <w:t xml:space="preserve">UNIVERSITY OF WALES TRINITY SAINT DAVID</w:t>
      </w:r>
    </w:p>
    <w:p w:rsidR="00000000" w:rsidDel="00000000" w:rsidP="00000000" w:rsidRDefault="00000000" w:rsidRPr="00000000" w14:paraId="0000000B">
      <w:pPr>
        <w:spacing w:line="360" w:lineRule="auto"/>
        <w:rPr>
          <w:sz w:val="48"/>
          <w:szCs w:val="48"/>
        </w:rPr>
      </w:pPr>
      <w:r w:rsidDel="00000000" w:rsidR="00000000" w:rsidRPr="00000000">
        <w:rPr>
          <w:rtl w:val="0"/>
        </w:rPr>
      </w:r>
    </w:p>
    <w:p w:rsidR="00000000" w:rsidDel="00000000" w:rsidP="00000000" w:rsidRDefault="00000000" w:rsidRPr="00000000" w14:paraId="0000000C">
      <w:pPr>
        <w:spacing w:line="360" w:lineRule="auto"/>
        <w:rPr>
          <w:sz w:val="48"/>
          <w:szCs w:val="48"/>
        </w:rPr>
      </w:pPr>
      <w:r w:rsidDel="00000000" w:rsidR="00000000" w:rsidRPr="00000000">
        <w:rPr>
          <w:rtl w:val="0"/>
        </w:rPr>
      </w:r>
    </w:p>
    <w:p w:rsidR="00000000" w:rsidDel="00000000" w:rsidP="00000000" w:rsidRDefault="00000000" w:rsidRPr="00000000" w14:paraId="0000000D">
      <w:pPr>
        <w:spacing w:line="360" w:lineRule="auto"/>
        <w:rPr>
          <w:sz w:val="48"/>
          <w:szCs w:val="48"/>
        </w:rPr>
      </w:pPr>
      <w:r w:rsidDel="00000000" w:rsidR="00000000" w:rsidRPr="00000000">
        <w:rPr>
          <w:rtl w:val="0"/>
        </w:rPr>
      </w:r>
    </w:p>
    <w:p w:rsidR="00000000" w:rsidDel="00000000" w:rsidP="00000000" w:rsidRDefault="00000000" w:rsidRPr="00000000" w14:paraId="0000000E">
      <w:pPr>
        <w:spacing w:line="360" w:lineRule="auto"/>
        <w:rPr>
          <w:sz w:val="48"/>
          <w:szCs w:val="48"/>
        </w:rPr>
      </w:pPr>
      <w:r w:rsidDel="00000000" w:rsidR="00000000" w:rsidRPr="00000000">
        <w:rPr>
          <w:sz w:val="48"/>
          <w:szCs w:val="48"/>
          <w:rtl w:val="0"/>
        </w:rPr>
        <w:t xml:space="preserve">Bartłomiej Nowak (ID: 2009619)</w:t>
      </w:r>
      <w:r w:rsidDel="00000000" w:rsidR="00000000" w:rsidRPr="00000000">
        <w:rPr>
          <w:rtl w:val="0"/>
        </w:rPr>
      </w:r>
    </w:p>
    <w:p w:rsidR="00000000" w:rsidDel="00000000" w:rsidP="00000000" w:rsidRDefault="00000000" w:rsidRPr="00000000" w14:paraId="0000000F">
      <w:pPr>
        <w:spacing w:line="360" w:lineRule="auto"/>
        <w:rPr>
          <w:sz w:val="30"/>
          <w:szCs w:val="30"/>
        </w:rPr>
      </w:pPr>
      <w:r w:rsidDel="00000000" w:rsidR="00000000" w:rsidRPr="00000000">
        <w:rPr>
          <w:sz w:val="30"/>
          <w:szCs w:val="30"/>
          <w:rtl w:val="0"/>
        </w:rPr>
        <w:t xml:space="preserve">Part A (1644 words)</w:t>
      </w:r>
    </w:p>
    <w:p w:rsidR="00000000" w:rsidDel="00000000" w:rsidP="00000000" w:rsidRDefault="00000000" w:rsidRPr="00000000" w14:paraId="00000010">
      <w:pPr>
        <w:spacing w:line="360" w:lineRule="auto"/>
        <w:rPr>
          <w:b w:val="1"/>
          <w:sz w:val="24"/>
          <w:szCs w:val="24"/>
          <w:u w:val="single"/>
        </w:rPr>
      </w:pPr>
      <w:r w:rsidDel="00000000" w:rsidR="00000000" w:rsidRPr="00000000">
        <w:rPr>
          <w:sz w:val="30"/>
          <w:szCs w:val="30"/>
          <w:rtl w:val="0"/>
        </w:rPr>
        <w:t xml:space="preserve">Part B (1637 words)   </w:t>
      </w:r>
      <w:r w:rsidDel="00000000" w:rsidR="00000000" w:rsidRPr="00000000">
        <w:rPr>
          <w:rtl w:val="0"/>
        </w:rPr>
      </w:r>
    </w:p>
    <w:p w:rsidR="00000000" w:rsidDel="00000000" w:rsidP="00000000" w:rsidRDefault="00000000" w:rsidRPr="00000000" w14:paraId="00000011">
      <w:pPr>
        <w:spacing w:line="360" w:lineRule="auto"/>
        <w:jc w:val="center"/>
        <w:rPr>
          <w:b w:val="1"/>
          <w:sz w:val="24"/>
          <w:szCs w:val="24"/>
          <w:u w:val="single"/>
        </w:rPr>
      </w:pPr>
      <w:r w:rsidDel="00000000" w:rsidR="00000000" w:rsidRPr="00000000">
        <w:rPr>
          <w:b w:val="1"/>
          <w:sz w:val="24"/>
          <w:szCs w:val="24"/>
          <w:u w:val="single"/>
          <w:rtl w:val="0"/>
        </w:rPr>
        <w:t xml:space="preserve">Introduction (Part A)</w:t>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Contemporary forensic science originates from the ideas put forward by early theorists (National Institute of Justice, 2011). Edmond Locard proposed that an exchange of matter takes place whenever two objects make contact. An established consensus on Locard’s theory of interchange argues that every contact leaves a trace, however minuscule (Langford, 2019; Byard </w:t>
      </w:r>
      <w:r w:rsidDel="00000000" w:rsidR="00000000" w:rsidRPr="00000000">
        <w:rPr>
          <w:i w:val="1"/>
          <w:sz w:val="24"/>
          <w:szCs w:val="24"/>
          <w:rtl w:val="0"/>
        </w:rPr>
        <w:t xml:space="preserve">et.al., </w:t>
      </w:r>
      <w:r w:rsidDel="00000000" w:rsidR="00000000" w:rsidRPr="00000000">
        <w:rPr>
          <w:sz w:val="24"/>
          <w:szCs w:val="24"/>
          <w:rtl w:val="0"/>
        </w:rPr>
        <w:t xml:space="preserve">2016; Jackson </w:t>
      </w:r>
      <w:r w:rsidDel="00000000" w:rsidR="00000000" w:rsidRPr="00000000">
        <w:rPr>
          <w:i w:val="1"/>
          <w:sz w:val="24"/>
          <w:szCs w:val="24"/>
          <w:rtl w:val="0"/>
        </w:rPr>
        <w:t xml:space="preserve">et.al., </w:t>
      </w:r>
      <w:r w:rsidDel="00000000" w:rsidR="00000000" w:rsidRPr="00000000">
        <w:rPr>
          <w:sz w:val="24"/>
          <w:szCs w:val="24"/>
          <w:rtl w:val="0"/>
        </w:rPr>
        <w:t xml:space="preserve">2016; College of Policing, 2020)</w:t>
      </w:r>
      <w:r w:rsidDel="00000000" w:rsidR="00000000" w:rsidRPr="00000000">
        <w:rPr>
          <w:sz w:val="24"/>
          <w:szCs w:val="24"/>
          <w:rtl w:val="0"/>
        </w:rPr>
        <w:t xml:space="preserve">. The theory is widely used to identify and preserve trace evidence potentially left behind by a suspect. Cross-contamination of forensic evidence occurs when fibres, fingerprints or DNA compounds are transferred from one piece of evidence onto another via a third party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College of Policing, 2020). </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In criminal justice, forensic science is used to determine if a crime has been committed (White, 2004). Forensic findings such as DNA or fingerprints provide objective and significant evidence to link or exclude suspects from a scene, thereby proving or disproving their involvement (White, 2004;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Kirk (1953) compares factual evidence to a mute witness, one that cannot forget, be wrong or absent. Unlike witnesses, forensic evidence is unaffected by external and internal factors, it cannot be coerced or manipulated through fear. However, it’s value can be vitiated by human failure to extract it, analyse it and understand it. First officers in attendance play a crucial role in preserving the scene.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First attending officers are the police constables who first arrive at the scene (Bryant and Bryant, 2020). Securing forensic evidence is a secondary or even a tertiary objective as the preservation of life and crime scene safety take priority (Forensic Science Regulator, 2020). The first officer in attendance may lack forensic awareness and thereby introduce new material to the scene. However, reasonable steps should be taken to protect evidence where possible (Forensic Science Regulator, 2020). Additionally, the staff of other emergency services such as paramedics may enter crime scenes without precautions such as barrier clothing. First responders should therefore advise them on a common approach path to avoid the disturbance of evidence (Bryant and Bryant, 2020)</w:t>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Next, an initial assessment of the scene should be conducted to establish what happened. To convey much information in a short amount of time, the first officer attending could resort to systematic reporting (Sophie </w:t>
      </w:r>
      <w:r w:rsidDel="00000000" w:rsidR="00000000" w:rsidRPr="00000000">
        <w:rPr>
          <w:i w:val="1"/>
          <w:sz w:val="24"/>
          <w:szCs w:val="24"/>
          <w:rtl w:val="0"/>
        </w:rPr>
        <w:t xml:space="preserve">et.al., </w:t>
      </w:r>
      <w:r w:rsidDel="00000000" w:rsidR="00000000" w:rsidRPr="00000000">
        <w:rPr>
          <w:sz w:val="24"/>
          <w:szCs w:val="24"/>
          <w:rtl w:val="0"/>
        </w:rPr>
        <w:t xml:space="preserve">2018; College of Policing 2020d). In particular, the acronym (M)ETHANE can be used to communicate a major incident declaration, exact location, type of incident, hazards, access, number, type and severity of casualties and emergency services present and required. To maximise safety, the officer must ensure there are no threats to other responders, victims and witnesses. First responders must consider dangerous persons and chemical, biological, radiological or nuclear substances which may require a specialist response (National Forensic Science Technology Center, 2013). </w:t>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To provide a proportionate response, the scale and impact of the incident are examined against the availability of resources (College of Policing, 2020). Disparities are visible in the number of resources deployed to volume crimes such as theft and serious crimes, namely manslaughter (Bryant and Bryant, 2020). Serious crimes have a greater demand and opportunity for forensic activity to take place. Likewise, the public expects the police to undertake thorough investigations of serious crimes (ACPO, 2009). Therefore, all first responders should scale the response needed on a case by case basis to allow prioritisation of urgent calls.</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Continuing on, the first responder must secure and preserve the scene to mitigate the risk of contamination (College of Policing, 2016). Cordons are a visual representation of the boundaries of a crime scene. An inner cordon should include the location first reported to the police as there is a greater likelihood of finding forensic evidence, whereas an outer cordon should expand beyond the crime scene. (Bryant and Bryant, 2020; Langford, 2019). Cordons should correspond to the scalability and proportionality of the response to prevent unnecessary disturbances.</w:t>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Cordons are a physical barrier separating crowds of onlookers from the scene, thereby reducing the risk of contamination (Jackson </w:t>
      </w:r>
      <w:r w:rsidDel="00000000" w:rsidR="00000000" w:rsidRPr="00000000">
        <w:rPr>
          <w:i w:val="1"/>
          <w:sz w:val="24"/>
          <w:szCs w:val="24"/>
          <w:rtl w:val="0"/>
        </w:rPr>
        <w:t xml:space="preserve">et.al., </w:t>
      </w:r>
      <w:r w:rsidDel="00000000" w:rsidR="00000000" w:rsidRPr="00000000">
        <w:rPr>
          <w:sz w:val="24"/>
          <w:szCs w:val="24"/>
          <w:rtl w:val="0"/>
        </w:rPr>
        <w:t xml:space="preserve">2016)</w:t>
      </w:r>
      <w:r w:rsidDel="00000000" w:rsidR="00000000" w:rsidRPr="00000000">
        <w:rPr>
          <w:sz w:val="24"/>
          <w:szCs w:val="24"/>
          <w:rtl w:val="0"/>
        </w:rPr>
        <w:t xml:space="preserve">. An outer cordon creates an environment for a comprehensive search of a vast area without interruption, consequently the risk of overlooking evidence decreases (Sutton </w:t>
      </w:r>
      <w:r w:rsidDel="00000000" w:rsidR="00000000" w:rsidRPr="00000000">
        <w:rPr>
          <w:i w:val="1"/>
          <w:sz w:val="24"/>
          <w:szCs w:val="24"/>
          <w:rtl w:val="0"/>
        </w:rPr>
        <w:t xml:space="preserve">et.al., </w:t>
      </w:r>
      <w:r w:rsidDel="00000000" w:rsidR="00000000" w:rsidRPr="00000000">
        <w:rPr>
          <w:sz w:val="24"/>
          <w:szCs w:val="24"/>
          <w:rtl w:val="0"/>
        </w:rPr>
        <w:t xml:space="preserve">2017)</w:t>
      </w:r>
      <w:r w:rsidDel="00000000" w:rsidR="00000000" w:rsidRPr="00000000">
        <w:rPr>
          <w:sz w:val="24"/>
          <w:szCs w:val="24"/>
          <w:rtl w:val="0"/>
        </w:rPr>
        <w:t xml:space="preserve">. The first responder will prohibit entry to all people including senior police staff without an operational need to access the scene (Jackson</w:t>
      </w:r>
      <w:r w:rsidDel="00000000" w:rsidR="00000000" w:rsidRPr="00000000">
        <w:rPr>
          <w:i w:val="1"/>
          <w:sz w:val="24"/>
          <w:szCs w:val="24"/>
          <w:rtl w:val="0"/>
        </w:rPr>
        <w:t xml:space="preserve"> et.al.,</w:t>
      </w:r>
      <w:r w:rsidDel="00000000" w:rsidR="00000000" w:rsidRPr="00000000">
        <w:rPr>
          <w:sz w:val="24"/>
          <w:szCs w:val="24"/>
          <w:rtl w:val="0"/>
        </w:rPr>
        <w:t xml:space="preserve"> 2016). In relation to Locard’s principle of exchange, the restricted movement of people lowers the risk of foreign trace evidence being deposited onto the scene and forensic exhibits (Langford, 2019). Cordons benefit from adaptability, they may be extended or reduced to conserve evidence such as tyre marks and to maintain safety if hazardous materials were found during the investigation (Pepper, 2010; ENFSI, 2012). </w:t>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A detailed scene log should be commenced of all persons who entered the scene, including the times, date, circumstances and rationale for entry (Forensic Science Regulator, 2020; ENFSI, 2012; ACPO, 2009). All attending personnel must seek the loggist at the cordon prior to entering the scene to identify the common approach path to enter the scene without disturbing forensic evidence (Bryant and Bryant, 2020; White, 2004). Procedures are paramount in reducing the risk of cross-contamination. The log could be presented in court and compared against statements, it must be precise and show that all possible measures were taken to avoid cross contamination and preserve the credibility and value of forensic evidence (Jackson </w:t>
      </w:r>
      <w:r w:rsidDel="00000000" w:rsidR="00000000" w:rsidRPr="00000000">
        <w:rPr>
          <w:i w:val="1"/>
          <w:sz w:val="24"/>
          <w:szCs w:val="24"/>
          <w:rtl w:val="0"/>
        </w:rPr>
        <w:t xml:space="preserve">et.al., </w:t>
      </w:r>
      <w:r w:rsidDel="00000000" w:rsidR="00000000" w:rsidRPr="00000000">
        <w:rPr>
          <w:sz w:val="24"/>
          <w:szCs w:val="24"/>
          <w:rtl w:val="0"/>
        </w:rPr>
        <w:t xml:space="preserve">2016; Bryant and Bryant, 2020). Officers assigned to different scenes may be traced using the log. Hence, the risk of cross-contamination can be mitigated by correct management of scene to scene movements (Sutton </w:t>
      </w:r>
      <w:r w:rsidDel="00000000" w:rsidR="00000000" w:rsidRPr="00000000">
        <w:rPr>
          <w:i w:val="1"/>
          <w:sz w:val="24"/>
          <w:szCs w:val="24"/>
          <w:rtl w:val="0"/>
        </w:rPr>
        <w:t xml:space="preserve">et.al., </w:t>
      </w:r>
      <w:r w:rsidDel="00000000" w:rsidR="00000000" w:rsidRPr="00000000">
        <w:rPr>
          <w:sz w:val="24"/>
          <w:szCs w:val="24"/>
          <w:rtl w:val="0"/>
        </w:rPr>
        <w:t xml:space="preserve">2017).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In addition to physical exhibits, victims and witnesses are a primary source of evidence, their knowledge provides insight into how and where the offence was committed (College of Policing, 2020). First responders must be mindful of their mental state and physical well-being (College of Policing, 2016). Separating victims and witnesses is salient since people are susceptible to suggestion. A witness may overhear a discussion about the incident and consequently change their own statement (Briggs, 2009). Locard’s theory of exchange applies to the aforementioned example, although through social, not physical contact, witnesses may subconsciously or intentionally diminish the value of their statement as a result of external influence.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Identifying witnesses is an example of fast track action undertaken to expedite the investigation. Other examples include the preservation of evidence or taking investigatory actions likely to reveal more facts about the incident (College of Policing, 2020e). The first attending officer should employ fast-track actions to conserve evidence which is at risk of contamination or destruction (Bryant and Bryant, 2020). The impact of weather can lead to cross-contamination, this is preventable by taking simple positive action such as covering blood spatter with a box or a bin lid from outside the scene.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Another example of a fast track action is photographing the scene before the evidence was disturbed. Photographs are an accurate and valid representation of the scene and its content, it is considered high value to those who could not attend the scene such as legal representatives, judges or the jury (Briggs, 2009; White, 2004; ENFSI, 2012; College of Policing, 2020b). The principles of fast track actions are proactive and applicable to numerous stages of crime investigation. If another scene is discovered, fast track actions applied to that scene result in immediate progress on the case (ACPO, 2006).</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The idea of the ‘Golden hour’ is similar to the concept of fast track actions, it refers to a period of time immediately after a crime was committed when the possibility of gathering a high volume of qualitative, undisturbed and non-contaminated evidence is the highest (College of Policing, 2020e; Bryant and Bryant, 2020). Witness statements can be obtained quickly whilst the incident is remembered clearly in their mind. Furthermore, there is a greater likelihood of identifying and prosecuting an offender who may be in the area (ACPO, 2006). The ‘Golden hour’ and fast-track action concepts are interdependent, both have a positive impact on policing as criminal inquiries consume less time and resources.    </w:t>
      </w:r>
    </w:p>
    <w:p w:rsidR="00000000" w:rsidDel="00000000" w:rsidP="00000000" w:rsidRDefault="00000000" w:rsidRPr="00000000" w14:paraId="0000002C">
      <w:pPr>
        <w:spacing w:line="360" w:lineRule="auto"/>
        <w:rPr>
          <w:sz w:val="24"/>
          <w:szCs w:val="24"/>
          <w:highlight w:val="yellow"/>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There are historical examples of police inadequacy in scene preservation. In the case of </w:t>
      </w:r>
      <w:r w:rsidDel="00000000" w:rsidR="00000000" w:rsidRPr="00000000">
        <w:rPr>
          <w:i w:val="1"/>
          <w:sz w:val="24"/>
          <w:szCs w:val="24"/>
          <w:rtl w:val="0"/>
        </w:rPr>
        <w:t xml:space="preserve">Parker v CC Essex Police,</w:t>
      </w:r>
      <w:r w:rsidDel="00000000" w:rsidR="00000000" w:rsidRPr="00000000">
        <w:rPr>
          <w:sz w:val="24"/>
          <w:szCs w:val="24"/>
          <w:rtl w:val="0"/>
        </w:rPr>
        <w:t xml:space="preserve">  a pool thermometer (a potential murder weapon) was photographed at the scene before being lost as the scene was cleaned (Royal Courts of Justice, 2018). Parker’s assistant was present at the scene at that time, photographic evidence and loss of the forensic article hint that the scene preservation was subpar as unauthorised personnel could access the scene and manipulate evidence. Parker’s arrest was ruled unlawful due to insufficient evidence linking him to the scene, the case consequently failed to prosecute (Waring, 2011; Royal Courts of Justice, 2018). </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Likewise, the case of O.J. Simpson discussed by Laisster (1996) draws some similarities. Firstly, the officers covered a victim’s body with a blanket, thereby cross-contaminating the body through an exchange of matter from the blanket (see Langford, 2019; College of Policing, 2020). Forensic practitioners were not wearing or regularly changing gloves when handling evidence such as blood samples, therefore their DNA traces were deposited on the samples. The officers repeatedly visited numerous scenes, causing confusion as trace evidence from contrasting sources was distributed around the premises. Ultimately, Simpson was found not guilty, this case conclusively exhibits pitfalls in the lack of organisation and communication within the LAPD. </w:t>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jc w:val="center"/>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32">
      <w:pPr>
        <w:spacing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The actions of first attending officers are critical to preserving evidence and mitigating the risk of contamination. The preservation of life and crime scene safety are paramount, nonetheless, first responders have a range of methods at their disposal to decrease the risk of cross-contamination. As evidenced in the cases of </w:t>
      </w:r>
      <w:r w:rsidDel="00000000" w:rsidR="00000000" w:rsidRPr="00000000">
        <w:rPr>
          <w:i w:val="1"/>
          <w:sz w:val="24"/>
          <w:szCs w:val="24"/>
          <w:rtl w:val="0"/>
        </w:rPr>
        <w:t xml:space="preserve">Parker v CC Essex </w:t>
      </w:r>
      <w:r w:rsidDel="00000000" w:rsidR="00000000" w:rsidRPr="00000000">
        <w:rPr>
          <w:sz w:val="24"/>
          <w:szCs w:val="24"/>
          <w:rtl w:val="0"/>
        </w:rPr>
        <w:t xml:space="preserve">and O.J. Simpson, failure to prevent cross-contamination is likely to result in a failed prosecution case since evidence will be viewed as inadmissible or insufficient to justify a prosecution. The issue of cross contamination is thus controlled by developing good practice within the force.</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jc w:val="center"/>
        <w:rPr>
          <w:b w:val="1"/>
          <w:sz w:val="24"/>
          <w:szCs w:val="24"/>
          <w:u w:val="single"/>
        </w:rPr>
      </w:pPr>
      <w:r w:rsidDel="00000000" w:rsidR="00000000" w:rsidRPr="00000000">
        <w:rPr>
          <w:b w:val="1"/>
          <w:sz w:val="24"/>
          <w:szCs w:val="24"/>
          <w:u w:val="single"/>
          <w:rtl w:val="0"/>
        </w:rPr>
        <w:t xml:space="preserve">Introduction (Part B)</w:t>
      </w:r>
    </w:p>
    <w:p w:rsidR="00000000" w:rsidDel="00000000" w:rsidP="00000000" w:rsidRDefault="00000000" w:rsidRPr="00000000" w14:paraId="00000036">
      <w:pPr>
        <w:spacing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Rigid rules require practitioners to wear barrier clothing at crime scenes to prevent the transmission of trace evidence from a forensic practitioner onto an exhibit and to protect investigators from hazardous substances such as blood (Forensic Science Regulator, 2020; UNODC, 2009). A hooded suit reduces the amount of trace evidence which could cast onto the scene and contaminate original evidence. Likewise, a DNA mask prevents saliva from transferring onto forensic exhibits, however, the practitioner should avoid talking and manipulating the mask. Multiple layers of gloves mitigate the risk of fingerprints penetrating one glove and leaving imprints on an object. Additionally, stepping plates can be utilised to protect forensic evidence on the floor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ENFSI, 2012). Upholding the integrity of forensic evidence at the scene commences an evidential chain of custody.  </w:t>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A">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Briggs (2009) describes the chain of custody as proof of police possession of forensic evidence from its extraction at the scene, throughout its analysis and until its appearance in court. Evidence continuity proves two critical elements, the object tested in the laboratory is the same one that was retrieved at the scene and since its recovery, the article was not touched by anyone until a forensic scientist analysed it. Chain of evidence is used to chronologically document articles and study its connection to the case (UNODC, 2009). Evidence supported by a clear chain of custody is viewed as credible and valid, there is proof of measures taken to prevent cross-contamination and enhance credibility. Ultimately, the amount of care taken in handling evidence could decide between a guilty or innocent verdict (Evans and Stagner, 2003).</w:t>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 xml:space="preserve">To support the continuity of evidence, forensic investigators hold extensive records of all exhibits collected. An evidence log contains detailed description of the object, evidence number, exact location where it was found and by who, time, day, date and a suitable method of storage (College of Policing, 2020; Home Office, 2020; Bryant and Bryant, 2020 ). Dedicated exhibit officers work on large scale scenes, they have forensic knowledge and are familiar with a range of recovery methodologies. Exhibit officers mainly record, store, arrange transport of evidence and ensure that all retrieved items are investigated for evidential value (ACPO, 2005). The rationale behind comprehensive record keeping is maintaining the chain of evidence. </w:t>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Exhibits should be suitably packaged, sealed and labelled as soon they are retrieved, using containers or bags which indicate any attempts of interference (ENFSI, 2012). Packaging reduces the risk of loss and contamination and ensures the preservation of material. Evidence must be packaged in containers or bags which reduce the risk of damage to the exhibit and the packaging (Forensic Science Regulator, 2020). This can be achieved by identifying the type of packaging required whilst being mindful of the size, condition and forensic requirements of the material relating to storage conditions.  Tan (2011), Lee and Ladd (2001) argue that DNA evidence such as bodily fluids should be dried to prevent bacterial growth which subsequently accelerates the degradation of evidence. Storage in a decontaminated, temperature controlled environment increases the lifespan and credibility of biological evidence.</w:t>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sz w:val="24"/>
          <w:szCs w:val="24"/>
          <w:rtl w:val="0"/>
        </w:rPr>
        <w:t xml:space="preserve">Forensic evidence requires an array of package and storage methods (ACPO, 2005). For example, combed head hair should be placed on paper then packaged and sealed in a polythene bag. Secure storage is required and officers are advised not to freeze the comb and place it over a large piece of paper to reduce the risk of losing hair which provides DNA evidence. Conversely, clothing involved in arson should be loosely packed in a sealed nylon bag without the use of adhesive. The clothing should be stored in a cool secure storage room. The air contained within the bag is tested for volatile accelerants, thus sufficient airspace must be considered. The use of adhesives may contaminate the air, hence poor packaging practice discredits the value of forensic evidence.</w:t>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A showcase of inadequate procedures and evidence management by the Asheville Police Department is reported by Elliston (2012), published in </w:t>
      </w:r>
      <w:r w:rsidDel="00000000" w:rsidR="00000000" w:rsidRPr="00000000">
        <w:rPr>
          <w:i w:val="1"/>
          <w:sz w:val="24"/>
          <w:szCs w:val="24"/>
          <w:rtl w:val="0"/>
        </w:rPr>
        <w:t xml:space="preserve">Carolina Public Press. </w:t>
      </w:r>
      <w:r w:rsidDel="00000000" w:rsidR="00000000" w:rsidRPr="00000000">
        <w:rPr>
          <w:sz w:val="24"/>
          <w:szCs w:val="24"/>
          <w:rtl w:val="0"/>
        </w:rPr>
        <w:t xml:space="preserve">The storage conditions at the department were extremely poor, exhibits including drugs, money and firearms were kept in the evidence room without being recorded in the system. Photos of the inquiry show items improperly stored on the ground or on shelves with no numerical system. The articles were linked to vague documentation and were difficult to locate within the facility. Consequently, the continuity of evidence was broken, exhibits lost their forensic value and cross-contamination occurred due to inadequate storage conditions. Majority of the evidence was viewed as inadmissible as police procedures were not adhered to. Additionally, the scandal caused a distrust of the community in the police force. </w:t>
      </w:r>
    </w:p>
    <w:p w:rsidR="00000000" w:rsidDel="00000000" w:rsidP="00000000" w:rsidRDefault="00000000" w:rsidRPr="00000000" w14:paraId="00000044">
      <w:pPr>
        <w:spacing w:line="360" w:lineRule="auto"/>
        <w:rPr>
          <w:sz w:val="24"/>
          <w:szCs w:val="24"/>
        </w:rPr>
      </w:pPr>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Likewise, forensic laboratories are required to maintain detailed documentation of forensic evidence received and stored. Edmond Locard is accredited for establishing the first forensic laboratory in 1912, the </w:t>
      </w:r>
      <w:r w:rsidDel="00000000" w:rsidR="00000000" w:rsidRPr="00000000">
        <w:rPr>
          <w:i w:val="1"/>
          <w:sz w:val="24"/>
          <w:szCs w:val="24"/>
          <w:rtl w:val="0"/>
        </w:rPr>
        <w:t xml:space="preserve">Laboratoire de Police Technique</w:t>
      </w:r>
      <w:r w:rsidDel="00000000" w:rsidR="00000000" w:rsidRPr="00000000">
        <w:rPr>
          <w:sz w:val="24"/>
          <w:szCs w:val="24"/>
          <w:rtl w:val="0"/>
        </w:rPr>
        <w:t xml:space="preserve"> served as an exemplar thereafter (Ramsland, 2012). Forensic laboratories develop scientific evidence for use in court (Briggs, 2009). Laboratories must prevent contamination, theft, loss or damage of evidence and update all necessary documents. If followed correctly, the policies and procedures in forensic environments enable scientists to analyse evidence and contribute to sustaining an impeccable chain of evidence (Van Der Walt and Luke, 2011). Scene investigators should use the principles of fast-track actions and golden hour to assess what evidence is likely to provide rapid results upon forensic analysis, thereby expediting the process of investigation (College of Policing, 2020e; Bryant and Bryant, 2020). </w:t>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sz w:val="24"/>
          <w:szCs w:val="24"/>
          <w:rtl w:val="0"/>
        </w:rPr>
        <w:t xml:space="preserve">Under the circumstances considered by the Forensic Science Regulator (2020), forensic laboratories can reject certain evidence. Some of these include exhibits with missing labels, discrepancies between the item and its documentation, inadequate packaging or attempts of manipulation with the exhibit. Upon receiving the evidence, comprehensive records such as time of reception, name of the practitioner who physically checked the evidence and its condition are required to complement the chain of custody. Mozayani and Noziglia (2011) argue that the movement of exhibits within the laboratory should likewise be documented. If a scientist transfers an exhibit to a different department for examination, they have proof that the exhibit was handled with care, using correct techniques. Therefore, there is evidence that procedures were followed because the movement of evidence was documented.</w:t>
      </w:r>
    </w:p>
    <w:p w:rsidR="00000000" w:rsidDel="00000000" w:rsidP="00000000" w:rsidRDefault="00000000" w:rsidRPr="00000000" w14:paraId="00000048">
      <w:pPr>
        <w:spacing w:line="360" w:lineRule="auto"/>
        <w:rPr>
          <w:sz w:val="24"/>
          <w:szCs w:val="24"/>
        </w:rPr>
      </w:pPr>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To preserve the continuity of evidence, all work done on an exhibit is recorded. This typically involves handwritten notes, pre-printed worksheets, images or graphs. According to Mozayani and Noziglia (2011), evidence documentation has three aims; to confirm the examination has taken place, to support reaching a valid conclusion and to refresh the practitioner's memory during court appearances. Notes are subject to peer-review, hence they must be written in a coherent and concise manner to prevent misinterpretation. Furthermore, notes must be understandable to individuals in non-scientific professions such as lawyers (Jackson </w:t>
      </w:r>
      <w:r w:rsidDel="00000000" w:rsidR="00000000" w:rsidRPr="00000000">
        <w:rPr>
          <w:i w:val="1"/>
          <w:sz w:val="24"/>
          <w:szCs w:val="24"/>
          <w:rtl w:val="0"/>
        </w:rPr>
        <w:t xml:space="preserve">et.al., </w:t>
      </w:r>
      <w:r w:rsidDel="00000000" w:rsidR="00000000" w:rsidRPr="00000000">
        <w:rPr>
          <w:sz w:val="24"/>
          <w:szCs w:val="24"/>
          <w:rtl w:val="0"/>
        </w:rPr>
        <w:t xml:space="preserve">2016; Mozayani and Noziglia, 2011; White, 2004). </w:t>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sz w:val="24"/>
          <w:szCs w:val="24"/>
          <w:rtl w:val="0"/>
        </w:rPr>
        <w:t xml:space="preserve">Pepper (2010) explains the importance of evidence documentation in the case of Sarah Payne’ murder. During the inquiry the investigators had incorrectly sealed the evidence bags and placed them on the floor of Sarah’s home, thereby attracting hair which was later deposited onto other samples. Thus, the defence suggested a possibility of cross contamination, as proven by Locard in his theory of exchange, whenever two objects come into contact an exchange of matter takes place (see Langford, 2019; College of Policing, 2020). The trace evidence alone only linked Sarah to Roy Whiting’s van, it was not sufficient to prove sexual assault.</w:t>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sz w:val="24"/>
          <w:szCs w:val="24"/>
          <w:rtl w:val="0"/>
        </w:rPr>
        <w:t xml:space="preserve">Nonetheless, the precise documentation was taken at the scene and the laboratory as the evidence was received and analysed at different departments of the laboratory. Alongside the procedures followed, the trace evidence found on Sarah’s shoe and Whiting’s van were sufficient to prove Whiting guilty (Payne, 2015; Pepper, 2010). The case illustrates that following procedures is imperative to a successful investigation, contaminated evidence can be complemented by extensive documentation taken when exhibits were in their original state. It would have otherwise been impossible to sentence Whiting, a guilty offender would therefore freely roam the streets and endanger other vulnerable individuals (Evans and Stagner, 2003). </w:t>
      </w:r>
    </w:p>
    <w:p w:rsidR="00000000" w:rsidDel="00000000" w:rsidP="00000000" w:rsidRDefault="00000000" w:rsidRPr="00000000" w14:paraId="0000004E">
      <w:pPr>
        <w:spacing w:line="360" w:lineRule="auto"/>
        <w:rPr>
          <w:sz w:val="24"/>
          <w:szCs w:val="24"/>
        </w:rPr>
      </w:pPr>
      <w:r w:rsidDel="00000000" w:rsidR="00000000" w:rsidRPr="00000000">
        <w:rPr>
          <w:rtl w:val="0"/>
        </w:rPr>
      </w:r>
    </w:p>
    <w:p w:rsidR="00000000" w:rsidDel="00000000" w:rsidP="00000000" w:rsidRDefault="00000000" w:rsidRPr="00000000" w14:paraId="0000004F">
      <w:pPr>
        <w:spacing w:line="360" w:lineRule="auto"/>
        <w:rPr>
          <w:sz w:val="24"/>
          <w:szCs w:val="24"/>
        </w:rPr>
      </w:pPr>
      <w:r w:rsidDel="00000000" w:rsidR="00000000" w:rsidRPr="00000000">
        <w:rPr>
          <w:sz w:val="24"/>
          <w:szCs w:val="24"/>
          <w:rtl w:val="0"/>
        </w:rPr>
        <w:t xml:space="preserve">As shown in the aforementioned case study, the actions of on-scene personnel such as documenting exhibits in the scene can complement the work of forensic practitioners and legal representatives. ENFSI (2012) supports the idea of recording the scene using a sketch which can be transferred onto a computer. Sketches complement photographic evidence by including dimensions and spatial orientations relative to exhibits, locations of evidence and a visualisation of movement within the scene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Such contextualisation is valuable for those who could not attend the scene, for instance the jury (Briggs, 2009). During the Stephen Lawrence enquiry, first responders and senior officers failed to maintain a scene log or drawings of the crime scene (Macpherson, 1999). Therefore no record of the staff passing in and out of the cordoned area was kept which hints at a possibility of cross-contamination. Consequently, the Metropolitan Police received negative press due to their poor handling of the case.</w:t>
      </w:r>
    </w:p>
    <w:p w:rsidR="00000000" w:rsidDel="00000000" w:rsidP="00000000" w:rsidRDefault="00000000" w:rsidRPr="00000000" w14:paraId="00000050">
      <w:pPr>
        <w:spacing w:line="360" w:lineRule="auto"/>
        <w:rPr>
          <w:sz w:val="24"/>
          <w:szCs w:val="24"/>
        </w:rPr>
      </w:pPr>
      <w:r w:rsidDel="00000000" w:rsidR="00000000" w:rsidRPr="00000000">
        <w:rPr>
          <w:rtl w:val="0"/>
        </w:rPr>
      </w:r>
    </w:p>
    <w:p w:rsidR="00000000" w:rsidDel="00000000" w:rsidP="00000000" w:rsidRDefault="00000000" w:rsidRPr="00000000" w14:paraId="00000051">
      <w:pPr>
        <w:spacing w:line="360" w:lineRule="auto"/>
        <w:jc w:val="center"/>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52">
      <w:pPr>
        <w:spacing w:line="360" w:lineRule="auto"/>
        <w:jc w:val="center"/>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The need for strict procedures concerning the handling, storage and packaging of forensic material is justified by the consequences of poor professional practice. Specifically, the value of forensic evidence is diminished when the chain of continuity is broken. The outcome could result in evidence cross-contamination, however on a macro scale there are severe implications. Negligent evidence handling can result in an innocent person being sentenced or conversely a guilty person being released (Evans and Stagner, 2003). According to Langford (2019), the purpose of forensic investigation is to establish the truth. This is only possible if all evidence, incriminating or acquitting remains preserved in its original state. Failure to do so may result in public distrust in the criminal justice system and miscarriage of justice. In conclusion, evidence contamination combined with poor professional practice could have serious implications on a macro scale.</w:t>
      </w:r>
    </w:p>
    <w:p w:rsidR="00000000" w:rsidDel="00000000" w:rsidP="00000000" w:rsidRDefault="00000000" w:rsidRPr="00000000" w14:paraId="00000054">
      <w:pPr>
        <w:spacing w:line="360" w:lineRule="auto"/>
        <w:jc w:val="left"/>
        <w:rPr>
          <w:b w:val="1"/>
          <w:sz w:val="24"/>
          <w:szCs w:val="24"/>
          <w:u w:val="single"/>
        </w:rPr>
      </w:pPr>
      <w:r w:rsidDel="00000000" w:rsidR="00000000" w:rsidRPr="00000000">
        <w:rPr>
          <w:rtl w:val="0"/>
        </w:rPr>
      </w:r>
    </w:p>
    <w:p w:rsidR="00000000" w:rsidDel="00000000" w:rsidP="00000000" w:rsidRDefault="00000000" w:rsidRPr="00000000" w14:paraId="00000055">
      <w:pPr>
        <w:spacing w:line="360" w:lineRule="auto"/>
        <w:jc w:val="cente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Association of Chief Police Officers. (2005) </w:t>
      </w:r>
      <w:r w:rsidDel="00000000" w:rsidR="00000000" w:rsidRPr="00000000">
        <w:rPr>
          <w:i w:val="1"/>
          <w:sz w:val="24"/>
          <w:szCs w:val="24"/>
          <w:rtl w:val="0"/>
        </w:rPr>
        <w:t xml:space="preserve">GUIDANCE ON MAJOR INCIDENT ROOM STANDARDISED ADMINISTRATIVE PROCEDURES (MIRSAP). </w:t>
      </w:r>
      <w:r w:rsidDel="00000000" w:rsidR="00000000" w:rsidRPr="00000000">
        <w:rPr>
          <w:sz w:val="24"/>
          <w:szCs w:val="24"/>
          <w:rtl w:val="0"/>
        </w:rPr>
        <w:t xml:space="preserve">Wyboston, National Centre for Policing Excellence. </w:t>
      </w:r>
    </w:p>
    <w:p w:rsidR="00000000" w:rsidDel="00000000" w:rsidP="00000000" w:rsidRDefault="00000000" w:rsidRPr="00000000" w14:paraId="00000058">
      <w:pPr>
        <w:spacing w:line="360" w:lineRule="auto"/>
        <w:rPr>
          <w:sz w:val="24"/>
          <w:szCs w:val="24"/>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Association of Chief Police Officers. (2006) </w:t>
      </w:r>
      <w:r w:rsidDel="00000000" w:rsidR="00000000" w:rsidRPr="00000000">
        <w:rPr>
          <w:i w:val="1"/>
          <w:sz w:val="24"/>
          <w:szCs w:val="24"/>
          <w:rtl w:val="0"/>
        </w:rPr>
        <w:t xml:space="preserve">MURDER INVESTIGATION MANUAL. </w:t>
      </w:r>
      <w:r w:rsidDel="00000000" w:rsidR="00000000" w:rsidRPr="00000000">
        <w:rPr>
          <w:sz w:val="24"/>
          <w:szCs w:val="24"/>
          <w:rtl w:val="0"/>
        </w:rPr>
        <w:t xml:space="preserve">Wyboston, National Centre for Policing Excellence. </w:t>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line="360" w:lineRule="auto"/>
        <w:rPr>
          <w:sz w:val="24"/>
          <w:szCs w:val="24"/>
        </w:rPr>
      </w:pPr>
      <w:r w:rsidDel="00000000" w:rsidR="00000000" w:rsidRPr="00000000">
        <w:rPr>
          <w:sz w:val="24"/>
          <w:szCs w:val="24"/>
          <w:rtl w:val="0"/>
        </w:rPr>
        <w:t xml:space="preserve">Association of Chief Police Officers. (2009) </w:t>
      </w:r>
      <w:r w:rsidDel="00000000" w:rsidR="00000000" w:rsidRPr="00000000">
        <w:rPr>
          <w:i w:val="1"/>
          <w:sz w:val="24"/>
          <w:szCs w:val="24"/>
          <w:rtl w:val="0"/>
        </w:rPr>
        <w:t xml:space="preserve">PRACTICE ADVICE ON THE MANAGEMENT OF PRIORITY AND VOLUME CRIME (The Volume Crime Management Model). </w:t>
      </w:r>
      <w:r w:rsidDel="00000000" w:rsidR="00000000" w:rsidRPr="00000000">
        <w:rPr>
          <w:sz w:val="24"/>
          <w:szCs w:val="24"/>
          <w:rtl w:val="0"/>
        </w:rPr>
        <w:t xml:space="preserve">2nd ED. Wyboston, United Kingdom. National Police Library. Available: </w:t>
      </w:r>
      <w:hyperlink r:id="rId6">
        <w:r w:rsidDel="00000000" w:rsidR="00000000" w:rsidRPr="00000000">
          <w:rPr>
            <w:color w:val="1155cc"/>
            <w:sz w:val="24"/>
            <w:szCs w:val="24"/>
            <w:u w:val="single"/>
            <w:rtl w:val="0"/>
          </w:rPr>
          <w:t xml:space="preserve">http://library.college.police.uk/docs/acpo/VCMM-191109.pdf</w:t>
        </w:r>
      </w:hyperlink>
      <w:r w:rsidDel="00000000" w:rsidR="00000000" w:rsidRPr="00000000">
        <w:rPr>
          <w:sz w:val="24"/>
          <w:szCs w:val="24"/>
          <w:rtl w:val="0"/>
        </w:rPr>
        <w:t xml:space="preserve"> </w:t>
      </w:r>
    </w:p>
    <w:p w:rsidR="00000000" w:rsidDel="00000000" w:rsidP="00000000" w:rsidRDefault="00000000" w:rsidRPr="00000000" w14:paraId="0000005C">
      <w:pPr>
        <w:spacing w:line="360" w:lineRule="auto"/>
        <w:rPr>
          <w:sz w:val="24"/>
          <w:szCs w:val="24"/>
        </w:rPr>
      </w:pPr>
      <w:r w:rsidDel="00000000" w:rsidR="00000000" w:rsidRPr="00000000">
        <w:rPr>
          <w:rtl w:val="0"/>
        </w:rPr>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Balk, C. (2015) ‘Reducing Contamination in Forensic Science’, </w:t>
      </w:r>
      <w:r w:rsidDel="00000000" w:rsidR="00000000" w:rsidRPr="00000000">
        <w:rPr>
          <w:i w:val="1"/>
          <w:sz w:val="24"/>
          <w:szCs w:val="24"/>
          <w:rtl w:val="0"/>
        </w:rPr>
        <w:t xml:space="preserve">Themis: Research Journal of Justice Studies and Forensic Science. </w:t>
      </w:r>
      <w:r w:rsidDel="00000000" w:rsidR="00000000" w:rsidRPr="00000000">
        <w:rPr>
          <w:sz w:val="24"/>
          <w:szCs w:val="24"/>
          <w:rtl w:val="0"/>
        </w:rPr>
        <w:t xml:space="preserve">3(12), pp. 222-239. </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Bell, S. (2012) </w:t>
      </w:r>
      <w:r w:rsidDel="00000000" w:rsidR="00000000" w:rsidRPr="00000000">
        <w:rPr>
          <w:i w:val="1"/>
          <w:sz w:val="24"/>
          <w:szCs w:val="24"/>
          <w:rtl w:val="0"/>
        </w:rPr>
        <w:t xml:space="preserve">A Dictionary of Forensic Science. </w:t>
      </w:r>
      <w:r w:rsidDel="00000000" w:rsidR="00000000" w:rsidRPr="00000000">
        <w:rPr>
          <w:sz w:val="24"/>
          <w:szCs w:val="24"/>
          <w:rtl w:val="0"/>
        </w:rPr>
        <w:t xml:space="preserve">Oxford, United Kingdom. Oxford University Press. </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Briggs, S. (2009). </w:t>
      </w:r>
      <w:r w:rsidDel="00000000" w:rsidR="00000000" w:rsidRPr="00000000">
        <w:rPr>
          <w:i w:val="1"/>
          <w:sz w:val="24"/>
          <w:szCs w:val="24"/>
          <w:rtl w:val="0"/>
        </w:rPr>
        <w:t xml:space="preserve">Criminology for Dummies</w:t>
      </w:r>
      <w:r w:rsidDel="00000000" w:rsidR="00000000" w:rsidRPr="00000000">
        <w:rPr>
          <w:sz w:val="24"/>
          <w:szCs w:val="24"/>
          <w:rtl w:val="0"/>
        </w:rPr>
        <w:t xml:space="preserve">. Indianapolis, Indiana. Wiley Publishing.</w:t>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sz w:val="24"/>
          <w:szCs w:val="24"/>
          <w:rtl w:val="0"/>
        </w:rPr>
        <w:t xml:space="preserve">Bryant R. and Bryant S. (2020). Blackstone’s Handbook for policing students. Oxford University Press. Oxford. </w:t>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i w:val="1"/>
          <w:sz w:val="24"/>
          <w:szCs w:val="24"/>
        </w:rPr>
      </w:pPr>
      <w:r w:rsidDel="00000000" w:rsidR="00000000" w:rsidRPr="00000000">
        <w:rPr>
          <w:sz w:val="24"/>
          <w:szCs w:val="24"/>
          <w:rtl w:val="0"/>
        </w:rPr>
        <w:t xml:space="preserve">Byard, R.W. </w:t>
      </w:r>
      <w:r w:rsidDel="00000000" w:rsidR="00000000" w:rsidRPr="00000000">
        <w:rPr>
          <w:i w:val="1"/>
          <w:sz w:val="24"/>
          <w:szCs w:val="24"/>
          <w:rtl w:val="0"/>
        </w:rPr>
        <w:t xml:space="preserve">et.al. </w:t>
      </w:r>
      <w:r w:rsidDel="00000000" w:rsidR="00000000" w:rsidRPr="00000000">
        <w:rPr>
          <w:sz w:val="24"/>
          <w:szCs w:val="24"/>
          <w:rtl w:val="0"/>
        </w:rPr>
        <w:t xml:space="preserve">(2016) ‘Locard’s Principle of Exchange, Dental Examination and Fragments of Skin’, </w:t>
      </w:r>
      <w:r w:rsidDel="00000000" w:rsidR="00000000" w:rsidRPr="00000000">
        <w:rPr>
          <w:i w:val="1"/>
          <w:sz w:val="24"/>
          <w:szCs w:val="24"/>
          <w:rtl w:val="0"/>
        </w:rPr>
        <w:t xml:space="preserve">Journal of Forensic Sciences. </w:t>
      </w:r>
      <w:r w:rsidDel="00000000" w:rsidR="00000000" w:rsidRPr="00000000">
        <w:rPr>
          <w:sz w:val="24"/>
          <w:szCs w:val="24"/>
          <w:rtl w:val="0"/>
        </w:rPr>
        <w:t xml:space="preserve">61(2), pp. 545-547. DOI: 10.1111/1556-4029.12964 </w:t>
      </w:r>
      <w:r w:rsidDel="00000000" w:rsidR="00000000" w:rsidRPr="00000000">
        <w:rPr>
          <w:i w:val="1"/>
          <w:sz w:val="24"/>
          <w:szCs w:val="24"/>
          <w:rtl w:val="0"/>
        </w:rPr>
        <w:t xml:space="preserve"> </w:t>
      </w:r>
    </w:p>
    <w:p w:rsidR="00000000" w:rsidDel="00000000" w:rsidP="00000000" w:rsidRDefault="00000000" w:rsidRPr="00000000" w14:paraId="00000066">
      <w:pPr>
        <w:spacing w:line="360" w:lineRule="auto"/>
        <w:rPr>
          <w:i w:val="1"/>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College of Policing. (2016) </w:t>
      </w:r>
      <w:r w:rsidDel="00000000" w:rsidR="00000000" w:rsidRPr="00000000">
        <w:rPr>
          <w:i w:val="1"/>
          <w:sz w:val="24"/>
          <w:szCs w:val="24"/>
          <w:rtl w:val="0"/>
        </w:rPr>
        <w:t xml:space="preserve">First response.</w:t>
      </w:r>
      <w:r w:rsidDel="00000000" w:rsidR="00000000" w:rsidRPr="00000000">
        <w:rPr>
          <w:sz w:val="24"/>
          <w:szCs w:val="24"/>
          <w:rtl w:val="0"/>
        </w:rPr>
        <w:t xml:space="preserve"> [Online] Available: </w:t>
      </w:r>
      <w:hyperlink r:id="rId7">
        <w:r w:rsidDel="00000000" w:rsidR="00000000" w:rsidRPr="00000000">
          <w:rPr>
            <w:color w:val="1155cc"/>
            <w:sz w:val="24"/>
            <w:szCs w:val="24"/>
            <w:u w:val="single"/>
            <w:rtl w:val="0"/>
          </w:rPr>
          <w:t xml:space="preserve">https://www.app.college.police.uk/app-content/major-investigation-and-public-protection/domestic-abuse/first-response/#scene-protection</w:t>
        </w:r>
      </w:hyperlink>
      <w:r w:rsidDel="00000000" w:rsidR="00000000" w:rsidRPr="00000000">
        <w:rPr>
          <w:sz w:val="24"/>
          <w:szCs w:val="24"/>
          <w:rtl w:val="0"/>
        </w:rPr>
        <w:t xml:space="preserve"> (Accessed 14 October 2020)</w:t>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College of Policing. (2020) </w:t>
      </w:r>
      <w:r w:rsidDel="00000000" w:rsidR="00000000" w:rsidRPr="00000000">
        <w:rPr>
          <w:i w:val="1"/>
          <w:sz w:val="24"/>
          <w:szCs w:val="24"/>
          <w:rtl w:val="0"/>
        </w:rPr>
        <w:t xml:space="preserve">Managing Investigations. </w:t>
      </w:r>
      <w:r w:rsidDel="00000000" w:rsidR="00000000" w:rsidRPr="00000000">
        <w:rPr>
          <w:sz w:val="24"/>
          <w:szCs w:val="24"/>
          <w:rtl w:val="0"/>
        </w:rPr>
        <w:t xml:space="preserve">[Online]. Available: </w:t>
      </w:r>
      <w:hyperlink r:id="rId8">
        <w:r w:rsidDel="00000000" w:rsidR="00000000" w:rsidRPr="00000000">
          <w:rPr>
            <w:color w:val="1155cc"/>
            <w:sz w:val="24"/>
            <w:szCs w:val="24"/>
            <w:u w:val="single"/>
            <w:rtl w:val="0"/>
          </w:rPr>
          <w:t xml:space="preserve">https://www.app.college.police.uk/app-content/investigations/managing-investigations/#cross-contamination</w:t>
        </w:r>
      </w:hyperlink>
      <w:r w:rsidDel="00000000" w:rsidR="00000000" w:rsidRPr="00000000">
        <w:rPr>
          <w:sz w:val="24"/>
          <w:szCs w:val="24"/>
          <w:rtl w:val="0"/>
        </w:rPr>
        <w:t xml:space="preserve"> (Accessed 12 October 2020). </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College of Policing. (2020b) </w:t>
      </w:r>
      <w:r w:rsidDel="00000000" w:rsidR="00000000" w:rsidRPr="00000000">
        <w:rPr>
          <w:i w:val="1"/>
          <w:sz w:val="24"/>
          <w:szCs w:val="24"/>
          <w:rtl w:val="0"/>
        </w:rPr>
        <w:t xml:space="preserve">Forensics. </w:t>
      </w:r>
      <w:r w:rsidDel="00000000" w:rsidR="00000000" w:rsidRPr="00000000">
        <w:rPr>
          <w:sz w:val="24"/>
          <w:szCs w:val="24"/>
          <w:rtl w:val="0"/>
        </w:rPr>
        <w:t xml:space="preserve">[Online]. Available: </w:t>
      </w:r>
      <w:hyperlink r:id="rId9">
        <w:r w:rsidDel="00000000" w:rsidR="00000000" w:rsidRPr="00000000">
          <w:rPr>
            <w:color w:val="1155cc"/>
            <w:sz w:val="24"/>
            <w:szCs w:val="24"/>
            <w:u w:val="single"/>
            <w:rtl w:val="0"/>
          </w:rPr>
          <w:t xml:space="preserve">https://www.app.college.police.uk/app-content/investigations/forensics/#crime-scene-investigation</w:t>
        </w:r>
      </w:hyperlink>
      <w:r w:rsidDel="00000000" w:rsidR="00000000" w:rsidRPr="00000000">
        <w:rPr>
          <w:sz w:val="24"/>
          <w:szCs w:val="24"/>
          <w:rtl w:val="0"/>
        </w:rPr>
        <w:t xml:space="preserve"> (Accessed 15 October 2020)</w:t>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sz w:val="24"/>
          <w:szCs w:val="24"/>
          <w:rtl w:val="0"/>
        </w:rPr>
        <w:t xml:space="preserve">College of Policing. (2020c) </w:t>
      </w:r>
      <w:r w:rsidDel="00000000" w:rsidR="00000000" w:rsidRPr="00000000">
        <w:rPr>
          <w:i w:val="1"/>
          <w:sz w:val="24"/>
          <w:szCs w:val="24"/>
          <w:rtl w:val="0"/>
        </w:rPr>
        <w:t xml:space="preserve">Response and recovery. </w:t>
      </w:r>
      <w:r w:rsidDel="00000000" w:rsidR="00000000" w:rsidRPr="00000000">
        <w:rPr>
          <w:sz w:val="24"/>
          <w:szCs w:val="24"/>
          <w:rtl w:val="0"/>
        </w:rPr>
        <w:t xml:space="preserve">[Online]. Available: </w:t>
      </w:r>
      <w:hyperlink r:id="rId10">
        <w:r w:rsidDel="00000000" w:rsidR="00000000" w:rsidRPr="00000000">
          <w:rPr>
            <w:color w:val="1155cc"/>
            <w:sz w:val="24"/>
            <w:szCs w:val="24"/>
            <w:u w:val="single"/>
            <w:rtl w:val="0"/>
          </w:rPr>
          <w:t xml:space="preserve">https://www.app.college.police.uk/app-content/civil-emergencies/civil-contingencies/response-and-recovery/#cordons</w:t>
        </w:r>
      </w:hyperlink>
      <w:r w:rsidDel="00000000" w:rsidR="00000000" w:rsidRPr="00000000">
        <w:rPr>
          <w:sz w:val="24"/>
          <w:szCs w:val="24"/>
          <w:rtl w:val="0"/>
        </w:rPr>
        <w:t xml:space="preserve"> (Accessed 15 October 2020)</w:t>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College of Policing. (2020d) </w:t>
      </w:r>
      <w:r w:rsidDel="00000000" w:rsidR="00000000" w:rsidRPr="00000000">
        <w:rPr>
          <w:i w:val="1"/>
          <w:sz w:val="24"/>
          <w:szCs w:val="24"/>
          <w:rtl w:val="0"/>
        </w:rPr>
        <w:t xml:space="preserve">Command, control and coordination. </w:t>
      </w:r>
      <w:r w:rsidDel="00000000" w:rsidR="00000000" w:rsidRPr="00000000">
        <w:rPr>
          <w:sz w:val="24"/>
          <w:szCs w:val="24"/>
          <w:rtl w:val="0"/>
        </w:rPr>
        <w:t xml:space="preserve">[Online]. Available: </w:t>
      </w:r>
      <w:hyperlink r:id="rId11">
        <w:r w:rsidDel="00000000" w:rsidR="00000000" w:rsidRPr="00000000">
          <w:rPr>
            <w:color w:val="1155cc"/>
            <w:sz w:val="24"/>
            <w:szCs w:val="24"/>
            <w:u w:val="single"/>
            <w:rtl w:val="0"/>
          </w:rPr>
          <w:t xml:space="preserve">https://www.app.college.police.uk/app-content/civil-emergencies/civil-contingencies/command-control-and-coordination/</w:t>
        </w:r>
      </w:hyperlink>
      <w:r w:rsidDel="00000000" w:rsidR="00000000" w:rsidRPr="00000000">
        <w:rPr>
          <w:sz w:val="24"/>
          <w:szCs w:val="24"/>
          <w:rtl w:val="0"/>
        </w:rPr>
        <w:t xml:space="preserve"> (Accessed 19 October 2020). </w:t>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College of Policing. (2020e) </w:t>
      </w:r>
      <w:r w:rsidDel="00000000" w:rsidR="00000000" w:rsidRPr="00000000">
        <w:rPr>
          <w:i w:val="1"/>
          <w:sz w:val="24"/>
          <w:szCs w:val="24"/>
          <w:rtl w:val="0"/>
        </w:rPr>
        <w:t xml:space="preserve">Investigation - Investigation process. </w:t>
      </w:r>
      <w:r w:rsidDel="00000000" w:rsidR="00000000" w:rsidRPr="00000000">
        <w:rPr>
          <w:sz w:val="24"/>
          <w:szCs w:val="24"/>
          <w:rtl w:val="0"/>
        </w:rPr>
        <w:t xml:space="preserve">[Online] Available: </w:t>
      </w:r>
      <w:hyperlink r:id="rId12">
        <w:r w:rsidDel="00000000" w:rsidR="00000000" w:rsidRPr="00000000">
          <w:rPr>
            <w:color w:val="1155cc"/>
            <w:sz w:val="24"/>
            <w:szCs w:val="24"/>
            <w:u w:val="single"/>
            <w:rtl w:val="0"/>
          </w:rPr>
          <w:t xml:space="preserve">https://www.app.college.police.uk/app-content/investigations/investigation-process/#fast-track-actions</w:t>
        </w:r>
      </w:hyperlink>
      <w:r w:rsidDel="00000000" w:rsidR="00000000" w:rsidRPr="00000000">
        <w:rPr>
          <w:sz w:val="24"/>
          <w:szCs w:val="24"/>
          <w:rtl w:val="0"/>
        </w:rPr>
        <w:t xml:space="preserve"> (Accessed 21/10/2020)</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Elliston, J. (2012) ‘Auditors describe massive problems in Asheville Police evidence storage, disposal’. </w:t>
      </w:r>
      <w:r w:rsidDel="00000000" w:rsidR="00000000" w:rsidRPr="00000000">
        <w:rPr>
          <w:i w:val="1"/>
          <w:sz w:val="24"/>
          <w:szCs w:val="24"/>
          <w:rtl w:val="0"/>
        </w:rPr>
        <w:t xml:space="preserve">Carolina Press Public</w:t>
      </w:r>
      <w:r w:rsidDel="00000000" w:rsidR="00000000" w:rsidRPr="00000000">
        <w:rPr>
          <w:sz w:val="24"/>
          <w:szCs w:val="24"/>
          <w:rtl w:val="0"/>
        </w:rPr>
        <w:t xml:space="preserve">. [Online] Available at: </w:t>
      </w:r>
      <w:hyperlink r:id="rId13">
        <w:r w:rsidDel="00000000" w:rsidR="00000000" w:rsidRPr="00000000">
          <w:rPr>
            <w:color w:val="1155cc"/>
            <w:sz w:val="24"/>
            <w:szCs w:val="24"/>
            <w:u w:val="single"/>
            <w:rtl w:val="0"/>
          </w:rPr>
          <w:t xml:space="preserve">https://carolinapublicpress.org/10939/auditors-describe-massive-problems-in-asheville-police-evidence-storage-disposal/</w:t>
        </w:r>
      </w:hyperlink>
      <w:r w:rsidDel="00000000" w:rsidR="00000000" w:rsidRPr="00000000">
        <w:rPr>
          <w:sz w:val="24"/>
          <w:szCs w:val="24"/>
          <w:rtl w:val="0"/>
        </w:rPr>
        <w:t xml:space="preserve"> (Accessed 24/10/2020) </w:t>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br w:type="textWrapping"/>
        <w:t xml:space="preserve">European Network of Forensic Science Institutes. (2012) </w:t>
      </w:r>
      <w:r w:rsidDel="00000000" w:rsidR="00000000" w:rsidRPr="00000000">
        <w:rPr>
          <w:i w:val="1"/>
          <w:sz w:val="24"/>
          <w:szCs w:val="24"/>
          <w:rtl w:val="0"/>
        </w:rPr>
        <w:t xml:space="preserve">Scenes of Crime Examination Best Practice Manual. </w:t>
      </w:r>
      <w:r w:rsidDel="00000000" w:rsidR="00000000" w:rsidRPr="00000000">
        <w:rPr>
          <w:sz w:val="24"/>
          <w:szCs w:val="24"/>
          <w:rtl w:val="0"/>
        </w:rPr>
        <w:t xml:space="preserve">Wiesbaden, Germany. </w:t>
      </w:r>
      <w:r w:rsidDel="00000000" w:rsidR="00000000" w:rsidRPr="00000000">
        <w:rPr>
          <w:sz w:val="24"/>
          <w:szCs w:val="24"/>
          <w:rtl w:val="0"/>
        </w:rPr>
        <w:t xml:space="preserve">ENSFI</w:t>
      </w:r>
      <w:r w:rsidDel="00000000" w:rsidR="00000000" w:rsidRPr="00000000">
        <w:rPr>
          <w:sz w:val="24"/>
          <w:szCs w:val="24"/>
          <w:rtl w:val="0"/>
        </w:rPr>
        <w:t xml:space="preserve"> Scenes of Crime Working Group.</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highlight w:val="white"/>
          <w:rtl w:val="0"/>
        </w:rPr>
        <w:t xml:space="preserve">Evans, M. M., &amp; Stagner, P. A. (2003). </w:t>
      </w:r>
      <w:r w:rsidDel="00000000" w:rsidR="00000000" w:rsidRPr="00000000">
        <w:rPr>
          <w:i w:val="1"/>
          <w:sz w:val="24"/>
          <w:szCs w:val="24"/>
          <w:highlight w:val="white"/>
          <w:rtl w:val="0"/>
        </w:rPr>
        <w:t xml:space="preserve">Maintaining the Chain of Custody Evidence Handling in Forensic Cases. </w:t>
      </w:r>
      <w:r w:rsidDel="00000000" w:rsidR="00000000" w:rsidRPr="00000000">
        <w:rPr>
          <w:sz w:val="24"/>
          <w:szCs w:val="24"/>
          <w:highlight w:val="white"/>
          <w:rtl w:val="0"/>
        </w:rPr>
        <w:t xml:space="preserve">AORN Journal, 78(4), pp. 563–569. DOI: 10.1016/S0001-2092(06)60664-9 </w:t>
      </w:r>
      <w:r w:rsidDel="00000000" w:rsidR="00000000" w:rsidRPr="00000000">
        <w:rPr>
          <w:rtl w:val="0"/>
        </w:rPr>
      </w:r>
    </w:p>
    <w:p w:rsidR="00000000" w:rsidDel="00000000" w:rsidP="00000000" w:rsidRDefault="00000000" w:rsidRPr="00000000" w14:paraId="00000077">
      <w:pPr>
        <w:spacing w:line="360" w:lineRule="auto"/>
        <w:rPr>
          <w:sz w:val="24"/>
          <w:szCs w:val="24"/>
        </w:rPr>
      </w:pPr>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Forensic Science Regulator. (2020) </w:t>
      </w:r>
      <w:r w:rsidDel="00000000" w:rsidR="00000000" w:rsidRPr="00000000">
        <w:rPr>
          <w:i w:val="1"/>
          <w:sz w:val="24"/>
          <w:szCs w:val="24"/>
          <w:rtl w:val="0"/>
        </w:rPr>
        <w:t xml:space="preserve">The Control and Avoidance of Contamination in Scene Examination involving DNA Evidence Recovery. </w:t>
      </w:r>
      <w:r w:rsidDel="00000000" w:rsidR="00000000" w:rsidRPr="00000000">
        <w:rPr>
          <w:sz w:val="24"/>
          <w:szCs w:val="24"/>
          <w:rtl w:val="0"/>
        </w:rPr>
        <w:t xml:space="preserve">Birmingham, The Forensic Science Regulator. </w:t>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br w:type="textWrapping"/>
        <w:t xml:space="preserve">Home Office. (2020) </w:t>
      </w:r>
      <w:r w:rsidDel="00000000" w:rsidR="00000000" w:rsidRPr="00000000">
        <w:rPr>
          <w:i w:val="1"/>
          <w:sz w:val="24"/>
          <w:szCs w:val="24"/>
          <w:rtl w:val="0"/>
        </w:rPr>
        <w:t xml:space="preserve">Evidence in criminal investigations. </w:t>
      </w:r>
      <w:r w:rsidDel="00000000" w:rsidR="00000000" w:rsidRPr="00000000">
        <w:rPr>
          <w:sz w:val="24"/>
          <w:szCs w:val="24"/>
          <w:rtl w:val="0"/>
        </w:rPr>
        <w:t xml:space="preserve">London, The National Archives. Available: </w:t>
      </w:r>
      <w:hyperlink r:id="rId14">
        <w:r w:rsidDel="00000000" w:rsidR="00000000" w:rsidRPr="00000000">
          <w:rPr>
            <w:color w:val="1155cc"/>
            <w:sz w:val="24"/>
            <w:szCs w:val="24"/>
            <w:u w:val="single"/>
            <w:rtl w:val="0"/>
          </w:rPr>
          <w:t xml:space="preserve">https://assets.publishing.service.gov.uk/government/uploads/system/uploads/attachment_data/file/919630/evidence-in-criminal-investigations-v5.0.pdf</w:t>
        </w:r>
      </w:hyperlink>
      <w:r w:rsidDel="00000000" w:rsidR="00000000" w:rsidRPr="00000000">
        <w:rPr>
          <w:sz w:val="24"/>
          <w:szCs w:val="24"/>
          <w:rtl w:val="0"/>
        </w:rPr>
        <w:t xml:space="preserve"> </w:t>
      </w:r>
    </w:p>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Jackson, A.R.W. </w:t>
      </w:r>
      <w:r w:rsidDel="00000000" w:rsidR="00000000" w:rsidRPr="00000000">
        <w:rPr>
          <w:i w:val="1"/>
          <w:sz w:val="24"/>
          <w:szCs w:val="24"/>
          <w:rtl w:val="0"/>
        </w:rPr>
        <w:t xml:space="preserve">et.al., </w:t>
      </w:r>
      <w:r w:rsidDel="00000000" w:rsidR="00000000" w:rsidRPr="00000000">
        <w:rPr>
          <w:sz w:val="24"/>
          <w:szCs w:val="24"/>
          <w:rtl w:val="0"/>
        </w:rPr>
        <w:t xml:space="preserve">(2016) </w:t>
      </w:r>
      <w:r w:rsidDel="00000000" w:rsidR="00000000" w:rsidRPr="00000000">
        <w:rPr>
          <w:i w:val="1"/>
          <w:sz w:val="24"/>
          <w:szCs w:val="24"/>
          <w:rtl w:val="0"/>
        </w:rPr>
        <w:t xml:space="preserve">Forensic Science. </w:t>
      </w:r>
      <w:r w:rsidDel="00000000" w:rsidR="00000000" w:rsidRPr="00000000">
        <w:rPr>
          <w:sz w:val="24"/>
          <w:szCs w:val="24"/>
          <w:rtl w:val="0"/>
        </w:rPr>
        <w:t xml:space="preserve">4th Ed. London. Pearson Education Limited. </w:t>
      </w: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4"/>
          <w:szCs w:val="24"/>
        </w:rPr>
      </w:pPr>
      <w:r w:rsidDel="00000000" w:rsidR="00000000" w:rsidRPr="00000000">
        <w:rPr>
          <w:sz w:val="24"/>
          <w:szCs w:val="24"/>
          <w:rtl w:val="0"/>
        </w:rPr>
        <w:t xml:space="preserve">Kirk, P.L. (1953) C</w:t>
      </w:r>
      <w:r w:rsidDel="00000000" w:rsidR="00000000" w:rsidRPr="00000000">
        <w:rPr>
          <w:i w:val="1"/>
          <w:sz w:val="24"/>
          <w:szCs w:val="24"/>
          <w:rtl w:val="0"/>
        </w:rPr>
        <w:t xml:space="preserve">rime Investigation: Physical Evidence and the Police Laboratory. </w:t>
      </w:r>
      <w:r w:rsidDel="00000000" w:rsidR="00000000" w:rsidRPr="00000000">
        <w:rPr>
          <w:sz w:val="24"/>
          <w:szCs w:val="24"/>
          <w:rtl w:val="0"/>
        </w:rPr>
        <w:t xml:space="preserve">Hoboken, United States. Interscience Publishers</w:t>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Langford, A. (2019) </w:t>
      </w:r>
      <w:r w:rsidDel="00000000" w:rsidR="00000000" w:rsidRPr="00000000">
        <w:rPr>
          <w:i w:val="1"/>
          <w:sz w:val="24"/>
          <w:szCs w:val="24"/>
          <w:rtl w:val="0"/>
        </w:rPr>
        <w:t xml:space="preserve">Practical Skills in Forensic Science. </w:t>
      </w:r>
      <w:r w:rsidDel="00000000" w:rsidR="00000000" w:rsidRPr="00000000">
        <w:rPr>
          <w:sz w:val="24"/>
          <w:szCs w:val="24"/>
          <w:rtl w:val="0"/>
        </w:rPr>
        <w:t xml:space="preserve">3rd Ed. Harlow. United Kingdom. Pearson Education</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Lee, H.C. and Ladd, C. (2001) ‘Preservation and Collection of Biological Evidence’, </w:t>
      </w:r>
      <w:r w:rsidDel="00000000" w:rsidR="00000000" w:rsidRPr="00000000">
        <w:rPr>
          <w:i w:val="1"/>
          <w:sz w:val="24"/>
          <w:szCs w:val="24"/>
          <w:rtl w:val="0"/>
        </w:rPr>
        <w:t xml:space="preserve">CROATIAN MEDICAL JOURNAL. </w:t>
      </w:r>
      <w:r w:rsidDel="00000000" w:rsidR="00000000" w:rsidRPr="00000000">
        <w:rPr>
          <w:sz w:val="24"/>
          <w:szCs w:val="24"/>
          <w:rtl w:val="0"/>
        </w:rPr>
        <w:t xml:space="preserve">42(3). Available: </w:t>
      </w:r>
      <w:hyperlink r:id="rId15">
        <w:r w:rsidDel="00000000" w:rsidR="00000000" w:rsidRPr="00000000">
          <w:rPr>
            <w:color w:val="1155cc"/>
            <w:sz w:val="24"/>
            <w:szCs w:val="24"/>
            <w:u w:val="single"/>
            <w:rtl w:val="0"/>
          </w:rPr>
          <w:t xml:space="preserve">https://www.abacusdiagnostics.com/Collection_of_Evidence.pdf</w:t>
        </w:r>
      </w:hyperlink>
      <w:r w:rsidDel="00000000" w:rsidR="00000000" w:rsidRPr="00000000">
        <w:rPr>
          <w:sz w:val="24"/>
          <w:szCs w:val="24"/>
          <w:rtl w:val="0"/>
        </w:rPr>
        <w:t xml:space="preserve"> </w:t>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sz w:val="24"/>
          <w:szCs w:val="24"/>
          <w:rtl w:val="0"/>
        </w:rPr>
        <w:t xml:space="preserve">Lassiter, C. (1996) ‘The O.J. Simpson Verdict: A Lesson in Black and White’, </w:t>
      </w:r>
      <w:r w:rsidDel="00000000" w:rsidR="00000000" w:rsidRPr="00000000">
        <w:rPr>
          <w:i w:val="1"/>
          <w:sz w:val="24"/>
          <w:szCs w:val="24"/>
          <w:rtl w:val="0"/>
        </w:rPr>
        <w:t xml:space="preserve">Michigan Journal of Race and Law. </w:t>
      </w:r>
      <w:r w:rsidDel="00000000" w:rsidR="00000000" w:rsidRPr="00000000">
        <w:rPr>
          <w:sz w:val="24"/>
          <w:szCs w:val="24"/>
          <w:rtl w:val="0"/>
        </w:rPr>
        <w:t xml:space="preserve">1. Available: </w:t>
      </w:r>
      <w:hyperlink r:id="rId16">
        <w:r w:rsidDel="00000000" w:rsidR="00000000" w:rsidRPr="00000000">
          <w:rPr>
            <w:color w:val="1155cc"/>
            <w:sz w:val="24"/>
            <w:szCs w:val="24"/>
            <w:u w:val="single"/>
            <w:rtl w:val="0"/>
          </w:rPr>
          <w:t xml:space="preserve">https://repository.law.umich.edu/cgi/viewcontent.cgi?article=1260&amp;context=mjrl</w:t>
        </w:r>
      </w:hyperlink>
      <w:r w:rsidDel="00000000" w:rsidR="00000000" w:rsidRPr="00000000">
        <w:rPr>
          <w:sz w:val="24"/>
          <w:szCs w:val="24"/>
          <w:rtl w:val="0"/>
        </w:rPr>
        <w:t xml:space="preserve">  </w:t>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Macpherson, W. (1999) </w:t>
      </w:r>
      <w:r w:rsidDel="00000000" w:rsidR="00000000" w:rsidRPr="00000000">
        <w:rPr>
          <w:i w:val="1"/>
          <w:sz w:val="24"/>
          <w:szCs w:val="24"/>
          <w:rtl w:val="0"/>
        </w:rPr>
        <w:t xml:space="preserve">THE STEPHEN LAWRENCE INQUIRY. </w:t>
      </w:r>
      <w:r w:rsidDel="00000000" w:rsidR="00000000" w:rsidRPr="00000000">
        <w:rPr>
          <w:sz w:val="24"/>
          <w:szCs w:val="24"/>
          <w:rtl w:val="0"/>
        </w:rPr>
        <w:t xml:space="preserve">London, Home Department. Available: </w:t>
      </w:r>
      <w:hyperlink r:id="rId17">
        <w:r w:rsidDel="00000000" w:rsidR="00000000" w:rsidRPr="00000000">
          <w:rPr>
            <w:color w:val="1155cc"/>
            <w:sz w:val="24"/>
            <w:szCs w:val="24"/>
            <w:u w:val="single"/>
            <w:rtl w:val="0"/>
          </w:rPr>
          <w:t xml:space="preserve">https://assets.publishing.service.gov.uk/government/uploads/system/uploads/attachment_data/file/277111/4262.pdf</w:t>
        </w:r>
      </w:hyperlink>
      <w:r w:rsidDel="00000000" w:rsidR="00000000" w:rsidRPr="00000000">
        <w:rPr>
          <w:sz w:val="24"/>
          <w:szCs w:val="24"/>
          <w:rtl w:val="0"/>
        </w:rPr>
        <w:t xml:space="preserve"> </w:t>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sz w:val="24"/>
          <w:szCs w:val="24"/>
        </w:rPr>
      </w:pPr>
      <w:r w:rsidDel="00000000" w:rsidR="00000000" w:rsidRPr="00000000">
        <w:rPr>
          <w:sz w:val="24"/>
          <w:szCs w:val="24"/>
          <w:rtl w:val="0"/>
        </w:rPr>
        <w:t xml:space="preserve">Mozayani, A., &amp; Noziglia, C. (2011). </w:t>
      </w:r>
      <w:r w:rsidDel="00000000" w:rsidR="00000000" w:rsidRPr="00000000">
        <w:rPr>
          <w:i w:val="1"/>
          <w:sz w:val="24"/>
          <w:szCs w:val="24"/>
          <w:rtl w:val="0"/>
        </w:rPr>
        <w:t xml:space="preserve">The Forensic Laboratory Handbook Procedures and Practice</w:t>
      </w:r>
      <w:r w:rsidDel="00000000" w:rsidR="00000000" w:rsidRPr="00000000">
        <w:rPr>
          <w:sz w:val="24"/>
          <w:szCs w:val="24"/>
          <w:rtl w:val="0"/>
        </w:rPr>
        <w:t xml:space="preserve">. 2nd ED. New York. Humana Press doi:10.1007/978-1-60761-872-0 </w:t>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4"/>
          <w:szCs w:val="24"/>
        </w:rPr>
      </w:pPr>
      <w:r w:rsidDel="00000000" w:rsidR="00000000" w:rsidRPr="00000000">
        <w:rPr>
          <w:sz w:val="24"/>
          <w:szCs w:val="24"/>
          <w:rtl w:val="0"/>
        </w:rPr>
        <w:t xml:space="preserve">National Institute of Justice. (2011) </w:t>
      </w:r>
      <w:r w:rsidDel="00000000" w:rsidR="00000000" w:rsidRPr="00000000">
        <w:rPr>
          <w:i w:val="1"/>
          <w:sz w:val="24"/>
          <w:szCs w:val="24"/>
          <w:rtl w:val="0"/>
        </w:rPr>
        <w:t xml:space="preserve">The Fingerprint Sourcebook. </w:t>
      </w:r>
      <w:r w:rsidDel="00000000" w:rsidR="00000000" w:rsidRPr="00000000">
        <w:rPr>
          <w:sz w:val="24"/>
          <w:szCs w:val="24"/>
          <w:rtl w:val="0"/>
        </w:rPr>
        <w:t xml:space="preserve">Washington. U.S. Department of Justice Office of Justice Programs. </w:t>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National Forensic Science Technology Center. (2013) </w:t>
      </w:r>
      <w:r w:rsidDel="00000000" w:rsidR="00000000" w:rsidRPr="00000000">
        <w:rPr>
          <w:i w:val="1"/>
          <w:sz w:val="24"/>
          <w:szCs w:val="24"/>
          <w:rtl w:val="0"/>
        </w:rPr>
        <w:t xml:space="preserve">Crime Scene Investigation - A Guide for Law Enforcement. </w:t>
      </w:r>
      <w:r w:rsidDel="00000000" w:rsidR="00000000" w:rsidRPr="00000000">
        <w:rPr>
          <w:sz w:val="24"/>
          <w:szCs w:val="24"/>
          <w:rtl w:val="0"/>
        </w:rPr>
        <w:t xml:space="preserve">2nd ED. Largo, Florida. US Department of Justice. Available: </w:t>
      </w:r>
      <w:hyperlink r:id="rId18">
        <w:r w:rsidDel="00000000" w:rsidR="00000000" w:rsidRPr="00000000">
          <w:rPr>
            <w:color w:val="1155cc"/>
            <w:sz w:val="24"/>
            <w:szCs w:val="24"/>
            <w:u w:val="single"/>
            <w:rtl w:val="0"/>
          </w:rPr>
          <w:t xml:space="preserve">https://www.utsystem.edu/sites/default/files/offices/police/policies/Crime-Scene-Investigation.pdf</w:t>
        </w:r>
      </w:hyperlink>
      <w:r w:rsidDel="00000000" w:rsidR="00000000" w:rsidRPr="00000000">
        <w:rPr>
          <w:sz w:val="24"/>
          <w:szCs w:val="24"/>
          <w:rtl w:val="0"/>
        </w:rPr>
        <w:t xml:space="preserve"> </w:t>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Payne, G. (2015) </w:t>
      </w:r>
      <w:r w:rsidDel="00000000" w:rsidR="00000000" w:rsidRPr="00000000">
        <w:rPr>
          <w:i w:val="1"/>
          <w:sz w:val="24"/>
          <w:szCs w:val="24"/>
          <w:rtl w:val="0"/>
        </w:rPr>
        <w:t xml:space="preserve">After the panic: an investigation of the relationship between the reporting and remembering of child related crime</w:t>
      </w:r>
      <w:r w:rsidDel="00000000" w:rsidR="00000000" w:rsidRPr="00000000">
        <w:rPr>
          <w:sz w:val="24"/>
          <w:szCs w:val="24"/>
          <w:rtl w:val="0"/>
        </w:rPr>
        <w:t xml:space="preserve">. Loughborough. Loughborough University. Available: </w:t>
      </w:r>
      <w:hyperlink r:id="rId19">
        <w:r w:rsidDel="00000000" w:rsidR="00000000" w:rsidRPr="00000000">
          <w:rPr>
            <w:color w:val="1155cc"/>
            <w:sz w:val="24"/>
            <w:szCs w:val="24"/>
            <w:u w:val="single"/>
            <w:rtl w:val="0"/>
          </w:rPr>
          <w:t xml:space="preserve">https://repository.lboro.ac.uk/ndownloader/files/17105369/1</w:t>
        </w:r>
      </w:hyperlink>
      <w:r w:rsidDel="00000000" w:rsidR="00000000" w:rsidRPr="00000000">
        <w:rPr>
          <w:sz w:val="24"/>
          <w:szCs w:val="24"/>
          <w:rtl w:val="0"/>
        </w:rPr>
        <w:t xml:space="preserve"> </w:t>
      </w:r>
    </w:p>
    <w:p w:rsidR="00000000" w:rsidDel="00000000" w:rsidP="00000000" w:rsidRDefault="00000000" w:rsidRPr="00000000" w14:paraId="0000008E">
      <w:pPr>
        <w:spacing w:line="360" w:lineRule="auto"/>
        <w:rPr>
          <w:sz w:val="24"/>
          <w:szCs w:val="24"/>
        </w:rPr>
      </w:pPr>
      <w:r w:rsidDel="00000000" w:rsidR="00000000" w:rsidRPr="00000000">
        <w:rPr>
          <w:rtl w:val="0"/>
        </w:rPr>
      </w:r>
    </w:p>
    <w:p w:rsidR="00000000" w:rsidDel="00000000" w:rsidP="00000000" w:rsidRDefault="00000000" w:rsidRPr="00000000" w14:paraId="0000008F">
      <w:pPr>
        <w:spacing w:line="360" w:lineRule="auto"/>
        <w:rPr>
          <w:sz w:val="24"/>
          <w:szCs w:val="24"/>
        </w:rPr>
      </w:pPr>
      <w:r w:rsidDel="00000000" w:rsidR="00000000" w:rsidRPr="00000000">
        <w:rPr>
          <w:sz w:val="24"/>
          <w:szCs w:val="24"/>
          <w:rtl w:val="0"/>
        </w:rPr>
        <w:t xml:space="preserve">Pepper, I.K. (2010) </w:t>
      </w:r>
      <w:r w:rsidDel="00000000" w:rsidR="00000000" w:rsidRPr="00000000">
        <w:rPr>
          <w:i w:val="1"/>
          <w:sz w:val="24"/>
          <w:szCs w:val="24"/>
          <w:rtl w:val="0"/>
        </w:rPr>
        <w:t xml:space="preserve">Crime scene investigation methods and procedures. </w:t>
      </w:r>
      <w:r w:rsidDel="00000000" w:rsidR="00000000" w:rsidRPr="00000000">
        <w:rPr>
          <w:sz w:val="24"/>
          <w:szCs w:val="24"/>
          <w:rtl w:val="0"/>
        </w:rPr>
        <w:t xml:space="preserve">2nd ED. Maidenhead, Open University Press.</w:t>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Ramsland, K. (2012). ‘Locard's vision: 100 years of crime labs.’, </w:t>
      </w:r>
      <w:r w:rsidDel="00000000" w:rsidR="00000000" w:rsidRPr="00000000">
        <w:rPr>
          <w:i w:val="1"/>
          <w:sz w:val="24"/>
          <w:szCs w:val="24"/>
          <w:rtl w:val="0"/>
        </w:rPr>
        <w:t xml:space="preserve">Springfield: American College of Forensic Examiners. </w:t>
      </w:r>
      <w:r w:rsidDel="00000000" w:rsidR="00000000" w:rsidRPr="00000000">
        <w:rPr>
          <w:sz w:val="24"/>
          <w:szCs w:val="24"/>
          <w:rtl w:val="0"/>
        </w:rPr>
        <w:t xml:space="preserve">21(2), pp. 60-62</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Royal Courts of Justice. (2018) </w:t>
      </w:r>
      <w:r w:rsidDel="00000000" w:rsidR="00000000" w:rsidRPr="00000000">
        <w:rPr>
          <w:i w:val="1"/>
          <w:sz w:val="24"/>
          <w:szCs w:val="24"/>
          <w:rtl w:val="0"/>
        </w:rPr>
        <w:t xml:space="preserve">Appeal: Parker v CC Essex Police. </w:t>
      </w:r>
      <w:r w:rsidDel="00000000" w:rsidR="00000000" w:rsidRPr="00000000">
        <w:rPr>
          <w:sz w:val="24"/>
          <w:szCs w:val="24"/>
          <w:rtl w:val="0"/>
        </w:rPr>
        <w:t xml:space="preserve">London, Royal Courts of Justice. Available: </w:t>
      </w:r>
      <w:hyperlink r:id="rId20">
        <w:r w:rsidDel="00000000" w:rsidR="00000000" w:rsidRPr="00000000">
          <w:rPr>
            <w:color w:val="1155cc"/>
            <w:sz w:val="24"/>
            <w:szCs w:val="24"/>
            <w:u w:val="single"/>
            <w:rtl w:val="0"/>
          </w:rPr>
          <w:t xml:space="preserve">https://www.judiciary.uk/wp-content/uploads/2018/12/a220172897-parker-v-cc-essex-police-final-judgment.pdf</w:t>
        </w:r>
      </w:hyperlink>
      <w:r w:rsidDel="00000000" w:rsidR="00000000" w:rsidRPr="00000000">
        <w:rPr>
          <w:sz w:val="24"/>
          <w:szCs w:val="24"/>
          <w:rtl w:val="0"/>
        </w:rPr>
        <w:t xml:space="preserve"> </w:t>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sz w:val="24"/>
          <w:szCs w:val="24"/>
          <w:rtl w:val="0"/>
        </w:rPr>
        <w:t xml:space="preserve">Sophie, H. </w:t>
      </w:r>
      <w:r w:rsidDel="00000000" w:rsidR="00000000" w:rsidRPr="00000000">
        <w:rPr>
          <w:i w:val="1"/>
          <w:sz w:val="24"/>
          <w:szCs w:val="24"/>
          <w:rtl w:val="0"/>
        </w:rPr>
        <w:t xml:space="preserve">et.al., </w:t>
      </w:r>
      <w:r w:rsidDel="00000000" w:rsidR="00000000" w:rsidRPr="00000000">
        <w:rPr>
          <w:sz w:val="24"/>
          <w:szCs w:val="24"/>
          <w:rtl w:val="0"/>
        </w:rPr>
        <w:t xml:space="preserve">(2018) ‘Systematic reporting to improve the emergency medical response to major incidents: a pilot study’, </w:t>
      </w:r>
      <w:r w:rsidDel="00000000" w:rsidR="00000000" w:rsidRPr="00000000">
        <w:rPr>
          <w:i w:val="1"/>
          <w:sz w:val="24"/>
          <w:szCs w:val="24"/>
          <w:rtl w:val="0"/>
        </w:rPr>
        <w:t xml:space="preserve">BMC Emergency Medicine. </w:t>
      </w:r>
      <w:r w:rsidDel="00000000" w:rsidR="00000000" w:rsidRPr="00000000">
        <w:rPr>
          <w:sz w:val="24"/>
          <w:szCs w:val="24"/>
          <w:rtl w:val="0"/>
        </w:rPr>
        <w:t xml:space="preserve">18 (4). DOI: 10.1186/s12873-018-0153-x</w:t>
      </w:r>
    </w:p>
    <w:p w:rsidR="00000000" w:rsidDel="00000000" w:rsidP="00000000" w:rsidRDefault="00000000" w:rsidRPr="00000000" w14:paraId="00000096">
      <w:pPr>
        <w:spacing w:line="360" w:lineRule="auto"/>
        <w:rPr>
          <w:sz w:val="24"/>
          <w:szCs w:val="24"/>
        </w:rPr>
      </w:pPr>
      <w:r w:rsidDel="00000000" w:rsidR="00000000" w:rsidRPr="00000000">
        <w:rPr>
          <w:sz w:val="24"/>
          <w:szCs w:val="24"/>
          <w:rtl w:val="0"/>
        </w:rPr>
        <w:br w:type="textWrapping"/>
        <w:t xml:space="preserve">Sutton, R. </w:t>
      </w:r>
      <w:r w:rsidDel="00000000" w:rsidR="00000000" w:rsidRPr="00000000">
        <w:rPr>
          <w:i w:val="1"/>
          <w:sz w:val="24"/>
          <w:szCs w:val="24"/>
          <w:rtl w:val="0"/>
        </w:rPr>
        <w:t xml:space="preserve">et.al., </w:t>
      </w:r>
      <w:r w:rsidDel="00000000" w:rsidR="00000000" w:rsidRPr="00000000">
        <w:rPr>
          <w:sz w:val="24"/>
          <w:szCs w:val="24"/>
          <w:rtl w:val="0"/>
        </w:rPr>
        <w:t xml:space="preserve">(2017) </w:t>
      </w:r>
      <w:r w:rsidDel="00000000" w:rsidR="00000000" w:rsidRPr="00000000">
        <w:rPr>
          <w:i w:val="1"/>
          <w:sz w:val="24"/>
          <w:szCs w:val="24"/>
          <w:rtl w:val="0"/>
        </w:rPr>
        <w:t xml:space="preserve">Crime Scene Management: Scene Specific Methods. </w:t>
      </w:r>
      <w:r w:rsidDel="00000000" w:rsidR="00000000" w:rsidRPr="00000000">
        <w:rPr>
          <w:sz w:val="24"/>
          <w:szCs w:val="24"/>
          <w:rtl w:val="0"/>
        </w:rPr>
        <w:t xml:space="preserve">2nd Ed. Chichester, United Kingdom. John Wiley &amp; Sons. Available: </w:t>
      </w:r>
      <w:hyperlink r:id="rId21">
        <w:r w:rsidDel="00000000" w:rsidR="00000000" w:rsidRPr="00000000">
          <w:rPr>
            <w:color w:val="1155cc"/>
            <w:sz w:val="24"/>
            <w:szCs w:val="24"/>
            <w:u w:val="single"/>
            <w:rtl w:val="0"/>
          </w:rPr>
          <w:t xml:space="preserve">https://books.google.co.uk/books?id=TBMlDQAAQBAJ&amp;printsec=frontcover&amp;dq=crime+scene+management+scene+specific+method&amp;hl=en&amp;sa=X&amp;ved=2ahUKEwjzp8-_mcHsAhW_RxUIHUriDFcQuwUwAHoECAAQBg#v=onepage&amp;q&amp;f=false</w:t>
        </w:r>
      </w:hyperlink>
      <w:r w:rsidDel="00000000" w:rsidR="00000000" w:rsidRPr="00000000">
        <w:rPr>
          <w:sz w:val="24"/>
          <w:szCs w:val="24"/>
          <w:rtl w:val="0"/>
        </w:rPr>
        <w:t xml:space="preserve"> </w:t>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sz w:val="24"/>
          <w:szCs w:val="24"/>
          <w:rtl w:val="0"/>
        </w:rPr>
        <w:t xml:space="preserve">Tan, E. (2011) </w:t>
      </w:r>
      <w:r w:rsidDel="00000000" w:rsidR="00000000" w:rsidRPr="00000000">
        <w:rPr>
          <w:i w:val="1"/>
          <w:sz w:val="24"/>
          <w:szCs w:val="24"/>
          <w:rtl w:val="0"/>
        </w:rPr>
        <w:t xml:space="preserve">Sample Collection System for DNA Analysis of Forensic Evidence: Towards Practical, Fully‐Integrated STR Analysis. </w:t>
      </w:r>
      <w:r w:rsidDel="00000000" w:rsidR="00000000" w:rsidRPr="00000000">
        <w:rPr>
          <w:sz w:val="24"/>
          <w:szCs w:val="24"/>
          <w:rtl w:val="0"/>
        </w:rPr>
        <w:t xml:space="preserve">Waltham, United States. NetBio Inc. Available: </w:t>
      </w:r>
      <w:hyperlink r:id="rId22">
        <w:r w:rsidDel="00000000" w:rsidR="00000000" w:rsidRPr="00000000">
          <w:rPr>
            <w:color w:val="1155cc"/>
            <w:sz w:val="24"/>
            <w:szCs w:val="24"/>
            <w:u w:val="single"/>
            <w:rtl w:val="0"/>
          </w:rPr>
          <w:t xml:space="preserve">https://www.ncjrs.gov/pdffiles1/nij/grants/236826.pdf</w:t>
        </w:r>
      </w:hyperlink>
      <w:r w:rsidDel="00000000" w:rsidR="00000000" w:rsidRPr="00000000">
        <w:rPr>
          <w:sz w:val="24"/>
          <w:szCs w:val="24"/>
          <w:rtl w:val="0"/>
        </w:rPr>
        <w:t xml:space="preserve"> </w:t>
      </w:r>
    </w:p>
    <w:p w:rsidR="00000000" w:rsidDel="00000000" w:rsidP="00000000" w:rsidRDefault="00000000" w:rsidRPr="00000000" w14:paraId="00000099">
      <w:pPr>
        <w:spacing w:line="360" w:lineRule="auto"/>
        <w:rPr>
          <w:sz w:val="24"/>
          <w:szCs w:val="24"/>
        </w:rPr>
      </w:pPr>
      <w:r w:rsidDel="00000000" w:rsidR="00000000" w:rsidRPr="00000000">
        <w:rPr>
          <w:sz w:val="24"/>
          <w:szCs w:val="24"/>
          <w:rtl w:val="0"/>
        </w:rPr>
        <w:br w:type="textWrapping"/>
        <w:t xml:space="preserve">United Nations Office on Drugs and Crime. (2011) </w:t>
      </w:r>
      <w:r w:rsidDel="00000000" w:rsidR="00000000" w:rsidRPr="00000000">
        <w:rPr>
          <w:i w:val="1"/>
          <w:sz w:val="24"/>
          <w:szCs w:val="24"/>
          <w:rtl w:val="0"/>
        </w:rPr>
        <w:t xml:space="preserve">Crime scene and physical evidence awareness for non-forensic personnel. </w:t>
      </w:r>
      <w:r w:rsidDel="00000000" w:rsidR="00000000" w:rsidRPr="00000000">
        <w:rPr>
          <w:sz w:val="24"/>
          <w:szCs w:val="24"/>
          <w:rtl w:val="0"/>
        </w:rPr>
        <w:t xml:space="preserve">Vienna, Laboratory and Scientific Section United Nations Office on Drugs and Crime. </w:t>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sz w:val="24"/>
          <w:szCs w:val="24"/>
          <w:rtl w:val="0"/>
        </w:rPr>
        <w:t xml:space="preserve">Van Der Walt, J. and Luke, R. (2011) ‘THE STORAGE OF FORENSIC EVIDENCE AT THE FORENSIC SCIENCE LABORATORY IN PRETORIA, SOUTH AFRICA’, </w:t>
      </w:r>
      <w:r w:rsidDel="00000000" w:rsidR="00000000" w:rsidRPr="00000000">
        <w:rPr>
          <w:i w:val="1"/>
          <w:sz w:val="24"/>
          <w:szCs w:val="24"/>
          <w:rtl w:val="0"/>
        </w:rPr>
        <w:t xml:space="preserve">Journal of Transport and Supply Chain Management. </w:t>
      </w:r>
      <w:r w:rsidDel="00000000" w:rsidR="00000000" w:rsidRPr="00000000">
        <w:rPr>
          <w:sz w:val="24"/>
          <w:szCs w:val="24"/>
          <w:rtl w:val="0"/>
        </w:rPr>
        <w:t xml:space="preserve">5(1), pp. 202-220. Available: </w:t>
      </w:r>
      <w:hyperlink r:id="rId23">
        <w:r w:rsidDel="00000000" w:rsidR="00000000" w:rsidRPr="00000000">
          <w:rPr>
            <w:color w:val="1155cc"/>
            <w:sz w:val="24"/>
            <w:szCs w:val="24"/>
            <w:u w:val="single"/>
            <w:rtl w:val="0"/>
          </w:rPr>
          <w:t xml:space="preserve">https://journals.co.za/docserver/fulltext/jtscm/5/1/jtscm_v5_n1_a13.pdf?expires=1603621687&amp;id=id&amp;accname=guest&amp;checksum=564E170FB4EA1649EE63B0CEA9B65462</w:t>
        </w:r>
      </w:hyperlink>
      <w:r w:rsidDel="00000000" w:rsidR="00000000" w:rsidRPr="00000000">
        <w:rPr>
          <w:sz w:val="24"/>
          <w:szCs w:val="24"/>
          <w:rtl w:val="0"/>
        </w:rPr>
        <w:t xml:space="preserve"> </w:t>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sz w:val="24"/>
          <w:szCs w:val="24"/>
          <w:rtl w:val="0"/>
        </w:rPr>
        <w:t xml:space="preserve">Waring, S. (2011) </w:t>
      </w:r>
      <w:r w:rsidDel="00000000" w:rsidR="00000000" w:rsidRPr="00000000">
        <w:rPr>
          <w:i w:val="1"/>
          <w:sz w:val="24"/>
          <w:szCs w:val="24"/>
          <w:rtl w:val="0"/>
        </w:rPr>
        <w:t xml:space="preserve">An examination of the impact of accountability and blame culture on police judgements and decisions in critical incident contexts.</w:t>
      </w:r>
      <w:r w:rsidDel="00000000" w:rsidR="00000000" w:rsidRPr="00000000">
        <w:rPr>
          <w:sz w:val="24"/>
          <w:szCs w:val="24"/>
          <w:rtl w:val="0"/>
        </w:rPr>
        <w:t xml:space="preserve"> Liverpool, University of Liverpool. Available: </w:t>
      </w:r>
      <w:hyperlink r:id="rId24">
        <w:r w:rsidDel="00000000" w:rsidR="00000000" w:rsidRPr="00000000">
          <w:rPr>
            <w:color w:val="1155cc"/>
            <w:sz w:val="24"/>
            <w:szCs w:val="24"/>
            <w:u w:val="single"/>
            <w:rtl w:val="0"/>
          </w:rPr>
          <w:t xml:space="preserve">http://citeseerx.ist.psu.edu/viewdoc/download?doi=10.1.1.427.881&amp;rep=rep1&amp;type=pdf</w:t>
        </w:r>
      </w:hyperlink>
      <w:r w:rsidDel="00000000" w:rsidR="00000000" w:rsidRPr="00000000">
        <w:rPr>
          <w:sz w:val="24"/>
          <w:szCs w:val="24"/>
          <w:rtl w:val="0"/>
        </w:rPr>
        <w:t xml:space="preserve"> </w:t>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rPr>
      </w:pPr>
      <w:r w:rsidDel="00000000" w:rsidR="00000000" w:rsidRPr="00000000">
        <w:rPr>
          <w:sz w:val="24"/>
          <w:szCs w:val="24"/>
          <w:rtl w:val="0"/>
        </w:rPr>
        <w:t xml:space="preserve">White, P.C. (2004) </w:t>
      </w:r>
      <w:r w:rsidDel="00000000" w:rsidR="00000000" w:rsidRPr="00000000">
        <w:rPr>
          <w:i w:val="1"/>
          <w:sz w:val="24"/>
          <w:szCs w:val="24"/>
          <w:rtl w:val="0"/>
        </w:rPr>
        <w:t xml:space="preserve">Crime Scene to Court : The Essentials of Forensic Science. </w:t>
      </w:r>
      <w:r w:rsidDel="00000000" w:rsidR="00000000" w:rsidRPr="00000000">
        <w:rPr>
          <w:sz w:val="24"/>
          <w:szCs w:val="24"/>
          <w:rtl w:val="0"/>
        </w:rPr>
        <w:t xml:space="preserve">2nd Ed. Cambridge, United Kingdom. Royal Society of Chemistry</w:t>
      </w:r>
    </w:p>
    <w:p w:rsidR="00000000" w:rsidDel="00000000" w:rsidP="00000000" w:rsidRDefault="00000000" w:rsidRPr="00000000" w14:paraId="000000A0">
      <w:pPr>
        <w:spacing w:line="360" w:lineRule="auto"/>
        <w:rPr>
          <w:sz w:val="24"/>
          <w:szCs w:val="24"/>
        </w:rPr>
      </w:pPr>
      <w:r w:rsidDel="00000000" w:rsidR="00000000" w:rsidRPr="00000000">
        <w:rPr>
          <w:rtl w:val="0"/>
        </w:rPr>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ind w:left="0" w:firstLine="0"/>
        <w:rPr>
          <w:sz w:val="24"/>
          <w:szCs w:val="24"/>
        </w:rPr>
      </w:pPr>
      <w:r w:rsidDel="00000000" w:rsidR="00000000" w:rsidRPr="00000000">
        <w:rPr>
          <w:rtl w:val="0"/>
        </w:rPr>
      </w:r>
    </w:p>
    <w:sectPr>
      <w:foot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judiciary.uk/wp-content/uploads/2018/12/a220172897-parker-v-cc-essex-police-final-judgment.pdf" TargetMode="External"/><Relationship Id="rId22" Type="http://schemas.openxmlformats.org/officeDocument/2006/relationships/hyperlink" Target="https://www.ncjrs.gov/pdffiles1/nij/grants/236826.pdf" TargetMode="External"/><Relationship Id="rId21" Type="http://schemas.openxmlformats.org/officeDocument/2006/relationships/hyperlink" Target="https://books.google.co.uk/books?id=TBMlDQAAQBAJ&amp;printsec=frontcover&amp;dq=crime+scene+management+scene+specific+method&amp;hl=en&amp;sa=X&amp;ved=2ahUKEwjzp8-_mcHsAhW_RxUIHUriDFcQuwUwAHoECAAQBg#v=onepage&amp;q&amp;f=false" TargetMode="External"/><Relationship Id="rId24" Type="http://schemas.openxmlformats.org/officeDocument/2006/relationships/hyperlink" Target="http://citeseerx.ist.psu.edu/viewdoc/download?doi=10.1.1.427.881&amp;rep=rep1&amp;type=pdf" TargetMode="External"/><Relationship Id="rId23" Type="http://schemas.openxmlformats.org/officeDocument/2006/relationships/hyperlink" Target="https://journals.co.za/docserver/fulltext/jtscm/5/1/jtscm_v5_n1_a13.pdf?expires=1603621687&amp;id=id&amp;accname=guest&amp;checksum=564E170FB4EA1649EE63B0CEA9B6546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pp.college.police.uk/app-content/investigations/forensics/#crime-scene-investigation"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library.college.police.uk/docs/acpo/VCMM-191109.pdf" TargetMode="External"/><Relationship Id="rId7" Type="http://schemas.openxmlformats.org/officeDocument/2006/relationships/hyperlink" Target="https://www.app.college.police.uk/app-content/major-investigation-and-public-protection/domestic-abuse/first-response/#scene-protection" TargetMode="External"/><Relationship Id="rId8" Type="http://schemas.openxmlformats.org/officeDocument/2006/relationships/hyperlink" Target="https://www.app.college.police.uk/app-content/investigations/managing-investigations/#cross-contamination" TargetMode="External"/><Relationship Id="rId11" Type="http://schemas.openxmlformats.org/officeDocument/2006/relationships/hyperlink" Target="https://www.app.college.police.uk/app-content/civil-emergencies/civil-contingencies/command-control-and-coordination/" TargetMode="External"/><Relationship Id="rId10" Type="http://schemas.openxmlformats.org/officeDocument/2006/relationships/hyperlink" Target="https://www.app.college.police.uk/app-content/civil-emergencies/civil-contingencies/response-and-recovery/#cordons" TargetMode="External"/><Relationship Id="rId13" Type="http://schemas.openxmlformats.org/officeDocument/2006/relationships/hyperlink" Target="https://carolinapublicpress.org/10939/auditors-describe-massive-problems-in-asheville-police-evidence-storage-disposal/" TargetMode="External"/><Relationship Id="rId12" Type="http://schemas.openxmlformats.org/officeDocument/2006/relationships/hyperlink" Target="https://www.app.college.police.uk/app-content/investigations/investigation-process/#fast-track-actions" TargetMode="External"/><Relationship Id="rId15" Type="http://schemas.openxmlformats.org/officeDocument/2006/relationships/hyperlink" Target="https://www.abacusdiagnostics.com/Collection_of_Evidence.pdf" TargetMode="External"/><Relationship Id="rId14" Type="http://schemas.openxmlformats.org/officeDocument/2006/relationships/hyperlink" Target="https://assets.publishing.service.gov.uk/government/uploads/system/uploads/attachment_data/file/919630/evidence-in-criminal-investigations-v5.0.pdf" TargetMode="External"/><Relationship Id="rId17" Type="http://schemas.openxmlformats.org/officeDocument/2006/relationships/hyperlink" Target="https://assets.publishing.service.gov.uk/government/uploads/system/uploads/attachment_data/file/277111/4262.pdf" TargetMode="External"/><Relationship Id="rId16" Type="http://schemas.openxmlformats.org/officeDocument/2006/relationships/hyperlink" Target="https://repository.law.umich.edu/cgi/viewcontent.cgi?article=1260&amp;context=mjrl" TargetMode="External"/><Relationship Id="rId19" Type="http://schemas.openxmlformats.org/officeDocument/2006/relationships/hyperlink" Target="https://repository.lboro.ac.uk/ndownloader/files/17105369/1" TargetMode="External"/><Relationship Id="rId18" Type="http://schemas.openxmlformats.org/officeDocument/2006/relationships/hyperlink" Target="https://www.utsystem.edu/sites/default/files/offices/police/policies/Crime-Scene-Investig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