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5946B" w14:textId="77777777" w:rsidR="00817477" w:rsidRPr="007D064D" w:rsidRDefault="00000000">
      <w:pPr>
        <w:jc w:val="center"/>
        <w:rPr>
          <w:sz w:val="28"/>
          <w:szCs w:val="28"/>
        </w:rPr>
      </w:pPr>
      <w:r w:rsidRPr="007D064D">
        <w:rPr>
          <w:b/>
          <w:sz w:val="28"/>
          <w:szCs w:val="28"/>
        </w:rPr>
        <w:t>University of Wales Trinity Saint David</w:t>
      </w:r>
    </w:p>
    <w:p w14:paraId="314BB3E6" w14:textId="77777777" w:rsidR="00817477" w:rsidRDefault="00817477">
      <w:pPr>
        <w:jc w:val="center"/>
      </w:pPr>
    </w:p>
    <w:p w14:paraId="40414F07" w14:textId="77777777" w:rsidR="00817477" w:rsidRPr="007D064D" w:rsidRDefault="00000000">
      <w:pPr>
        <w:jc w:val="center"/>
        <w:rPr>
          <w:sz w:val="24"/>
          <w:szCs w:val="24"/>
        </w:rPr>
      </w:pPr>
      <w:r w:rsidRPr="007D064D">
        <w:rPr>
          <w:sz w:val="24"/>
          <w:szCs w:val="24"/>
        </w:rPr>
        <w:t>Certificate of Higher Education – Skills for the Workplace (Health &amp; Social Care)</w:t>
      </w:r>
    </w:p>
    <w:p w14:paraId="24819C88" w14:textId="77777777" w:rsidR="00817477" w:rsidRPr="007D064D" w:rsidRDefault="00817477">
      <w:pPr>
        <w:jc w:val="center"/>
        <w:rPr>
          <w:sz w:val="24"/>
          <w:szCs w:val="24"/>
        </w:rPr>
      </w:pPr>
    </w:p>
    <w:p w14:paraId="1B5ED0D8" w14:textId="77777777" w:rsidR="00817477" w:rsidRPr="007D064D" w:rsidRDefault="00000000">
      <w:pPr>
        <w:jc w:val="center"/>
        <w:rPr>
          <w:sz w:val="24"/>
          <w:szCs w:val="24"/>
        </w:rPr>
      </w:pPr>
      <w:r w:rsidRPr="007D064D">
        <w:rPr>
          <w:b/>
          <w:sz w:val="24"/>
          <w:szCs w:val="24"/>
        </w:rPr>
        <w:t>Component 2: Case Study Report – Mrs Thompson</w:t>
      </w:r>
    </w:p>
    <w:p w14:paraId="1F7EB43B" w14:textId="77777777" w:rsidR="00817477" w:rsidRPr="007D064D" w:rsidRDefault="00817477">
      <w:pPr>
        <w:jc w:val="center"/>
        <w:rPr>
          <w:sz w:val="24"/>
          <w:szCs w:val="24"/>
        </w:rPr>
      </w:pPr>
    </w:p>
    <w:p w14:paraId="5AD4F307" w14:textId="0546BB7F" w:rsidR="00817477" w:rsidRPr="007D064D" w:rsidRDefault="00000000">
      <w:pPr>
        <w:jc w:val="center"/>
        <w:rPr>
          <w:sz w:val="24"/>
          <w:szCs w:val="24"/>
        </w:rPr>
      </w:pPr>
      <w:r w:rsidRPr="007D064D">
        <w:rPr>
          <w:sz w:val="24"/>
          <w:szCs w:val="24"/>
        </w:rPr>
        <w:t xml:space="preserve">Student name: </w:t>
      </w:r>
      <w:r w:rsidR="007D064D">
        <w:rPr>
          <w:sz w:val="24"/>
          <w:szCs w:val="24"/>
        </w:rPr>
        <w:t>Gilda Ngonga Matuvangua</w:t>
      </w:r>
    </w:p>
    <w:p w14:paraId="367C4B34" w14:textId="5823E236" w:rsidR="00817477" w:rsidRPr="007D064D" w:rsidRDefault="00000000">
      <w:pPr>
        <w:jc w:val="center"/>
        <w:rPr>
          <w:sz w:val="24"/>
          <w:szCs w:val="24"/>
        </w:rPr>
      </w:pPr>
      <w:r w:rsidRPr="007D064D">
        <w:rPr>
          <w:sz w:val="24"/>
          <w:szCs w:val="24"/>
        </w:rPr>
        <w:t>Student ID number:</w:t>
      </w:r>
      <w:r w:rsidR="007D064D">
        <w:rPr>
          <w:sz w:val="24"/>
          <w:szCs w:val="24"/>
        </w:rPr>
        <w:t>2525521</w:t>
      </w:r>
    </w:p>
    <w:p w14:paraId="595DE6CD" w14:textId="77777777" w:rsidR="00817477" w:rsidRPr="007D064D" w:rsidRDefault="00000000">
      <w:pPr>
        <w:jc w:val="center"/>
        <w:rPr>
          <w:sz w:val="24"/>
          <w:szCs w:val="24"/>
        </w:rPr>
      </w:pPr>
      <w:r w:rsidRPr="007D064D">
        <w:rPr>
          <w:sz w:val="24"/>
          <w:szCs w:val="24"/>
        </w:rPr>
        <w:t>Programme: CertHE Skills for the Workplace (Health &amp; Social Care)</w:t>
      </w:r>
    </w:p>
    <w:p w14:paraId="026C294F" w14:textId="77777777" w:rsidR="00817477" w:rsidRPr="007D064D" w:rsidRDefault="00000000">
      <w:pPr>
        <w:jc w:val="center"/>
        <w:rPr>
          <w:sz w:val="24"/>
          <w:szCs w:val="24"/>
        </w:rPr>
      </w:pPr>
      <w:r w:rsidRPr="007D064D">
        <w:rPr>
          <w:sz w:val="24"/>
          <w:szCs w:val="24"/>
        </w:rPr>
        <w:t>Module: Introduction to Health and Social Care</w:t>
      </w:r>
    </w:p>
    <w:p w14:paraId="0A795F38" w14:textId="77777777" w:rsidR="00817477" w:rsidRPr="007D064D" w:rsidRDefault="00000000">
      <w:pPr>
        <w:jc w:val="center"/>
        <w:rPr>
          <w:sz w:val="24"/>
          <w:szCs w:val="24"/>
        </w:rPr>
      </w:pPr>
      <w:r w:rsidRPr="007D064D">
        <w:rPr>
          <w:sz w:val="24"/>
          <w:szCs w:val="24"/>
        </w:rPr>
        <w:t>Module code: LCHS4003</w:t>
      </w:r>
    </w:p>
    <w:p w14:paraId="6D469E91" w14:textId="77777777" w:rsidR="00817477" w:rsidRPr="007D064D" w:rsidRDefault="00000000">
      <w:pPr>
        <w:jc w:val="center"/>
        <w:rPr>
          <w:sz w:val="24"/>
          <w:szCs w:val="24"/>
        </w:rPr>
      </w:pPr>
      <w:r w:rsidRPr="007D064D">
        <w:rPr>
          <w:sz w:val="24"/>
          <w:szCs w:val="24"/>
        </w:rPr>
        <w:t>Lecturer: Muhammad Aliyu (Module Lead)</w:t>
      </w:r>
    </w:p>
    <w:p w14:paraId="6C71F0A6" w14:textId="73493D82" w:rsidR="00817477" w:rsidRPr="007D064D" w:rsidRDefault="00000000" w:rsidP="007D064D">
      <w:pPr>
        <w:jc w:val="center"/>
        <w:rPr>
          <w:sz w:val="24"/>
          <w:szCs w:val="24"/>
        </w:rPr>
      </w:pPr>
      <w:r w:rsidRPr="007D064D">
        <w:rPr>
          <w:sz w:val="24"/>
          <w:szCs w:val="24"/>
        </w:rPr>
        <w:t>Assignment title: Component 2: Written Assignment – Case Study Report (Mrs Thompson)</w:t>
      </w:r>
    </w:p>
    <w:p w14:paraId="04F0F890" w14:textId="77777777" w:rsidR="007D064D" w:rsidRDefault="007D064D"/>
    <w:p w14:paraId="60229B25" w14:textId="77777777" w:rsidR="007D064D" w:rsidRDefault="007D064D"/>
    <w:p w14:paraId="5A2DCB01" w14:textId="77777777" w:rsidR="007D064D" w:rsidRDefault="007D064D"/>
    <w:p w14:paraId="729D71A6" w14:textId="77777777" w:rsidR="007D064D" w:rsidRDefault="007D064D"/>
    <w:p w14:paraId="1F55CF9A" w14:textId="77777777" w:rsidR="007D064D" w:rsidRDefault="007D064D"/>
    <w:p w14:paraId="2C1AEFEF" w14:textId="77777777" w:rsidR="007D064D" w:rsidRDefault="007D064D"/>
    <w:p w14:paraId="06E2B460" w14:textId="77777777" w:rsidR="007D064D" w:rsidRDefault="007D064D"/>
    <w:p w14:paraId="0F181DD7" w14:textId="77777777" w:rsidR="007D064D" w:rsidRDefault="007D064D"/>
    <w:p w14:paraId="7171957E" w14:textId="77777777" w:rsidR="007D064D" w:rsidRDefault="007D064D"/>
    <w:p w14:paraId="4A111A7F" w14:textId="77777777" w:rsidR="007D064D" w:rsidRDefault="007D064D"/>
    <w:p w14:paraId="5C682B0A" w14:textId="77777777" w:rsidR="007D064D" w:rsidRDefault="007D064D"/>
    <w:p w14:paraId="1A53744C" w14:textId="77777777" w:rsidR="007D064D" w:rsidRDefault="007D064D"/>
    <w:p w14:paraId="5B75A060" w14:textId="77777777" w:rsidR="007D064D" w:rsidRDefault="007D064D"/>
    <w:p w14:paraId="09F0564C" w14:textId="77777777" w:rsidR="007D064D" w:rsidRDefault="007D064D"/>
    <w:p w14:paraId="6CEAA47B" w14:textId="77777777" w:rsidR="007D064D" w:rsidRDefault="007D064D"/>
    <w:p w14:paraId="3A36FBE8" w14:textId="77777777" w:rsidR="007D064D" w:rsidRDefault="007D064D"/>
    <w:p w14:paraId="1CF02B0C" w14:textId="77777777" w:rsidR="007D064D" w:rsidRDefault="007D064D"/>
    <w:p w14:paraId="3813D5F1" w14:textId="77777777" w:rsidR="007D064D" w:rsidRDefault="007D064D"/>
    <w:p w14:paraId="58BBB67B" w14:textId="77777777" w:rsidR="007D064D" w:rsidRDefault="007D064D"/>
    <w:sdt>
      <w:sdtPr>
        <w:id w:val="-513533299"/>
        <w:docPartObj>
          <w:docPartGallery w:val="Table of Contents"/>
          <w:docPartUnique/>
        </w:docPartObj>
      </w:sdtPr>
      <w:sdtEndPr>
        <w:rPr>
          <w:rFonts w:ascii="Arial" w:eastAsia="Arial" w:hAnsi="Arial" w:cstheme="minorBidi"/>
          <w:noProof/>
          <w:color w:val="auto"/>
          <w:sz w:val="22"/>
          <w:szCs w:val="22"/>
        </w:rPr>
      </w:sdtEndPr>
      <w:sdtContent>
        <w:p w14:paraId="607F7AA1" w14:textId="55DBEA26" w:rsidR="007D064D" w:rsidRDefault="007D064D">
          <w:pPr>
            <w:pStyle w:val="TOCHeading"/>
          </w:pPr>
          <w:r>
            <w:t>Contents</w:t>
          </w:r>
        </w:p>
        <w:p w14:paraId="55310396" w14:textId="643BDB8C" w:rsidR="007D064D" w:rsidRDefault="007D064D">
          <w:pPr>
            <w:pStyle w:val="TOC1"/>
            <w:tabs>
              <w:tab w:val="right" w:leader="dot" w:pos="9350"/>
            </w:tabs>
            <w:rPr>
              <w:noProof/>
            </w:rPr>
          </w:pPr>
          <w:r>
            <w:fldChar w:fldCharType="begin"/>
          </w:r>
          <w:r>
            <w:instrText xml:space="preserve"> TOC \o "1-3" \h \z \u </w:instrText>
          </w:r>
          <w:r>
            <w:fldChar w:fldCharType="separate"/>
          </w:r>
          <w:hyperlink w:anchor="_Toc238159997" w:history="1">
            <w:r w:rsidRPr="002E2F81">
              <w:rPr>
                <w:rStyle w:val="Hyperlink"/>
                <w:noProof/>
              </w:rPr>
              <w:t>Introduction</w:t>
            </w:r>
            <w:r>
              <w:rPr>
                <w:noProof/>
                <w:webHidden/>
              </w:rPr>
              <w:tab/>
            </w:r>
            <w:r>
              <w:rPr>
                <w:noProof/>
                <w:webHidden/>
              </w:rPr>
              <w:fldChar w:fldCharType="begin"/>
            </w:r>
            <w:r>
              <w:rPr>
                <w:noProof/>
                <w:webHidden/>
              </w:rPr>
              <w:instrText xml:space="preserve"> PAGEREF _Toc238159997 \h </w:instrText>
            </w:r>
            <w:r>
              <w:rPr>
                <w:noProof/>
                <w:webHidden/>
              </w:rPr>
            </w:r>
            <w:r>
              <w:rPr>
                <w:noProof/>
                <w:webHidden/>
              </w:rPr>
              <w:fldChar w:fldCharType="separate"/>
            </w:r>
            <w:r>
              <w:rPr>
                <w:noProof/>
                <w:webHidden/>
              </w:rPr>
              <w:t>3</w:t>
            </w:r>
            <w:r>
              <w:rPr>
                <w:noProof/>
                <w:webHidden/>
              </w:rPr>
              <w:fldChar w:fldCharType="end"/>
            </w:r>
          </w:hyperlink>
        </w:p>
        <w:p w14:paraId="546373F2" w14:textId="4A06DD1B" w:rsidR="007D064D" w:rsidRDefault="007D064D">
          <w:pPr>
            <w:pStyle w:val="TOC1"/>
            <w:tabs>
              <w:tab w:val="right" w:leader="dot" w:pos="9350"/>
            </w:tabs>
            <w:rPr>
              <w:noProof/>
            </w:rPr>
          </w:pPr>
          <w:hyperlink w:anchor="_Toc238159998" w:history="1">
            <w:r w:rsidRPr="002E2F81">
              <w:rPr>
                <w:rStyle w:val="Hyperlink"/>
                <w:noProof/>
              </w:rPr>
              <w:t>1. Effective Communication in Mrs Thompson's Care</w:t>
            </w:r>
            <w:r>
              <w:rPr>
                <w:noProof/>
                <w:webHidden/>
              </w:rPr>
              <w:tab/>
            </w:r>
            <w:r>
              <w:rPr>
                <w:noProof/>
                <w:webHidden/>
              </w:rPr>
              <w:fldChar w:fldCharType="begin"/>
            </w:r>
            <w:r>
              <w:rPr>
                <w:noProof/>
                <w:webHidden/>
              </w:rPr>
              <w:instrText xml:space="preserve"> PAGEREF _Toc238159998 \h </w:instrText>
            </w:r>
            <w:r>
              <w:rPr>
                <w:noProof/>
                <w:webHidden/>
              </w:rPr>
            </w:r>
            <w:r>
              <w:rPr>
                <w:noProof/>
                <w:webHidden/>
              </w:rPr>
              <w:fldChar w:fldCharType="separate"/>
            </w:r>
            <w:r>
              <w:rPr>
                <w:noProof/>
                <w:webHidden/>
              </w:rPr>
              <w:t>3</w:t>
            </w:r>
            <w:r>
              <w:rPr>
                <w:noProof/>
                <w:webHidden/>
              </w:rPr>
              <w:fldChar w:fldCharType="end"/>
            </w:r>
          </w:hyperlink>
        </w:p>
        <w:p w14:paraId="0663FEAF" w14:textId="05CDA83D" w:rsidR="007D064D" w:rsidRDefault="007D064D">
          <w:pPr>
            <w:pStyle w:val="TOC1"/>
            <w:tabs>
              <w:tab w:val="right" w:leader="dot" w:pos="9350"/>
            </w:tabs>
            <w:rPr>
              <w:noProof/>
            </w:rPr>
          </w:pPr>
          <w:hyperlink w:anchor="_Toc238159999" w:history="1">
            <w:r w:rsidRPr="002E2F81">
              <w:rPr>
                <w:rStyle w:val="Hyperlink"/>
                <w:noProof/>
              </w:rPr>
              <w:t>2. Administrative Practice, Record-Keeping and the Data Protection Act 2018</w:t>
            </w:r>
            <w:r>
              <w:rPr>
                <w:noProof/>
                <w:webHidden/>
              </w:rPr>
              <w:tab/>
            </w:r>
            <w:r>
              <w:rPr>
                <w:noProof/>
                <w:webHidden/>
              </w:rPr>
              <w:fldChar w:fldCharType="begin"/>
            </w:r>
            <w:r>
              <w:rPr>
                <w:noProof/>
                <w:webHidden/>
              </w:rPr>
              <w:instrText xml:space="preserve"> PAGEREF _Toc238159999 \h </w:instrText>
            </w:r>
            <w:r>
              <w:rPr>
                <w:noProof/>
                <w:webHidden/>
              </w:rPr>
            </w:r>
            <w:r>
              <w:rPr>
                <w:noProof/>
                <w:webHidden/>
              </w:rPr>
              <w:fldChar w:fldCharType="separate"/>
            </w:r>
            <w:r>
              <w:rPr>
                <w:noProof/>
                <w:webHidden/>
              </w:rPr>
              <w:t>4</w:t>
            </w:r>
            <w:r>
              <w:rPr>
                <w:noProof/>
                <w:webHidden/>
              </w:rPr>
              <w:fldChar w:fldCharType="end"/>
            </w:r>
          </w:hyperlink>
        </w:p>
        <w:p w14:paraId="452E250A" w14:textId="6CAA346F" w:rsidR="007D064D" w:rsidRDefault="007D064D">
          <w:pPr>
            <w:pStyle w:val="TOC1"/>
            <w:tabs>
              <w:tab w:val="right" w:leader="dot" w:pos="9350"/>
            </w:tabs>
            <w:rPr>
              <w:noProof/>
            </w:rPr>
          </w:pPr>
          <w:hyperlink w:anchor="_Toc238160000" w:history="1">
            <w:r w:rsidRPr="002E2F81">
              <w:rPr>
                <w:rStyle w:val="Hyperlink"/>
                <w:noProof/>
              </w:rPr>
              <w:t>3. Collaborative Working Across Mrs Thompson's Care Team</w:t>
            </w:r>
            <w:r>
              <w:rPr>
                <w:noProof/>
                <w:webHidden/>
              </w:rPr>
              <w:tab/>
            </w:r>
            <w:r>
              <w:rPr>
                <w:noProof/>
                <w:webHidden/>
              </w:rPr>
              <w:fldChar w:fldCharType="begin"/>
            </w:r>
            <w:r>
              <w:rPr>
                <w:noProof/>
                <w:webHidden/>
              </w:rPr>
              <w:instrText xml:space="preserve"> PAGEREF _Toc238160000 \h </w:instrText>
            </w:r>
            <w:r>
              <w:rPr>
                <w:noProof/>
                <w:webHidden/>
              </w:rPr>
            </w:r>
            <w:r>
              <w:rPr>
                <w:noProof/>
                <w:webHidden/>
              </w:rPr>
              <w:fldChar w:fldCharType="separate"/>
            </w:r>
            <w:r>
              <w:rPr>
                <w:noProof/>
                <w:webHidden/>
              </w:rPr>
              <w:t>5</w:t>
            </w:r>
            <w:r>
              <w:rPr>
                <w:noProof/>
                <w:webHidden/>
              </w:rPr>
              <w:fldChar w:fldCharType="end"/>
            </w:r>
          </w:hyperlink>
        </w:p>
        <w:p w14:paraId="164FC395" w14:textId="1FE986F3" w:rsidR="007D064D" w:rsidRDefault="007D064D">
          <w:pPr>
            <w:pStyle w:val="TOC1"/>
            <w:tabs>
              <w:tab w:val="right" w:leader="dot" w:pos="9350"/>
            </w:tabs>
            <w:rPr>
              <w:noProof/>
            </w:rPr>
          </w:pPr>
          <w:hyperlink w:anchor="_Toc238160001" w:history="1">
            <w:r w:rsidRPr="002E2F81">
              <w:rPr>
                <w:rStyle w:val="Hyperlink"/>
                <w:noProof/>
              </w:rPr>
              <w:t>Conclusion</w:t>
            </w:r>
            <w:r>
              <w:rPr>
                <w:noProof/>
                <w:webHidden/>
              </w:rPr>
              <w:tab/>
            </w:r>
            <w:r>
              <w:rPr>
                <w:noProof/>
                <w:webHidden/>
              </w:rPr>
              <w:fldChar w:fldCharType="begin"/>
            </w:r>
            <w:r>
              <w:rPr>
                <w:noProof/>
                <w:webHidden/>
              </w:rPr>
              <w:instrText xml:space="preserve"> PAGEREF _Toc238160001 \h </w:instrText>
            </w:r>
            <w:r>
              <w:rPr>
                <w:noProof/>
                <w:webHidden/>
              </w:rPr>
            </w:r>
            <w:r>
              <w:rPr>
                <w:noProof/>
                <w:webHidden/>
              </w:rPr>
              <w:fldChar w:fldCharType="separate"/>
            </w:r>
            <w:r>
              <w:rPr>
                <w:noProof/>
                <w:webHidden/>
              </w:rPr>
              <w:t>6</w:t>
            </w:r>
            <w:r>
              <w:rPr>
                <w:noProof/>
                <w:webHidden/>
              </w:rPr>
              <w:fldChar w:fldCharType="end"/>
            </w:r>
          </w:hyperlink>
        </w:p>
        <w:p w14:paraId="0D0EE188" w14:textId="38214B11" w:rsidR="007D064D" w:rsidRDefault="007D064D">
          <w:pPr>
            <w:pStyle w:val="TOC1"/>
            <w:tabs>
              <w:tab w:val="right" w:leader="dot" w:pos="9350"/>
            </w:tabs>
            <w:rPr>
              <w:noProof/>
            </w:rPr>
          </w:pPr>
          <w:hyperlink w:anchor="_Toc238160002" w:history="1">
            <w:r w:rsidRPr="002E2F81">
              <w:rPr>
                <w:rStyle w:val="Hyperlink"/>
                <w:noProof/>
              </w:rPr>
              <w:t>References</w:t>
            </w:r>
            <w:r>
              <w:rPr>
                <w:noProof/>
                <w:webHidden/>
              </w:rPr>
              <w:tab/>
            </w:r>
            <w:r>
              <w:rPr>
                <w:noProof/>
                <w:webHidden/>
              </w:rPr>
              <w:fldChar w:fldCharType="begin"/>
            </w:r>
            <w:r>
              <w:rPr>
                <w:noProof/>
                <w:webHidden/>
              </w:rPr>
              <w:instrText xml:space="preserve"> PAGEREF _Toc238160002 \h </w:instrText>
            </w:r>
            <w:r>
              <w:rPr>
                <w:noProof/>
                <w:webHidden/>
              </w:rPr>
            </w:r>
            <w:r>
              <w:rPr>
                <w:noProof/>
                <w:webHidden/>
              </w:rPr>
              <w:fldChar w:fldCharType="separate"/>
            </w:r>
            <w:r>
              <w:rPr>
                <w:noProof/>
                <w:webHidden/>
              </w:rPr>
              <w:t>7</w:t>
            </w:r>
            <w:r>
              <w:rPr>
                <w:noProof/>
                <w:webHidden/>
              </w:rPr>
              <w:fldChar w:fldCharType="end"/>
            </w:r>
          </w:hyperlink>
        </w:p>
        <w:p w14:paraId="15904C41" w14:textId="7049AF6D" w:rsidR="007D064D" w:rsidRDefault="007D064D">
          <w:r>
            <w:rPr>
              <w:b/>
              <w:bCs/>
              <w:noProof/>
            </w:rPr>
            <w:fldChar w:fldCharType="end"/>
          </w:r>
        </w:p>
      </w:sdtContent>
    </w:sdt>
    <w:p w14:paraId="34A2DE32" w14:textId="77777777" w:rsidR="007D064D" w:rsidRDefault="007D064D"/>
    <w:p w14:paraId="6A29F6F4" w14:textId="77777777" w:rsidR="00817477" w:rsidRDefault="00817477"/>
    <w:p w14:paraId="029EF172" w14:textId="77777777" w:rsidR="007D064D" w:rsidRDefault="007D064D">
      <w:pPr>
        <w:spacing w:before="120" w:after="60"/>
        <w:rPr>
          <w:b/>
        </w:rPr>
      </w:pPr>
    </w:p>
    <w:p w14:paraId="18E700CB" w14:textId="77777777" w:rsidR="007D064D" w:rsidRDefault="007D064D">
      <w:pPr>
        <w:spacing w:before="120" w:after="60"/>
        <w:rPr>
          <w:b/>
        </w:rPr>
      </w:pPr>
    </w:p>
    <w:p w14:paraId="7CFA0E5C" w14:textId="77777777" w:rsidR="007D064D" w:rsidRDefault="007D064D">
      <w:pPr>
        <w:spacing w:before="120" w:after="60"/>
        <w:rPr>
          <w:b/>
        </w:rPr>
      </w:pPr>
    </w:p>
    <w:p w14:paraId="1DF8FC83" w14:textId="77777777" w:rsidR="007D064D" w:rsidRDefault="007D064D">
      <w:pPr>
        <w:spacing w:before="120" w:after="60"/>
        <w:rPr>
          <w:b/>
        </w:rPr>
      </w:pPr>
    </w:p>
    <w:p w14:paraId="78FB8300" w14:textId="77777777" w:rsidR="007D064D" w:rsidRDefault="007D064D">
      <w:pPr>
        <w:spacing w:before="120" w:after="60"/>
        <w:rPr>
          <w:b/>
        </w:rPr>
      </w:pPr>
    </w:p>
    <w:p w14:paraId="469F9BFB" w14:textId="77777777" w:rsidR="007D064D" w:rsidRDefault="007D064D">
      <w:pPr>
        <w:spacing w:before="120" w:after="60"/>
        <w:rPr>
          <w:b/>
        </w:rPr>
      </w:pPr>
    </w:p>
    <w:p w14:paraId="67344CB4" w14:textId="77777777" w:rsidR="007D064D" w:rsidRDefault="007D064D">
      <w:pPr>
        <w:spacing w:before="120" w:after="60"/>
        <w:rPr>
          <w:b/>
        </w:rPr>
      </w:pPr>
    </w:p>
    <w:p w14:paraId="3DF90ED8" w14:textId="77777777" w:rsidR="007D064D" w:rsidRDefault="007D064D">
      <w:pPr>
        <w:spacing w:before="120" w:after="60"/>
        <w:rPr>
          <w:b/>
        </w:rPr>
      </w:pPr>
    </w:p>
    <w:p w14:paraId="273726B9" w14:textId="77777777" w:rsidR="007D064D" w:rsidRDefault="007D064D">
      <w:pPr>
        <w:spacing w:before="120" w:after="60"/>
        <w:rPr>
          <w:b/>
        </w:rPr>
      </w:pPr>
    </w:p>
    <w:p w14:paraId="571EBBE1" w14:textId="77777777" w:rsidR="007D064D" w:rsidRDefault="007D064D">
      <w:pPr>
        <w:spacing w:before="120" w:after="60"/>
        <w:rPr>
          <w:b/>
        </w:rPr>
      </w:pPr>
    </w:p>
    <w:p w14:paraId="0255ED56" w14:textId="77777777" w:rsidR="007D064D" w:rsidRDefault="007D064D">
      <w:pPr>
        <w:spacing w:before="120" w:after="60"/>
        <w:rPr>
          <w:b/>
        </w:rPr>
      </w:pPr>
    </w:p>
    <w:p w14:paraId="57DD3AE1" w14:textId="77777777" w:rsidR="007D064D" w:rsidRDefault="007D064D">
      <w:pPr>
        <w:spacing w:before="120" w:after="60"/>
        <w:rPr>
          <w:b/>
        </w:rPr>
      </w:pPr>
    </w:p>
    <w:p w14:paraId="7D48BD37" w14:textId="77777777" w:rsidR="007D064D" w:rsidRDefault="007D064D">
      <w:pPr>
        <w:spacing w:before="120" w:after="60"/>
        <w:rPr>
          <w:b/>
        </w:rPr>
      </w:pPr>
    </w:p>
    <w:p w14:paraId="753DF8B6" w14:textId="77777777" w:rsidR="007D064D" w:rsidRDefault="007D064D">
      <w:pPr>
        <w:spacing w:before="120" w:after="60"/>
        <w:rPr>
          <w:b/>
        </w:rPr>
      </w:pPr>
    </w:p>
    <w:p w14:paraId="207A8069" w14:textId="77777777" w:rsidR="007D064D" w:rsidRDefault="007D064D">
      <w:pPr>
        <w:spacing w:before="120" w:after="60"/>
        <w:rPr>
          <w:b/>
        </w:rPr>
      </w:pPr>
    </w:p>
    <w:p w14:paraId="02370653" w14:textId="77777777" w:rsidR="007D064D" w:rsidRDefault="007D064D">
      <w:pPr>
        <w:spacing w:before="120" w:after="60"/>
      </w:pPr>
    </w:p>
    <w:p w14:paraId="3C4680DC" w14:textId="77777777" w:rsidR="00817477" w:rsidRDefault="00817477"/>
    <w:p w14:paraId="77CA5D56" w14:textId="4B1FBE1B" w:rsidR="00817477" w:rsidRDefault="00000000" w:rsidP="000D0CA0">
      <w:pPr>
        <w:pStyle w:val="Heading1"/>
        <w:spacing w:after="60"/>
      </w:pPr>
      <w:bookmarkStart w:id="0" w:name="_Toc238159997"/>
      <w:r>
        <w:rPr>
          <w:rFonts w:ascii="Arial" w:eastAsia="Arial" w:hAnsi="Arial"/>
          <w:sz w:val="22"/>
        </w:rPr>
        <w:lastRenderedPageBreak/>
        <w:t>I</w:t>
      </w:r>
      <w:bookmarkEnd w:id="0"/>
      <w:r w:rsidR="006D0346">
        <w:rPr>
          <w:rFonts w:ascii="Arial" w:eastAsia="Arial" w:hAnsi="Arial"/>
          <w:sz w:val="22"/>
        </w:rPr>
        <w:t>NTRODUCTIOM</w:t>
      </w:r>
    </w:p>
    <w:p w14:paraId="296B937F" w14:textId="77777777" w:rsidR="00817477" w:rsidRDefault="00000000" w:rsidP="000D0CA0">
      <w:r>
        <w:t>This report critically examines the case of Mrs Thompson, an 84-year-old woman who was recently hospitalised with pneumonia and is living with mild dementia. It explores how ineffective communication, poor administrative practice, and inadequate collaborative working can compromise the safety, dignity, and wellbeing of vulnerable individuals. In Mrs Thompson's case, two missed days of medication resulted in increased confusion, while a separate incident in which she was found outside without appropriate clothing highlighted significant concerns regarding risk management and continuity of care.</w:t>
      </w:r>
    </w:p>
    <w:p w14:paraId="1F062E4E" w14:textId="77777777" w:rsidR="00817477" w:rsidRDefault="00000000" w:rsidP="000D0CA0">
      <w:r>
        <w:t>The report argues that person-centred communication, accurate record-keeping, and effective multidisciplinary collaboration are essential to delivering safe, high-quality care. It critically evaluates these issues in relation to relevant legislation, including the Equality Act 2010, the Care Act 2014 and the Data Protection Act 2018, alongside current academic literature, to demonstrate how effective professional practice can reduce the risk of harm and improve outcomes for Mrs Thompson.</w:t>
      </w:r>
    </w:p>
    <w:p w14:paraId="4B2B1E88" w14:textId="5659A0D6" w:rsidR="00817477" w:rsidRDefault="00000000" w:rsidP="000D0CA0">
      <w:pPr>
        <w:pStyle w:val="Heading1"/>
        <w:numPr>
          <w:ilvl w:val="0"/>
          <w:numId w:val="10"/>
        </w:numPr>
        <w:spacing w:after="60"/>
        <w:rPr>
          <w:rFonts w:ascii="Arial" w:eastAsia="Arial" w:hAnsi="Arial"/>
          <w:sz w:val="22"/>
        </w:rPr>
      </w:pPr>
      <w:bookmarkStart w:id="1" w:name="_Toc238159998"/>
      <w:proofErr w:type="gramStart"/>
      <w:r>
        <w:rPr>
          <w:rFonts w:ascii="Arial" w:eastAsia="Arial" w:hAnsi="Arial"/>
          <w:sz w:val="22"/>
        </w:rPr>
        <w:t>E</w:t>
      </w:r>
      <w:r w:rsidR="00CA2B22">
        <w:rPr>
          <w:rFonts w:ascii="Arial" w:eastAsia="Arial" w:hAnsi="Arial"/>
          <w:sz w:val="22"/>
        </w:rPr>
        <w:t xml:space="preserve">FFECTIVE </w:t>
      </w:r>
      <w:r>
        <w:rPr>
          <w:rFonts w:ascii="Arial" w:eastAsia="Arial" w:hAnsi="Arial"/>
          <w:sz w:val="22"/>
        </w:rPr>
        <w:t xml:space="preserve"> C</w:t>
      </w:r>
      <w:r w:rsidR="00CA2B22">
        <w:rPr>
          <w:rFonts w:ascii="Arial" w:eastAsia="Arial" w:hAnsi="Arial"/>
          <w:sz w:val="22"/>
        </w:rPr>
        <w:t>OMMUNICATION</w:t>
      </w:r>
      <w:proofErr w:type="gramEnd"/>
      <w:r w:rsidR="00CA2B22">
        <w:rPr>
          <w:rFonts w:ascii="Arial" w:eastAsia="Arial" w:hAnsi="Arial"/>
          <w:sz w:val="22"/>
        </w:rPr>
        <w:t xml:space="preserve"> </w:t>
      </w:r>
      <w:r>
        <w:rPr>
          <w:rFonts w:ascii="Arial" w:eastAsia="Arial" w:hAnsi="Arial"/>
          <w:sz w:val="22"/>
        </w:rPr>
        <w:t xml:space="preserve"> </w:t>
      </w:r>
      <w:proofErr w:type="gramStart"/>
      <w:r w:rsidR="00CA2B22">
        <w:rPr>
          <w:rFonts w:ascii="Arial" w:eastAsia="Arial" w:hAnsi="Arial"/>
          <w:sz w:val="22"/>
        </w:rPr>
        <w:t xml:space="preserve">IN </w:t>
      </w:r>
      <w:r>
        <w:rPr>
          <w:rFonts w:ascii="Arial" w:eastAsia="Arial" w:hAnsi="Arial"/>
          <w:sz w:val="22"/>
        </w:rPr>
        <w:t xml:space="preserve"> M</w:t>
      </w:r>
      <w:r w:rsidR="00F8397B">
        <w:rPr>
          <w:rFonts w:ascii="Arial" w:eastAsia="Arial" w:hAnsi="Arial"/>
          <w:sz w:val="22"/>
        </w:rPr>
        <w:t>RS.</w:t>
      </w:r>
      <w:proofErr w:type="gramEnd"/>
      <w:r w:rsidR="00F8397B">
        <w:rPr>
          <w:rFonts w:ascii="Arial" w:eastAsia="Arial" w:hAnsi="Arial"/>
          <w:sz w:val="22"/>
        </w:rPr>
        <w:t xml:space="preserve"> </w:t>
      </w:r>
      <w:r>
        <w:rPr>
          <w:rFonts w:ascii="Arial" w:eastAsia="Arial" w:hAnsi="Arial"/>
          <w:sz w:val="22"/>
        </w:rPr>
        <w:t xml:space="preserve"> T</w:t>
      </w:r>
      <w:r w:rsidR="00CA2B22">
        <w:rPr>
          <w:rFonts w:ascii="Arial" w:eastAsia="Arial" w:hAnsi="Arial"/>
          <w:sz w:val="22"/>
        </w:rPr>
        <w:t>HOMSON</w:t>
      </w:r>
      <w:r>
        <w:rPr>
          <w:rFonts w:ascii="Arial" w:eastAsia="Arial" w:hAnsi="Arial"/>
          <w:sz w:val="22"/>
        </w:rPr>
        <w:t>'</w:t>
      </w:r>
      <w:r w:rsidR="00F8397B">
        <w:rPr>
          <w:rFonts w:ascii="Arial" w:eastAsia="Arial" w:hAnsi="Arial"/>
          <w:sz w:val="22"/>
        </w:rPr>
        <w:t>S</w:t>
      </w:r>
      <w:r>
        <w:rPr>
          <w:rFonts w:ascii="Arial" w:eastAsia="Arial" w:hAnsi="Arial"/>
          <w:sz w:val="22"/>
        </w:rPr>
        <w:t xml:space="preserve"> C</w:t>
      </w:r>
      <w:bookmarkEnd w:id="1"/>
      <w:r w:rsidR="00F8397B">
        <w:rPr>
          <w:rFonts w:ascii="Arial" w:eastAsia="Arial" w:hAnsi="Arial"/>
          <w:sz w:val="22"/>
        </w:rPr>
        <w:t>ARE</w:t>
      </w:r>
    </w:p>
    <w:p w14:paraId="05970D15" w14:textId="77777777" w:rsidR="006B7642" w:rsidRPr="006B7642" w:rsidRDefault="006B7642" w:rsidP="000D0CA0"/>
    <w:p w14:paraId="503F2A16" w14:textId="77777777" w:rsidR="00817477" w:rsidRDefault="00000000" w:rsidP="000D0CA0">
      <w:r>
        <w:t>Effective communication is fundamental to ensuring Mrs Thompson's safety, wellbeing, and quality of care. Poor communication may have contributed to her missed medication and the incident in which she was found outside without appropriate clothing. Communicating with an individual living with mild dementia involves far more than simply giving instructions; it requires recognising cognitive changes, promoting dignity, respecting independence, and involving family members appropriately in care planning where consent has been obtained or where this is in the person's best interests.</w:t>
      </w:r>
    </w:p>
    <w:p w14:paraId="223E704D" w14:textId="77777777" w:rsidR="00817477" w:rsidRDefault="00000000" w:rsidP="000D0CA0">
      <w:r>
        <w:t>This approach is supported by the Equality Act 2010, which protects individuals from discrimination on the grounds of age and disability. Dementia may meet the definition of disability where it has a substantial and long-term adverse effect on an individual's ability to carry out normal day-to-day activities. Health and social care professionals should therefore make reasonable adjustments, such as allowing additional time for conversations, using simple and consistent language, maintaining appropriate eye contact, and checking understanding rather than making assumptions about capacity. These adjustments can help promote person-centred care while maintaining Mrs Thompson's dignity, autonomy, and safety (Great Britain, 2010).</w:t>
      </w:r>
    </w:p>
    <w:p w14:paraId="5066F970" w14:textId="77777777" w:rsidR="00817477" w:rsidRDefault="00000000" w:rsidP="000D0CA0">
      <w:r>
        <w:lastRenderedPageBreak/>
        <w:t>One communication approach that may be beneficial is the Person-Centred Communication Enhancement Model (O'Rourke et al., 2022). This model promotes communication through facilitation, recognition, validation, and negotiation rather than directing or correcting the individual. In Mrs Thompson's case, staff should acknowledge any confusion or distress she may be experiencing, actively listen to her concerns, and respond with reassurance instead of confrontation. Pepper and Harrison Dening (2023) also emphasise the importance of appropriate verbal and non-verbal communication, including using a calm approach, allowing sufficient time for responses, and adapting communication to the needs of the person living with dementia.</w:t>
      </w:r>
    </w:p>
    <w:p w14:paraId="197C11C2" w14:textId="77777777" w:rsidR="00817477" w:rsidRDefault="00000000" w:rsidP="000D0CA0">
      <w:r>
        <w:t>However, communication models alone cannot guarantee positive outcomes. In practice, staff shortages, time pressures, and frequent changes in care staff may limit opportunities to provide genuinely person-centred communication. Care can therefore become task-focused rather than relationship-centred, reducing the effectiveness of otherwise evidence-based communication strategies. This is particularly significant in Mrs Thompson's case, where missed medication and the incident of her leaving home inappropriately dressed suggest that communication and ongoing monitoring were insufficient to identify escalating risks at an early stage. Consequently, effective communication should be viewed as a continuous process that supports safeguarding, promotes independence, and enables timely intervention before harm occurs.</w:t>
      </w:r>
    </w:p>
    <w:p w14:paraId="170EBB38" w14:textId="77777777" w:rsidR="007D064D" w:rsidRDefault="007D064D" w:rsidP="000D0CA0"/>
    <w:p w14:paraId="47C211AC" w14:textId="69990738" w:rsidR="00817477" w:rsidRDefault="00000000" w:rsidP="000D0CA0">
      <w:pPr>
        <w:pStyle w:val="Heading1"/>
        <w:spacing w:after="60"/>
        <w:rPr>
          <w:rFonts w:ascii="Arial" w:eastAsia="Arial" w:hAnsi="Arial"/>
          <w:sz w:val="22"/>
        </w:rPr>
      </w:pPr>
      <w:bookmarkStart w:id="2" w:name="_Toc238159999"/>
      <w:r>
        <w:rPr>
          <w:rFonts w:ascii="Arial" w:eastAsia="Arial" w:hAnsi="Arial"/>
          <w:sz w:val="22"/>
        </w:rPr>
        <w:t>2. A</w:t>
      </w:r>
      <w:r w:rsidR="00F8397B">
        <w:rPr>
          <w:rFonts w:ascii="Arial" w:eastAsia="Arial" w:hAnsi="Arial"/>
          <w:sz w:val="22"/>
        </w:rPr>
        <w:t xml:space="preserve">DMINISTRATIVE </w:t>
      </w:r>
      <w:r w:rsidR="008C0BA3">
        <w:rPr>
          <w:rFonts w:ascii="Arial" w:eastAsia="Arial" w:hAnsi="Arial"/>
          <w:sz w:val="22"/>
        </w:rPr>
        <w:t>PRACTICE, RECORD</w:t>
      </w:r>
      <w:r w:rsidR="00527E83">
        <w:rPr>
          <w:rFonts w:ascii="Arial" w:eastAsia="Arial" w:hAnsi="Arial"/>
          <w:sz w:val="22"/>
        </w:rPr>
        <w:t>-</w:t>
      </w:r>
      <w:r w:rsidR="008C0BA3">
        <w:rPr>
          <w:rFonts w:ascii="Arial" w:eastAsia="Arial" w:hAnsi="Arial"/>
          <w:sz w:val="22"/>
        </w:rPr>
        <w:t xml:space="preserve">KEEPING AND DATA PROTECTION ACT </w:t>
      </w:r>
      <w:r w:rsidR="00527E83">
        <w:rPr>
          <w:rFonts w:ascii="Arial" w:eastAsia="Arial" w:hAnsi="Arial"/>
          <w:sz w:val="22"/>
        </w:rPr>
        <w:t>2018</w:t>
      </w:r>
      <w:bookmarkEnd w:id="2"/>
      <w:r w:rsidR="00527E83">
        <w:rPr>
          <w:rFonts w:ascii="Arial" w:eastAsia="Arial" w:hAnsi="Arial"/>
          <w:sz w:val="22"/>
        </w:rPr>
        <w:t xml:space="preserve"> </w:t>
      </w:r>
    </w:p>
    <w:p w14:paraId="144F6769" w14:textId="77777777" w:rsidR="007D064D" w:rsidRPr="007D064D" w:rsidRDefault="007D064D" w:rsidP="000D0CA0"/>
    <w:p w14:paraId="7B2CD749" w14:textId="77777777" w:rsidR="00817477" w:rsidRDefault="00000000" w:rsidP="000D0CA0">
      <w:r>
        <w:t>Effective administrative practice and accurate record-keeping are fundamental to delivering safe, high-quality care and safeguarding vulnerable individuals. In Mrs Thompson's case, maintaining clear, accurate, and timely records is not simply an administrative task but an essential aspect of identifying risks, ensuring continuity of care, and supporting informed decision-making. The documentation of her missed medication and the subsequent medication review demonstrate the importance of maintaining accurate records and responding appropriately to concerns as they arise.</w:t>
      </w:r>
    </w:p>
    <w:p w14:paraId="024C09A1" w14:textId="77777777" w:rsidR="00817477" w:rsidRDefault="00000000" w:rsidP="000D0CA0">
      <w:r>
        <w:t xml:space="preserve">The Data Protection Act 2018, together with the UK General Data Protection Regulation (UK GDPR), provides the legal framework for the processing and protection of personal information. The key data protection principles require personal data to be processed lawfully, fairly and transparently; collected for specified and legitimate purposes; limited to what is necessary; accurate and kept up to date; retained only for as long as necessary; and protected through appropriate security measures (Information Commissioner's Office, 2018). Within Mrs </w:t>
      </w:r>
      <w:r>
        <w:lastRenderedPageBreak/>
        <w:t>Thompson's care, this means that records relating to medication administration, incidents, assessments, and changes in her condition must be factual, accurate, and shared only where there is a lawful basis and a legitimate care-related need.</w:t>
      </w:r>
    </w:p>
    <w:p w14:paraId="3A1A0D93" w14:textId="77777777" w:rsidR="00817477" w:rsidRDefault="00000000" w:rsidP="000D0CA0">
      <w:r>
        <w:t>The legal requirements for confidentiality do not mean that relevant information should never be shared between professionals. Where there are safeguarding concerns or a significant risk of harm, appropriate information sharing may be necessary to protect the individual. In Mrs Thompson's case, her increasing confusion, missed medication, and the incident in which she was found outside without appropriate clothing indicate concerns about her safety and wellbeing. Sharing relevant information with her GP, community nurse, and domiciliary care team would therefore support coordinated decision-making and reduce the risk that important changes in her condition are overlooked.</w:t>
      </w:r>
    </w:p>
    <w:p w14:paraId="1487A111" w14:textId="77777777" w:rsidR="00817477" w:rsidRDefault="00000000" w:rsidP="000D0CA0">
      <w:r>
        <w:t>Nevertheless, legislation alone cannot guarantee effective practice. Poor documentation, illegible records, delayed recording, or inconsistent information sharing may prevent professionals from recognising patterns of deterioration over time. As a result, repeated incidents may be viewed as isolated events rather than evidence of an increasing level of risk. Accurate record-keeping therefore plays a vital role not only in meeting legal and professional requirements but also in supporting effective safeguarding, continuity of care, and timely intervention. In Mrs Thompson's case, recognising the pattern of missed medication and increasing confusion could enable professionals to intervene earlier and reduce the likelihood of further harm.</w:t>
      </w:r>
    </w:p>
    <w:p w14:paraId="323AB96E" w14:textId="21839CB5" w:rsidR="00817477" w:rsidRDefault="00000000" w:rsidP="000D0CA0">
      <w:pPr>
        <w:pStyle w:val="Heading1"/>
        <w:numPr>
          <w:ilvl w:val="0"/>
          <w:numId w:val="11"/>
        </w:numPr>
        <w:spacing w:after="60"/>
        <w:rPr>
          <w:rFonts w:ascii="Arial" w:eastAsia="Arial" w:hAnsi="Arial"/>
          <w:sz w:val="22"/>
        </w:rPr>
      </w:pPr>
      <w:bookmarkStart w:id="3" w:name="_Toc238160000"/>
      <w:r>
        <w:rPr>
          <w:rFonts w:ascii="Arial" w:eastAsia="Arial" w:hAnsi="Arial"/>
          <w:sz w:val="22"/>
        </w:rPr>
        <w:t>C</w:t>
      </w:r>
      <w:r w:rsidR="00527E83">
        <w:rPr>
          <w:rFonts w:ascii="Arial" w:eastAsia="Arial" w:hAnsi="Arial"/>
          <w:sz w:val="22"/>
        </w:rPr>
        <w:t xml:space="preserve">OLLABORATIVE </w:t>
      </w:r>
      <w:r w:rsidR="0060455F">
        <w:rPr>
          <w:rFonts w:ascii="Arial" w:eastAsia="Arial" w:hAnsi="Arial"/>
          <w:sz w:val="22"/>
        </w:rPr>
        <w:t>WORK ACROSS</w:t>
      </w:r>
      <w:r w:rsidR="00755DF1">
        <w:rPr>
          <w:rFonts w:ascii="Arial" w:eastAsia="Arial" w:hAnsi="Arial"/>
          <w:sz w:val="22"/>
        </w:rPr>
        <w:t xml:space="preserve"> </w:t>
      </w:r>
      <w:r w:rsidR="0067290C">
        <w:rPr>
          <w:rFonts w:ascii="Arial" w:eastAsia="Arial" w:hAnsi="Arial"/>
          <w:sz w:val="22"/>
        </w:rPr>
        <w:t>M</w:t>
      </w:r>
      <w:r w:rsidR="00755DF1">
        <w:rPr>
          <w:rFonts w:ascii="Arial" w:eastAsia="Arial" w:hAnsi="Arial"/>
          <w:sz w:val="22"/>
        </w:rPr>
        <w:t>RS</w:t>
      </w:r>
      <w:r w:rsidR="0067290C">
        <w:rPr>
          <w:rFonts w:ascii="Arial" w:eastAsia="Arial" w:hAnsi="Arial"/>
          <w:sz w:val="22"/>
        </w:rPr>
        <w:t>.</w:t>
      </w:r>
      <w:r>
        <w:rPr>
          <w:rFonts w:ascii="Arial" w:eastAsia="Arial" w:hAnsi="Arial"/>
          <w:sz w:val="22"/>
        </w:rPr>
        <w:t xml:space="preserve"> T</w:t>
      </w:r>
      <w:r w:rsidR="006B25D8">
        <w:rPr>
          <w:rFonts w:ascii="Arial" w:eastAsia="Arial" w:hAnsi="Arial"/>
          <w:sz w:val="22"/>
        </w:rPr>
        <w:t xml:space="preserve">HOMPSON’S </w:t>
      </w:r>
      <w:r>
        <w:rPr>
          <w:rFonts w:ascii="Arial" w:eastAsia="Arial" w:hAnsi="Arial"/>
          <w:sz w:val="22"/>
        </w:rPr>
        <w:t>C</w:t>
      </w:r>
      <w:r w:rsidR="006B25D8">
        <w:rPr>
          <w:rFonts w:ascii="Arial" w:eastAsia="Arial" w:hAnsi="Arial"/>
          <w:sz w:val="22"/>
        </w:rPr>
        <w:t>ARE</w:t>
      </w:r>
      <w:r>
        <w:rPr>
          <w:rFonts w:ascii="Arial" w:eastAsia="Arial" w:hAnsi="Arial"/>
          <w:sz w:val="22"/>
        </w:rPr>
        <w:t xml:space="preserve"> T</w:t>
      </w:r>
      <w:bookmarkEnd w:id="3"/>
      <w:r w:rsidR="006B25D8">
        <w:rPr>
          <w:rFonts w:ascii="Arial" w:eastAsia="Arial" w:hAnsi="Arial"/>
          <w:sz w:val="22"/>
        </w:rPr>
        <w:t>EAM</w:t>
      </w:r>
    </w:p>
    <w:p w14:paraId="38CAA339" w14:textId="77777777" w:rsidR="006B7642" w:rsidRPr="006B7642" w:rsidRDefault="006B7642" w:rsidP="000D0CA0">
      <w:pPr>
        <w:pStyle w:val="ListParagraph"/>
      </w:pPr>
    </w:p>
    <w:p w14:paraId="11E889E7" w14:textId="6FEED3CC" w:rsidR="00817477" w:rsidRDefault="00000000" w:rsidP="000D0CA0">
      <w:r>
        <w:t xml:space="preserve">Effective collaborative </w:t>
      </w:r>
      <w:r w:rsidR="0067290C">
        <w:t>work</w:t>
      </w:r>
      <w:r>
        <w:t xml:space="preserve"> is essential to </w:t>
      </w:r>
      <w:r w:rsidR="0067290C">
        <w:t>ensure</w:t>
      </w:r>
      <w:r>
        <w:t xml:space="preserve"> that </w:t>
      </w:r>
      <w:r w:rsidR="0067290C">
        <w:t>Mrs.</w:t>
      </w:r>
      <w:r>
        <w:t xml:space="preserve"> Thompson receives safe, coordinated, and person-centred care. As an older adult living with mild dementia and recovering from pneumonia, her needs are complex and require the involvement of several health and social care professionals. These include her GP, community nurse, and domiciliary care workers, all of whom have different roles and responsibilities. Without effective communication and information sharing between professionals, there is an increased risk that important changes in Mrs Thompson's condition may be overlooked.</w:t>
      </w:r>
    </w:p>
    <w:p w14:paraId="20FF2DB3" w14:textId="77777777" w:rsidR="00817477" w:rsidRDefault="00000000" w:rsidP="000D0CA0">
      <w:r>
        <w:t xml:space="preserve">The Care Act 2014 places wellbeing at the centre of adult social care and emphasises the importance of protecting people from abuse and neglect. It also requires relevant decisions to take account of the individual's views, wishes, feelings and circumstances (Great Britain, 2014). In Mrs Thompson's case, this reinforces the need for professionals to work collaboratively while ensuring that her individual needs and preferences remain central to care planning. Her missed </w:t>
      </w:r>
      <w:r>
        <w:lastRenderedPageBreak/>
        <w:t>medication, increasing confusion, and the incident in which she was found outside without appropriate clothing should not therefore be viewed as isolated events. Instead, these incidents may indicate a pattern of deterioration that requires a coordinated response from the multidisciplinary team.</w:t>
      </w:r>
    </w:p>
    <w:p w14:paraId="7888EA24" w14:textId="77777777" w:rsidR="00817477" w:rsidRDefault="00000000" w:rsidP="000D0CA0">
      <w:r>
        <w:t>Research by Moncatar et al. (2021) identifies barriers to interprofessional collaboration, including difficulties associated with communication, organisational boundaries, and coordination between professionals. These issues are relevant to Mrs Thompson's situation because her GP, community nurse, and domiciliary care workers may work within different organisations and systems. If professionals work independently and fail to share relevant information, opportunities for early intervention may be missed, potentially placing Mrs Thompson at greater risk of harm.</w:t>
      </w:r>
    </w:p>
    <w:p w14:paraId="378B572C" w14:textId="77777777" w:rsidR="00817477" w:rsidRDefault="00000000" w:rsidP="000D0CA0">
      <w:r>
        <w:t>Collaborative working can be strengthened through regular multidisciplinary team meetings, shared care plans, effective handovers, and clear documentation that is accessible to relevant professionals. Appointing a care coordinator or key worker could further support continuity of care by ensuring that changes in Mrs Thompson's condition are recognised promptly, communicated effectively, and acted upon appropriately. Regular communication would also allow professionals to review whether current arrangements remain appropriate and whether additional support is required.</w:t>
      </w:r>
    </w:p>
    <w:p w14:paraId="779C02A1" w14:textId="6DA96614" w:rsidR="00817477" w:rsidRDefault="00000000" w:rsidP="000D0CA0">
      <w:r>
        <w:t xml:space="preserve">However, effective multidisciplinary working is not without challenges. Professionals may work across different organisations, use separate record systems, or experience time and resource pressures that limit communication. Differences in professional roles and responsibilities may also contribute to delays in decision-making or inconsistencies in care delivery. Despite these barriers, collaborative working remains essential for safeguarding vulnerable adults and improving outcomes. By sharing information appropriately, respecting each professional's expertise, and maintaining a person-centred approach, the multidisciplinary team can provide safer, more effective, and more responsive care for </w:t>
      </w:r>
      <w:r w:rsidR="00C15405">
        <w:t>Mrs.</w:t>
      </w:r>
      <w:r>
        <w:t xml:space="preserve"> Thompson.</w:t>
      </w:r>
    </w:p>
    <w:p w14:paraId="0FBEA806" w14:textId="77777777" w:rsidR="0067290C" w:rsidRDefault="0067290C" w:rsidP="000D0CA0"/>
    <w:p w14:paraId="371DDDEA" w14:textId="55D320D5" w:rsidR="00817477" w:rsidRDefault="00000000" w:rsidP="000D0CA0">
      <w:pPr>
        <w:pStyle w:val="Heading1"/>
        <w:spacing w:after="60"/>
        <w:rPr>
          <w:rFonts w:ascii="Arial" w:eastAsia="Arial" w:hAnsi="Arial"/>
          <w:sz w:val="22"/>
        </w:rPr>
      </w:pPr>
      <w:bookmarkStart w:id="4" w:name="_Toc238160001"/>
      <w:r>
        <w:rPr>
          <w:rFonts w:ascii="Arial" w:eastAsia="Arial" w:hAnsi="Arial"/>
          <w:sz w:val="22"/>
        </w:rPr>
        <w:t>C</w:t>
      </w:r>
      <w:bookmarkEnd w:id="4"/>
      <w:r w:rsidR="006D0346">
        <w:rPr>
          <w:rFonts w:ascii="Arial" w:eastAsia="Arial" w:hAnsi="Arial"/>
          <w:sz w:val="22"/>
        </w:rPr>
        <w:t>ONCLUSION</w:t>
      </w:r>
    </w:p>
    <w:p w14:paraId="28AF1067" w14:textId="77777777" w:rsidR="007D064D" w:rsidRPr="007D064D" w:rsidRDefault="007D064D" w:rsidP="000D0CA0"/>
    <w:p w14:paraId="0FD72491" w14:textId="77777777" w:rsidR="00817477" w:rsidRDefault="00000000" w:rsidP="000D0CA0">
      <w:r>
        <w:t xml:space="preserve">This report has demonstrated that safe and dignified care for Mrs Thompson requires an integrated approach to communication, administrative practice, record-keeping, and collaborative working. Although legislation such as the Equality Act 2010, Care Act 2014 and Data Protection Act 2018 provides an important framework for protecting individuals' rights, </w:t>
      </w:r>
      <w:r>
        <w:lastRenderedPageBreak/>
        <w:t>dignity, confidentiality, wellbeing and safety, legislation alone cannot guarantee positive outcomes.</w:t>
      </w:r>
    </w:p>
    <w:p w14:paraId="4BA277E3" w14:textId="77777777" w:rsidR="00817477" w:rsidRDefault="00000000" w:rsidP="000D0CA0">
      <w:r>
        <w:t>The case demonstrates how poor or inconsistent communication, inadequate monitoring, and professionals working in isolation can result in important warning signs being overlooked. Mrs Thompson's missed medication, increased confusion, and the incident in which she was found outside without appropriate clothing should therefore be considered collectively rather than as separate events. Effective information sharing, accurate record-keeping, person-centred communication, and coordinated multidisciplinary working are essential to identifying changes in her needs and enabling timely intervention.</w:t>
      </w:r>
    </w:p>
    <w:p w14:paraId="32DE158F" w14:textId="0F99F138" w:rsidR="00817477" w:rsidRDefault="00000000" w:rsidP="000D0CA0">
      <w:r>
        <w:t xml:space="preserve">Ultimately, providing safe and person-centred care requires professionals to work collaboratively while respecting Mrs Thompson's autonomy, dignity, confidentiality, and individual needs. A coordinated approach involving her GP, community nurse, domiciliary care workers, and other relevant professionals would provide greater continuity of care and reduce the risk of further harm. The case therefore highlights that high-quality </w:t>
      </w:r>
      <w:r w:rsidR="00C15405">
        <w:t>health,</w:t>
      </w:r>
      <w:r>
        <w:t xml:space="preserve"> and social care depends not only on meeting legal and administrative requirements but also on applying them consistently through compassionate, person-</w:t>
      </w:r>
      <w:r w:rsidR="00C15405">
        <w:t>centered</w:t>
      </w:r>
      <w:r>
        <w:t>, and collaborative practice.</w:t>
      </w:r>
    </w:p>
    <w:p w14:paraId="7A9E9E60" w14:textId="77777777" w:rsidR="002E0878" w:rsidRDefault="002E0878" w:rsidP="000D0CA0"/>
    <w:p w14:paraId="456C7277" w14:textId="77777777" w:rsidR="002E0878" w:rsidRDefault="002E0878" w:rsidP="000D0CA0"/>
    <w:p w14:paraId="6D1B934B" w14:textId="77777777" w:rsidR="002E0878" w:rsidRDefault="002E0878" w:rsidP="000D0CA0"/>
    <w:p w14:paraId="63BDBF60" w14:textId="77777777" w:rsidR="002E0878" w:rsidRDefault="002E0878" w:rsidP="000D0CA0"/>
    <w:p w14:paraId="28EF84C3" w14:textId="77777777" w:rsidR="002E0878" w:rsidRDefault="002E0878" w:rsidP="000D0CA0"/>
    <w:p w14:paraId="03FA1938" w14:textId="77777777" w:rsidR="002E0878" w:rsidRDefault="002E0878" w:rsidP="000D0CA0"/>
    <w:p w14:paraId="2BEB2EE3" w14:textId="77777777" w:rsidR="002E0878" w:rsidRDefault="002E0878" w:rsidP="000D0CA0"/>
    <w:p w14:paraId="75642B82" w14:textId="77777777" w:rsidR="002E0878" w:rsidRDefault="002E0878" w:rsidP="000D0CA0"/>
    <w:p w14:paraId="7F825EB1" w14:textId="77777777" w:rsidR="002E0878" w:rsidRDefault="002E0878" w:rsidP="000D0CA0"/>
    <w:p w14:paraId="2E7D0039" w14:textId="77777777" w:rsidR="002E0878" w:rsidRDefault="002E0878" w:rsidP="000D0CA0"/>
    <w:p w14:paraId="38847532" w14:textId="77777777" w:rsidR="002E0878" w:rsidRDefault="002E0878" w:rsidP="000D0CA0"/>
    <w:p w14:paraId="2F180C89" w14:textId="77777777" w:rsidR="002E0878" w:rsidRDefault="002E0878" w:rsidP="000D0CA0"/>
    <w:p w14:paraId="2F1DCB58" w14:textId="77777777" w:rsidR="002E0878" w:rsidRDefault="002E0878" w:rsidP="000D0CA0"/>
    <w:p w14:paraId="3BF10E72" w14:textId="77777777" w:rsidR="002E0878" w:rsidRDefault="002E0878" w:rsidP="000D0CA0"/>
    <w:p w14:paraId="653B907A" w14:textId="77777777" w:rsidR="002E0878" w:rsidRDefault="002E0878" w:rsidP="000D0CA0"/>
    <w:p w14:paraId="65535A5E" w14:textId="77777777" w:rsidR="002E0878" w:rsidRDefault="002E0878" w:rsidP="000D0CA0"/>
    <w:p w14:paraId="66337480" w14:textId="77777777" w:rsidR="002E0878" w:rsidRDefault="002E0878" w:rsidP="000D0CA0"/>
    <w:p w14:paraId="413BB3B5" w14:textId="77777777" w:rsidR="002E0878" w:rsidRDefault="002E0878" w:rsidP="000D0CA0"/>
    <w:p w14:paraId="0CEDDD7A" w14:textId="611C9CD8" w:rsidR="00817477" w:rsidRDefault="00000000" w:rsidP="000D0CA0">
      <w:pPr>
        <w:pStyle w:val="Heading1"/>
        <w:spacing w:after="60"/>
      </w:pPr>
      <w:bookmarkStart w:id="5" w:name="_Toc238160002"/>
      <w:r>
        <w:rPr>
          <w:rFonts w:ascii="Arial" w:eastAsia="Arial" w:hAnsi="Arial"/>
          <w:sz w:val="22"/>
        </w:rPr>
        <w:lastRenderedPageBreak/>
        <w:t>R</w:t>
      </w:r>
      <w:bookmarkEnd w:id="5"/>
      <w:r w:rsidR="006D0346">
        <w:rPr>
          <w:rFonts w:ascii="Arial" w:eastAsia="Arial" w:hAnsi="Arial"/>
          <w:sz w:val="22"/>
        </w:rPr>
        <w:t xml:space="preserve">EFERENCES </w:t>
      </w:r>
    </w:p>
    <w:p w14:paraId="1C565296" w14:textId="77777777" w:rsidR="00817477" w:rsidRDefault="00000000" w:rsidP="000D0CA0">
      <w:r>
        <w:t xml:space="preserve">Great Britain (2010) </w:t>
      </w:r>
      <w:r w:rsidRPr="00653DD4">
        <w:rPr>
          <w:i/>
          <w:iCs/>
        </w:rPr>
        <w:t>Equality Act</w:t>
      </w:r>
      <w:r>
        <w:t xml:space="preserve"> 2010. London: The Stationery Office.</w:t>
      </w:r>
    </w:p>
    <w:p w14:paraId="36AAFFFC" w14:textId="77777777" w:rsidR="00817477" w:rsidRDefault="00000000" w:rsidP="000D0CA0">
      <w:r>
        <w:t xml:space="preserve">Great Britain (2014) </w:t>
      </w:r>
      <w:r w:rsidRPr="00653DD4">
        <w:rPr>
          <w:i/>
          <w:iCs/>
        </w:rPr>
        <w:t>Care Act</w:t>
      </w:r>
      <w:r>
        <w:t xml:space="preserve"> 2014. London: The Stationery Office.</w:t>
      </w:r>
    </w:p>
    <w:p w14:paraId="592B48ED" w14:textId="77777777" w:rsidR="00817477" w:rsidRDefault="00000000" w:rsidP="000D0CA0">
      <w:r>
        <w:t xml:space="preserve">Great Britain (2018) </w:t>
      </w:r>
      <w:r w:rsidRPr="00183DDA">
        <w:rPr>
          <w:i/>
          <w:iCs/>
        </w:rPr>
        <w:t>Data Protection Act</w:t>
      </w:r>
      <w:r>
        <w:t xml:space="preserve"> 2018. London: The Stationery Office.</w:t>
      </w:r>
    </w:p>
    <w:p w14:paraId="6C9998E4" w14:textId="77777777" w:rsidR="00817477" w:rsidRDefault="00000000" w:rsidP="000D0CA0">
      <w:r>
        <w:t xml:space="preserve">Information Commissioner's Office (2018) </w:t>
      </w:r>
      <w:r w:rsidRPr="003F72FB">
        <w:rPr>
          <w:i/>
          <w:iCs/>
        </w:rPr>
        <w:t>Guide to the General Data Protection Regulation</w:t>
      </w:r>
      <w:r>
        <w:t xml:space="preserve"> (GDPR). Wilmslow: Information Commissioner's Office.</w:t>
      </w:r>
    </w:p>
    <w:p w14:paraId="5B8B5923" w14:textId="77777777" w:rsidR="00817477" w:rsidRDefault="00000000" w:rsidP="000D0CA0">
      <w:r>
        <w:t xml:space="preserve">Moncatar, T.J.R.T., Nakamura, K., Siongco, K.L.L., Seino, K., Carlson, R., Canila, C.C., Javier, R.S. and Lorenzo, F.M.E. (2021) 'Interprofessional collaboration and barriers among health and social workers caring for older adults: a Philippine case study', </w:t>
      </w:r>
      <w:r w:rsidRPr="001C23E1">
        <w:rPr>
          <w:i/>
          <w:iCs/>
        </w:rPr>
        <w:t>Human Resources for Health</w:t>
      </w:r>
      <w:r>
        <w:t>, 19(1), article 52. Available at: https://doi.org/10.1186/s12960-021-00568-1</w:t>
      </w:r>
    </w:p>
    <w:p w14:paraId="0BE78CBA" w14:textId="77777777" w:rsidR="00817477" w:rsidRDefault="00000000" w:rsidP="000D0CA0">
      <w:r>
        <w:t xml:space="preserve">O'Rourke, D.J., Lobchuk, M.M., Thompson, G.N. and Lengyel, C. (2022) 'Expanding the conversation: a person-centred communication enhancement model', </w:t>
      </w:r>
      <w:r w:rsidRPr="00D27757">
        <w:rPr>
          <w:i/>
          <w:iCs/>
        </w:rPr>
        <w:t>Dementia</w:t>
      </w:r>
      <w:r>
        <w:t>, 21(5), pp. 1596–1617. Available at: https://doi.org/10.1177/14713012221080252</w:t>
      </w:r>
    </w:p>
    <w:p w14:paraId="4D0E7C75" w14:textId="21CE93B5" w:rsidR="00817477" w:rsidRDefault="00000000" w:rsidP="000D0CA0">
      <w:r>
        <w:t xml:space="preserve">Pepper, A. and Harrison Dening, K. (2023) 'Person-centred communication with people with dementia', </w:t>
      </w:r>
      <w:r w:rsidRPr="00D27757">
        <w:rPr>
          <w:i/>
          <w:iCs/>
        </w:rPr>
        <w:t>Nursing Older People</w:t>
      </w:r>
      <w:r>
        <w:t>, 35(2), pp. 28–33. Available at:</w:t>
      </w:r>
      <w:r w:rsidR="00884EAA">
        <w:t xml:space="preserve"> </w:t>
      </w:r>
      <w:hyperlink r:id="rId11" w:history="1">
        <w:r w:rsidR="00C10D96" w:rsidRPr="00376311">
          <w:rPr>
            <w:rStyle w:val="Hyperlink"/>
          </w:rPr>
          <w:t>https://doi.org/10.7748/nop.2023.e1430</w:t>
        </w:r>
      </w:hyperlink>
    </w:p>
    <w:p w14:paraId="3D46CA3D" w14:textId="77777777" w:rsidR="00056EC8" w:rsidRDefault="00056EC8" w:rsidP="000D0CA0"/>
    <w:p w14:paraId="4EF0BAB5" w14:textId="77777777" w:rsidR="00C10D96" w:rsidRDefault="00C10D96" w:rsidP="000D0CA0"/>
    <w:sectPr w:rsidR="00C10D96" w:rsidSect="00034616">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F4491" w14:textId="77777777" w:rsidR="008071D8" w:rsidRDefault="008071D8">
      <w:pPr>
        <w:spacing w:line="240" w:lineRule="auto"/>
      </w:pPr>
      <w:r>
        <w:separator/>
      </w:r>
    </w:p>
  </w:endnote>
  <w:endnote w:type="continuationSeparator" w:id="0">
    <w:p w14:paraId="11D40F86" w14:textId="77777777" w:rsidR="008071D8" w:rsidRDefault="008071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6185938"/>
      <w:docPartObj>
        <w:docPartGallery w:val="Page Numbers (Bottom of Page)"/>
        <w:docPartUnique/>
      </w:docPartObj>
    </w:sdtPr>
    <w:sdtEndPr>
      <w:rPr>
        <w:noProof/>
      </w:rPr>
    </w:sdtEndPr>
    <w:sdtContent>
      <w:p w14:paraId="2D349A83" w14:textId="23A48BB1" w:rsidR="007D064D" w:rsidRDefault="007D064D">
        <w:pPr>
          <w:pStyle w:val="Footer"/>
        </w:pPr>
        <w:r>
          <w:fldChar w:fldCharType="begin"/>
        </w:r>
        <w:r>
          <w:instrText xml:space="preserve"> PAGE   \* MERGEFORMAT </w:instrText>
        </w:r>
        <w:r>
          <w:fldChar w:fldCharType="separate"/>
        </w:r>
        <w:r>
          <w:rPr>
            <w:noProof/>
          </w:rPr>
          <w:t>2</w:t>
        </w:r>
        <w:r>
          <w:rPr>
            <w:noProof/>
          </w:rPr>
          <w:fldChar w:fldCharType="end"/>
        </w:r>
      </w:p>
    </w:sdtContent>
  </w:sdt>
  <w:p w14:paraId="0ECEF550" w14:textId="34AEB3CD" w:rsidR="00817477" w:rsidRDefault="0081747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083DB" w14:textId="77777777" w:rsidR="008071D8" w:rsidRDefault="008071D8">
      <w:pPr>
        <w:spacing w:line="240" w:lineRule="auto"/>
      </w:pPr>
      <w:r>
        <w:separator/>
      </w:r>
    </w:p>
  </w:footnote>
  <w:footnote w:type="continuationSeparator" w:id="0">
    <w:p w14:paraId="06DB0C74" w14:textId="77777777" w:rsidR="008071D8" w:rsidRDefault="008071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B5D728D"/>
    <w:multiLevelType w:val="hybridMultilevel"/>
    <w:tmpl w:val="23B66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4A3263"/>
    <w:multiLevelType w:val="hybridMultilevel"/>
    <w:tmpl w:val="3F921A7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0453652">
    <w:abstractNumId w:val="8"/>
  </w:num>
  <w:num w:numId="2" w16cid:durableId="1962228608">
    <w:abstractNumId w:val="6"/>
  </w:num>
  <w:num w:numId="3" w16cid:durableId="1214805941">
    <w:abstractNumId w:val="5"/>
  </w:num>
  <w:num w:numId="4" w16cid:durableId="198129632">
    <w:abstractNumId w:val="4"/>
  </w:num>
  <w:num w:numId="5" w16cid:durableId="703554613">
    <w:abstractNumId w:val="7"/>
  </w:num>
  <w:num w:numId="6" w16cid:durableId="663632280">
    <w:abstractNumId w:val="3"/>
  </w:num>
  <w:num w:numId="7" w16cid:durableId="1351951615">
    <w:abstractNumId w:val="2"/>
  </w:num>
  <w:num w:numId="8" w16cid:durableId="1413887620">
    <w:abstractNumId w:val="1"/>
  </w:num>
  <w:num w:numId="9" w16cid:durableId="415518465">
    <w:abstractNumId w:val="0"/>
  </w:num>
  <w:num w:numId="10" w16cid:durableId="660232698">
    <w:abstractNumId w:val="9"/>
  </w:num>
  <w:num w:numId="11" w16cid:durableId="4271166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6EC8"/>
    <w:rsid w:val="0006063C"/>
    <w:rsid w:val="000D0CA0"/>
    <w:rsid w:val="0015074B"/>
    <w:rsid w:val="00183DDA"/>
    <w:rsid w:val="001C23E1"/>
    <w:rsid w:val="0029639D"/>
    <w:rsid w:val="002E0878"/>
    <w:rsid w:val="00326F90"/>
    <w:rsid w:val="003F72FB"/>
    <w:rsid w:val="004343B4"/>
    <w:rsid w:val="00527E83"/>
    <w:rsid w:val="00576F93"/>
    <w:rsid w:val="0060455F"/>
    <w:rsid w:val="00653DD4"/>
    <w:rsid w:val="0067290C"/>
    <w:rsid w:val="006B25D8"/>
    <w:rsid w:val="006B7642"/>
    <w:rsid w:val="006D0346"/>
    <w:rsid w:val="00755DF1"/>
    <w:rsid w:val="007D064D"/>
    <w:rsid w:val="008071D8"/>
    <w:rsid w:val="00817477"/>
    <w:rsid w:val="00884EAA"/>
    <w:rsid w:val="008C0BA3"/>
    <w:rsid w:val="00AA1D8D"/>
    <w:rsid w:val="00AD2417"/>
    <w:rsid w:val="00B47730"/>
    <w:rsid w:val="00C10D96"/>
    <w:rsid w:val="00C15405"/>
    <w:rsid w:val="00CA2B22"/>
    <w:rsid w:val="00CB0664"/>
    <w:rsid w:val="00D27757"/>
    <w:rsid w:val="00E83D7C"/>
    <w:rsid w:val="00F8397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8DA3BD"/>
  <w14:defaultImageDpi w14:val="300"/>
  <w15:docId w15:val="{1C959EBB-1D85-487B-A8F7-90C0AD84B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120" w:after="12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120" w:after="12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120" w:after="12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7D064D"/>
    <w:pPr>
      <w:spacing w:after="100"/>
    </w:pPr>
  </w:style>
  <w:style w:type="character" w:styleId="Hyperlink">
    <w:name w:val="Hyperlink"/>
    <w:basedOn w:val="DefaultParagraphFont"/>
    <w:uiPriority w:val="99"/>
    <w:unhideWhenUsed/>
    <w:rsid w:val="007D064D"/>
    <w:rPr>
      <w:color w:val="0000FF" w:themeColor="hyperlink"/>
      <w:u w:val="single"/>
    </w:rPr>
  </w:style>
  <w:style w:type="character" w:styleId="UnresolvedMention">
    <w:name w:val="Unresolved Mention"/>
    <w:basedOn w:val="DefaultParagraphFont"/>
    <w:uiPriority w:val="99"/>
    <w:semiHidden/>
    <w:unhideWhenUsed/>
    <w:rsid w:val="00C10D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7748/nop.2023.e1430"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5a0aec1afac7270c15be6d7a421ee0f8">
  <xsd:schema xmlns:xsd="http://www.w3.org/2001/XMLSchema" xmlns:xs="http://www.w3.org/2001/XMLSchema" xmlns:p="http://schemas.microsoft.com/office/2006/metadata/properties" xmlns:ns3="f8c70cee-2493-473e-ace3-809057a2e862" targetNamespace="http://schemas.microsoft.com/office/2006/metadata/properties" ma:root="true" ma:fieldsID="75248f04c031c13f4ab1f62c5b6e8270"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680D211E-B1CF-4FB1-960D-7376672062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043AF-A1A4-4F34-9E9E-AB9887C856EE}">
  <ds:schemaRefs>
    <ds:schemaRef ds:uri="http://schemas.microsoft.com/sharepoint/v3/contenttype/forms"/>
  </ds:schemaRefs>
</ds:datastoreItem>
</file>

<file path=customXml/itemProps4.xml><?xml version="1.0" encoding="utf-8"?>
<ds:datastoreItem xmlns:ds="http://schemas.openxmlformats.org/officeDocument/2006/customXml" ds:itemID="{4149AC02-B414-4A2A-940E-28B47A34FB4D}">
  <ds:schemaRefs>
    <ds:schemaRef ds:uri="http://schemas.microsoft.com/office/2006/metadata/properties"/>
    <ds:schemaRef ds:uri="http://schemas.microsoft.com/office/infopath/2007/PartnerControls"/>
    <ds:schemaRef ds:uri="f8c70cee-2493-473e-ace3-809057a2e862"/>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8</Pages>
  <Words>2135</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Gilda Ngonga Matuvangua (2525521)</cp:lastModifiedBy>
  <cp:revision>26</cp:revision>
  <dcterms:created xsi:type="dcterms:W3CDTF">2026-08-20T22:14:00Z</dcterms:created>
  <dcterms:modified xsi:type="dcterms:W3CDTF">2026-08-20T22:40:00Z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