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8EF46" w14:textId="3D882CCD" w:rsidR="00BF356D" w:rsidRDefault="00BF356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5ED8824" wp14:editId="07EA2B34">
            <wp:extent cx="2341245" cy="920750"/>
            <wp:effectExtent l="0" t="0" r="1905" b="0"/>
            <wp:docPr id="11779688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7131AB" w14:textId="1F2D3728" w:rsidR="00BF356D" w:rsidRDefault="00BF356D">
      <w:pPr>
        <w:rPr>
          <w:b/>
          <w:bCs/>
        </w:rPr>
      </w:pPr>
      <w:r>
        <w:rPr>
          <w:b/>
          <w:bCs/>
        </w:rPr>
        <w:t xml:space="preserve"> </w:t>
      </w:r>
    </w:p>
    <w:p w14:paraId="09EF3A05" w14:textId="77777777" w:rsidR="005B5D4F" w:rsidRDefault="005B5D4F">
      <w:pPr>
        <w:rPr>
          <w:b/>
          <w:bCs/>
        </w:rPr>
      </w:pPr>
    </w:p>
    <w:p w14:paraId="1DCAA164" w14:textId="77777777" w:rsidR="005B5D4F" w:rsidRDefault="005B5D4F">
      <w:pPr>
        <w:rPr>
          <w:b/>
          <w:bCs/>
        </w:rPr>
      </w:pPr>
    </w:p>
    <w:p w14:paraId="2C7A28E3" w14:textId="77777777" w:rsidR="005B5D4F" w:rsidRDefault="005B5D4F">
      <w:pPr>
        <w:rPr>
          <w:b/>
          <w:bCs/>
        </w:rPr>
      </w:pPr>
    </w:p>
    <w:p w14:paraId="6367DCCD" w14:textId="77777777" w:rsidR="005B5D4F" w:rsidRDefault="003938DB" w:rsidP="003938DB">
      <w:pPr>
        <w:jc w:val="center"/>
        <w:rPr>
          <w:b/>
          <w:bCs/>
        </w:rPr>
      </w:pPr>
      <w:r w:rsidRPr="005078B3">
        <w:rPr>
          <w:b/>
          <w:bCs/>
        </w:rPr>
        <w:t>Empowering the Older Person</w:t>
      </w:r>
      <w:r>
        <w:rPr>
          <w:b/>
          <w:bCs/>
        </w:rPr>
        <w:t xml:space="preserve"> </w:t>
      </w:r>
    </w:p>
    <w:p w14:paraId="1809B93F" w14:textId="657F658E" w:rsidR="003938DB" w:rsidRPr="005078B3" w:rsidRDefault="003938DB" w:rsidP="003938DB">
      <w:pPr>
        <w:jc w:val="center"/>
        <w:rPr>
          <w:b/>
          <w:bCs/>
        </w:rPr>
      </w:pPr>
      <w:r w:rsidRPr="005078B3">
        <w:rPr>
          <w:b/>
          <w:bCs/>
        </w:rPr>
        <w:t>BMHP6027</w:t>
      </w:r>
      <w:r>
        <w:rPr>
          <w:b/>
          <w:bCs/>
        </w:rPr>
        <w:t xml:space="preserve"> </w:t>
      </w:r>
      <w:r w:rsidRPr="005078B3">
        <w:rPr>
          <w:b/>
          <w:bCs/>
        </w:rPr>
        <w:t>LON</w:t>
      </w:r>
    </w:p>
    <w:p w14:paraId="4D608947" w14:textId="48146A4C" w:rsidR="003938DB" w:rsidRPr="005078B3" w:rsidRDefault="003938DB" w:rsidP="003938DB">
      <w:pPr>
        <w:rPr>
          <w:b/>
          <w:bCs/>
        </w:rPr>
      </w:pPr>
    </w:p>
    <w:p w14:paraId="5D1BE4AA" w14:textId="77777777" w:rsidR="005078B3" w:rsidRDefault="005078B3">
      <w:pPr>
        <w:rPr>
          <w:b/>
          <w:bCs/>
        </w:rPr>
      </w:pPr>
    </w:p>
    <w:p w14:paraId="6BC31AE2" w14:textId="77777777" w:rsidR="003938DB" w:rsidRDefault="003938DB" w:rsidP="003938DB">
      <w:pPr>
        <w:jc w:val="center"/>
      </w:pPr>
      <w:r>
        <w:rPr>
          <w:b/>
          <w:bCs/>
        </w:rPr>
        <w:t xml:space="preserve">Technologie in health and social care for older people play a vital role </w:t>
      </w:r>
      <w:proofErr w:type="gramStart"/>
      <w:r>
        <w:rPr>
          <w:b/>
          <w:bCs/>
        </w:rPr>
        <w:t>( For</w:t>
      </w:r>
      <w:proofErr w:type="gramEnd"/>
      <w:r>
        <w:rPr>
          <w:b/>
          <w:bCs/>
        </w:rPr>
        <w:t xml:space="preserve"> )</w:t>
      </w:r>
    </w:p>
    <w:p w14:paraId="7A78BDC3" w14:textId="77777777" w:rsidR="005078B3" w:rsidRDefault="005078B3">
      <w:pPr>
        <w:rPr>
          <w:b/>
          <w:bCs/>
        </w:rPr>
      </w:pPr>
    </w:p>
    <w:p w14:paraId="0D644F6B" w14:textId="77777777" w:rsidR="005078B3" w:rsidRDefault="005078B3">
      <w:pPr>
        <w:rPr>
          <w:b/>
          <w:bCs/>
        </w:rPr>
      </w:pPr>
    </w:p>
    <w:p w14:paraId="3CE34B5B" w14:textId="77777777" w:rsidR="005078B3" w:rsidRDefault="005078B3">
      <w:pPr>
        <w:rPr>
          <w:b/>
          <w:bCs/>
        </w:rPr>
      </w:pPr>
    </w:p>
    <w:p w14:paraId="20726875" w14:textId="77777777" w:rsidR="00BF356D" w:rsidRDefault="00BF356D">
      <w:pPr>
        <w:rPr>
          <w:b/>
          <w:bCs/>
        </w:rPr>
      </w:pPr>
    </w:p>
    <w:p w14:paraId="31E1EDFA" w14:textId="77777777" w:rsidR="005078B3" w:rsidRPr="005078B3" w:rsidRDefault="005078B3" w:rsidP="003938DB">
      <w:pPr>
        <w:rPr>
          <w:b/>
          <w:bCs/>
        </w:rPr>
      </w:pPr>
      <w:r w:rsidRPr="005078B3">
        <w:rPr>
          <w:b/>
          <w:bCs/>
          <w:lang w:val="nl-NL"/>
        </w:rPr>
        <w:t>Student name: Cosmin Barbu</w:t>
      </w:r>
      <w:r w:rsidRPr="005078B3">
        <w:rPr>
          <w:b/>
          <w:bCs/>
          <w:lang w:val="nl-NL"/>
        </w:rPr>
        <w:tab/>
      </w:r>
    </w:p>
    <w:p w14:paraId="43734C4A" w14:textId="77777777" w:rsidR="005078B3" w:rsidRPr="005078B3" w:rsidRDefault="005078B3" w:rsidP="003938DB">
      <w:pPr>
        <w:rPr>
          <w:b/>
          <w:bCs/>
        </w:rPr>
      </w:pPr>
      <w:r w:rsidRPr="005078B3">
        <w:rPr>
          <w:b/>
          <w:bCs/>
          <w:lang w:val="nl-NL"/>
        </w:rPr>
        <w:t>Student ID: 2318292</w:t>
      </w:r>
    </w:p>
    <w:p w14:paraId="5C66C806" w14:textId="448901EF" w:rsidR="005078B3" w:rsidRPr="005078B3" w:rsidRDefault="005078B3" w:rsidP="003938DB">
      <w:pPr>
        <w:rPr>
          <w:b/>
          <w:bCs/>
        </w:rPr>
      </w:pPr>
      <w:r w:rsidRPr="005078B3">
        <w:rPr>
          <w:b/>
          <w:bCs/>
          <w:lang w:val="en-US"/>
        </w:rPr>
        <w:t xml:space="preserve">Lecturer name: </w:t>
      </w:r>
      <w:r w:rsidRPr="005078B3">
        <w:rPr>
          <w:b/>
          <w:bCs/>
        </w:rPr>
        <w:t>Arif Ahmed</w:t>
      </w:r>
    </w:p>
    <w:p w14:paraId="5C339DF7" w14:textId="77777777" w:rsidR="00BF356D" w:rsidRDefault="00BF356D">
      <w:pPr>
        <w:rPr>
          <w:b/>
          <w:bCs/>
        </w:rPr>
      </w:pPr>
    </w:p>
    <w:p w14:paraId="5448A9EA" w14:textId="77777777" w:rsidR="00BF356D" w:rsidRDefault="00BF356D">
      <w:pPr>
        <w:rPr>
          <w:b/>
          <w:bCs/>
        </w:rPr>
      </w:pPr>
    </w:p>
    <w:p w14:paraId="3CE02647" w14:textId="77777777" w:rsidR="00120224" w:rsidRDefault="00120224">
      <w:pPr>
        <w:rPr>
          <w:b/>
          <w:bCs/>
        </w:rPr>
      </w:pPr>
    </w:p>
    <w:p w14:paraId="0E8FB6D3" w14:textId="77777777" w:rsidR="00120224" w:rsidRDefault="00120224">
      <w:pPr>
        <w:rPr>
          <w:b/>
          <w:bCs/>
        </w:rPr>
      </w:pPr>
    </w:p>
    <w:p w14:paraId="607474B1" w14:textId="77777777" w:rsidR="00120224" w:rsidRDefault="00120224">
      <w:pPr>
        <w:rPr>
          <w:b/>
          <w:bCs/>
        </w:rPr>
      </w:pPr>
    </w:p>
    <w:p w14:paraId="1692B2A0" w14:textId="77777777" w:rsidR="00120224" w:rsidRDefault="00120224">
      <w:pPr>
        <w:rPr>
          <w:b/>
          <w:bCs/>
        </w:rPr>
      </w:pPr>
    </w:p>
    <w:p w14:paraId="3FD8E84E" w14:textId="77777777" w:rsidR="00120224" w:rsidRDefault="00120224">
      <w:pPr>
        <w:rPr>
          <w:b/>
          <w:bCs/>
        </w:rPr>
      </w:pPr>
    </w:p>
    <w:p w14:paraId="5652BDD0" w14:textId="77777777" w:rsidR="005B5D4F" w:rsidRDefault="005B5D4F">
      <w:pPr>
        <w:rPr>
          <w:b/>
          <w:bCs/>
        </w:rPr>
      </w:pPr>
    </w:p>
    <w:p w14:paraId="624357FE" w14:textId="77777777" w:rsidR="005B5D4F" w:rsidRDefault="005B5D4F">
      <w:pPr>
        <w:rPr>
          <w:b/>
          <w:bCs/>
        </w:rPr>
      </w:pPr>
    </w:p>
    <w:p w14:paraId="56A7EA31" w14:textId="77777777" w:rsidR="005B5D4F" w:rsidRDefault="005B5D4F">
      <w:pPr>
        <w:rPr>
          <w:b/>
          <w:bCs/>
        </w:rPr>
      </w:pPr>
    </w:p>
    <w:p w14:paraId="72DF27BA" w14:textId="77777777" w:rsidR="00120224" w:rsidRDefault="00120224">
      <w:pPr>
        <w:rPr>
          <w:b/>
          <w:bCs/>
        </w:rPr>
      </w:pPr>
    </w:p>
    <w:p w14:paraId="10864910" w14:textId="77777777" w:rsidR="00120224" w:rsidRDefault="00120224">
      <w:pPr>
        <w:rPr>
          <w:b/>
          <w:bCs/>
        </w:rPr>
      </w:pPr>
    </w:p>
    <w:p w14:paraId="44C32A58" w14:textId="68EFD6C2" w:rsidR="00120224" w:rsidRDefault="00120224" w:rsidP="00120224">
      <w:pPr>
        <w:jc w:val="center"/>
        <w:rPr>
          <w:b/>
          <w:bCs/>
        </w:rPr>
      </w:pPr>
      <w:r>
        <w:rPr>
          <w:b/>
          <w:bCs/>
        </w:rPr>
        <w:t>Reference list</w:t>
      </w:r>
    </w:p>
    <w:p w14:paraId="35319B69" w14:textId="77777777" w:rsidR="00627D20" w:rsidRDefault="00627D20" w:rsidP="00120224">
      <w:pPr>
        <w:jc w:val="center"/>
        <w:rPr>
          <w:b/>
          <w:bCs/>
        </w:rPr>
      </w:pPr>
    </w:p>
    <w:p w14:paraId="019075EB" w14:textId="29037627" w:rsidR="00B2388D" w:rsidRDefault="00B2388D" w:rsidP="00120224">
      <w:pPr>
        <w:spacing w:line="360" w:lineRule="auto"/>
        <w:rPr>
          <w:sz w:val="22"/>
          <w:szCs w:val="22"/>
        </w:rPr>
      </w:pPr>
      <w:r w:rsidRPr="00B2388D">
        <w:rPr>
          <w:sz w:val="22"/>
          <w:szCs w:val="22"/>
        </w:rPr>
        <w:t xml:space="preserve">Cook, E.J. </w:t>
      </w:r>
      <w:r w:rsidRPr="00B2388D">
        <w:rPr>
          <w:i/>
          <w:iCs/>
          <w:sz w:val="22"/>
          <w:szCs w:val="22"/>
        </w:rPr>
        <w:t>et al.</w:t>
      </w:r>
      <w:r w:rsidRPr="00B2388D">
        <w:rPr>
          <w:sz w:val="22"/>
          <w:szCs w:val="22"/>
        </w:rPr>
        <w:t xml:space="preserve"> (2016) “Exploring the factors that influence the decision to adopt and engage with an integrated assistive telehealth and telecare service in Cambridgeshire, UK: a nested qualitative study of patient ‘users’ and ‘non-users,’” </w:t>
      </w:r>
      <w:r w:rsidRPr="00B2388D">
        <w:rPr>
          <w:i/>
          <w:iCs/>
          <w:sz w:val="22"/>
          <w:szCs w:val="22"/>
        </w:rPr>
        <w:t>BMC health services research</w:t>
      </w:r>
      <w:r w:rsidRPr="00B2388D">
        <w:rPr>
          <w:sz w:val="22"/>
          <w:szCs w:val="22"/>
        </w:rPr>
        <w:t xml:space="preserve">, 16(1). Available at: </w:t>
      </w:r>
      <w:hyperlink r:id="rId6" w:history="1">
        <w:r w:rsidR="0072291D" w:rsidRPr="00B2388D">
          <w:rPr>
            <w:rStyle w:val="Hyperlink"/>
            <w:sz w:val="22"/>
            <w:szCs w:val="22"/>
          </w:rPr>
          <w:t>https://doi.org/10.1186/s12913-016-1379-5</w:t>
        </w:r>
      </w:hyperlink>
      <w:r w:rsidR="0072291D">
        <w:rPr>
          <w:sz w:val="22"/>
          <w:szCs w:val="22"/>
        </w:rPr>
        <w:t xml:space="preserve">. </w:t>
      </w:r>
    </w:p>
    <w:p w14:paraId="161A72C3" w14:textId="3A93695B" w:rsidR="00446175" w:rsidRDefault="00446175" w:rsidP="00120224">
      <w:pPr>
        <w:spacing w:line="360" w:lineRule="auto"/>
        <w:rPr>
          <w:sz w:val="22"/>
          <w:szCs w:val="22"/>
        </w:rPr>
      </w:pPr>
      <w:r w:rsidRPr="00446175">
        <w:rPr>
          <w:sz w:val="22"/>
          <w:szCs w:val="22"/>
        </w:rPr>
        <w:t xml:space="preserve">Department of Health and Social Care (2025) </w:t>
      </w:r>
      <w:r w:rsidRPr="00446175">
        <w:rPr>
          <w:i/>
          <w:iCs/>
          <w:sz w:val="22"/>
          <w:szCs w:val="22"/>
        </w:rPr>
        <w:t>Transcript for the Institute for Gerontology Annual Lecture, King’s College London</w:t>
      </w:r>
      <w:r w:rsidRPr="00446175">
        <w:rPr>
          <w:sz w:val="22"/>
          <w:szCs w:val="22"/>
        </w:rPr>
        <w:t xml:space="preserve">. Available at: </w:t>
      </w:r>
      <w:hyperlink r:id="rId7" w:tgtFrame="_new" w:history="1">
        <w:r w:rsidRPr="00446175">
          <w:rPr>
            <w:rStyle w:val="Hyperlink"/>
            <w:sz w:val="22"/>
            <w:szCs w:val="22"/>
          </w:rPr>
          <w:t>https://socialcare.blog.gov.uk/wp-content/uploads/sites/8/2025/07/Transcript-for-the-Institute-for-Gerontology-Annual-Lecture-Kings-College-London.pdf</w:t>
        </w:r>
      </w:hyperlink>
      <w:r w:rsidRPr="00446175">
        <w:rPr>
          <w:sz w:val="22"/>
          <w:szCs w:val="22"/>
        </w:rPr>
        <w:t xml:space="preserve"> (Accessed: </w:t>
      </w:r>
      <w:r w:rsidR="006906FF">
        <w:rPr>
          <w:sz w:val="22"/>
          <w:szCs w:val="22"/>
        </w:rPr>
        <w:t>7</w:t>
      </w:r>
      <w:r w:rsidRPr="00446175">
        <w:rPr>
          <w:sz w:val="22"/>
          <w:szCs w:val="22"/>
        </w:rPr>
        <w:t xml:space="preserve"> April 2026).</w:t>
      </w:r>
      <w:r>
        <w:rPr>
          <w:sz w:val="22"/>
          <w:szCs w:val="22"/>
        </w:rPr>
        <w:t xml:space="preserve"> </w:t>
      </w:r>
    </w:p>
    <w:p w14:paraId="065BF590" w14:textId="6FCF0EBE" w:rsidR="0080580D" w:rsidRDefault="0080580D" w:rsidP="00120224">
      <w:pPr>
        <w:spacing w:line="360" w:lineRule="auto"/>
        <w:rPr>
          <w:sz w:val="22"/>
          <w:szCs w:val="22"/>
        </w:rPr>
      </w:pPr>
      <w:proofErr w:type="spellStart"/>
      <w:r w:rsidRPr="0080580D">
        <w:rPr>
          <w:sz w:val="22"/>
          <w:szCs w:val="22"/>
        </w:rPr>
        <w:t>Ejdys</w:t>
      </w:r>
      <w:proofErr w:type="spellEnd"/>
      <w:r w:rsidRPr="0080580D">
        <w:rPr>
          <w:sz w:val="22"/>
          <w:szCs w:val="22"/>
        </w:rPr>
        <w:t xml:space="preserve">, J. and </w:t>
      </w:r>
      <w:proofErr w:type="spellStart"/>
      <w:r w:rsidRPr="0080580D">
        <w:rPr>
          <w:sz w:val="22"/>
          <w:szCs w:val="22"/>
        </w:rPr>
        <w:t>Gulc</w:t>
      </w:r>
      <w:proofErr w:type="spellEnd"/>
      <w:r w:rsidRPr="0080580D">
        <w:rPr>
          <w:sz w:val="22"/>
          <w:szCs w:val="22"/>
        </w:rPr>
        <w:t xml:space="preserve">, A. (2022) “Factors influencing the intention to use assistive technologies by older adults,” </w:t>
      </w:r>
      <w:r w:rsidRPr="0080580D">
        <w:rPr>
          <w:i/>
          <w:iCs/>
          <w:sz w:val="22"/>
          <w:szCs w:val="22"/>
        </w:rPr>
        <w:t>Human technology</w:t>
      </w:r>
      <w:r w:rsidRPr="0080580D">
        <w:rPr>
          <w:sz w:val="22"/>
          <w:szCs w:val="22"/>
        </w:rPr>
        <w:t xml:space="preserve">, 18(1), pp. 6–28. Available at: </w:t>
      </w:r>
      <w:hyperlink r:id="rId8" w:history="1">
        <w:r w:rsidR="00F1439E" w:rsidRPr="0080580D">
          <w:rPr>
            <w:rStyle w:val="Hyperlink"/>
            <w:sz w:val="22"/>
            <w:szCs w:val="22"/>
          </w:rPr>
          <w:t>https://doi.org/10.14254/1795-6889.2022.18-1.2</w:t>
        </w:r>
      </w:hyperlink>
      <w:r w:rsidRPr="0080580D">
        <w:rPr>
          <w:sz w:val="22"/>
          <w:szCs w:val="22"/>
        </w:rPr>
        <w:t>.</w:t>
      </w:r>
      <w:r w:rsidR="00F1439E">
        <w:rPr>
          <w:sz w:val="22"/>
          <w:szCs w:val="22"/>
        </w:rPr>
        <w:t xml:space="preserve"> </w:t>
      </w:r>
    </w:p>
    <w:p w14:paraId="129ADBD5" w14:textId="529F6F5C" w:rsidR="00606B03" w:rsidRPr="00120224" w:rsidRDefault="003247D8" w:rsidP="00120224">
      <w:pPr>
        <w:spacing w:line="360" w:lineRule="auto"/>
        <w:rPr>
          <w:sz w:val="22"/>
          <w:szCs w:val="22"/>
        </w:rPr>
      </w:pPr>
      <w:r w:rsidRPr="003247D8">
        <w:rPr>
          <w:sz w:val="22"/>
          <w:szCs w:val="22"/>
        </w:rPr>
        <w:t xml:space="preserve">Freeman, S. </w:t>
      </w:r>
      <w:r w:rsidRPr="003247D8">
        <w:rPr>
          <w:i/>
          <w:iCs/>
          <w:sz w:val="22"/>
          <w:szCs w:val="22"/>
        </w:rPr>
        <w:t>et al.</w:t>
      </w:r>
      <w:r w:rsidRPr="003247D8">
        <w:rPr>
          <w:sz w:val="22"/>
          <w:szCs w:val="22"/>
        </w:rPr>
        <w:t xml:space="preserve"> (2025) “Use of Artificial Intelligence</w:t>
      </w:r>
      <w:r w:rsidRPr="003247D8">
        <w:rPr>
          <w:rFonts w:ascii="Cambria Math" w:hAnsi="Cambria Math" w:cs="Cambria Math"/>
          <w:sz w:val="22"/>
          <w:szCs w:val="22"/>
        </w:rPr>
        <w:t>‐</w:t>
      </w:r>
      <w:r w:rsidRPr="003247D8">
        <w:rPr>
          <w:sz w:val="22"/>
          <w:szCs w:val="22"/>
        </w:rPr>
        <w:t xml:space="preserve">Driven Wound Care Management to Enhance Access to Care Rural and Northern Communities,” </w:t>
      </w:r>
      <w:r w:rsidRPr="003247D8">
        <w:rPr>
          <w:i/>
          <w:iCs/>
          <w:sz w:val="22"/>
          <w:szCs w:val="22"/>
        </w:rPr>
        <w:t>International wound journal</w:t>
      </w:r>
      <w:r w:rsidRPr="003247D8">
        <w:rPr>
          <w:sz w:val="22"/>
          <w:szCs w:val="22"/>
        </w:rPr>
        <w:t xml:space="preserve">, 22(10), pp. e70767-n/a. Available at: </w:t>
      </w:r>
      <w:hyperlink r:id="rId9" w:history="1">
        <w:r w:rsidRPr="003247D8">
          <w:rPr>
            <w:rStyle w:val="Hyperlink"/>
            <w:sz w:val="22"/>
            <w:szCs w:val="22"/>
          </w:rPr>
          <w:t>https://doi.org/10.1111/iwj.70767</w:t>
        </w:r>
      </w:hyperlink>
      <w:r w:rsidRPr="003247D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2FD07D0E" w14:textId="2AF11567" w:rsidR="004C0BB3" w:rsidRDefault="000C7A76" w:rsidP="004C0BB3">
      <w:pPr>
        <w:spacing w:line="360" w:lineRule="auto"/>
        <w:rPr>
          <w:sz w:val="22"/>
          <w:szCs w:val="22"/>
        </w:rPr>
      </w:pPr>
      <w:r w:rsidRPr="000C7A76">
        <w:rPr>
          <w:sz w:val="22"/>
          <w:szCs w:val="22"/>
        </w:rPr>
        <w:t xml:space="preserve">Gaber, S.N. </w:t>
      </w:r>
      <w:r w:rsidRPr="000C7A76">
        <w:rPr>
          <w:i/>
          <w:iCs/>
          <w:sz w:val="22"/>
          <w:szCs w:val="22"/>
        </w:rPr>
        <w:t>et al.</w:t>
      </w:r>
      <w:r w:rsidRPr="000C7A76">
        <w:rPr>
          <w:sz w:val="22"/>
          <w:szCs w:val="22"/>
        </w:rPr>
        <w:t xml:space="preserve"> (2020) “Perceived risks, concession travel </w:t>
      </w:r>
      <w:proofErr w:type="gramStart"/>
      <w:r w:rsidRPr="000C7A76">
        <w:rPr>
          <w:sz w:val="22"/>
          <w:szCs w:val="22"/>
        </w:rPr>
        <w:t>pass</w:t>
      </w:r>
      <w:proofErr w:type="gramEnd"/>
      <w:r w:rsidRPr="000C7A76">
        <w:rPr>
          <w:sz w:val="22"/>
          <w:szCs w:val="22"/>
        </w:rPr>
        <w:t xml:space="preserve"> access and everyday technology use for out-of-home participation: cross-sectional interviews among older people in the UK,” </w:t>
      </w:r>
      <w:r w:rsidRPr="000C7A76">
        <w:rPr>
          <w:i/>
          <w:iCs/>
          <w:sz w:val="22"/>
          <w:szCs w:val="22"/>
        </w:rPr>
        <w:t>BMC GERIATRICS</w:t>
      </w:r>
      <w:r w:rsidRPr="000C7A76">
        <w:rPr>
          <w:sz w:val="22"/>
          <w:szCs w:val="22"/>
        </w:rPr>
        <w:t xml:space="preserve">, 20(1). Available at: </w:t>
      </w:r>
      <w:hyperlink r:id="rId10" w:history="1">
        <w:r w:rsidRPr="00643DD3">
          <w:rPr>
            <w:rStyle w:val="Hyperlink"/>
            <w:sz w:val="22"/>
            <w:szCs w:val="22"/>
          </w:rPr>
          <w:t>https://doi.org/10.1186/s12877-020-01565-0</w:t>
        </w:r>
      </w:hyperlink>
      <w:r w:rsidRPr="000C7A7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30AA030A" w14:textId="4BF928A7" w:rsidR="00D34A17" w:rsidRDefault="00D34A17" w:rsidP="004C0BB3">
      <w:pPr>
        <w:spacing w:line="360" w:lineRule="auto"/>
        <w:rPr>
          <w:sz w:val="22"/>
          <w:szCs w:val="22"/>
        </w:rPr>
      </w:pPr>
      <w:r w:rsidRPr="00D34A17">
        <w:rPr>
          <w:sz w:val="22"/>
          <w:szCs w:val="22"/>
        </w:rPr>
        <w:t xml:space="preserve">Gibson, G. </w:t>
      </w:r>
      <w:r w:rsidRPr="00D34A17">
        <w:rPr>
          <w:i/>
          <w:iCs/>
          <w:sz w:val="22"/>
          <w:szCs w:val="22"/>
        </w:rPr>
        <w:t>et al.</w:t>
      </w:r>
      <w:r w:rsidRPr="00D34A17">
        <w:rPr>
          <w:sz w:val="22"/>
          <w:szCs w:val="22"/>
        </w:rPr>
        <w:t xml:space="preserve"> (2015) “The everyday use of assistive technology by people with dementia and their family carers: a qualitative study,” </w:t>
      </w:r>
      <w:r w:rsidRPr="00D34A17">
        <w:rPr>
          <w:i/>
          <w:iCs/>
          <w:sz w:val="22"/>
          <w:szCs w:val="22"/>
        </w:rPr>
        <w:t>BMC geriatrics</w:t>
      </w:r>
      <w:r w:rsidRPr="00D34A17">
        <w:rPr>
          <w:sz w:val="22"/>
          <w:szCs w:val="22"/>
        </w:rPr>
        <w:t xml:space="preserve">, 15(1). Available at: </w:t>
      </w:r>
      <w:hyperlink r:id="rId11" w:history="1">
        <w:r w:rsidRPr="00D34A17">
          <w:rPr>
            <w:rStyle w:val="Hyperlink"/>
            <w:sz w:val="22"/>
            <w:szCs w:val="22"/>
          </w:rPr>
          <w:t>https://doi.org/10.1186/s12877-015-0091-3</w:t>
        </w:r>
      </w:hyperlink>
      <w:r w:rsidRPr="00D34A1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55FDF7C2" w14:textId="4B7108F0" w:rsidR="00E406BF" w:rsidRDefault="00D05EE7" w:rsidP="004C0BB3">
      <w:pPr>
        <w:spacing w:line="360" w:lineRule="auto"/>
        <w:rPr>
          <w:sz w:val="22"/>
          <w:szCs w:val="22"/>
        </w:rPr>
      </w:pPr>
      <w:r w:rsidRPr="00D05EE7">
        <w:rPr>
          <w:sz w:val="22"/>
          <w:szCs w:val="22"/>
        </w:rPr>
        <w:t xml:space="preserve">Hamblin, K. (2020) “Technology and social care in a digital world: challenges and opportunities in the UK,” </w:t>
      </w:r>
      <w:r w:rsidRPr="00D05EE7">
        <w:rPr>
          <w:i/>
          <w:iCs/>
          <w:sz w:val="22"/>
          <w:szCs w:val="22"/>
        </w:rPr>
        <w:t>Journal of enabling technologies</w:t>
      </w:r>
      <w:r w:rsidRPr="00D05EE7">
        <w:rPr>
          <w:sz w:val="22"/>
          <w:szCs w:val="22"/>
        </w:rPr>
        <w:t xml:space="preserve">, 14(2), pp. 115–125. Available at: </w:t>
      </w:r>
      <w:hyperlink r:id="rId12" w:history="1">
        <w:r w:rsidRPr="00643DD3">
          <w:rPr>
            <w:rStyle w:val="Hyperlink"/>
            <w:sz w:val="22"/>
            <w:szCs w:val="22"/>
          </w:rPr>
          <w:t>https://doi.org/10.1108/JET-11-2019-0052</w:t>
        </w:r>
      </w:hyperlink>
      <w:r w:rsidRPr="00D05EE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0C607B92" w14:textId="3C4C4E96" w:rsidR="0012171A" w:rsidRDefault="0036179F" w:rsidP="004C0BB3">
      <w:pPr>
        <w:spacing w:line="360" w:lineRule="auto"/>
        <w:rPr>
          <w:sz w:val="22"/>
          <w:szCs w:val="22"/>
        </w:rPr>
      </w:pPr>
      <w:r w:rsidRPr="0036179F">
        <w:rPr>
          <w:sz w:val="22"/>
          <w:szCs w:val="22"/>
        </w:rPr>
        <w:lastRenderedPageBreak/>
        <w:t xml:space="preserve">Hanson, A. and Nap, H.H. (2024) “A scoping review for assistive technologies for healthy ageing: A conversation,” </w:t>
      </w:r>
      <w:proofErr w:type="spellStart"/>
      <w:r w:rsidRPr="0036179F">
        <w:rPr>
          <w:i/>
          <w:iCs/>
          <w:sz w:val="22"/>
          <w:szCs w:val="22"/>
        </w:rPr>
        <w:t>Gerontechnology</w:t>
      </w:r>
      <w:proofErr w:type="spellEnd"/>
      <w:r w:rsidRPr="0036179F">
        <w:rPr>
          <w:sz w:val="22"/>
          <w:szCs w:val="22"/>
        </w:rPr>
        <w:t xml:space="preserve">, 23(s), pp. 1–1. Available at: </w:t>
      </w:r>
      <w:hyperlink r:id="rId13" w:history="1">
        <w:r w:rsidRPr="0036179F">
          <w:rPr>
            <w:rStyle w:val="Hyperlink"/>
            <w:sz w:val="22"/>
            <w:szCs w:val="22"/>
          </w:rPr>
          <w:t>https://doi.org/10.4017/gt.2024.23.s.1107.opp</w:t>
        </w:r>
      </w:hyperlink>
      <w:r w:rsidRPr="0036179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3DA7FA7F" w14:textId="3F76377D" w:rsidR="00004A22" w:rsidRDefault="00004A22" w:rsidP="004C0BB3">
      <w:pPr>
        <w:spacing w:line="360" w:lineRule="auto"/>
        <w:rPr>
          <w:sz w:val="22"/>
          <w:szCs w:val="22"/>
        </w:rPr>
      </w:pPr>
      <w:proofErr w:type="spellStart"/>
      <w:r w:rsidRPr="00004A22">
        <w:rPr>
          <w:sz w:val="22"/>
          <w:szCs w:val="22"/>
        </w:rPr>
        <w:t>Harrefors</w:t>
      </w:r>
      <w:proofErr w:type="spellEnd"/>
      <w:r w:rsidRPr="00004A22">
        <w:rPr>
          <w:sz w:val="22"/>
          <w:szCs w:val="22"/>
        </w:rPr>
        <w:t xml:space="preserve">, C., Axelsson, K. and </w:t>
      </w:r>
      <w:proofErr w:type="spellStart"/>
      <w:r w:rsidRPr="00004A22">
        <w:rPr>
          <w:sz w:val="22"/>
          <w:szCs w:val="22"/>
        </w:rPr>
        <w:t>Sävenstedt</w:t>
      </w:r>
      <w:proofErr w:type="spellEnd"/>
      <w:r w:rsidRPr="00004A22">
        <w:rPr>
          <w:sz w:val="22"/>
          <w:szCs w:val="22"/>
        </w:rPr>
        <w:t xml:space="preserve">, S. (2010) “Using assistive technology services at differing levels of care: healthy older couples’ perceptions,” </w:t>
      </w:r>
      <w:r w:rsidRPr="00004A22">
        <w:rPr>
          <w:i/>
          <w:iCs/>
          <w:sz w:val="22"/>
          <w:szCs w:val="22"/>
        </w:rPr>
        <w:t>Journal of advanced nursing</w:t>
      </w:r>
      <w:r w:rsidRPr="00004A22">
        <w:rPr>
          <w:sz w:val="22"/>
          <w:szCs w:val="22"/>
        </w:rPr>
        <w:t xml:space="preserve">, 66(7), pp. 1523–1532. Available at: </w:t>
      </w:r>
      <w:hyperlink r:id="rId14" w:history="1">
        <w:r w:rsidRPr="00643DD3">
          <w:rPr>
            <w:rStyle w:val="Hyperlink"/>
            <w:sz w:val="22"/>
            <w:szCs w:val="22"/>
          </w:rPr>
          <w:t>https://doi.org/10.1111/j.1365-2648.2010.05335.x</w:t>
        </w:r>
      </w:hyperlink>
      <w:r w:rsidRPr="00004A22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7E0C22E9" w14:textId="0F8CE254" w:rsidR="00B17153" w:rsidRDefault="00B17153" w:rsidP="004C0BB3">
      <w:pPr>
        <w:spacing w:line="360" w:lineRule="auto"/>
        <w:rPr>
          <w:sz w:val="22"/>
          <w:szCs w:val="22"/>
        </w:rPr>
      </w:pPr>
      <w:r w:rsidRPr="00B17153">
        <w:rPr>
          <w:sz w:val="22"/>
          <w:szCs w:val="22"/>
        </w:rPr>
        <w:t xml:space="preserve">Holliday, N., Ward, G. and Fielden, S. (2015) “Understanding younger older consumers’ needs in a changing healthcare market—supporting and developing the consumer market for electronic assisted living technologies,” </w:t>
      </w:r>
      <w:r w:rsidRPr="00B17153">
        <w:rPr>
          <w:i/>
          <w:iCs/>
          <w:sz w:val="22"/>
          <w:szCs w:val="22"/>
        </w:rPr>
        <w:t>International journal of consumer studies</w:t>
      </w:r>
      <w:r w:rsidRPr="00B17153">
        <w:rPr>
          <w:sz w:val="22"/>
          <w:szCs w:val="22"/>
        </w:rPr>
        <w:t xml:space="preserve">, 39(4), pp. 305–315. Available at: </w:t>
      </w:r>
      <w:hyperlink r:id="rId15" w:history="1">
        <w:r w:rsidRPr="00643DD3">
          <w:rPr>
            <w:rStyle w:val="Hyperlink"/>
            <w:sz w:val="22"/>
            <w:szCs w:val="22"/>
          </w:rPr>
          <w:t>https://doi.org/10.1111/ijcs.12192</w:t>
        </w:r>
      </w:hyperlink>
      <w:r w:rsidRPr="00B1715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588B3613" w14:textId="629E0406" w:rsidR="00F8683D" w:rsidRDefault="00F8683D" w:rsidP="004C0BB3">
      <w:pPr>
        <w:spacing w:line="360" w:lineRule="auto"/>
        <w:rPr>
          <w:sz w:val="22"/>
          <w:szCs w:val="22"/>
        </w:rPr>
      </w:pPr>
      <w:proofErr w:type="spellStart"/>
      <w:r w:rsidRPr="00CE7821">
        <w:rPr>
          <w:sz w:val="22"/>
          <w:szCs w:val="22"/>
        </w:rPr>
        <w:t>Kunonga</w:t>
      </w:r>
      <w:proofErr w:type="spellEnd"/>
      <w:r w:rsidRPr="00CE7821">
        <w:rPr>
          <w:sz w:val="22"/>
          <w:szCs w:val="22"/>
        </w:rPr>
        <w:t xml:space="preserve">, T.P., Spiers, G.F., Beyer, F.R., Hanratty, B., Boulton, E., Hall, A., Bower, P., Todd, C. and Craig, D. (2021) </w:t>
      </w:r>
      <w:r w:rsidRPr="00CE7821">
        <w:rPr>
          <w:i/>
          <w:iCs/>
          <w:sz w:val="22"/>
          <w:szCs w:val="22"/>
        </w:rPr>
        <w:t>Effects of digital technologies on older people’s access to health and social care: umbrella review</w:t>
      </w:r>
      <w:r w:rsidRPr="00CE7821">
        <w:rPr>
          <w:sz w:val="22"/>
          <w:szCs w:val="22"/>
        </w:rPr>
        <w:t xml:space="preserve">. </w:t>
      </w:r>
      <w:r w:rsidRPr="00CE7821">
        <w:rPr>
          <w:i/>
          <w:iCs/>
          <w:sz w:val="22"/>
          <w:szCs w:val="22"/>
        </w:rPr>
        <w:t>Journal of Medical Internet Research</w:t>
      </w:r>
      <w:r w:rsidRPr="00CE7821">
        <w:rPr>
          <w:sz w:val="22"/>
          <w:szCs w:val="22"/>
        </w:rPr>
        <w:t xml:space="preserve">, 23(11), e25887. Available at: </w:t>
      </w:r>
      <w:hyperlink r:id="rId16" w:tgtFrame="_new" w:history="1">
        <w:r w:rsidRPr="00CE7821">
          <w:rPr>
            <w:rStyle w:val="Hyperlink"/>
            <w:sz w:val="22"/>
            <w:szCs w:val="22"/>
          </w:rPr>
          <w:t>https://pmc.ncbi.nlm.nih.gov/articles/PMC8663708/</w:t>
        </w:r>
      </w:hyperlink>
      <w:r w:rsidRPr="00CE7821">
        <w:rPr>
          <w:sz w:val="22"/>
          <w:szCs w:val="22"/>
        </w:rPr>
        <w:t xml:space="preserve"> (Accessed: </w:t>
      </w:r>
      <w:r>
        <w:rPr>
          <w:sz w:val="22"/>
          <w:szCs w:val="22"/>
        </w:rPr>
        <w:t>8</w:t>
      </w:r>
      <w:r w:rsidRPr="00CE7821">
        <w:rPr>
          <w:sz w:val="22"/>
          <w:szCs w:val="22"/>
        </w:rPr>
        <w:t xml:space="preserve"> April 2026).</w:t>
      </w:r>
      <w:r>
        <w:rPr>
          <w:sz w:val="22"/>
          <w:szCs w:val="22"/>
        </w:rPr>
        <w:t xml:space="preserve"> </w:t>
      </w:r>
    </w:p>
    <w:p w14:paraId="3912E89D" w14:textId="37D2BBB2" w:rsidR="004715CB" w:rsidRDefault="004715CB" w:rsidP="004C0BB3">
      <w:pPr>
        <w:spacing w:line="360" w:lineRule="auto"/>
        <w:rPr>
          <w:sz w:val="22"/>
          <w:szCs w:val="22"/>
        </w:rPr>
      </w:pPr>
      <w:r w:rsidRPr="004715CB">
        <w:rPr>
          <w:sz w:val="22"/>
          <w:szCs w:val="22"/>
        </w:rPr>
        <w:t xml:space="preserve">Lynch, J. </w:t>
      </w:r>
      <w:r w:rsidRPr="004715CB">
        <w:rPr>
          <w:i/>
          <w:iCs/>
          <w:sz w:val="22"/>
          <w:szCs w:val="22"/>
        </w:rPr>
        <w:t>et al.</w:t>
      </w:r>
      <w:r w:rsidRPr="004715CB">
        <w:rPr>
          <w:sz w:val="22"/>
          <w:szCs w:val="22"/>
        </w:rPr>
        <w:t xml:space="preserve"> (2022) “‘It’s no good but at least I’ve always got it round my neck’: A </w:t>
      </w:r>
      <w:proofErr w:type="spellStart"/>
      <w:r w:rsidRPr="004715CB">
        <w:rPr>
          <w:sz w:val="22"/>
          <w:szCs w:val="22"/>
        </w:rPr>
        <w:t>postphenomenological</w:t>
      </w:r>
      <w:proofErr w:type="spellEnd"/>
      <w:r w:rsidRPr="004715CB">
        <w:rPr>
          <w:sz w:val="22"/>
          <w:szCs w:val="22"/>
        </w:rPr>
        <w:t xml:space="preserve"> analysis of reassurance in assistive technology use by older people,” </w:t>
      </w:r>
      <w:r w:rsidRPr="004715CB">
        <w:rPr>
          <w:i/>
          <w:iCs/>
          <w:sz w:val="22"/>
          <w:szCs w:val="22"/>
        </w:rPr>
        <w:t>Social science &amp; medicine (1982)</w:t>
      </w:r>
      <w:r w:rsidRPr="004715CB">
        <w:rPr>
          <w:sz w:val="22"/>
          <w:szCs w:val="22"/>
        </w:rPr>
        <w:t xml:space="preserve">, 292. Available at: </w:t>
      </w:r>
      <w:hyperlink r:id="rId17" w:history="1">
        <w:r w:rsidRPr="00643DD3">
          <w:rPr>
            <w:rStyle w:val="Hyperlink"/>
            <w:sz w:val="22"/>
            <w:szCs w:val="22"/>
          </w:rPr>
          <w:t>https://doi.org/10.1016/j.socscimed.2021.114553</w:t>
        </w:r>
      </w:hyperlink>
      <w:r w:rsidRPr="004715C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39B0DBD2" w14:textId="4EE7DB2F" w:rsidR="00120224" w:rsidRDefault="004C0BB3" w:rsidP="004C0BB3">
      <w:pPr>
        <w:spacing w:line="360" w:lineRule="auto"/>
        <w:rPr>
          <w:sz w:val="22"/>
          <w:szCs w:val="22"/>
        </w:rPr>
      </w:pPr>
      <w:r w:rsidRPr="004C0BB3">
        <w:rPr>
          <w:sz w:val="22"/>
          <w:szCs w:val="22"/>
        </w:rPr>
        <w:t xml:space="preserve">Manthorpe, J. </w:t>
      </w:r>
      <w:r w:rsidRPr="004C0BB3">
        <w:rPr>
          <w:i/>
          <w:iCs/>
          <w:sz w:val="22"/>
          <w:szCs w:val="22"/>
        </w:rPr>
        <w:t>et al.</w:t>
      </w:r>
      <w:r w:rsidRPr="004C0BB3">
        <w:rPr>
          <w:sz w:val="22"/>
          <w:szCs w:val="22"/>
        </w:rPr>
        <w:t xml:space="preserve"> (2010) “Smarter Working in Social and Health Care: Professional Perspectives on a New Technology for Risk Appraisal with Older People,” </w:t>
      </w:r>
      <w:r w:rsidRPr="004C0BB3">
        <w:rPr>
          <w:i/>
          <w:iCs/>
          <w:sz w:val="22"/>
          <w:szCs w:val="22"/>
        </w:rPr>
        <w:t>The British journal of social work</w:t>
      </w:r>
      <w:r w:rsidRPr="004C0BB3">
        <w:rPr>
          <w:sz w:val="22"/>
          <w:szCs w:val="22"/>
        </w:rPr>
        <w:t xml:space="preserve">, 40(6), pp. 1829–1846. Available at: </w:t>
      </w:r>
      <w:hyperlink r:id="rId18" w:history="1">
        <w:r w:rsidRPr="00643DD3">
          <w:rPr>
            <w:rStyle w:val="Hyperlink"/>
            <w:sz w:val="22"/>
            <w:szCs w:val="22"/>
          </w:rPr>
          <w:t>https://doi.org/10.1093/bjsw/bcp100</w:t>
        </w:r>
      </w:hyperlink>
      <w:r w:rsidRPr="004C0BB3">
        <w:rPr>
          <w:sz w:val="22"/>
          <w:szCs w:val="22"/>
        </w:rPr>
        <w:t>.</w:t>
      </w:r>
    </w:p>
    <w:p w14:paraId="193BA6E9" w14:textId="5315B707" w:rsidR="007C16EC" w:rsidRDefault="007C16EC" w:rsidP="004C0BB3">
      <w:pPr>
        <w:spacing w:line="360" w:lineRule="auto"/>
        <w:rPr>
          <w:sz w:val="22"/>
          <w:szCs w:val="22"/>
        </w:rPr>
      </w:pPr>
      <w:proofErr w:type="spellStart"/>
      <w:r w:rsidRPr="007C16EC">
        <w:rPr>
          <w:sz w:val="22"/>
          <w:szCs w:val="22"/>
        </w:rPr>
        <w:t>Markoc</w:t>
      </w:r>
      <w:proofErr w:type="spellEnd"/>
      <w:r w:rsidRPr="007C16EC">
        <w:rPr>
          <w:sz w:val="22"/>
          <w:szCs w:val="22"/>
        </w:rPr>
        <w:t xml:space="preserve">, I. and Bayram, S. (2026) “From experience to policy: safeguarding autonomy and privacy in digital elder care,” </w:t>
      </w:r>
      <w:r w:rsidRPr="007C16EC">
        <w:rPr>
          <w:i/>
          <w:iCs/>
          <w:sz w:val="22"/>
          <w:szCs w:val="22"/>
        </w:rPr>
        <w:t>The journal of adult protection</w:t>
      </w:r>
      <w:r w:rsidRPr="007C16EC">
        <w:rPr>
          <w:sz w:val="22"/>
          <w:szCs w:val="22"/>
        </w:rPr>
        <w:t xml:space="preserve">, 28(1), pp. 24–38. Available at: </w:t>
      </w:r>
      <w:hyperlink r:id="rId19" w:history="1">
        <w:r w:rsidRPr="007C16EC">
          <w:rPr>
            <w:rStyle w:val="Hyperlink"/>
            <w:sz w:val="22"/>
            <w:szCs w:val="22"/>
          </w:rPr>
          <w:t>https://doi.org/10.1108/JAP-07-2025-0028</w:t>
        </w:r>
      </w:hyperlink>
      <w:r w:rsidRPr="007C16EC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4F6CACCB" w14:textId="54918770" w:rsidR="00F1439E" w:rsidRDefault="00F1439E" w:rsidP="004C0BB3">
      <w:pPr>
        <w:spacing w:line="360" w:lineRule="auto"/>
        <w:rPr>
          <w:sz w:val="22"/>
          <w:szCs w:val="22"/>
        </w:rPr>
      </w:pPr>
      <w:proofErr w:type="spellStart"/>
      <w:r w:rsidRPr="00F1439E">
        <w:rPr>
          <w:sz w:val="22"/>
          <w:szCs w:val="22"/>
        </w:rPr>
        <w:t>McCREADIE</w:t>
      </w:r>
      <w:proofErr w:type="spellEnd"/>
      <w:r w:rsidRPr="00F1439E">
        <w:rPr>
          <w:sz w:val="22"/>
          <w:szCs w:val="22"/>
        </w:rPr>
        <w:t xml:space="preserve">, C. and TINKER, A. (2005) “The acceptability of assistive technology to older people,” </w:t>
      </w:r>
      <w:r w:rsidRPr="00F1439E">
        <w:rPr>
          <w:i/>
          <w:iCs/>
          <w:sz w:val="22"/>
          <w:szCs w:val="22"/>
        </w:rPr>
        <w:t>Ageing and society</w:t>
      </w:r>
      <w:r w:rsidRPr="00F1439E">
        <w:rPr>
          <w:sz w:val="22"/>
          <w:szCs w:val="22"/>
        </w:rPr>
        <w:t xml:space="preserve">, 25(1), pp. 91–110. Available at: </w:t>
      </w:r>
      <w:hyperlink r:id="rId20" w:history="1">
        <w:r w:rsidRPr="00F1439E">
          <w:rPr>
            <w:rStyle w:val="Hyperlink"/>
            <w:sz w:val="22"/>
            <w:szCs w:val="22"/>
          </w:rPr>
          <w:t>https://doi.org/10.1017/S0144686X0400248X</w:t>
        </w:r>
      </w:hyperlink>
      <w:r w:rsidRPr="00F1439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3F8078F9" w14:textId="06C6F0D5" w:rsidR="00271701" w:rsidRDefault="00271701" w:rsidP="004C0BB3">
      <w:pPr>
        <w:spacing w:line="360" w:lineRule="auto"/>
        <w:rPr>
          <w:sz w:val="22"/>
          <w:szCs w:val="22"/>
        </w:rPr>
      </w:pPr>
      <w:r w:rsidRPr="00271701">
        <w:rPr>
          <w:sz w:val="22"/>
          <w:szCs w:val="22"/>
        </w:rPr>
        <w:t xml:space="preserve">McHaney, R. (2021) </w:t>
      </w:r>
      <w:r w:rsidRPr="00271701">
        <w:rPr>
          <w:i/>
          <w:iCs/>
          <w:sz w:val="22"/>
          <w:szCs w:val="22"/>
        </w:rPr>
        <w:t>Impacts of information technology on patient care and empowerment</w:t>
      </w:r>
      <w:r w:rsidRPr="00271701">
        <w:rPr>
          <w:sz w:val="22"/>
          <w:szCs w:val="22"/>
        </w:rPr>
        <w:t xml:space="preserve">. Edited by R. McHaney et al. Hershey, Pennsylvania: Medical Information Science Reference an imprint of IGI Global. Available at: </w:t>
      </w:r>
      <w:hyperlink r:id="rId21" w:history="1">
        <w:r w:rsidRPr="00643DD3">
          <w:rPr>
            <w:rStyle w:val="Hyperlink"/>
            <w:sz w:val="22"/>
            <w:szCs w:val="22"/>
          </w:rPr>
          <w:t>https://doi.org/10.4018/978-1-7998-0047-7</w:t>
        </w:r>
      </w:hyperlink>
      <w:r w:rsidRPr="0027170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770B8969" w14:textId="62F606EB" w:rsidR="004C0BB3" w:rsidRDefault="00BD75EA" w:rsidP="004C0BB3">
      <w:pPr>
        <w:spacing w:line="360" w:lineRule="auto"/>
        <w:rPr>
          <w:sz w:val="22"/>
          <w:szCs w:val="22"/>
        </w:rPr>
      </w:pPr>
      <w:r w:rsidRPr="00BD75EA">
        <w:rPr>
          <w:sz w:val="22"/>
          <w:szCs w:val="22"/>
        </w:rPr>
        <w:t xml:space="preserve">Milligan, C., Roberts, C. and Mort, M. (2011) “Telecare and older people: Who cares </w:t>
      </w:r>
      <w:proofErr w:type="gramStart"/>
      <w:r w:rsidRPr="00BD75EA">
        <w:rPr>
          <w:sz w:val="22"/>
          <w:szCs w:val="22"/>
        </w:rPr>
        <w:t>where?,</w:t>
      </w:r>
      <w:proofErr w:type="gramEnd"/>
      <w:r w:rsidRPr="00BD75EA">
        <w:rPr>
          <w:sz w:val="22"/>
          <w:szCs w:val="22"/>
        </w:rPr>
        <w:t xml:space="preserve">” </w:t>
      </w:r>
      <w:r w:rsidRPr="00BD75EA">
        <w:rPr>
          <w:i/>
          <w:iCs/>
          <w:sz w:val="22"/>
          <w:szCs w:val="22"/>
        </w:rPr>
        <w:t>Social science &amp; medicine (1982)</w:t>
      </w:r>
      <w:r w:rsidRPr="00BD75EA">
        <w:rPr>
          <w:sz w:val="22"/>
          <w:szCs w:val="22"/>
        </w:rPr>
        <w:t xml:space="preserve">, 72(3), pp. 347–354. Available at: </w:t>
      </w:r>
      <w:hyperlink r:id="rId22" w:history="1">
        <w:r w:rsidRPr="00643DD3">
          <w:rPr>
            <w:rStyle w:val="Hyperlink"/>
            <w:sz w:val="22"/>
            <w:szCs w:val="22"/>
          </w:rPr>
          <w:t>https://doi.org/10.1016/j.socscimed.2010.08.014</w:t>
        </w:r>
      </w:hyperlink>
      <w:r w:rsidRPr="00BD75E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1A68F946" w14:textId="4CC99083" w:rsidR="00D1541B" w:rsidRDefault="00D1541B" w:rsidP="004C0BB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NHS England </w:t>
      </w:r>
      <w:r w:rsidRPr="00D1541B">
        <w:rPr>
          <w:sz w:val="22"/>
          <w:szCs w:val="22"/>
        </w:rPr>
        <w:t xml:space="preserve">(2023) </w:t>
      </w:r>
      <w:r w:rsidRPr="00D1541B">
        <w:rPr>
          <w:i/>
          <w:iCs/>
          <w:sz w:val="22"/>
          <w:szCs w:val="22"/>
        </w:rPr>
        <w:t>Inclusive digital healthcare: a framework for NHS action on digital inclusion</w:t>
      </w:r>
      <w:r w:rsidRPr="00D1541B">
        <w:rPr>
          <w:sz w:val="22"/>
          <w:szCs w:val="22"/>
        </w:rPr>
        <w:t xml:space="preserve">. Available at: </w:t>
      </w:r>
      <w:hyperlink r:id="rId23" w:tgtFrame="_new" w:history="1">
        <w:r w:rsidRPr="00D1541B">
          <w:rPr>
            <w:rStyle w:val="Hyperlink"/>
            <w:sz w:val="22"/>
            <w:szCs w:val="22"/>
          </w:rPr>
          <w:t>https://www.england.nhs.uk/long-read/inclusive-digital-healthcare-a-framework-for-nhs-action-on-digital-inclusion/</w:t>
        </w:r>
      </w:hyperlink>
      <w:r w:rsidRPr="00D1541B">
        <w:rPr>
          <w:sz w:val="22"/>
          <w:szCs w:val="22"/>
        </w:rPr>
        <w:t xml:space="preserve"> (Accessed: </w:t>
      </w:r>
      <w:r w:rsidR="006906FF">
        <w:rPr>
          <w:sz w:val="22"/>
          <w:szCs w:val="22"/>
        </w:rPr>
        <w:t>2</w:t>
      </w:r>
      <w:r w:rsidRPr="00D1541B">
        <w:rPr>
          <w:sz w:val="22"/>
          <w:szCs w:val="22"/>
        </w:rPr>
        <w:t xml:space="preserve"> April 2026).</w:t>
      </w:r>
    </w:p>
    <w:p w14:paraId="6E03B07C" w14:textId="52030987" w:rsidR="006906FF" w:rsidRDefault="006906FF" w:rsidP="004C0BB3">
      <w:pPr>
        <w:spacing w:line="360" w:lineRule="auto"/>
        <w:rPr>
          <w:sz w:val="22"/>
          <w:szCs w:val="22"/>
        </w:rPr>
      </w:pPr>
      <w:r w:rsidRPr="006906FF">
        <w:rPr>
          <w:sz w:val="22"/>
          <w:szCs w:val="22"/>
        </w:rPr>
        <w:t xml:space="preserve">National Institute for Health and Care Research (NIHR) (2024) </w:t>
      </w:r>
      <w:r w:rsidRPr="006906FF">
        <w:rPr>
          <w:i/>
          <w:iCs/>
          <w:sz w:val="22"/>
          <w:szCs w:val="22"/>
        </w:rPr>
        <w:t>Digitalisation of health and social care services for older adults</w:t>
      </w:r>
      <w:r w:rsidRPr="006906FF">
        <w:rPr>
          <w:sz w:val="22"/>
          <w:szCs w:val="22"/>
        </w:rPr>
        <w:t xml:space="preserve">. Available at: </w:t>
      </w:r>
      <w:hyperlink r:id="rId24" w:tgtFrame="_new" w:history="1">
        <w:r w:rsidRPr="006906FF">
          <w:rPr>
            <w:rStyle w:val="Hyperlink"/>
            <w:sz w:val="22"/>
            <w:szCs w:val="22"/>
          </w:rPr>
          <w:t>https://www.hapru.nihr.ac.uk/2024/06/30/digitalisation-of-health-and-social-care-services-for-older-adults/</w:t>
        </w:r>
      </w:hyperlink>
      <w:r w:rsidRPr="006906FF">
        <w:rPr>
          <w:sz w:val="22"/>
          <w:szCs w:val="22"/>
        </w:rPr>
        <w:t xml:space="preserve"> (Accessed: </w:t>
      </w:r>
      <w:r>
        <w:rPr>
          <w:sz w:val="22"/>
          <w:szCs w:val="22"/>
        </w:rPr>
        <w:t>3</w:t>
      </w:r>
      <w:r w:rsidRPr="006906FF">
        <w:rPr>
          <w:sz w:val="22"/>
          <w:szCs w:val="22"/>
        </w:rPr>
        <w:t xml:space="preserve"> April 2026).</w:t>
      </w:r>
    </w:p>
    <w:p w14:paraId="3FA72B6C" w14:textId="773F9173" w:rsidR="00B37FA6" w:rsidRDefault="00B37FA6" w:rsidP="004C0BB3">
      <w:pPr>
        <w:spacing w:line="360" w:lineRule="auto"/>
        <w:rPr>
          <w:sz w:val="22"/>
          <w:szCs w:val="22"/>
        </w:rPr>
      </w:pPr>
      <w:r w:rsidRPr="00B37FA6">
        <w:rPr>
          <w:sz w:val="22"/>
          <w:szCs w:val="22"/>
        </w:rPr>
        <w:t xml:space="preserve">Nierling, L. and Emma Domínguez </w:t>
      </w:r>
      <w:proofErr w:type="spellStart"/>
      <w:r w:rsidRPr="00B37FA6">
        <w:rPr>
          <w:sz w:val="22"/>
          <w:szCs w:val="22"/>
        </w:rPr>
        <w:t>Rué</w:t>
      </w:r>
      <w:proofErr w:type="spellEnd"/>
      <w:r w:rsidRPr="00B37FA6">
        <w:rPr>
          <w:sz w:val="22"/>
          <w:szCs w:val="22"/>
        </w:rPr>
        <w:t xml:space="preserve"> editor (2016) </w:t>
      </w:r>
      <w:r w:rsidRPr="00B37FA6">
        <w:rPr>
          <w:i/>
          <w:iCs/>
          <w:sz w:val="22"/>
          <w:szCs w:val="22"/>
        </w:rPr>
        <w:t xml:space="preserve">Ageing and </w:t>
      </w:r>
      <w:proofErr w:type="gramStart"/>
      <w:r w:rsidRPr="00B37FA6">
        <w:rPr>
          <w:i/>
          <w:iCs/>
          <w:sz w:val="22"/>
          <w:szCs w:val="22"/>
        </w:rPr>
        <w:t>Technology :</w:t>
      </w:r>
      <w:proofErr w:type="gramEnd"/>
      <w:r w:rsidRPr="00B37FA6">
        <w:rPr>
          <w:i/>
          <w:iCs/>
          <w:sz w:val="22"/>
          <w:szCs w:val="22"/>
        </w:rPr>
        <w:t xml:space="preserve"> Perspectives from the Social Sciences</w:t>
      </w:r>
      <w:r w:rsidRPr="00B37FA6">
        <w:rPr>
          <w:sz w:val="22"/>
          <w:szCs w:val="22"/>
        </w:rPr>
        <w:t xml:space="preserve">. 1st ed. Edited by L. Nierling. Bielefeld: transcript Verlag. Available at: </w:t>
      </w:r>
      <w:hyperlink r:id="rId25" w:history="1">
        <w:r w:rsidRPr="00643DD3">
          <w:rPr>
            <w:rStyle w:val="Hyperlink"/>
            <w:sz w:val="22"/>
            <w:szCs w:val="22"/>
          </w:rPr>
          <w:t>https://doi.org/10.14361/9783839429570</w:t>
        </w:r>
      </w:hyperlink>
      <w:r w:rsidRPr="00B37FA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5B79DD08" w14:textId="5E672F3E" w:rsidR="00B41388" w:rsidRDefault="00B41388" w:rsidP="004C0BB3">
      <w:pPr>
        <w:spacing w:line="360" w:lineRule="auto"/>
        <w:rPr>
          <w:sz w:val="22"/>
          <w:szCs w:val="22"/>
        </w:rPr>
      </w:pPr>
      <w:r w:rsidRPr="00B41388">
        <w:rPr>
          <w:sz w:val="22"/>
          <w:szCs w:val="22"/>
        </w:rPr>
        <w:t xml:space="preserve">Neal, D. </w:t>
      </w:r>
      <w:r w:rsidRPr="00B41388">
        <w:rPr>
          <w:i/>
          <w:iCs/>
          <w:sz w:val="22"/>
          <w:szCs w:val="22"/>
        </w:rPr>
        <w:t>et al.</w:t>
      </w:r>
      <w:r w:rsidRPr="00B41388">
        <w:rPr>
          <w:sz w:val="22"/>
          <w:szCs w:val="22"/>
        </w:rPr>
        <w:t xml:space="preserve"> (2025) “Digital assistive technologies for community-dwelling people with dementia: A systematic review of systematic reviews by the INTERDEM AI &amp; assistive technology taskforce,” </w:t>
      </w:r>
      <w:r w:rsidRPr="00B41388">
        <w:rPr>
          <w:i/>
          <w:iCs/>
          <w:sz w:val="22"/>
          <w:szCs w:val="22"/>
        </w:rPr>
        <w:t>Digital health</w:t>
      </w:r>
      <w:r w:rsidRPr="00B41388">
        <w:rPr>
          <w:sz w:val="22"/>
          <w:szCs w:val="22"/>
        </w:rPr>
        <w:t xml:space="preserve">, 11, p. 20552076251362353. Available at: </w:t>
      </w:r>
      <w:hyperlink r:id="rId26" w:history="1">
        <w:r w:rsidRPr="00B41388">
          <w:rPr>
            <w:rStyle w:val="Hyperlink"/>
            <w:sz w:val="22"/>
            <w:szCs w:val="22"/>
          </w:rPr>
          <w:t>https://doi.org/10.1177/20552076251362353</w:t>
        </w:r>
      </w:hyperlink>
      <w:r w:rsidRPr="00B4138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2D10FE14" w14:textId="04CEA73B" w:rsidR="00BD75EA" w:rsidRDefault="00E406BF" w:rsidP="004C0BB3">
      <w:pPr>
        <w:spacing w:line="360" w:lineRule="auto"/>
        <w:rPr>
          <w:sz w:val="22"/>
          <w:szCs w:val="22"/>
        </w:rPr>
      </w:pPr>
      <w:r w:rsidRPr="00E406BF">
        <w:rPr>
          <w:sz w:val="22"/>
          <w:szCs w:val="22"/>
        </w:rPr>
        <w:t xml:space="preserve">Pangbourne, K., Aditjandra, P.T. and Nelson, J.D. (2010) “New technology and quality of life for older people: exploring health and transport dimensions in the UK context,” </w:t>
      </w:r>
      <w:r w:rsidRPr="00E406BF">
        <w:rPr>
          <w:i/>
          <w:iCs/>
          <w:sz w:val="22"/>
          <w:szCs w:val="22"/>
        </w:rPr>
        <w:t>IET intelligent transport systems</w:t>
      </w:r>
      <w:r w:rsidRPr="00E406BF">
        <w:rPr>
          <w:sz w:val="22"/>
          <w:szCs w:val="22"/>
        </w:rPr>
        <w:t xml:space="preserve">, 4(4), pp. 318–327. Available at: </w:t>
      </w:r>
      <w:hyperlink r:id="rId27" w:history="1">
        <w:r w:rsidRPr="00643DD3">
          <w:rPr>
            <w:rStyle w:val="Hyperlink"/>
            <w:sz w:val="22"/>
            <w:szCs w:val="22"/>
          </w:rPr>
          <w:t>https://doi.org/10.1049/iet-its.2009.0106</w:t>
        </w:r>
      </w:hyperlink>
      <w:r w:rsidRPr="00E406B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482C2E05" w14:textId="6F5C990A" w:rsidR="00783A2B" w:rsidRDefault="00783A2B" w:rsidP="004C0BB3">
      <w:pPr>
        <w:spacing w:line="360" w:lineRule="auto"/>
        <w:rPr>
          <w:sz w:val="22"/>
          <w:szCs w:val="22"/>
        </w:rPr>
      </w:pPr>
      <w:r w:rsidRPr="00783A2B">
        <w:rPr>
          <w:sz w:val="22"/>
          <w:szCs w:val="22"/>
        </w:rPr>
        <w:t xml:space="preserve">Sriram, V., Jenkinson, C. and Peters, M. (2021) “Carers’ experiences of assistive technology use in dementia care: a </w:t>
      </w:r>
      <w:proofErr w:type="gramStart"/>
      <w:r w:rsidRPr="00783A2B">
        <w:rPr>
          <w:sz w:val="22"/>
          <w:szCs w:val="22"/>
        </w:rPr>
        <w:t>cross sectional</w:t>
      </w:r>
      <w:proofErr w:type="gramEnd"/>
      <w:r w:rsidRPr="00783A2B">
        <w:rPr>
          <w:sz w:val="22"/>
          <w:szCs w:val="22"/>
        </w:rPr>
        <w:t xml:space="preserve"> survey,” </w:t>
      </w:r>
      <w:r w:rsidRPr="00783A2B">
        <w:rPr>
          <w:i/>
          <w:iCs/>
          <w:sz w:val="22"/>
          <w:szCs w:val="22"/>
        </w:rPr>
        <w:t>BMC geriatrics</w:t>
      </w:r>
      <w:r w:rsidRPr="00783A2B">
        <w:rPr>
          <w:sz w:val="22"/>
          <w:szCs w:val="22"/>
        </w:rPr>
        <w:t xml:space="preserve">, 21(1). Available at: </w:t>
      </w:r>
      <w:hyperlink r:id="rId28" w:history="1">
        <w:r w:rsidRPr="00643DD3">
          <w:rPr>
            <w:rStyle w:val="Hyperlink"/>
            <w:sz w:val="22"/>
            <w:szCs w:val="22"/>
          </w:rPr>
          <w:t>https://doi.org/10.1186/s12877-021-02417-1</w:t>
        </w:r>
      </w:hyperlink>
      <w:r w:rsidRPr="00783A2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50766439" w14:textId="60C318E0" w:rsidR="008F071C" w:rsidRDefault="00EC0C51" w:rsidP="004C0BB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The Health Foundation</w:t>
      </w:r>
      <w:r w:rsidR="00CE7821">
        <w:rPr>
          <w:sz w:val="22"/>
          <w:szCs w:val="22"/>
        </w:rPr>
        <w:t xml:space="preserve"> </w:t>
      </w:r>
      <w:r w:rsidR="008F071C" w:rsidRPr="008F071C">
        <w:rPr>
          <w:sz w:val="22"/>
          <w:szCs w:val="22"/>
        </w:rPr>
        <w:t xml:space="preserve">(2025) </w:t>
      </w:r>
      <w:r w:rsidR="008F071C" w:rsidRPr="008F071C">
        <w:rPr>
          <w:i/>
          <w:iCs/>
          <w:sz w:val="22"/>
          <w:szCs w:val="22"/>
        </w:rPr>
        <w:t>Digitising the NHS and adult social care: what could it cost?</w:t>
      </w:r>
      <w:r w:rsidR="008F071C" w:rsidRPr="008F071C">
        <w:rPr>
          <w:sz w:val="22"/>
          <w:szCs w:val="22"/>
        </w:rPr>
        <w:t xml:space="preserve"> Available at: </w:t>
      </w:r>
      <w:hyperlink r:id="rId29" w:tgtFrame="_new" w:history="1">
        <w:r w:rsidR="008F071C" w:rsidRPr="008F071C">
          <w:rPr>
            <w:rStyle w:val="Hyperlink"/>
            <w:sz w:val="22"/>
            <w:szCs w:val="22"/>
          </w:rPr>
          <w:t>https://www.health.org.uk/reports-and-analysis/analysis/digitising-the-nhs-and-adult-social-care-what-could-it-cost</w:t>
        </w:r>
      </w:hyperlink>
      <w:r w:rsidR="008F071C" w:rsidRPr="008F071C">
        <w:rPr>
          <w:sz w:val="22"/>
          <w:szCs w:val="22"/>
        </w:rPr>
        <w:t xml:space="preserve"> (Accessed: 8 April 2026).</w:t>
      </w:r>
    </w:p>
    <w:p w14:paraId="483C1D9E" w14:textId="6982B532" w:rsidR="00C6313B" w:rsidRDefault="00C6313B" w:rsidP="004C0BB3">
      <w:pPr>
        <w:spacing w:line="360" w:lineRule="auto"/>
        <w:rPr>
          <w:sz w:val="22"/>
          <w:szCs w:val="22"/>
        </w:rPr>
      </w:pPr>
      <w:r w:rsidRPr="00C6313B">
        <w:rPr>
          <w:sz w:val="22"/>
          <w:szCs w:val="22"/>
        </w:rPr>
        <w:t xml:space="preserve">Xhafa, F., Moore, P. and Tadros, G. (eds.) (2016) </w:t>
      </w:r>
      <w:r w:rsidRPr="00C6313B">
        <w:rPr>
          <w:i/>
          <w:iCs/>
          <w:sz w:val="22"/>
          <w:szCs w:val="22"/>
        </w:rPr>
        <w:t>Advanced technological solutions for e-Health and dementia patient monitoring</w:t>
      </w:r>
      <w:r w:rsidRPr="00C6313B">
        <w:rPr>
          <w:sz w:val="22"/>
          <w:szCs w:val="22"/>
        </w:rPr>
        <w:t xml:space="preserve">. Hershey, PA: Medical Information Science Reference, an imprint of IGI Global. Available at: </w:t>
      </w:r>
      <w:hyperlink r:id="rId30" w:history="1">
        <w:r w:rsidRPr="00643DD3">
          <w:rPr>
            <w:rStyle w:val="Hyperlink"/>
            <w:sz w:val="22"/>
            <w:szCs w:val="22"/>
          </w:rPr>
          <w:t>https://doi.org/10.4018/978-1-4666-7481-3</w:t>
        </w:r>
      </w:hyperlink>
      <w:r w:rsidRPr="00C6313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0A0DD04D" w14:textId="25F14419" w:rsidR="00931ECB" w:rsidRDefault="00931ECB" w:rsidP="004C0BB3">
      <w:pPr>
        <w:spacing w:line="360" w:lineRule="auto"/>
        <w:rPr>
          <w:sz w:val="22"/>
          <w:szCs w:val="22"/>
        </w:rPr>
      </w:pPr>
      <w:r w:rsidRPr="00931ECB">
        <w:rPr>
          <w:sz w:val="22"/>
          <w:szCs w:val="22"/>
        </w:rPr>
        <w:t xml:space="preserve">Xu, H., Xie, B. and Chang, C.-H. (2023) </w:t>
      </w:r>
      <w:r w:rsidRPr="00931ECB">
        <w:rPr>
          <w:i/>
          <w:iCs/>
          <w:sz w:val="22"/>
          <w:szCs w:val="22"/>
        </w:rPr>
        <w:t xml:space="preserve">Empowering the care of older adults </w:t>
      </w:r>
      <w:proofErr w:type="gramStart"/>
      <w:r w:rsidRPr="00931ECB">
        <w:rPr>
          <w:i/>
          <w:iCs/>
          <w:sz w:val="22"/>
          <w:szCs w:val="22"/>
        </w:rPr>
        <w:t>through the use of</w:t>
      </w:r>
      <w:proofErr w:type="gramEnd"/>
      <w:r w:rsidRPr="00931ECB">
        <w:rPr>
          <w:i/>
          <w:iCs/>
          <w:sz w:val="22"/>
          <w:szCs w:val="22"/>
        </w:rPr>
        <w:t xml:space="preserve"> technology</w:t>
      </w:r>
      <w:r w:rsidRPr="00931ECB">
        <w:rPr>
          <w:sz w:val="22"/>
          <w:szCs w:val="22"/>
        </w:rPr>
        <w:t xml:space="preserve">. </w:t>
      </w:r>
      <w:r w:rsidRPr="00931ECB">
        <w:rPr>
          <w:i/>
          <w:iCs/>
          <w:sz w:val="22"/>
          <w:szCs w:val="22"/>
        </w:rPr>
        <w:t>Work, Aging and Retirement</w:t>
      </w:r>
      <w:r w:rsidRPr="00931ECB">
        <w:rPr>
          <w:sz w:val="22"/>
          <w:szCs w:val="22"/>
        </w:rPr>
        <w:t xml:space="preserve">, 10(1), pp. 1–5. Available at: </w:t>
      </w:r>
      <w:hyperlink r:id="rId31" w:tgtFrame="_new" w:history="1">
        <w:r w:rsidRPr="00931ECB">
          <w:rPr>
            <w:rStyle w:val="Hyperlink"/>
            <w:sz w:val="22"/>
            <w:szCs w:val="22"/>
          </w:rPr>
          <w:t>https://pmc.ncbi.nlm.nih.gov/articles/PMC10772963/</w:t>
        </w:r>
      </w:hyperlink>
      <w:r w:rsidRPr="00931ECB">
        <w:rPr>
          <w:sz w:val="22"/>
          <w:szCs w:val="22"/>
        </w:rPr>
        <w:t xml:space="preserve"> (Accessed: </w:t>
      </w:r>
      <w:r>
        <w:rPr>
          <w:sz w:val="22"/>
          <w:szCs w:val="22"/>
        </w:rPr>
        <w:t>5</w:t>
      </w:r>
      <w:r w:rsidRPr="00931ECB">
        <w:rPr>
          <w:sz w:val="22"/>
          <w:szCs w:val="22"/>
        </w:rPr>
        <w:t xml:space="preserve"> April 2026).</w:t>
      </w:r>
    </w:p>
    <w:sectPr w:rsidR="00931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50B34"/>
    <w:multiLevelType w:val="multilevel"/>
    <w:tmpl w:val="DBE0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3176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E72"/>
    <w:rsid w:val="00001E72"/>
    <w:rsid w:val="00004A22"/>
    <w:rsid w:val="000A282C"/>
    <w:rsid w:val="000C7A76"/>
    <w:rsid w:val="00120224"/>
    <w:rsid w:val="0012171A"/>
    <w:rsid w:val="00271701"/>
    <w:rsid w:val="003247D8"/>
    <w:rsid w:val="0036179F"/>
    <w:rsid w:val="003938DB"/>
    <w:rsid w:val="003C5E64"/>
    <w:rsid w:val="00446175"/>
    <w:rsid w:val="004715CB"/>
    <w:rsid w:val="004C0BB3"/>
    <w:rsid w:val="005078B3"/>
    <w:rsid w:val="005B5D4F"/>
    <w:rsid w:val="00606B03"/>
    <w:rsid w:val="00626B02"/>
    <w:rsid w:val="00627D20"/>
    <w:rsid w:val="006906FF"/>
    <w:rsid w:val="0072291D"/>
    <w:rsid w:val="00783A2B"/>
    <w:rsid w:val="007930F2"/>
    <w:rsid w:val="007C16EC"/>
    <w:rsid w:val="0080580D"/>
    <w:rsid w:val="008D3173"/>
    <w:rsid w:val="008F071C"/>
    <w:rsid w:val="00931ECB"/>
    <w:rsid w:val="009B5AA7"/>
    <w:rsid w:val="009D764D"/>
    <w:rsid w:val="00AA1EB4"/>
    <w:rsid w:val="00B17153"/>
    <w:rsid w:val="00B2388D"/>
    <w:rsid w:val="00B37FA6"/>
    <w:rsid w:val="00B41388"/>
    <w:rsid w:val="00BD75EA"/>
    <w:rsid w:val="00BF356D"/>
    <w:rsid w:val="00C6313B"/>
    <w:rsid w:val="00C912DC"/>
    <w:rsid w:val="00CE7821"/>
    <w:rsid w:val="00D05EE7"/>
    <w:rsid w:val="00D1541B"/>
    <w:rsid w:val="00D34A17"/>
    <w:rsid w:val="00D75134"/>
    <w:rsid w:val="00E406BF"/>
    <w:rsid w:val="00EC0C51"/>
    <w:rsid w:val="00EE1FF0"/>
    <w:rsid w:val="00F1439E"/>
    <w:rsid w:val="00F8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0C42"/>
  <w15:chartTrackingRefBased/>
  <w15:docId w15:val="{FCA53C0C-A5DA-4087-9185-EBA85676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8"/>
        <w:szCs w:val="28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E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E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E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E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E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E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E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E7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E7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E7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E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E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E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E7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E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01E72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001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E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E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E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E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E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0B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B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4017/gt.2024.23.s.1107.opp" TargetMode="External"/><Relationship Id="rId18" Type="http://schemas.openxmlformats.org/officeDocument/2006/relationships/hyperlink" Target="https://doi.org/10.1093/bjsw/bcp100" TargetMode="External"/><Relationship Id="rId26" Type="http://schemas.openxmlformats.org/officeDocument/2006/relationships/hyperlink" Target="https://doi.org/10.1177/2055207625136235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4018/978-1-7998-0047-7" TargetMode="External"/><Relationship Id="rId7" Type="http://schemas.openxmlformats.org/officeDocument/2006/relationships/hyperlink" Target="https://socialcare.blog.gov.uk/wp-content/uploads/sites/8/2025/07/Transcript-for-the-Institute-for-Gerontology-Annual-Lecture-Kings-College-London.pdf" TargetMode="External"/><Relationship Id="rId12" Type="http://schemas.openxmlformats.org/officeDocument/2006/relationships/hyperlink" Target="https://doi.org/10.1108/JET-11-2019-0052" TargetMode="External"/><Relationship Id="rId17" Type="http://schemas.openxmlformats.org/officeDocument/2006/relationships/hyperlink" Target="https://doi.org/10.1016/j.socscimed.2021.114553" TargetMode="External"/><Relationship Id="rId25" Type="http://schemas.openxmlformats.org/officeDocument/2006/relationships/hyperlink" Target="https://doi.org/10.14361/978383942957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mc.ncbi.nlm.nih.gov/articles/PMC8663708/?utm_source=chatgpt.com" TargetMode="External"/><Relationship Id="rId20" Type="http://schemas.openxmlformats.org/officeDocument/2006/relationships/hyperlink" Target="https://doi.org/10.1017/S0144686X0400248X" TargetMode="External"/><Relationship Id="rId29" Type="http://schemas.openxmlformats.org/officeDocument/2006/relationships/hyperlink" Target="https://www.health.org.uk/reports-and-analysis/analysis/digitising-the-nhs-and-adult-social-care-what-could-it-cos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186/s12913-016-1379-5" TargetMode="External"/><Relationship Id="rId11" Type="http://schemas.openxmlformats.org/officeDocument/2006/relationships/hyperlink" Target="https://doi.org/10.1186/s12877-015-0091-3" TargetMode="External"/><Relationship Id="rId24" Type="http://schemas.openxmlformats.org/officeDocument/2006/relationships/hyperlink" Target="https://www.hapru.nihr.ac.uk/2024/06/30/digitalisation-of-health-and-social-care-services-for-older-adults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doi.org/10.1111/ijcs.12192" TargetMode="External"/><Relationship Id="rId23" Type="http://schemas.openxmlformats.org/officeDocument/2006/relationships/hyperlink" Target="https://www.england.nhs.uk/long-read/inclusive-digital-healthcare-a-framework-for-nhs-action-on-digital-inclusion/" TargetMode="External"/><Relationship Id="rId28" Type="http://schemas.openxmlformats.org/officeDocument/2006/relationships/hyperlink" Target="https://doi.org/10.1186/s12877-021-02417-1" TargetMode="External"/><Relationship Id="rId10" Type="http://schemas.openxmlformats.org/officeDocument/2006/relationships/hyperlink" Target="https://doi.org/10.1186/s12877-020-01565-0" TargetMode="External"/><Relationship Id="rId19" Type="http://schemas.openxmlformats.org/officeDocument/2006/relationships/hyperlink" Target="https://doi.org/10.1108/JAP-07-2025-0028" TargetMode="External"/><Relationship Id="rId31" Type="http://schemas.openxmlformats.org/officeDocument/2006/relationships/hyperlink" Target="https://pmc.ncbi.nlm.nih.gov/articles/PMC10772963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iwj.70767" TargetMode="External"/><Relationship Id="rId14" Type="http://schemas.openxmlformats.org/officeDocument/2006/relationships/hyperlink" Target="https://doi.org/10.1111/j.1365-2648.2010.05335.x" TargetMode="External"/><Relationship Id="rId22" Type="http://schemas.openxmlformats.org/officeDocument/2006/relationships/hyperlink" Target="https://doi.org/10.1016/j.socscimed.2010.08.014" TargetMode="External"/><Relationship Id="rId27" Type="http://schemas.openxmlformats.org/officeDocument/2006/relationships/hyperlink" Target="https://doi.org/10.1049/iet-its.2009.0106" TargetMode="External"/><Relationship Id="rId30" Type="http://schemas.openxmlformats.org/officeDocument/2006/relationships/hyperlink" Target="https://doi.org/10.4018/978-1-4666-7481-3" TargetMode="External"/><Relationship Id="rId8" Type="http://schemas.openxmlformats.org/officeDocument/2006/relationships/hyperlink" Target="https://doi.org/10.14254/1795-6889.2022.18-1.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1330</Words>
  <Characters>7586</Characters>
  <Application>Microsoft Office Word</Application>
  <DocSecurity>0</DocSecurity>
  <Lines>63</Lines>
  <Paragraphs>17</Paragraphs>
  <ScaleCrop>false</ScaleCrop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Barbu</dc:creator>
  <cp:keywords/>
  <dc:description/>
  <cp:lastModifiedBy>Cosmin Barbu</cp:lastModifiedBy>
  <cp:revision>44</cp:revision>
  <dcterms:created xsi:type="dcterms:W3CDTF">2026-02-10T15:05:00Z</dcterms:created>
  <dcterms:modified xsi:type="dcterms:W3CDTF">2026-04-08T22:59:00Z</dcterms:modified>
</cp:coreProperties>
</file>