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pageBreakBefore w:val="0"/>
        <w:pBdr>
          <w:top w:space="0" w:sz="0" w:val="nil"/>
          <w:left w:space="0" w:sz="0" w:val="nil"/>
          <w:bottom w:space="0" w:sz="0" w:val="nil"/>
          <w:right w:space="0" w:sz="0" w:val="nil"/>
          <w:between w:space="0" w:sz="0" w:val="nil"/>
        </w:pBdr>
        <w:shd w:fill="auto" w:val="clear"/>
        <w:rPr>
          <w:rFonts w:ascii="Proxima Nova" w:cs="Proxima Nova" w:eastAsia="Proxima Nova" w:hAnsi="Proxima Nova"/>
          <w:b w:val="1"/>
          <w:color w:val="404040"/>
          <w:sz w:val="80"/>
          <w:szCs w:val="80"/>
        </w:rPr>
      </w:pPr>
      <w:bookmarkStart w:colFirst="0" w:colLast="0" w:name="_aczyuw2yex2w" w:id="0"/>
      <w:bookmarkEnd w:id="0"/>
      <w:r w:rsidDel="00000000" w:rsidR="00000000" w:rsidRPr="00000000">
        <w:rPr>
          <w:b w:val="0"/>
          <w:color w:val="039be5"/>
          <w:sz w:val="72"/>
          <w:szCs w:val="72"/>
          <w:rtl w:val="0"/>
        </w:rPr>
        <w:t xml:space="preserve">Gender,Race,Religion and Crime</w:t>
      </w:r>
      <w:r w:rsidDel="00000000" w:rsidR="00000000" w:rsidRPr="00000000">
        <w:rPr>
          <w:rFonts w:ascii="Proxima Nova" w:cs="Proxima Nova" w:eastAsia="Proxima Nova" w:hAnsi="Proxima Nova"/>
          <w:b w:val="1"/>
          <w:color w:val="404040"/>
          <w:sz w:val="96"/>
          <w:szCs w:val="96"/>
          <w:rtl w:val="0"/>
        </w:rPr>
        <w:br w:type="textWrapping"/>
      </w:r>
      <w:r w:rsidDel="00000000" w:rsidR="00000000" w:rsidRPr="00000000">
        <w:rPr>
          <w:sz w:val="80"/>
          <w:szCs w:val="80"/>
          <w:rtl w:val="0"/>
        </w:rPr>
        <w:t xml:space="preserve">How has Islamophobia affected the social integration of Muslim communities in Western countries ?</w:t>
      </w:r>
      <w:r w:rsidDel="00000000" w:rsidR="00000000" w:rsidRPr="00000000">
        <w:rPr>
          <w:rtl w:val="0"/>
        </w:rPr>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spacing w:after="3600" w:line="240" w:lineRule="auto"/>
        <w:rPr>
          <w:color w:val="666666"/>
          <w:sz w:val="32"/>
          <w:szCs w:val="32"/>
        </w:rPr>
      </w:pPr>
      <w:r w:rsidDel="00000000" w:rsidR="00000000" w:rsidRPr="00000000">
        <w:rPr>
          <w:sz w:val="32"/>
          <w:szCs w:val="32"/>
          <w:rtl w:val="0"/>
        </w:rPr>
        <w:t xml:space="preserve">Luci Montgomery,2214470</w:t>
      </w:r>
      <w:r w:rsidDel="00000000" w:rsidR="00000000" w:rsidRPr="00000000">
        <w:rPr>
          <w:sz w:val="32"/>
          <w:szCs w:val="32"/>
          <w:rtl w:val="0"/>
        </w:rPr>
        <w:br w:type="textWrapping"/>
      </w:r>
      <w:r w:rsidDel="00000000" w:rsidR="00000000" w:rsidRPr="00000000">
        <w:rPr>
          <w:color w:val="666666"/>
          <w:sz w:val="32"/>
          <w:szCs w:val="32"/>
          <w:rtl w:val="0"/>
        </w:rPr>
        <w:t xml:space="preserve">7th March 2025</w:t>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spacing w:before="200" w:line="30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before="200" w:line="360" w:lineRule="auto"/>
        <w:rPr>
          <w:rFonts w:ascii="Arial" w:cs="Arial" w:eastAsia="Arial" w:hAnsi="Arial"/>
        </w:rPr>
      </w:pPr>
      <w:r w:rsidDel="00000000" w:rsidR="00000000" w:rsidRPr="00000000">
        <w:rPr>
          <w:rFonts w:ascii="Arial" w:cs="Arial" w:eastAsia="Arial" w:hAnsi="Arial"/>
          <w:rtl w:val="0"/>
        </w:rPr>
        <w:t xml:space="preserve">Awan and Zempi(2020) define Islamophobia as:</w:t>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before="200" w:line="360" w:lineRule="auto"/>
        <w:ind w:left="720" w:firstLine="0"/>
        <w:rPr>
          <w:rFonts w:ascii="Arial" w:cs="Arial" w:eastAsia="Arial" w:hAnsi="Arial"/>
        </w:rPr>
      </w:pPr>
      <w:r w:rsidDel="00000000" w:rsidR="00000000" w:rsidRPr="00000000">
        <w:rPr>
          <w:rFonts w:ascii="Arial" w:cs="Arial" w:eastAsia="Arial" w:hAnsi="Arial"/>
          <w:rtl w:val="0"/>
        </w:rPr>
        <w:t xml:space="preserve">a fear,prejudice and hatred of Muslims or non-Muslim individuals that leads to provocation,hostility and intolerance by means of threatening,harassment,abuse,incitement and intimidation of Muslims and non-Muslims,both in the online and offline world.Motivated by institutional,ideological,political and religious hostility that transcends into structural and cultural racism which targets the symbols and makers of being a Muslim</w:t>
      </w:r>
      <w:r w:rsidDel="00000000" w:rsidR="00000000" w:rsidRPr="00000000">
        <w:rPr>
          <w:rFonts w:ascii="Arial" w:cs="Arial" w:eastAsia="Arial" w:hAnsi="Arial"/>
          <w:rtl w:val="0"/>
        </w:rPr>
        <w:t xml:space="preserve">.(Awan and Zempi,2020)</w:t>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spacing w:before="200" w:line="360" w:lineRule="auto"/>
        <w:rPr>
          <w:rFonts w:ascii="Arial" w:cs="Arial" w:eastAsia="Arial" w:hAnsi="Arial"/>
        </w:rPr>
      </w:pPr>
      <w:r w:rsidDel="00000000" w:rsidR="00000000" w:rsidRPr="00000000">
        <w:rPr>
          <w:rFonts w:ascii="Arial" w:cs="Arial" w:eastAsia="Arial" w:hAnsi="Arial"/>
          <w:rtl w:val="0"/>
        </w:rPr>
        <w:t xml:space="preserve">Within the Western world,Islamophobia shows up in people's attitudes and actions as well as in the rules and procedures of institutions and organisations(Open society foundations,2019).Social integration is explained by Graham et al(2007) as “the degree to which a person is linked to or involved with his/her social environment at different levels,including community,individual network of social ties,and intimate relationships.”In order to establish a multicultural society, promoting social cohesion and balance within it, and fortifying unity in the face of diversity, social integration is essential.There are many factors to the social integration of Muslims within the western world, and countless reasons as to why Islamophobia may be a major factor to this.</w:t>
      </w:r>
      <w:r w:rsidDel="00000000" w:rsidR="00000000" w:rsidRPr="00000000">
        <w:rPr>
          <w:rtl w:val="0"/>
        </w:rPr>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spacing w:line="360" w:lineRule="auto"/>
        <w:rPr>
          <w:rFonts w:ascii="Arial" w:cs="Arial" w:eastAsia="Arial" w:hAnsi="Arial"/>
        </w:rPr>
      </w:pPr>
      <w:r w:rsidDel="00000000" w:rsidR="00000000" w:rsidRPr="00000000">
        <w:rPr>
          <w:rFonts w:ascii="Arial" w:cs="Arial" w:eastAsia="Arial" w:hAnsi="Arial"/>
          <w:rtl w:val="0"/>
        </w:rPr>
        <w:t xml:space="preserve">Media is a major aggressor of discrimination and stereotypes,negative media portrayals reinforce stereotypes about muslims by consistently associating them with terrorism, extremism, and violence(Sanders et al,2023). Sensationalised news coverage often highlights crimes committed by muslims while downplaying similar acts by non-muslims, creating a biased narrative. Hollywood films and TV shows frequently depict muslim men as aggressors and women as oppressed, reinforcing harmful misconceptions. These portrayals contribute to public fear, leading to discrimination, hate crimes, and restrictive government policies. The lack of positive representation further alienates muslim communities, hindering social integration. Promoting responsible journalism and increasing diverse muslim voices in </w:t>
      </w:r>
      <w:r w:rsidDel="00000000" w:rsidR="00000000" w:rsidRPr="00000000">
        <w:rPr>
          <w:rFonts w:ascii="Arial" w:cs="Arial" w:eastAsia="Arial" w:hAnsi="Arial"/>
          <w:rtl w:val="0"/>
        </w:rPr>
        <w:t xml:space="preserve">the </w:t>
      </w:r>
      <w:r w:rsidDel="00000000" w:rsidR="00000000" w:rsidRPr="00000000">
        <w:rPr>
          <w:rFonts w:ascii="Arial" w:cs="Arial" w:eastAsia="Arial" w:hAnsi="Arial"/>
          <w:rtl w:val="0"/>
        </w:rPr>
        <w:t xml:space="preserve">media can help challenge these stereotypes and foster inclusivity(Corbin,2017).</w:t>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spacing w:line="360" w:lineRule="auto"/>
        <w:rPr>
          <w:rFonts w:ascii="Arial" w:cs="Arial" w:eastAsia="Arial" w:hAnsi="Arial"/>
        </w:rPr>
      </w:pPr>
      <w:r w:rsidDel="00000000" w:rsidR="00000000" w:rsidRPr="00000000">
        <w:rPr>
          <w:rFonts w:ascii="Arial" w:cs="Arial" w:eastAsia="Arial" w:hAnsi="Arial"/>
          <w:rtl w:val="0"/>
        </w:rPr>
        <w:t xml:space="preserve">After many decades of struggle,there is now recognition that any racially motivated acts of violence or offensive language is a hate crime,defined by The Crown Prosecution Service(2022), as </w:t>
      </w:r>
      <w:r w:rsidDel="00000000" w:rsidR="00000000" w:rsidRPr="00000000">
        <w:rPr>
          <w:rFonts w:ascii="Arial" w:cs="Arial" w:eastAsia="Arial" w:hAnsi="Arial"/>
          <w:highlight w:val="white"/>
          <w:rtl w:val="0"/>
        </w:rPr>
        <w:t xml:space="preserve">‘Any criminal offence which is perceived by the victim or any other person, to be motivated by hostility or prejudice, based on a person’s disability or perceived disability; race or perceived race; or religion or perceived religion; or sexual orientation or perceived sexual orientation or transgender identity or perceived transgender identity.’</w:t>
      </w:r>
      <w:r w:rsidDel="00000000" w:rsidR="00000000" w:rsidRPr="00000000">
        <w:rPr>
          <w:rFonts w:ascii="Arial" w:cs="Arial" w:eastAsia="Arial" w:hAnsi="Arial"/>
          <w:highlight w:val="white"/>
          <w:rtl w:val="0"/>
        </w:rPr>
        <w:t xml:space="preserve">In England and Wales, there isn't a single law that states that hate crimes based on race and religion are  illegal.</w:t>
      </w:r>
      <w:r w:rsidDel="00000000" w:rsidR="00000000" w:rsidRPr="00000000">
        <w:rPr>
          <w:rFonts w:ascii="Arial" w:cs="Arial" w:eastAsia="Arial" w:hAnsi="Arial"/>
          <w:highlight w:val="white"/>
          <w:rtl w:val="0"/>
        </w:rPr>
        <w:t xml:space="preserve"> Rather, the law addresses such offences in a variety of ways,the crime and disorder act 1998 section 29-32 ​​permits the prosecution of more serious versions of some broad crimes, such assault or criminal damage, that were driven by racial or religious hatred.Section 145 of the Criminal Justice Act 2003 requires, that acts of racial and religious hostility to be presented as an aggravated factor when a crime goes to sentencing.The Football Offences Act 1991 addresses racist chanting, missile throwing, and pitch invasions at matches, while Section 127 of the Communications Act 2003, prohibits electronic messages that are grossly offensive, threatening, or menacing.Despite this,an anti-hate crime nonprofit, Tell MAMA, reported 6,313 anti-Muslim hate incidents in 2024, a 43% increase from the year before, indicating a sharp spike in Islamophobic attacks in the UK. Iman Atta, the director, called this the "most dangerous" time to be a Muslim in the UK, blaming the spike on the rise of far-right conspiracy theories on social media and the normalisation of Islamophobic speech in political discourse.</w:t>
      </w:r>
      <w:r w:rsidDel="00000000" w:rsidR="00000000" w:rsidRPr="00000000">
        <w:rPr>
          <w:rFonts w:ascii="Arial" w:cs="Arial" w:eastAsia="Arial" w:hAnsi="Arial"/>
          <w:highlight w:val="white"/>
          <w:rtl w:val="0"/>
        </w:rPr>
        <w:t xml:space="preserve">Di</w:t>
      </w:r>
      <w:r w:rsidDel="00000000" w:rsidR="00000000" w:rsidRPr="00000000">
        <w:rPr>
          <w:rFonts w:ascii="Arial" w:cs="Arial" w:eastAsia="Arial" w:hAnsi="Arial"/>
          <w:rtl w:val="0"/>
        </w:rPr>
        <w:t xml:space="preserve">scrimination and hate crimes can leave victims feeling helpless and have a terrible effect on mental health. People who are subjected to hate-based abuse may feel extremely hopeless and powerless, which frequently results in anxiety, despair, and trauma symptoms(Stop hate uk,2023). One major example of racial discrimination,was The Windrush scandal, emerging in 2018, involved the wrongful detention, denial of rights, and deportation of individuals who had legally migrated to the UK between 1948 and 1971, primarily from Caribbean nations. These migrants, known as the "Windrush generation," were British subjects with the right to reside in the UK. </w:t>
      </w:r>
      <w:r w:rsidDel="00000000" w:rsidR="00000000" w:rsidRPr="00000000">
        <w:rPr>
          <w:rFonts w:ascii="Arial" w:cs="Arial" w:eastAsia="Arial" w:hAnsi="Arial"/>
          <w:rtl w:val="0"/>
        </w:rPr>
        <w:t xml:space="preserve">However, due to stringent </w:t>
      </w:r>
      <w:r w:rsidDel="00000000" w:rsidR="00000000" w:rsidRPr="00000000">
        <w:rPr>
          <w:rFonts w:ascii="Arial" w:cs="Arial" w:eastAsia="Arial" w:hAnsi="Arial"/>
          <w:rtl w:val="0"/>
        </w:rPr>
        <w:t xml:space="preserve">immigration policies and inadequate documentation, many faced unjust treatment, including loss of employment, housing, and access to healthcare. The scandal prompted public outcry, leading to governmental apologies and ongoing efforts to address the injustices suffered by those affected.</w:t>
      </w:r>
    </w:p>
    <w:p w:rsidR="00000000" w:rsidDel="00000000" w:rsidP="00000000" w:rsidRDefault="00000000" w:rsidRPr="00000000" w14:paraId="00000009">
      <w:pPr>
        <w:spacing w:after="240" w:before="240" w:line="360" w:lineRule="auto"/>
        <w:rPr>
          <w:rFonts w:ascii="Arial" w:cs="Arial" w:eastAsia="Arial" w:hAnsi="Arial"/>
          <w:b w:val="1"/>
        </w:rPr>
      </w:pPr>
      <w:r w:rsidDel="00000000" w:rsidR="00000000" w:rsidRPr="00000000">
        <w:rPr>
          <w:rFonts w:ascii="Arial" w:cs="Arial" w:eastAsia="Arial" w:hAnsi="Arial"/>
          <w:rtl w:val="0"/>
        </w:rPr>
        <w:t xml:space="preserve">Stereotyping of muslims in Western countries has pervasive and detrimental effects on individuals and communities, influencing public perceptions, media portrayals, and the lived experiences of muslims.Western media often portrays Islam and muslims through a negative lens, frequently associating them with violence and extremism. This portrayal fosters skewed public perceptions, leading to widespread misconceptions about the muslim community. Such media framing not only distorts the reality of Islam but also perpetuates stereotypes that contribute to societal biases and prejudices(Eid,2014). </w:t>
      </w:r>
      <w:r w:rsidDel="00000000" w:rsidR="00000000" w:rsidRPr="00000000">
        <w:rPr>
          <w:rtl w:val="0"/>
        </w:rPr>
      </w:r>
    </w:p>
    <w:p w:rsidR="00000000" w:rsidDel="00000000" w:rsidP="00000000" w:rsidRDefault="00000000" w:rsidRPr="00000000" w14:paraId="0000000A">
      <w:pPr>
        <w:spacing w:after="240" w:before="240" w:line="360" w:lineRule="auto"/>
        <w:rPr>
          <w:rFonts w:ascii="Arial" w:cs="Arial" w:eastAsia="Arial" w:hAnsi="Arial"/>
          <w:b w:val="1"/>
        </w:rPr>
      </w:pPr>
      <w:r w:rsidDel="00000000" w:rsidR="00000000" w:rsidRPr="00000000">
        <w:rPr>
          <w:rFonts w:ascii="Arial" w:cs="Arial" w:eastAsia="Arial" w:hAnsi="Arial"/>
          <w:rtl w:val="0"/>
        </w:rPr>
        <w:t xml:space="preserve">The perpetuation of negative stereotypes has tangible consequences for Muslims living in Western countries.</w:t>
      </w:r>
      <w:r w:rsidDel="00000000" w:rsidR="00000000" w:rsidRPr="00000000">
        <w:rPr>
          <w:rFonts w:ascii="Arial" w:cs="Arial" w:eastAsia="Arial" w:hAnsi="Arial"/>
          <w:highlight w:val="white"/>
          <w:rtl w:val="0"/>
        </w:rPr>
        <w:t xml:space="preserve">Starting with mental health issues, Muslims may experience psychological anguish as a result of ongoing exposure to harmful perceptions and discriminatory actions. Anxiety, despair, and feelings of alienation are common as people struggle with their social marginalisation (Awaad,2023).</w:t>
      </w:r>
      <w:r w:rsidDel="00000000" w:rsidR="00000000" w:rsidRPr="00000000">
        <w:rPr>
          <w:rtl w:val="0"/>
        </w:rPr>
      </w:r>
    </w:p>
    <w:p w:rsidR="00000000" w:rsidDel="00000000" w:rsidP="00000000" w:rsidRDefault="00000000" w:rsidRPr="00000000" w14:paraId="0000000B">
      <w:pPr>
        <w:spacing w:after="240" w:before="240" w:line="360" w:lineRule="auto"/>
        <w:rPr>
          <w:rFonts w:ascii="Arial" w:cs="Arial" w:eastAsia="Arial" w:hAnsi="Arial"/>
        </w:rPr>
      </w:pPr>
      <w:r w:rsidDel="00000000" w:rsidR="00000000" w:rsidRPr="00000000">
        <w:rPr>
          <w:rFonts w:ascii="Arial" w:cs="Arial" w:eastAsia="Arial" w:hAnsi="Arial"/>
          <w:rtl w:val="0"/>
        </w:rPr>
        <w:t xml:space="preserve">Stereotyping also influences political discourse and policy-making. Governments may implement policies that disproportionately target Muslim communities, which they will justify by  having certain security concerns rooted in stereotypical associations of Islam with terrorism. Such policies can lead to increased surveillance and erosion of civil liberties for Muslims (Choudhury,2011).The constant reinforcement of these negative stereotypes contributes to societal divisions, fostering an environment where mistrust and fear overshadow mutual understanding and respect(Casad,2016).</w:t>
      </w:r>
    </w:p>
    <w:p w:rsidR="00000000" w:rsidDel="00000000" w:rsidP="00000000" w:rsidRDefault="00000000" w:rsidRPr="00000000" w14:paraId="0000000C">
      <w:pPr>
        <w:spacing w:after="240" w:before="240" w:line="360" w:lineRule="auto"/>
        <w:rPr>
          <w:rFonts w:ascii="Arial" w:cs="Arial" w:eastAsia="Arial" w:hAnsi="Arial"/>
        </w:rPr>
      </w:pPr>
      <w:r w:rsidDel="00000000" w:rsidR="00000000" w:rsidRPr="00000000">
        <w:rPr>
          <w:rFonts w:ascii="Arial" w:cs="Arial" w:eastAsia="Arial" w:hAnsi="Arial"/>
          <w:rtl w:val="0"/>
        </w:rPr>
        <w:t xml:space="preserve">One major challenge is the perception of Muslims as outsiders, which creates social divisions and discourages interaction between Muslim and non-Muslim communities. Many Muslims, especially second-generation immigrants, struggle with identity conflicts as they attempt to reconcile their religious and cultural heritage with the societal norms of their home countries(Brance et al,2024). The stigmatisation of Islamic symbols, such as the hijab or mosque construction, further alienates Muslims, making them feel unwelcome in public spaces.Institutional policies, such as heightened surveillance under counter-terrorism measures, have also deepened mistrust between Muslim communities and the state(Gole,2003). </w:t>
      </w:r>
    </w:p>
    <w:p w:rsidR="00000000" w:rsidDel="00000000" w:rsidP="00000000" w:rsidRDefault="00000000" w:rsidRPr="00000000" w14:paraId="0000000D">
      <w:pPr>
        <w:spacing w:after="240" w:before="240" w:line="360" w:lineRule="auto"/>
        <w:rPr>
          <w:rFonts w:ascii="Arial" w:cs="Arial" w:eastAsia="Arial" w:hAnsi="Arial"/>
        </w:rPr>
      </w:pPr>
      <w:r w:rsidDel="00000000" w:rsidR="00000000" w:rsidRPr="00000000">
        <w:rPr>
          <w:rFonts w:ascii="Arial" w:cs="Arial" w:eastAsia="Arial" w:hAnsi="Arial"/>
          <w:rtl w:val="0"/>
        </w:rPr>
        <w:t xml:space="preserve">Profiling and discriminatory policing have left many Muslims feeling unfairly targeted, leading to disengagement from society(Abbas et al,2023). This, in turn, weakens social cohesion and integration efforts.Despite these challenges, various initiatives have been launched to promote inclusivity. Interfaith dialogue programs, educational reforms that combat stereotypes, and community engagement projects have played a role in fostering understanding and bridging social divides. Addressing Islamophobia requires a commitment to equity, representation, and the promotion of policies that encourage mutual respect and integration(Muslim council of Britain,2024).</w:t>
      </w:r>
    </w:p>
    <w:p w:rsidR="00000000" w:rsidDel="00000000" w:rsidP="00000000" w:rsidRDefault="00000000" w:rsidRPr="00000000" w14:paraId="0000000E">
      <w:pPr>
        <w:spacing w:after="240" w:before="240" w:line="360" w:lineRule="auto"/>
        <w:rPr>
          <w:rFonts w:ascii="Arial" w:cs="Arial" w:eastAsia="Arial" w:hAnsi="Arial"/>
        </w:rPr>
      </w:pPr>
      <w:r w:rsidDel="00000000" w:rsidR="00000000" w:rsidRPr="00000000">
        <w:rPr>
          <w:rFonts w:ascii="Arial" w:cs="Arial" w:eastAsia="Arial" w:hAnsi="Arial"/>
          <w:rtl w:val="0"/>
        </w:rPr>
        <w:t xml:space="preserve">Islamophobia presents significant political and legal challenges, particularly in Western nations where policies targeting Muslim communities have contributed to societal divisions. In Europe, countries like France have implemented laws that explicitly restrict Islamic religious practices, such as bans on hijabs and burqas, and limitations on mosque construction(Kozaric,2019). These policies, often justified under the banner of secularism and national security, have disproportionately affected Muslims, leading to their alienation and deepening mistrust between them and the state(Anderson,2021).</w:t>
      </w:r>
    </w:p>
    <w:p w:rsidR="00000000" w:rsidDel="00000000" w:rsidP="00000000" w:rsidRDefault="00000000" w:rsidRPr="00000000" w14:paraId="0000000F">
      <w:pPr>
        <w:spacing w:after="240" w:before="240" w:line="360" w:lineRule="auto"/>
        <w:rPr>
          <w:rFonts w:ascii="Arial" w:cs="Arial" w:eastAsia="Arial" w:hAnsi="Arial"/>
        </w:rPr>
      </w:pPr>
      <w:r w:rsidDel="00000000" w:rsidR="00000000" w:rsidRPr="00000000">
        <w:rPr>
          <w:rFonts w:ascii="Arial" w:cs="Arial" w:eastAsia="Arial" w:hAnsi="Arial"/>
          <w:rtl w:val="0"/>
        </w:rPr>
        <w:t xml:space="preserve">One of the most contentious policies is the French ban on full-face veils, including the burqa and niqab. Enforced since 2010, this law has been justified as a measure to uphold secularism and gender equality. However, critics argue that it specifically targets Muslim women, restricting their religious freedoms and personal choices. Similarly, hijab bans in schools and public institutions have fueled debates on religious expression, disproportionately affecting Muslim women and limiting their access to education and employment opportunities. France’s policies extend beyond attire; restrictions on mosque construction have also created significant hurdles for Muslim communities attempting to practice their faith. Bureaucratic barriers and local opposition, often motivated by Islamophobic sentiments, have made it difficult to establish new mosques, thereby limiting spaces for communal worship and reinforcing feelings of exclusion(Amnesty international press release,2010).</w:t>
      </w:r>
    </w:p>
    <w:p w:rsidR="00000000" w:rsidDel="00000000" w:rsidP="00000000" w:rsidRDefault="00000000" w:rsidRPr="00000000" w14:paraId="00000010">
      <w:pPr>
        <w:spacing w:after="240" w:before="240" w:line="360" w:lineRule="auto"/>
        <w:rPr>
          <w:rFonts w:ascii="Arial" w:cs="Arial" w:eastAsia="Arial" w:hAnsi="Arial"/>
        </w:rPr>
      </w:pPr>
      <w:r w:rsidDel="00000000" w:rsidR="00000000" w:rsidRPr="00000000">
        <w:rPr>
          <w:rFonts w:ascii="Arial" w:cs="Arial" w:eastAsia="Arial" w:hAnsi="Arial"/>
          <w:rtl w:val="0"/>
        </w:rPr>
        <w:t xml:space="preserve">The estrangement of Muslim communities has been made worse by counterterrorism measures. Counterterrorism tactics, including racial profiling, monitoring, and increased police powers, have disproportionately targeted Muslims in many Western countries. Widespread mistrust of Muslim people and organisations has resulted from the UK's adoption of programs like the Prevent plan(Home Office,2023). Muslim religious leaders, workers, and students have complained of unjust scrutiny, frequently for voicing their political or religious opinions. Stereotypes linking Islam to terrorism have been strengthened in the US by heightened surveillance of mosques and Muslim groups brought about by the Patriot Act and other law enforcement initiatives(Immigration policy centre,2011). In addition to violating civil freedoms, such policies foster mistrust and anxiety.</w:t>
      </w:r>
    </w:p>
    <w:p w:rsidR="00000000" w:rsidDel="00000000" w:rsidP="00000000" w:rsidRDefault="00000000" w:rsidRPr="00000000" w14:paraId="00000011">
      <w:pPr>
        <w:spacing w:after="240" w:before="240" w:line="360" w:lineRule="auto"/>
        <w:rPr>
          <w:rFonts w:ascii="Arial" w:cs="Arial" w:eastAsia="Arial" w:hAnsi="Arial"/>
        </w:rPr>
      </w:pPr>
      <w:r w:rsidDel="00000000" w:rsidR="00000000" w:rsidRPr="00000000">
        <w:rPr>
          <w:rFonts w:ascii="Arial" w:cs="Arial" w:eastAsia="Arial" w:hAnsi="Arial"/>
          <w:rtl w:val="0"/>
        </w:rPr>
        <w:t xml:space="preserve">The cumulative impact of these measures is the marginalisation of Muslim communities, which potentially </w:t>
      </w:r>
      <w:r w:rsidDel="00000000" w:rsidR="00000000" w:rsidRPr="00000000">
        <w:rPr>
          <w:rFonts w:ascii="Arial" w:cs="Arial" w:eastAsia="Arial" w:hAnsi="Arial"/>
          <w:rtl w:val="0"/>
        </w:rPr>
        <w:t xml:space="preserve">leads </w:t>
      </w:r>
      <w:r w:rsidDel="00000000" w:rsidR="00000000" w:rsidRPr="00000000">
        <w:rPr>
          <w:rFonts w:ascii="Arial" w:cs="Arial" w:eastAsia="Arial" w:hAnsi="Arial"/>
          <w:rtl w:val="0"/>
        </w:rPr>
        <w:t xml:space="preserve"> to increased alienation and possibly the weakening of their</w:t>
      </w:r>
      <w:r w:rsidDel="00000000" w:rsidR="00000000" w:rsidRPr="00000000">
        <w:rPr>
          <w:rFonts w:ascii="Arial" w:cs="Arial" w:eastAsia="Arial" w:hAnsi="Arial"/>
          <w:rtl w:val="0"/>
        </w:rPr>
        <w:t xml:space="preserve"> re</w:t>
      </w:r>
      <w:r w:rsidDel="00000000" w:rsidR="00000000" w:rsidRPr="00000000">
        <w:rPr>
          <w:rFonts w:ascii="Arial" w:cs="Arial" w:eastAsia="Arial" w:hAnsi="Arial"/>
          <w:rtl w:val="0"/>
        </w:rPr>
        <w:t xml:space="preserve">lationship with th</w:t>
      </w:r>
      <w:r w:rsidDel="00000000" w:rsidR="00000000" w:rsidRPr="00000000">
        <w:rPr>
          <w:rFonts w:ascii="Arial" w:cs="Arial" w:eastAsia="Arial" w:hAnsi="Arial"/>
          <w:highlight w:val="white"/>
          <w:rtl w:val="0"/>
        </w:rPr>
        <w:t xml:space="preserve">e state. </w:t>
      </w:r>
      <w:r w:rsidDel="00000000" w:rsidR="00000000" w:rsidRPr="00000000">
        <w:rPr>
          <w:rFonts w:ascii="Arial" w:cs="Arial" w:eastAsia="Arial" w:hAnsi="Arial"/>
          <w:rtl w:val="0"/>
        </w:rPr>
        <w:t xml:space="preserve">When governments implement policies that single out a religious group, they risk deepening social divisions and fueling resentment(Kleinfield,2023). This dynamic undermines social cohesion and integration efforts, as muslim citizens may feel unwelcome or unfairly targeted. Moreover, the perception of institutionalised Islamophobia can hinder cooperation between muslim communities and law enforcement, making counter-terrorism efforts less effective. Addressing these political and legal challenges requires a commitment to upholding religious freedoms, ensuring equitable policies, and fostering inclusive societies that respect diversity rather than suppress it.</w:t>
      </w:r>
    </w:p>
    <w:p w:rsidR="00000000" w:rsidDel="00000000" w:rsidP="00000000" w:rsidRDefault="00000000" w:rsidRPr="00000000" w14:paraId="00000012">
      <w:pPr>
        <w:spacing w:line="360" w:lineRule="auto"/>
        <w:rPr>
          <w:rFonts w:ascii="Arial" w:cs="Arial" w:eastAsia="Arial" w:hAnsi="Arial"/>
        </w:rPr>
      </w:pPr>
      <w:r w:rsidDel="00000000" w:rsidR="00000000" w:rsidRPr="00000000">
        <w:rPr>
          <w:rFonts w:ascii="Arial" w:cs="Arial" w:eastAsia="Arial" w:hAnsi="Arial"/>
          <w:rtl w:val="0"/>
        </w:rPr>
        <w:t xml:space="preserve">Giualiani(2023) states that second-generation muslims are severely impacted by cultural stigmatisation, which makes it more difficult for them to create an identity and feel like they belong. These people struggle to balance their religious and cultural heritage with society expectations because of Islamophobia in particular. Numerous second-generation Muslims encounter prejudice in the workplace, in public life, and in schools, which causes them to struggle with their identity. Young muslims who want to assimilate while preserving their religious and cultural customs are further isolated by negative media representations and public discourse that frequently characterise Islam as incompatible with Western principles(Stevenson,2017).These difficulties are made worse by social isolation, which feeds the cycle of marginalisation. Muslim teenagers may feel excluded from mainstream culture when they experience systematic discrimination and under-representation. Since extremist organisations take advantage of sentiments of unfairness and rejection, this sense of exclusion may occasionally leave people open to radicalisation. People who endure long-term prejudice and social exclusion are more vulnerable to radical narratives that offer acceptance and empowerment, according to studies. In order to address these problems, proactive steps must be taken to establish welcoming spaces where young muslims are respected and given a voice.Several initiatives aim to counteract negative perceptions and foster inclusion. Interfaith dialogue programs encourage communication between different religious groups to break down stereotypes. Schools and universities increasingly incorporate diverse perspectives in the curriculum to challenge misconceptions about Islam(Ahmed,2024). Community-led outreach programs, such as mentorship schemes and cultural awareness workshops, provide safe spaces for young muslims to discuss their experiences and develop a positive sense of identity. Such initiatives are crucial in mitigating Islamophobia and promoting social cohesion(Islam,2021).</w:t>
      </w:r>
    </w:p>
    <w:p w:rsidR="00000000" w:rsidDel="00000000" w:rsidP="00000000" w:rsidRDefault="00000000" w:rsidRPr="00000000" w14:paraId="00000013">
      <w:pPr>
        <w:spacing w:after="240" w:before="240" w:line="360" w:lineRule="auto"/>
        <w:rPr>
          <w:rFonts w:ascii="Arial" w:cs="Arial" w:eastAsia="Arial" w:hAnsi="Arial"/>
        </w:rPr>
      </w:pPr>
      <w:r w:rsidDel="00000000" w:rsidR="00000000" w:rsidRPr="00000000">
        <w:rPr>
          <w:rFonts w:ascii="Arial" w:cs="Arial" w:eastAsia="Arial" w:hAnsi="Arial"/>
          <w:rtl w:val="0"/>
        </w:rPr>
        <w:t xml:space="preserve">The stigmatisation of Islamic symbols, such as the hijab or mosque construction, further alienates muslims, making them feel unwelcome in public spaces.</w:t>
      </w:r>
      <w:r w:rsidDel="00000000" w:rsidR="00000000" w:rsidRPr="00000000">
        <w:rPr>
          <w:rFonts w:ascii="Arial" w:cs="Arial" w:eastAsia="Arial" w:hAnsi="Arial"/>
          <w:rtl w:val="0"/>
        </w:rPr>
        <w:t xml:space="preserve">Institutional policies, such as heightened surveillance under counter-terrorism measures, have also deepened mistrust between muslim communities and the state. Profiling and discriminatory policing have left many muslims feeling unfairly targeted, leading to disengagement from civic life(Chodhury,2011).</w:t>
      </w:r>
      <w:r w:rsidDel="00000000" w:rsidR="00000000" w:rsidRPr="00000000">
        <w:rPr>
          <w:rFonts w:ascii="Arial" w:cs="Arial" w:eastAsia="Arial" w:hAnsi="Arial"/>
          <w:rtl w:val="0"/>
        </w:rPr>
        <w:t xml:space="preserve"> This, in turn, weakens social cohesion and integration efforts.Despite these challenges, various initiatives have been launched to promote inclusivity. Interfaith dialogue programs, educational reforms that combat stereotypes, and community engagement projects have played a role in fostering understanding and bridging social divides. Addressing Islamophobia requires a commitment to equity, representation, and the promotion of policies that encourage mutual respect and integration.</w:t>
      </w:r>
    </w:p>
    <w:p w:rsidR="00000000" w:rsidDel="00000000" w:rsidP="00000000" w:rsidRDefault="00000000" w:rsidRPr="00000000" w14:paraId="00000014">
      <w:pPr>
        <w:spacing w:after="240" w:before="240" w:line="360" w:lineRule="auto"/>
        <w:rPr>
          <w:rFonts w:ascii="Arial" w:cs="Arial" w:eastAsia="Arial" w:hAnsi="Arial"/>
        </w:rPr>
      </w:pPr>
      <w:r w:rsidDel="00000000" w:rsidR="00000000" w:rsidRPr="00000000">
        <w:rPr>
          <w:rFonts w:ascii="Arial" w:cs="Arial" w:eastAsia="Arial" w:hAnsi="Arial"/>
          <w:rtl w:val="0"/>
        </w:rPr>
        <w:t xml:space="preserve">Islamophobia promotes prejudice, isolation, and mistrust, which seriously impedes muslim communities' social integration in Western nations. It is difficult for muslims to fully engage in society because of negative preconceptions and institutional biases that erect obstacles in the areas of public life, work, and education. Furthermore, institutional practices like profiling and surveillance exacerbate estrangement and obstruct communication between state officials and muslim communities. </w:t>
      </w:r>
      <w:r w:rsidDel="00000000" w:rsidR="00000000" w:rsidRPr="00000000">
        <w:rPr>
          <w:rFonts w:ascii="Arial" w:cs="Arial" w:eastAsia="Arial" w:hAnsi="Arial"/>
          <w:rtl w:val="0"/>
        </w:rPr>
        <w:t xml:space="preserve">A more balanced view of Islam can be promoted and damaging preconceptions can be repelled with the aid of ethical media and diverse representa</w:t>
      </w:r>
      <w:r w:rsidDel="00000000" w:rsidR="00000000" w:rsidRPr="00000000">
        <w:rPr>
          <w:rFonts w:ascii="Arial" w:cs="Arial" w:eastAsia="Arial" w:hAnsi="Arial"/>
          <w:rtl w:val="0"/>
        </w:rPr>
        <w:t xml:space="preserve">tion. Programs for community participation, like interfaith discussions and cultural awareness initiatives, help close gaps between the muslim and non-muslim populations and promote tolerance and understanding.Addressing Islamophobia is essential for fostering inclusivity and social harmony. Discrimination must be actively challenged through policy reforms that protect religious freedoms and ensure equal opportunities for muslims. Media accountability is also crucial; responsible journalism and diverse representation can help counter harmful stereotypes and promote a more balanced understanding of Islam. Community engagement programs, such as interfaith dialogues and cultural awareness campaigns, can bridge gaps between muslim and non-muslim communities, fostering mutual respect and understanding. By implementing these solutions, societies can work toward dismantling Islamophobia and creating an environment where muslims feel valued and integrated. Promoting inclusivity is not only beneficial for muslim communities but also strengthens the social fabric of Western nations, ensuring a more cohesive and harmonious society for all.</w:t>
      </w:r>
    </w:p>
    <w:p w:rsidR="00000000" w:rsidDel="00000000" w:rsidP="00000000" w:rsidRDefault="00000000" w:rsidRPr="00000000" w14:paraId="00000015">
      <w:pPr>
        <w:spacing w:after="240" w:before="240" w:line="360" w:lineRule="auto"/>
        <w:ind w:left="0" w:firstLine="0"/>
        <w:rPr/>
      </w:pPr>
      <w:r w:rsidDel="00000000" w:rsidR="00000000" w:rsidRPr="00000000">
        <w:rPr>
          <w:rtl w:val="0"/>
        </w:rPr>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spacing w:line="360" w:lineRule="auto"/>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21">
      <w:pPr>
        <w:pStyle w:val="Heading1"/>
        <w:keepNext w:val="0"/>
        <w:keepLines w:val="0"/>
        <w:spacing w:after="360" w:before="0" w:line="360" w:lineRule="auto"/>
        <w:rPr>
          <w:rFonts w:ascii="Arial" w:cs="Arial" w:eastAsia="Arial" w:hAnsi="Arial"/>
          <w:b w:val="1"/>
          <w:color w:val="000000"/>
          <w:sz w:val="22"/>
          <w:szCs w:val="22"/>
        </w:rPr>
      </w:pPr>
      <w:bookmarkStart w:colFirst="0" w:colLast="0" w:name="_rt6k81iu8766" w:id="1"/>
      <w:bookmarkEnd w:id="1"/>
      <w:r w:rsidDel="00000000" w:rsidR="00000000" w:rsidRPr="00000000">
        <w:rPr>
          <w:rtl w:val="0"/>
        </w:rPr>
      </w:r>
    </w:p>
    <w:p w:rsidR="00000000" w:rsidDel="00000000" w:rsidP="00000000" w:rsidRDefault="00000000" w:rsidRPr="00000000" w14:paraId="00000022">
      <w:pPr>
        <w:pStyle w:val="Heading1"/>
        <w:keepNext w:val="0"/>
        <w:keepLines w:val="0"/>
        <w:spacing w:after="360" w:before="0" w:line="360" w:lineRule="auto"/>
        <w:rPr>
          <w:rFonts w:ascii="Arial" w:cs="Arial" w:eastAsia="Arial" w:hAnsi="Arial"/>
          <w:b w:val="1"/>
          <w:color w:val="000000"/>
          <w:sz w:val="22"/>
          <w:szCs w:val="22"/>
        </w:rPr>
      </w:pPr>
      <w:bookmarkStart w:colFirst="0" w:colLast="0" w:name="_ngy14xixv8i" w:id="2"/>
      <w:bookmarkEnd w:id="2"/>
      <w:r w:rsidDel="00000000" w:rsidR="00000000" w:rsidRPr="00000000">
        <w:rPr>
          <w:rtl w:val="0"/>
        </w:rPr>
      </w:r>
    </w:p>
    <w:p w:rsidR="00000000" w:rsidDel="00000000" w:rsidP="00000000" w:rsidRDefault="00000000" w:rsidRPr="00000000" w14:paraId="00000023">
      <w:pPr>
        <w:pStyle w:val="Heading1"/>
        <w:keepNext w:val="0"/>
        <w:keepLines w:val="0"/>
        <w:spacing w:after="360" w:before="0" w:line="360" w:lineRule="auto"/>
        <w:rPr>
          <w:rFonts w:ascii="Arial" w:cs="Arial" w:eastAsia="Arial" w:hAnsi="Arial"/>
          <w:b w:val="1"/>
          <w:color w:val="000000"/>
          <w:sz w:val="22"/>
          <w:szCs w:val="22"/>
        </w:rPr>
      </w:pPr>
      <w:bookmarkStart w:colFirst="0" w:colLast="0" w:name="_gjnj4dov18m7" w:id="3"/>
      <w:bookmarkEnd w:id="3"/>
      <w:r w:rsidDel="00000000" w:rsidR="00000000" w:rsidRPr="00000000">
        <w:rPr>
          <w:rtl w:val="0"/>
        </w:rPr>
      </w:r>
    </w:p>
    <w:p w:rsidR="00000000" w:rsidDel="00000000" w:rsidP="00000000" w:rsidRDefault="00000000" w:rsidRPr="00000000" w14:paraId="00000024">
      <w:pPr>
        <w:pStyle w:val="Heading1"/>
        <w:keepNext w:val="0"/>
        <w:keepLines w:val="0"/>
        <w:spacing w:after="360" w:before="0" w:line="360" w:lineRule="auto"/>
        <w:rPr>
          <w:rFonts w:ascii="Arial" w:cs="Arial" w:eastAsia="Arial" w:hAnsi="Arial"/>
          <w:b w:val="1"/>
          <w:color w:val="000000"/>
          <w:sz w:val="22"/>
          <w:szCs w:val="22"/>
        </w:rPr>
      </w:pPr>
      <w:bookmarkStart w:colFirst="0" w:colLast="0" w:name="_c8szdm3ck8fj" w:id="4"/>
      <w:bookmarkEnd w:id="4"/>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pStyle w:val="Heading1"/>
        <w:keepNext w:val="0"/>
        <w:keepLines w:val="0"/>
        <w:spacing w:after="360" w:before="0" w:line="360" w:lineRule="auto"/>
        <w:rPr>
          <w:rFonts w:ascii="Arial" w:cs="Arial" w:eastAsia="Arial" w:hAnsi="Arial"/>
          <w:b w:val="1"/>
          <w:color w:val="000000"/>
          <w:sz w:val="22"/>
          <w:szCs w:val="22"/>
        </w:rPr>
      </w:pPr>
      <w:bookmarkStart w:colFirst="0" w:colLast="0" w:name="_5y4apz80kv81" w:id="5"/>
      <w:bookmarkEnd w:id="5"/>
      <w:r w:rsidDel="00000000" w:rsidR="00000000" w:rsidRPr="00000000">
        <w:rPr>
          <w:rtl w:val="0"/>
        </w:rPr>
      </w:r>
    </w:p>
    <w:p w:rsidR="00000000" w:rsidDel="00000000" w:rsidP="00000000" w:rsidRDefault="00000000" w:rsidRPr="00000000" w14:paraId="0000002A">
      <w:pPr>
        <w:pStyle w:val="Heading1"/>
        <w:keepNext w:val="0"/>
        <w:keepLines w:val="0"/>
        <w:spacing w:after="360" w:before="0" w:line="360" w:lineRule="auto"/>
        <w:rPr>
          <w:rFonts w:ascii="Arial" w:cs="Arial" w:eastAsia="Arial" w:hAnsi="Arial"/>
          <w:b w:val="1"/>
          <w:color w:val="000000"/>
          <w:sz w:val="22"/>
          <w:szCs w:val="22"/>
        </w:rPr>
      </w:pPr>
      <w:bookmarkStart w:colFirst="0" w:colLast="0" w:name="_61pgzvjdy677" w:id="6"/>
      <w:bookmarkEnd w:id="6"/>
      <w:r w:rsidDel="00000000" w:rsidR="00000000" w:rsidRPr="00000000">
        <w:rPr>
          <w:rFonts w:ascii="Arial" w:cs="Arial" w:eastAsia="Arial" w:hAnsi="Arial"/>
          <w:b w:val="1"/>
          <w:color w:val="000000"/>
          <w:sz w:val="22"/>
          <w:szCs w:val="22"/>
          <w:rtl w:val="0"/>
        </w:rPr>
        <w:t xml:space="preserve">Reference list</w:t>
      </w:r>
    </w:p>
    <w:p w:rsidR="00000000" w:rsidDel="00000000" w:rsidP="00000000" w:rsidRDefault="00000000" w:rsidRPr="00000000" w14:paraId="0000002B">
      <w:pPr>
        <w:spacing w:after="240" w:before="0" w:line="360" w:lineRule="auto"/>
        <w:rPr>
          <w:rFonts w:ascii="Arial" w:cs="Arial" w:eastAsia="Arial" w:hAnsi="Arial"/>
        </w:rPr>
      </w:pPr>
      <w:r w:rsidDel="00000000" w:rsidR="00000000" w:rsidRPr="00000000">
        <w:rPr>
          <w:rFonts w:ascii="Arial" w:cs="Arial" w:eastAsia="Arial" w:hAnsi="Arial"/>
          <w:rtl w:val="0"/>
        </w:rPr>
        <w:t xml:space="preserve">Abbas, T., Awan, I. and Marsden, J. (2021). Pushed to the edge: the consequences of the ‘Prevent Duty’ in de-radicalising pre-crime thought among British Muslim university students. </w:t>
      </w:r>
      <w:r w:rsidDel="00000000" w:rsidR="00000000" w:rsidRPr="00000000">
        <w:rPr>
          <w:rFonts w:ascii="Arial" w:cs="Arial" w:eastAsia="Arial" w:hAnsi="Arial"/>
          <w:i w:val="1"/>
          <w:rtl w:val="0"/>
        </w:rPr>
        <w:t xml:space="preserve">Race Ethnicity and Education</w:t>
      </w:r>
      <w:r w:rsidDel="00000000" w:rsidR="00000000" w:rsidRPr="00000000">
        <w:rPr>
          <w:rFonts w:ascii="Arial" w:cs="Arial" w:eastAsia="Arial" w:hAnsi="Arial"/>
          <w:rtl w:val="0"/>
        </w:rPr>
        <w:t xml:space="preserve">, [online] 26(6), pp.1–16. doi:https://doi.org/10.1080/13613324.2021.2019002.</w:t>
      </w:r>
      <w:r w:rsidDel="00000000" w:rsidR="00000000" w:rsidRPr="00000000">
        <w:rPr>
          <w:rtl w:val="0"/>
        </w:rPr>
      </w:r>
    </w:p>
    <w:p w:rsidR="00000000" w:rsidDel="00000000" w:rsidP="00000000" w:rsidRDefault="00000000" w:rsidRPr="00000000" w14:paraId="0000002C">
      <w:pPr>
        <w:spacing w:after="240" w:before="0" w:line="360" w:lineRule="auto"/>
        <w:rPr>
          <w:rFonts w:ascii="Arial" w:cs="Arial" w:eastAsia="Arial" w:hAnsi="Arial"/>
        </w:rPr>
      </w:pPr>
      <w:r w:rsidDel="00000000" w:rsidR="00000000" w:rsidRPr="00000000">
        <w:rPr>
          <w:rFonts w:ascii="Arial" w:cs="Arial" w:eastAsia="Arial" w:hAnsi="Arial"/>
          <w:rtl w:val="0"/>
        </w:rPr>
        <w:t xml:space="preserve">Ahmed, F. and Chowdhury, S. (2024). Rethinking contemporary schooling in Muslim contexts: An Islamic conceptual framework for reconstructing K-12 education. </w:t>
      </w:r>
      <w:r w:rsidDel="00000000" w:rsidR="00000000" w:rsidRPr="00000000">
        <w:rPr>
          <w:rFonts w:ascii="Arial" w:cs="Arial" w:eastAsia="Arial" w:hAnsi="Arial"/>
          <w:i w:val="1"/>
          <w:rtl w:val="0"/>
        </w:rPr>
        <w:t xml:space="preserve">Educational Philosophy and Theory</w:t>
      </w:r>
      <w:r w:rsidDel="00000000" w:rsidR="00000000" w:rsidRPr="00000000">
        <w:rPr>
          <w:rFonts w:ascii="Arial" w:cs="Arial" w:eastAsia="Arial" w:hAnsi="Arial"/>
          <w:rtl w:val="0"/>
        </w:rPr>
        <w:t xml:space="preserve">, pp.1–14. doi:https://doi.org/10.1080/00131857.2024.2411325.</w:t>
      </w:r>
    </w:p>
    <w:p w:rsidR="00000000" w:rsidDel="00000000" w:rsidP="00000000" w:rsidRDefault="00000000" w:rsidRPr="00000000" w14:paraId="0000002D">
      <w:pPr>
        <w:spacing w:after="240" w:before="0" w:line="360" w:lineRule="auto"/>
        <w:rPr>
          <w:rFonts w:ascii="Arial" w:cs="Arial" w:eastAsia="Arial" w:hAnsi="Arial"/>
        </w:rPr>
      </w:pPr>
      <w:r w:rsidDel="00000000" w:rsidR="00000000" w:rsidRPr="00000000">
        <w:rPr>
          <w:rFonts w:ascii="Arial" w:cs="Arial" w:eastAsia="Arial" w:hAnsi="Arial"/>
          <w:rtl w:val="0"/>
        </w:rPr>
        <w:t xml:space="preserve">amnesty international press release (2010). </w:t>
      </w:r>
      <w:r w:rsidDel="00000000" w:rsidR="00000000" w:rsidRPr="00000000">
        <w:rPr>
          <w:rFonts w:ascii="Arial" w:cs="Arial" w:eastAsia="Arial" w:hAnsi="Arial"/>
          <w:i w:val="1"/>
          <w:rtl w:val="0"/>
        </w:rPr>
        <w:t xml:space="preserve">AMNESTY INTERNATIONAL PRESS RELEASE France votes to ban full-face veils</w:t>
      </w:r>
      <w:r w:rsidDel="00000000" w:rsidR="00000000" w:rsidRPr="00000000">
        <w:rPr>
          <w:rFonts w:ascii="Arial" w:cs="Arial" w:eastAsia="Arial" w:hAnsi="Arial"/>
          <w:rtl w:val="0"/>
        </w:rPr>
        <w:t xml:space="preserve">. [online] Available at: https://www.amnesty.org/fr/wp-content/uploads/2021/07/pre012452010en.pdf.</w:t>
      </w:r>
    </w:p>
    <w:p w:rsidR="00000000" w:rsidDel="00000000" w:rsidP="00000000" w:rsidRDefault="00000000" w:rsidRPr="00000000" w14:paraId="0000002E">
      <w:pPr>
        <w:spacing w:after="240" w:before="0" w:line="360" w:lineRule="auto"/>
        <w:rPr>
          <w:rFonts w:ascii="Arial" w:cs="Arial" w:eastAsia="Arial" w:hAnsi="Arial"/>
        </w:rPr>
      </w:pPr>
      <w:r w:rsidDel="00000000" w:rsidR="00000000" w:rsidRPr="00000000">
        <w:rPr>
          <w:rFonts w:ascii="Arial" w:cs="Arial" w:eastAsia="Arial" w:hAnsi="Arial"/>
          <w:rtl w:val="0"/>
        </w:rPr>
        <w:t xml:space="preserve">Anderson, L., Shahbazi, S. and Abid, M. (2021). The Islamophobia Index: Exploring the Challenges in Establishing Reliability for a Content Analysis Instrument Evaluating Islamophobia in Media Texts. </w:t>
      </w:r>
      <w:r w:rsidDel="00000000" w:rsidR="00000000" w:rsidRPr="00000000">
        <w:rPr>
          <w:rFonts w:ascii="Arial" w:cs="Arial" w:eastAsia="Arial" w:hAnsi="Arial"/>
          <w:i w:val="1"/>
          <w:rtl w:val="0"/>
        </w:rPr>
        <w:t xml:space="preserve">Islamophobia Studies Journal</w:t>
      </w:r>
      <w:r w:rsidDel="00000000" w:rsidR="00000000" w:rsidRPr="00000000">
        <w:rPr>
          <w:rFonts w:ascii="Arial" w:cs="Arial" w:eastAsia="Arial" w:hAnsi="Arial"/>
          <w:rtl w:val="0"/>
        </w:rPr>
        <w:t xml:space="preserve">, 6(2), p.182. doi:https://doi.org/10.13169/islastudj.6.2.0182.</w:t>
      </w:r>
    </w:p>
    <w:p w:rsidR="00000000" w:rsidDel="00000000" w:rsidP="00000000" w:rsidRDefault="00000000" w:rsidRPr="00000000" w14:paraId="0000002F">
      <w:pPr>
        <w:spacing w:after="240" w:before="0" w:line="360" w:lineRule="auto"/>
        <w:rPr>
          <w:rFonts w:ascii="Arial" w:cs="Arial" w:eastAsia="Arial" w:hAnsi="Arial"/>
        </w:rPr>
      </w:pPr>
      <w:r w:rsidDel="00000000" w:rsidR="00000000" w:rsidRPr="00000000">
        <w:rPr>
          <w:rFonts w:ascii="Arial" w:cs="Arial" w:eastAsia="Arial" w:hAnsi="Arial"/>
          <w:rtl w:val="0"/>
        </w:rPr>
        <w:t xml:space="preserve">Brance, K., Vasileios Chatzimpyros and Bentall, R.P. (2024). Social identity, mental health and the experience of migration. </w:t>
      </w:r>
      <w:r w:rsidDel="00000000" w:rsidR="00000000" w:rsidRPr="00000000">
        <w:rPr>
          <w:rFonts w:ascii="Arial" w:cs="Arial" w:eastAsia="Arial" w:hAnsi="Arial"/>
          <w:i w:val="1"/>
          <w:rtl w:val="0"/>
        </w:rPr>
        <w:t xml:space="preserve">British journal of social psychology</w:t>
      </w:r>
      <w:r w:rsidDel="00000000" w:rsidR="00000000" w:rsidRPr="00000000">
        <w:rPr>
          <w:rFonts w:ascii="Arial" w:cs="Arial" w:eastAsia="Arial" w:hAnsi="Arial"/>
          <w:rtl w:val="0"/>
        </w:rPr>
        <w:t xml:space="preserve">, 63(4). doi:https://doi.org/10.1111/bjso.12745.</w:t>
      </w:r>
    </w:p>
    <w:p w:rsidR="00000000" w:rsidDel="00000000" w:rsidP="00000000" w:rsidRDefault="00000000" w:rsidRPr="00000000" w14:paraId="00000030">
      <w:pPr>
        <w:spacing w:after="240" w:before="0" w:line="360" w:lineRule="auto"/>
        <w:rPr>
          <w:rFonts w:ascii="Arial" w:cs="Arial" w:eastAsia="Arial" w:hAnsi="Arial"/>
        </w:rPr>
      </w:pPr>
      <w:r w:rsidDel="00000000" w:rsidR="00000000" w:rsidRPr="00000000">
        <w:rPr>
          <w:rFonts w:ascii="Arial" w:cs="Arial" w:eastAsia="Arial" w:hAnsi="Arial"/>
          <w:rtl w:val="0"/>
        </w:rPr>
        <w:t xml:space="preserve">Casad, B.J. and Bryant, W.J. (2019). Addressing Stereotype Threat is Critical to Diversity and Inclusion in Organizational Psychology. </w:t>
      </w:r>
      <w:r w:rsidDel="00000000" w:rsidR="00000000" w:rsidRPr="00000000">
        <w:rPr>
          <w:rFonts w:ascii="Arial" w:cs="Arial" w:eastAsia="Arial" w:hAnsi="Arial"/>
          <w:i w:val="1"/>
          <w:rtl w:val="0"/>
        </w:rPr>
        <w:t xml:space="preserve">Frontiers in Psychology</w:t>
      </w:r>
      <w:r w:rsidDel="00000000" w:rsidR="00000000" w:rsidRPr="00000000">
        <w:rPr>
          <w:rFonts w:ascii="Arial" w:cs="Arial" w:eastAsia="Arial" w:hAnsi="Arial"/>
          <w:rtl w:val="0"/>
        </w:rPr>
        <w:t xml:space="preserve">, [online] 7(8), pp.1–18. doi:https://doi.org/10.3389/fpsyg.2016.00008.</w:t>
      </w:r>
    </w:p>
    <w:p w:rsidR="00000000" w:rsidDel="00000000" w:rsidP="00000000" w:rsidRDefault="00000000" w:rsidRPr="00000000" w14:paraId="00000031">
      <w:pPr>
        <w:spacing w:after="240" w:before="0" w:line="360" w:lineRule="auto"/>
        <w:rPr>
          <w:rFonts w:ascii="Arial" w:cs="Arial" w:eastAsia="Arial" w:hAnsi="Arial"/>
        </w:rPr>
      </w:pPr>
      <w:r w:rsidDel="00000000" w:rsidR="00000000" w:rsidRPr="00000000">
        <w:rPr>
          <w:rFonts w:ascii="Arial" w:cs="Arial" w:eastAsia="Arial" w:hAnsi="Arial"/>
          <w:rtl w:val="0"/>
        </w:rPr>
        <w:t xml:space="preserve">Choudhury, T. and Fenwick, H. (2011). </w:t>
      </w:r>
      <w:r w:rsidDel="00000000" w:rsidR="00000000" w:rsidRPr="00000000">
        <w:rPr>
          <w:rFonts w:ascii="Arial" w:cs="Arial" w:eastAsia="Arial" w:hAnsi="Arial"/>
          <w:i w:val="1"/>
          <w:rtl w:val="0"/>
        </w:rPr>
        <w:t xml:space="preserve">Equality and Human Rights Commission Research report 72 The impact of counter-terrorism measures on Muslim communities</w:t>
      </w:r>
      <w:r w:rsidDel="00000000" w:rsidR="00000000" w:rsidRPr="00000000">
        <w:rPr>
          <w:rFonts w:ascii="Arial" w:cs="Arial" w:eastAsia="Arial" w:hAnsi="Arial"/>
          <w:rtl w:val="0"/>
        </w:rPr>
        <w:t xml:space="preserve">. [online] Available at: https://www.equalityhumanrights.com/sites/default/files/research-report-72-the-impact-of-counter-terrorism-measures-on-muslim-communities.pdf.</w:t>
      </w:r>
    </w:p>
    <w:p w:rsidR="00000000" w:rsidDel="00000000" w:rsidP="00000000" w:rsidRDefault="00000000" w:rsidRPr="00000000" w14:paraId="00000032">
      <w:pPr>
        <w:spacing w:after="240" w:before="0" w:line="360" w:lineRule="auto"/>
        <w:rPr>
          <w:rFonts w:ascii="Arial" w:cs="Arial" w:eastAsia="Arial" w:hAnsi="Arial"/>
        </w:rPr>
      </w:pPr>
      <w:r w:rsidDel="00000000" w:rsidR="00000000" w:rsidRPr="00000000">
        <w:rPr>
          <w:rFonts w:ascii="Arial" w:cs="Arial" w:eastAsia="Arial" w:hAnsi="Arial"/>
          <w:rtl w:val="0"/>
        </w:rPr>
        <w:t xml:space="preserve">Giuliani, C., Tagliabue, S. and Regalia, C. (2018). Psychological well-being, multiple identities, and discrimination among first and second generation immigrant Muslims. </w:t>
      </w:r>
      <w:r w:rsidDel="00000000" w:rsidR="00000000" w:rsidRPr="00000000">
        <w:rPr>
          <w:rFonts w:ascii="Arial" w:cs="Arial" w:eastAsia="Arial" w:hAnsi="Arial"/>
          <w:i w:val="1"/>
          <w:rtl w:val="0"/>
        </w:rPr>
        <w:t xml:space="preserve">Europe’s Journal of Psychology</w:t>
      </w:r>
      <w:r w:rsidDel="00000000" w:rsidR="00000000" w:rsidRPr="00000000">
        <w:rPr>
          <w:rFonts w:ascii="Arial" w:cs="Arial" w:eastAsia="Arial" w:hAnsi="Arial"/>
          <w:rtl w:val="0"/>
        </w:rPr>
        <w:t xml:space="preserve">, 14(1), pp.66–87. doi:https://doi.org/10.5964/ejop.v14i1.1434.</w:t>
      </w:r>
    </w:p>
    <w:p w:rsidR="00000000" w:rsidDel="00000000" w:rsidP="00000000" w:rsidRDefault="00000000" w:rsidRPr="00000000" w14:paraId="00000033">
      <w:pPr>
        <w:spacing w:after="240" w:before="0" w:line="360" w:lineRule="auto"/>
        <w:rPr>
          <w:rFonts w:ascii="Arial" w:cs="Arial" w:eastAsia="Arial" w:hAnsi="Arial"/>
        </w:rPr>
      </w:pPr>
      <w:r w:rsidDel="00000000" w:rsidR="00000000" w:rsidRPr="00000000">
        <w:rPr>
          <w:rFonts w:ascii="Arial" w:cs="Arial" w:eastAsia="Arial" w:hAnsi="Arial"/>
          <w:rtl w:val="0"/>
        </w:rPr>
        <w:t xml:space="preserve">Göle, N. (2003). The Voluntary Adoption of Islamic Stigma Symbols. </w:t>
      </w:r>
      <w:r w:rsidDel="00000000" w:rsidR="00000000" w:rsidRPr="00000000">
        <w:rPr>
          <w:rFonts w:ascii="Arial" w:cs="Arial" w:eastAsia="Arial" w:hAnsi="Arial"/>
          <w:i w:val="1"/>
          <w:rtl w:val="0"/>
        </w:rPr>
        <w:t xml:space="preserve">Social Research: An International Quarterly</w:t>
      </w:r>
      <w:r w:rsidDel="00000000" w:rsidR="00000000" w:rsidRPr="00000000">
        <w:rPr>
          <w:rFonts w:ascii="Arial" w:cs="Arial" w:eastAsia="Arial" w:hAnsi="Arial"/>
          <w:rtl w:val="0"/>
        </w:rPr>
        <w:t xml:space="preserve">, 70(3), pp.809–828. doi:https://doi.org/10.1353/sor.2003.0005.</w:t>
      </w:r>
    </w:p>
    <w:p w:rsidR="00000000" w:rsidDel="00000000" w:rsidP="00000000" w:rsidRDefault="00000000" w:rsidRPr="00000000" w14:paraId="00000034">
      <w:pPr>
        <w:spacing w:after="240" w:before="0" w:line="360" w:lineRule="auto"/>
        <w:rPr>
          <w:rFonts w:ascii="Arial" w:cs="Arial" w:eastAsia="Arial" w:hAnsi="Arial"/>
        </w:rPr>
      </w:pPr>
      <w:r w:rsidDel="00000000" w:rsidR="00000000" w:rsidRPr="00000000">
        <w:rPr>
          <w:rFonts w:ascii="Arial" w:cs="Arial" w:eastAsia="Arial" w:hAnsi="Arial"/>
          <w:rtl w:val="0"/>
        </w:rPr>
        <w:t xml:space="preserve">Home Office (2024a). </w:t>
      </w:r>
      <w:r w:rsidDel="00000000" w:rsidR="00000000" w:rsidRPr="00000000">
        <w:rPr>
          <w:rFonts w:ascii="Arial" w:cs="Arial" w:eastAsia="Arial" w:hAnsi="Arial"/>
          <w:i w:val="1"/>
          <w:rtl w:val="0"/>
        </w:rPr>
        <w:t xml:space="preserve">Prevent duty guidance</w:t>
      </w:r>
      <w:r w:rsidDel="00000000" w:rsidR="00000000" w:rsidRPr="00000000">
        <w:rPr>
          <w:rFonts w:ascii="Arial" w:cs="Arial" w:eastAsia="Arial" w:hAnsi="Arial"/>
          <w:rtl w:val="0"/>
        </w:rPr>
        <w:t xml:space="preserve">. [online] GOV.UK. Available at: https://www.gov.uk/government/publications/prevent-duty-guidance.</w:t>
      </w:r>
    </w:p>
    <w:p w:rsidR="00000000" w:rsidDel="00000000" w:rsidP="00000000" w:rsidRDefault="00000000" w:rsidRPr="00000000" w14:paraId="00000035">
      <w:pPr>
        <w:spacing w:after="240" w:before="0" w:line="360" w:lineRule="auto"/>
        <w:rPr>
          <w:rFonts w:ascii="Arial" w:cs="Arial" w:eastAsia="Arial" w:hAnsi="Arial"/>
        </w:rPr>
      </w:pPr>
      <w:r w:rsidDel="00000000" w:rsidR="00000000" w:rsidRPr="00000000">
        <w:rPr>
          <w:rFonts w:ascii="Arial" w:cs="Arial" w:eastAsia="Arial" w:hAnsi="Arial"/>
          <w:rtl w:val="0"/>
        </w:rPr>
        <w:t xml:space="preserve">Islam, M. and Mercer‐Mapstone, L. (2021). ‘University is a non‐Muslim experience, you know? The experience is as good as it can be’: Satisfied settling in Muslim students’ experiences and implications for Muslim student voice. </w:t>
      </w:r>
      <w:r w:rsidDel="00000000" w:rsidR="00000000" w:rsidRPr="00000000">
        <w:rPr>
          <w:rFonts w:ascii="Arial" w:cs="Arial" w:eastAsia="Arial" w:hAnsi="Arial"/>
          <w:i w:val="1"/>
          <w:rtl w:val="0"/>
        </w:rPr>
        <w:t xml:space="preserve">British Educational Research Journal</w:t>
      </w:r>
      <w:r w:rsidDel="00000000" w:rsidR="00000000" w:rsidRPr="00000000">
        <w:rPr>
          <w:rFonts w:ascii="Arial" w:cs="Arial" w:eastAsia="Arial" w:hAnsi="Arial"/>
          <w:rtl w:val="0"/>
        </w:rPr>
        <w:t xml:space="preserve">, 47(5). doi:https://doi.org/10.1002/berj.3733.</w:t>
      </w:r>
    </w:p>
    <w:p w:rsidR="00000000" w:rsidDel="00000000" w:rsidP="00000000" w:rsidRDefault="00000000" w:rsidRPr="00000000" w14:paraId="00000036">
      <w:pPr>
        <w:spacing w:after="240" w:before="0" w:line="360" w:lineRule="auto"/>
        <w:rPr>
          <w:rFonts w:ascii="Arial" w:cs="Arial" w:eastAsia="Arial" w:hAnsi="Arial"/>
        </w:rPr>
      </w:pPr>
      <w:r w:rsidDel="00000000" w:rsidR="00000000" w:rsidRPr="00000000">
        <w:rPr>
          <w:rFonts w:ascii="Arial" w:cs="Arial" w:eastAsia="Arial" w:hAnsi="Arial"/>
          <w:rtl w:val="0"/>
        </w:rPr>
        <w:t xml:space="preserve">Kleinfeld, R. (2023). </w:t>
      </w:r>
      <w:r w:rsidDel="00000000" w:rsidR="00000000" w:rsidRPr="00000000">
        <w:rPr>
          <w:rFonts w:ascii="Arial" w:cs="Arial" w:eastAsia="Arial" w:hAnsi="Arial"/>
          <w:i w:val="1"/>
          <w:rtl w:val="0"/>
        </w:rPr>
        <w:t xml:space="preserve">Polarization, Democracy, and Political Violence in the United States: What the Research Says</w:t>
      </w:r>
      <w:r w:rsidDel="00000000" w:rsidR="00000000" w:rsidRPr="00000000">
        <w:rPr>
          <w:rFonts w:ascii="Arial" w:cs="Arial" w:eastAsia="Arial" w:hAnsi="Arial"/>
          <w:rtl w:val="0"/>
        </w:rPr>
        <w:t xml:space="preserve">. [online] Carnegie Endowment for International Peace. Available at: </w:t>
      </w:r>
      <w:hyperlink r:id="rId6">
        <w:r w:rsidDel="00000000" w:rsidR="00000000" w:rsidRPr="00000000">
          <w:rPr>
            <w:rFonts w:ascii="Arial" w:cs="Arial" w:eastAsia="Arial" w:hAnsi="Arial"/>
            <w:color w:val="1155cc"/>
            <w:u w:val="single"/>
            <w:rtl w:val="0"/>
          </w:rPr>
          <w:t xml:space="preserve">https://carnegieendowment.org/research/2023/09/polarization-democracy-and-political-violence-in-the-united-states-what-the-research-says?lang=en</w:t>
        </w:r>
      </w:hyperlink>
      <w:r w:rsidDel="00000000" w:rsidR="00000000" w:rsidRPr="00000000">
        <w:rPr>
          <w:rFonts w:ascii="Arial" w:cs="Arial" w:eastAsia="Arial" w:hAnsi="Arial"/>
          <w:rtl w:val="0"/>
        </w:rPr>
        <w:t xml:space="preserve">.</w:t>
      </w:r>
    </w:p>
    <w:p w:rsidR="00000000" w:rsidDel="00000000" w:rsidP="00000000" w:rsidRDefault="00000000" w:rsidRPr="00000000" w14:paraId="00000037">
      <w:pPr>
        <w:spacing w:after="240" w:before="0" w:line="360" w:lineRule="auto"/>
        <w:rPr>
          <w:rFonts w:ascii="Arial" w:cs="Arial" w:eastAsia="Arial" w:hAnsi="Arial"/>
        </w:rPr>
      </w:pPr>
      <w:r w:rsidDel="00000000" w:rsidR="00000000" w:rsidRPr="00000000">
        <w:rPr>
          <w:rFonts w:ascii="Arial" w:cs="Arial" w:eastAsia="Arial" w:hAnsi="Arial"/>
          <w:rtl w:val="0"/>
        </w:rPr>
        <w:t xml:space="preserve">Kozaric,E. (2023). Are Muslim experiences taken seriously in theories of Islamophobia? A literature review of Muslim experiences with social exclusion in the West. </w:t>
      </w:r>
      <w:r w:rsidDel="00000000" w:rsidR="00000000" w:rsidRPr="00000000">
        <w:rPr>
          <w:rFonts w:ascii="Arial" w:cs="Arial" w:eastAsia="Arial" w:hAnsi="Arial"/>
          <w:i w:val="1"/>
          <w:rtl w:val="0"/>
        </w:rPr>
        <w:t xml:space="preserve">Ethnic and Racial Studies</w:t>
      </w:r>
      <w:r w:rsidDel="00000000" w:rsidR="00000000" w:rsidRPr="00000000">
        <w:rPr>
          <w:rFonts w:ascii="Arial" w:cs="Arial" w:eastAsia="Arial" w:hAnsi="Arial"/>
          <w:rtl w:val="0"/>
        </w:rPr>
        <w:t xml:space="preserve">, 47(5), pp.1–34. doi: https://doi.org/10.1080/01419870.2023.2268179.</w:t>
      </w:r>
    </w:p>
    <w:p w:rsidR="00000000" w:rsidDel="00000000" w:rsidP="00000000" w:rsidRDefault="00000000" w:rsidRPr="00000000" w14:paraId="00000038">
      <w:pPr>
        <w:spacing w:after="240" w:before="0" w:line="360" w:lineRule="auto"/>
        <w:rPr>
          <w:rFonts w:ascii="Arial" w:cs="Arial" w:eastAsia="Arial" w:hAnsi="Arial"/>
        </w:rPr>
      </w:pPr>
      <w:r w:rsidDel="00000000" w:rsidR="00000000" w:rsidRPr="00000000">
        <w:rPr>
          <w:rFonts w:ascii="Arial" w:cs="Arial" w:eastAsia="Arial" w:hAnsi="Arial"/>
          <w:rtl w:val="0"/>
        </w:rPr>
        <w:t xml:space="preserve">Muslim council of Britain (2023). </w:t>
      </w:r>
      <w:r w:rsidDel="00000000" w:rsidR="00000000" w:rsidRPr="00000000">
        <w:rPr>
          <w:rFonts w:ascii="Arial" w:cs="Arial" w:eastAsia="Arial" w:hAnsi="Arial"/>
          <w:i w:val="1"/>
          <w:rtl w:val="0"/>
        </w:rPr>
        <w:t xml:space="preserve">Islamophobia | Muslim Council of Britain</w:t>
      </w:r>
      <w:r w:rsidDel="00000000" w:rsidR="00000000" w:rsidRPr="00000000">
        <w:rPr>
          <w:rFonts w:ascii="Arial" w:cs="Arial" w:eastAsia="Arial" w:hAnsi="Arial"/>
          <w:rtl w:val="0"/>
        </w:rPr>
        <w:t xml:space="preserve">. [online] Muslim Council of Britain . Available at: https://mcb.org.uk/features/islamophobia/.</w:t>
      </w:r>
    </w:p>
    <w:p w:rsidR="00000000" w:rsidDel="00000000" w:rsidP="00000000" w:rsidRDefault="00000000" w:rsidRPr="00000000" w14:paraId="00000039">
      <w:pPr>
        <w:spacing w:after="240" w:before="0" w:line="360" w:lineRule="auto"/>
        <w:rPr>
          <w:rFonts w:ascii="Arial" w:cs="Arial" w:eastAsia="Arial" w:hAnsi="Arial"/>
        </w:rPr>
      </w:pPr>
      <w:r w:rsidDel="00000000" w:rsidR="00000000" w:rsidRPr="00000000">
        <w:rPr>
          <w:rFonts w:ascii="Arial" w:cs="Arial" w:eastAsia="Arial" w:hAnsi="Arial"/>
          <w:rtl w:val="0"/>
        </w:rPr>
        <w:t xml:space="preserve">Office, H. (2024b). </w:t>
      </w:r>
      <w:r w:rsidDel="00000000" w:rsidR="00000000" w:rsidRPr="00000000">
        <w:rPr>
          <w:rFonts w:ascii="Arial" w:cs="Arial" w:eastAsia="Arial" w:hAnsi="Arial"/>
          <w:i w:val="1"/>
          <w:rtl w:val="0"/>
        </w:rPr>
        <w:t xml:space="preserve">The Historical Roots of the Windrush Scandal</w:t>
      </w:r>
      <w:r w:rsidDel="00000000" w:rsidR="00000000" w:rsidRPr="00000000">
        <w:rPr>
          <w:rFonts w:ascii="Arial" w:cs="Arial" w:eastAsia="Arial" w:hAnsi="Arial"/>
          <w:rtl w:val="0"/>
        </w:rPr>
        <w:t xml:space="preserve">. [online] GOV.UK. Available at: </w:t>
      </w:r>
      <w:hyperlink r:id="rId7">
        <w:r w:rsidDel="00000000" w:rsidR="00000000" w:rsidRPr="00000000">
          <w:rPr>
            <w:rFonts w:ascii="Arial" w:cs="Arial" w:eastAsia="Arial" w:hAnsi="Arial"/>
            <w:color w:val="1155cc"/>
            <w:u w:val="single"/>
            <w:rtl w:val="0"/>
          </w:rPr>
          <w:t xml:space="preserve">https://www.gov.uk/government/publications/the-historical-roots-of-the-windrush-scandal.[Accessed</w:t>
        </w:r>
      </w:hyperlink>
      <w:r w:rsidDel="00000000" w:rsidR="00000000" w:rsidRPr="00000000">
        <w:rPr>
          <w:rFonts w:ascii="Arial" w:cs="Arial" w:eastAsia="Arial" w:hAnsi="Arial"/>
          <w:rtl w:val="0"/>
        </w:rPr>
        <w:t xml:space="preserve">; 24 February 2025]</w:t>
      </w:r>
    </w:p>
    <w:p w:rsidR="00000000" w:rsidDel="00000000" w:rsidP="00000000" w:rsidRDefault="00000000" w:rsidRPr="00000000" w14:paraId="0000003A">
      <w:pPr>
        <w:spacing w:after="240" w:before="0" w:line="360" w:lineRule="auto"/>
        <w:rPr>
          <w:rFonts w:ascii="Arial" w:cs="Arial" w:eastAsia="Arial" w:hAnsi="Arial"/>
        </w:rPr>
      </w:pPr>
      <w:r w:rsidDel="00000000" w:rsidR="00000000" w:rsidRPr="00000000">
        <w:rPr>
          <w:rFonts w:ascii="Arial" w:cs="Arial" w:eastAsia="Arial" w:hAnsi="Arial"/>
          <w:rtl w:val="0"/>
        </w:rPr>
        <w:t xml:space="preserve">Rizzo, M., Testa, S., Gattino, S. and Miglietta, A. (2022). Religiously flexible: Acculturation of second-generation Muslims in Europe. </w:t>
      </w:r>
      <w:r w:rsidDel="00000000" w:rsidR="00000000" w:rsidRPr="00000000">
        <w:rPr>
          <w:rFonts w:ascii="Arial" w:cs="Arial" w:eastAsia="Arial" w:hAnsi="Arial"/>
          <w:i w:val="1"/>
          <w:rtl w:val="0"/>
        </w:rPr>
        <w:t xml:space="preserve">International Journal of Intercultural Relations</w:t>
      </w:r>
      <w:r w:rsidDel="00000000" w:rsidR="00000000" w:rsidRPr="00000000">
        <w:rPr>
          <w:rFonts w:ascii="Arial" w:cs="Arial" w:eastAsia="Arial" w:hAnsi="Arial"/>
          <w:rtl w:val="0"/>
        </w:rPr>
        <w:t xml:space="preserve">, 91, pp.127–137. doi:</w:t>
      </w:r>
      <w:hyperlink r:id="rId8">
        <w:r w:rsidDel="00000000" w:rsidR="00000000" w:rsidRPr="00000000">
          <w:rPr>
            <w:rFonts w:ascii="Arial" w:cs="Arial" w:eastAsia="Arial" w:hAnsi="Arial"/>
            <w:color w:val="1155cc"/>
            <w:u w:val="single"/>
            <w:rtl w:val="0"/>
          </w:rPr>
          <w:t xml:space="preserve">https://doi.org/10.1016/j.ijintrel.2022.09.007</w:t>
        </w:r>
      </w:hyperlink>
      <w:r w:rsidDel="00000000" w:rsidR="00000000" w:rsidRPr="00000000">
        <w:rPr>
          <w:rFonts w:ascii="Arial" w:cs="Arial" w:eastAsia="Arial" w:hAnsi="Arial"/>
          <w:rtl w:val="0"/>
        </w:rPr>
        <w:t xml:space="preserve">.</w:t>
      </w:r>
    </w:p>
    <w:p w:rsidR="00000000" w:rsidDel="00000000" w:rsidP="00000000" w:rsidRDefault="00000000" w:rsidRPr="00000000" w14:paraId="0000003B">
      <w:pPr>
        <w:spacing w:after="240" w:before="0" w:line="360" w:lineRule="auto"/>
        <w:rPr>
          <w:rFonts w:ascii="Arial" w:cs="Arial" w:eastAsia="Arial" w:hAnsi="Arial"/>
        </w:rPr>
      </w:pPr>
      <w:r w:rsidDel="00000000" w:rsidR="00000000" w:rsidRPr="00000000">
        <w:rPr>
          <w:rFonts w:ascii="Arial" w:cs="Arial" w:eastAsia="Arial" w:hAnsi="Arial"/>
          <w:rtl w:val="0"/>
        </w:rPr>
        <w:t xml:space="preserve">Sobol, I., Moncrieff, M. and Gaggioli, G. (2023). </w:t>
      </w:r>
      <w:r w:rsidDel="00000000" w:rsidR="00000000" w:rsidRPr="00000000">
        <w:rPr>
          <w:rFonts w:ascii="Arial" w:cs="Arial" w:eastAsia="Arial" w:hAnsi="Arial"/>
          <w:i w:val="1"/>
          <w:rtl w:val="0"/>
        </w:rPr>
        <w:t xml:space="preserve">Home - The Geneva Academy of International Humanitarian Law and Human Rights</w:t>
      </w:r>
      <w:r w:rsidDel="00000000" w:rsidR="00000000" w:rsidRPr="00000000">
        <w:rPr>
          <w:rFonts w:ascii="Arial" w:cs="Arial" w:eastAsia="Arial" w:hAnsi="Arial"/>
          <w:rtl w:val="0"/>
        </w:rPr>
        <w:t xml:space="preserve">. [online] www.geneva-academy.ch. Available at: </w:t>
      </w:r>
      <w:hyperlink r:id="rId9">
        <w:r w:rsidDel="00000000" w:rsidR="00000000" w:rsidRPr="00000000">
          <w:rPr>
            <w:rFonts w:ascii="Arial" w:cs="Arial" w:eastAsia="Arial" w:hAnsi="Arial"/>
            <w:color w:val="1155cc"/>
            <w:u w:val="single"/>
            <w:rtl w:val="0"/>
          </w:rPr>
          <w:t xml:space="preserve">https://www.geneva-academy.ch/joomlatools-files/docman-files/Working%20Paper%20-%20Counterterrorism%20Effectiveness%20and%20Human%20Rights%20Law.pdf.[Accessed</w:t>
        </w:r>
      </w:hyperlink>
      <w:r w:rsidDel="00000000" w:rsidR="00000000" w:rsidRPr="00000000">
        <w:rPr>
          <w:rFonts w:ascii="Arial" w:cs="Arial" w:eastAsia="Arial" w:hAnsi="Arial"/>
          <w:rtl w:val="0"/>
        </w:rPr>
        <w:t xml:space="preserve">; 24 February 2025]</w:t>
      </w:r>
    </w:p>
    <w:p w:rsidR="00000000" w:rsidDel="00000000" w:rsidP="00000000" w:rsidRDefault="00000000" w:rsidRPr="00000000" w14:paraId="0000003C">
      <w:pPr>
        <w:spacing w:after="240" w:before="0" w:line="360" w:lineRule="auto"/>
        <w:rPr>
          <w:rFonts w:ascii="Arial" w:cs="Arial" w:eastAsia="Arial" w:hAnsi="Arial"/>
        </w:rPr>
      </w:pPr>
      <w:r w:rsidDel="00000000" w:rsidR="00000000" w:rsidRPr="00000000">
        <w:rPr>
          <w:rtl w:val="0"/>
        </w:rPr>
      </w:r>
    </w:p>
    <w:p w:rsidR="00000000" w:rsidDel="00000000" w:rsidP="00000000" w:rsidRDefault="00000000" w:rsidRPr="00000000" w14:paraId="0000003D">
      <w:pPr>
        <w:spacing w:after="240" w:before="0" w:line="360" w:lineRule="auto"/>
        <w:rPr>
          <w:rFonts w:ascii="Arial" w:cs="Arial" w:eastAsia="Arial" w:hAnsi="Arial"/>
        </w:rPr>
      </w:pPr>
      <w:r w:rsidDel="00000000" w:rsidR="00000000" w:rsidRPr="00000000">
        <w:rPr>
          <w:rFonts w:ascii="Arial" w:cs="Arial" w:eastAsia="Arial" w:hAnsi="Arial"/>
          <w:rtl w:val="0"/>
        </w:rPr>
        <w:t xml:space="preserve">Stevenson, J., Demack, S., Stiell, B., Abdi, M., Clarkson, L., Ghaffar, F. and Hassan, S. (2017). </w:t>
      </w:r>
      <w:r w:rsidDel="00000000" w:rsidR="00000000" w:rsidRPr="00000000">
        <w:rPr>
          <w:rFonts w:ascii="Arial" w:cs="Arial" w:eastAsia="Arial" w:hAnsi="Arial"/>
          <w:i w:val="1"/>
          <w:rtl w:val="0"/>
        </w:rPr>
        <w:t xml:space="preserve">The Social Mobility Challenges Faced by Young Muslims</w:t>
      </w:r>
      <w:r w:rsidDel="00000000" w:rsidR="00000000" w:rsidRPr="00000000">
        <w:rPr>
          <w:rFonts w:ascii="Arial" w:cs="Arial" w:eastAsia="Arial" w:hAnsi="Arial"/>
          <w:rtl w:val="0"/>
        </w:rPr>
        <w:t xml:space="preserve">. [online] Available at: </w:t>
      </w:r>
      <w:hyperlink r:id="rId10">
        <w:r w:rsidDel="00000000" w:rsidR="00000000" w:rsidRPr="00000000">
          <w:rPr>
            <w:rFonts w:ascii="Arial" w:cs="Arial" w:eastAsia="Arial" w:hAnsi="Arial"/>
            <w:color w:val="1155cc"/>
            <w:u w:val="single"/>
            <w:rtl w:val="0"/>
          </w:rPr>
          <w:t xml:space="preserve">https://assets.publishing.service.gov.uk/media/5a82cd7c40f0b6230269cc80/Young_Muslims_SMC.pdf.[Accessed</w:t>
        </w:r>
      </w:hyperlink>
      <w:r w:rsidDel="00000000" w:rsidR="00000000" w:rsidRPr="00000000">
        <w:rPr>
          <w:rFonts w:ascii="Arial" w:cs="Arial" w:eastAsia="Arial" w:hAnsi="Arial"/>
          <w:rtl w:val="0"/>
        </w:rPr>
        <w:t xml:space="preserve">; 21 February 2025]</w:t>
      </w:r>
    </w:p>
    <w:p w:rsidR="00000000" w:rsidDel="00000000" w:rsidP="00000000" w:rsidRDefault="00000000" w:rsidRPr="00000000" w14:paraId="0000003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sectPr>
      <w:headerReference r:id="rId11" w:type="default"/>
      <w:headerReference r:id="rId12" w:type="first"/>
      <w:footerReference r:id="rId13" w:type="default"/>
      <w:footerReference r:id="rId14" w:type="first"/>
      <w:pgSz w:h="15840" w:w="12240" w:orient="portrait"/>
      <w:pgMar w:bottom="1440" w:top="144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2" name="image2.png"/>
          <a:graphic>
            <a:graphicData uri="http://schemas.openxmlformats.org/drawingml/2006/picture">
              <pic:pic>
                <pic:nvPicPr>
                  <pic:cNvPr descr="footer" id="0" name="image2.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3" name="image2.png"/>
          <a:graphic>
            <a:graphicData uri="http://schemas.openxmlformats.org/drawingml/2006/picture">
              <pic:pic>
                <pic:nvPicPr>
                  <pic:cNvPr descr="footer" id="0" name="image2.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pageBreakBefore w:val="0"/>
      <w:pBdr>
        <w:top w:space="0" w:sz="0" w:val="nil"/>
        <w:left w:space="0" w:sz="0" w:val="nil"/>
        <w:bottom w:space="0" w:sz="0" w:val="nil"/>
        <w:right w:space="0" w:sz="0" w:val="nil"/>
        <w:between w:space="0" w:sz="0" w:val="nil"/>
      </w:pBdr>
      <w:shd w:fill="auto" w:val="clear"/>
      <w:spacing w:before="640" w:line="300" w:lineRule="auto"/>
      <w:rPr>
        <w:rFonts w:ascii="Proxima Nova" w:cs="Proxima Nova" w:eastAsia="Proxima Nova" w:hAnsi="Proxima Nova"/>
        <w:color w:val="666666"/>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-66674</wp:posOffset>
          </wp:positionV>
          <wp:extent cx="7781925" cy="95250"/>
          <wp:effectExtent b="0" l="0" r="0" t="0"/>
          <wp:wrapTopAndBottom distB="0" distT="0"/>
          <wp:docPr descr="horizontal line" id="1" name="image2.png"/>
          <a:graphic>
            <a:graphicData uri="http://schemas.openxmlformats.org/drawingml/2006/picture">
              <pic:pic>
                <pic:nvPicPr>
                  <pic:cNvPr descr="horizontal line" id="0" name="image2.png"/>
                  <pic:cNvPicPr preferRelativeResize="0"/>
                </pic:nvPicPr>
                <pic:blipFill>
                  <a:blip r:embed="rId1"/>
                  <a:srcRect b="0" l="0" r="0" t="0"/>
                  <a:stretch>
                    <a:fillRect/>
                  </a:stretch>
                </pic:blipFill>
                <pic:spPr>
                  <a:xfrm>
                    <a:off x="0" y="0"/>
                    <a:ext cx="7781925" cy="9525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6" name="image2.png"/>
          <a:graphic>
            <a:graphicData uri="http://schemas.openxmlformats.org/drawingml/2006/picture">
              <pic:pic>
                <pic:nvPicPr>
                  <pic:cNvPr descr="horizontal line" id="0" name="image2.png"/>
                  <pic:cNvPicPr preferRelativeResize="0"/>
                </pic:nvPicPr>
                <pic:blipFill>
                  <a:blip r:embed="rId1"/>
                  <a:srcRect b="0" l="0" r="0" t="0"/>
                  <a:stretch>
                    <a:fillRect/>
                  </a:stretch>
                </pic:blipFill>
                <pic:spPr>
                  <a:xfrm>
                    <a:off x="0" y="0"/>
                    <a:ext cx="7781925" cy="95250"/>
                  </a:xfrm>
                  <a:prstGeom prst="rect"/>
                  <a:ln/>
                </pic:spPr>
              </pic:pic>
            </a:graphicData>
          </a:graphic>
        </wp:anchor>
      </w:drawing>
    </w:r>
  </w:p>
  <w:p w:rsidR="00000000" w:rsidDel="00000000" w:rsidP="00000000" w:rsidRDefault="00000000" w:rsidRPr="00000000" w14:paraId="00000040">
    <w:pPr>
      <w:pageBreakBefore w:val="0"/>
      <w:pBdr>
        <w:top w:space="0" w:sz="0" w:val="nil"/>
        <w:left w:space="0" w:sz="0" w:val="nil"/>
        <w:bottom w:space="0" w:sz="0" w:val="nil"/>
        <w:right w:space="0" w:sz="0" w:val="nil"/>
        <w:between w:space="0" w:sz="0" w:val="nil"/>
      </w:pBdr>
      <w:shd w:fill="auto" w:val="clear"/>
      <w:spacing w:line="300" w:lineRule="auto"/>
      <w:rPr>
        <w:rFonts w:ascii="Proxima Nova" w:cs="Proxima Nova" w:eastAsia="Proxima Nova" w:hAnsi="Proxima Nova"/>
        <w:color w:val="666666"/>
        <w:sz w:val="20"/>
        <w:szCs w:val="20"/>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5" name="image1.png"/>
          <a:graphic>
            <a:graphicData uri="http://schemas.openxmlformats.org/drawingml/2006/picture">
              <pic:pic>
                <pic:nvPicPr>
                  <pic:cNvPr descr="short line" id="0" name="image1.png"/>
                  <pic:cNvPicPr preferRelativeResize="0"/>
                </pic:nvPicPr>
                <pic:blipFill>
                  <a:blip r:embed="rId2"/>
                  <a:srcRect b="0" l="0" r="0" t="0"/>
                  <a:stretch>
                    <a:fillRect/>
                  </a:stretch>
                </pic:blipFill>
                <pic:spPr>
                  <a:xfrm>
                    <a:off x="0" y="0"/>
                    <a:ext cx="447675" cy="571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pageBreakBefore w:val="0"/>
      <w:pBdr>
        <w:top w:space="0" w:sz="0" w:val="nil"/>
        <w:left w:space="0" w:sz="0" w:val="nil"/>
        <w:bottom w:space="0" w:sz="0" w:val="nil"/>
        <w:right w:space="0" w:sz="0" w:val="nil"/>
        <w:between w:space="0" w:sz="0" w:val="nil"/>
      </w:pBdr>
      <w:shd w:fill="auto" w:val="clear"/>
      <w:spacing w:before="64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4" name="image2.png"/>
          <a:graphic>
            <a:graphicData uri="http://schemas.openxmlformats.org/drawingml/2006/picture">
              <pic:pic>
                <pic:nvPicPr>
                  <pic:cNvPr descr="horizontal line" id="0" name="image2.png"/>
                  <pic:cNvPicPr preferRelativeResize="0"/>
                </pic:nvPicPr>
                <pic:blipFill>
                  <a:blip r:embed="rId1"/>
                  <a:srcRect b="0" l="0" r="0" t="0"/>
                  <a:stretch>
                    <a:fillRect/>
                  </a:stretch>
                </pic:blipFill>
                <pic:spPr>
                  <a:xfrm>
                    <a:off x="0" y="0"/>
                    <a:ext cx="7781925" cy="952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yperlink" Target="https://assets.publishing.service.gov.uk/media/5a82cd7c40f0b6230269cc80/Young_Muslims_SMC.pdf.%5BAccessed" TargetMode="External"/><Relationship Id="rId13" Type="http://schemas.openxmlformats.org/officeDocument/2006/relationships/footer" Target="footer2.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eneva-academy.ch/joomlatools-files/docman-files/Working%20Paper%20-%20Counterterrorism%20Effectiveness%20and%20Human%20Rights%20Law.pdf.%5BAccessed"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carnegieendowment.org/research/2023/09/polarization-democracy-and-political-violence-in-the-united-states-what-the-research-says?lang=en" TargetMode="External"/><Relationship Id="rId7" Type="http://schemas.openxmlformats.org/officeDocument/2006/relationships/hyperlink" Target="https://www.gov.uk/government/publications/the-historical-roots-of-the-windrush-scandal.%5BAccessed" TargetMode="External"/><Relationship Id="rId8" Type="http://schemas.openxmlformats.org/officeDocument/2006/relationships/hyperlink" Target="https://doi.org/10.1016/j.ijintrel.2022.09.007"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