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103D06" w14:textId="77777777" w:rsidR="004549F2" w:rsidRPr="000B22BE" w:rsidRDefault="004549F2" w:rsidP="00DF7F91">
      <w:pPr>
        <w:spacing w:line="360" w:lineRule="auto"/>
        <w:rPr>
          <w:rFonts w:ascii="Arial" w:hAnsi="Arial" w:cs="Arial"/>
        </w:rPr>
      </w:pPr>
    </w:p>
    <w:p w14:paraId="3FC4D487" w14:textId="77777777" w:rsidR="004549F2" w:rsidRPr="000B22BE" w:rsidRDefault="004549F2" w:rsidP="004549F2">
      <w:pPr>
        <w:spacing w:line="360" w:lineRule="auto"/>
        <w:jc w:val="center"/>
        <w:rPr>
          <w:rFonts w:ascii="Arial" w:hAnsi="Arial" w:cs="Arial"/>
          <w:b/>
          <w:bCs/>
          <w:color w:val="000000" w:themeColor="text1"/>
        </w:rPr>
      </w:pPr>
    </w:p>
    <w:p w14:paraId="6BEBF6C6" w14:textId="77777777" w:rsidR="004549F2" w:rsidRPr="000B22BE" w:rsidRDefault="004549F2" w:rsidP="004549F2">
      <w:pPr>
        <w:spacing w:line="360" w:lineRule="auto"/>
        <w:jc w:val="center"/>
        <w:rPr>
          <w:rFonts w:ascii="Arial" w:hAnsi="Arial" w:cs="Arial"/>
          <w:b/>
          <w:bCs/>
          <w:color w:val="000000" w:themeColor="text1"/>
          <w:sz w:val="40"/>
          <w:szCs w:val="40"/>
        </w:rPr>
      </w:pPr>
    </w:p>
    <w:p w14:paraId="3041B45E" w14:textId="7D1A1030" w:rsidR="004549F2" w:rsidRPr="000B22BE" w:rsidRDefault="004549F2" w:rsidP="004549F2">
      <w:pPr>
        <w:spacing w:line="360" w:lineRule="auto"/>
        <w:jc w:val="center"/>
        <w:rPr>
          <w:rFonts w:ascii="Arial" w:hAnsi="Arial" w:cs="Arial"/>
          <w:color w:val="000000" w:themeColor="text1"/>
          <w:sz w:val="40"/>
          <w:szCs w:val="40"/>
        </w:rPr>
      </w:pPr>
      <w:r w:rsidRPr="000B22BE">
        <w:rPr>
          <w:rFonts w:ascii="Arial" w:hAnsi="Arial" w:cs="Arial"/>
          <w:b/>
          <w:bCs/>
          <w:color w:val="000000" w:themeColor="text1"/>
          <w:sz w:val="40"/>
          <w:szCs w:val="40"/>
        </w:rPr>
        <w:t>Diploma in Higher Education Healthcare Practice</w:t>
      </w:r>
    </w:p>
    <w:p w14:paraId="63B15688" w14:textId="77777777" w:rsidR="004549F2" w:rsidRPr="000B22BE" w:rsidRDefault="004549F2" w:rsidP="004549F2">
      <w:pPr>
        <w:spacing w:line="360" w:lineRule="auto"/>
        <w:jc w:val="center"/>
        <w:rPr>
          <w:rFonts w:ascii="Arial" w:hAnsi="Arial" w:cs="Arial"/>
          <w:b/>
          <w:bCs/>
          <w:color w:val="000000" w:themeColor="text1"/>
          <w:sz w:val="40"/>
          <w:szCs w:val="40"/>
        </w:rPr>
      </w:pPr>
    </w:p>
    <w:p w14:paraId="25519E30" w14:textId="77777777" w:rsidR="004549F2" w:rsidRPr="000B22BE" w:rsidRDefault="004549F2" w:rsidP="004549F2">
      <w:pPr>
        <w:spacing w:line="360" w:lineRule="auto"/>
        <w:jc w:val="center"/>
        <w:rPr>
          <w:rFonts w:ascii="Arial" w:hAnsi="Arial" w:cs="Arial"/>
          <w:b/>
          <w:bCs/>
          <w:color w:val="000000" w:themeColor="text1"/>
          <w:sz w:val="40"/>
          <w:szCs w:val="40"/>
        </w:rPr>
      </w:pPr>
    </w:p>
    <w:p w14:paraId="472E57CD" w14:textId="77777777" w:rsidR="004549F2" w:rsidRPr="000B22BE" w:rsidRDefault="004549F2" w:rsidP="004549F2">
      <w:pPr>
        <w:spacing w:line="360" w:lineRule="auto"/>
        <w:jc w:val="center"/>
        <w:rPr>
          <w:rFonts w:ascii="Arial" w:hAnsi="Arial" w:cs="Arial"/>
          <w:b/>
          <w:bCs/>
          <w:color w:val="000000" w:themeColor="text1"/>
          <w:sz w:val="40"/>
          <w:szCs w:val="40"/>
        </w:rPr>
      </w:pPr>
      <w:r w:rsidRPr="000B22BE">
        <w:rPr>
          <w:rFonts w:ascii="Arial" w:hAnsi="Arial" w:cs="Arial"/>
          <w:b/>
          <w:bCs/>
          <w:color w:val="000000" w:themeColor="text1"/>
          <w:sz w:val="40"/>
          <w:szCs w:val="40"/>
        </w:rPr>
        <w:t>Management and Leadership in the Healthcare Setting (BMNS5009)</w:t>
      </w:r>
    </w:p>
    <w:p w14:paraId="57EB2E6F" w14:textId="77777777" w:rsidR="004549F2" w:rsidRPr="000B22BE" w:rsidRDefault="004549F2" w:rsidP="004549F2">
      <w:pPr>
        <w:spacing w:line="360" w:lineRule="auto"/>
        <w:jc w:val="center"/>
        <w:rPr>
          <w:rFonts w:ascii="Arial" w:hAnsi="Arial" w:cs="Arial"/>
          <w:b/>
          <w:bCs/>
          <w:color w:val="000000" w:themeColor="text1"/>
          <w:sz w:val="40"/>
          <w:szCs w:val="40"/>
        </w:rPr>
      </w:pPr>
    </w:p>
    <w:p w14:paraId="746145CB" w14:textId="77777777" w:rsidR="004549F2" w:rsidRPr="000B22BE" w:rsidRDefault="004549F2" w:rsidP="004549F2">
      <w:pPr>
        <w:spacing w:line="360" w:lineRule="auto"/>
        <w:jc w:val="center"/>
        <w:rPr>
          <w:rFonts w:ascii="Arial" w:hAnsi="Arial" w:cs="Arial"/>
          <w:b/>
          <w:bCs/>
          <w:color w:val="000000" w:themeColor="text1"/>
          <w:sz w:val="40"/>
          <w:szCs w:val="40"/>
        </w:rPr>
      </w:pPr>
    </w:p>
    <w:p w14:paraId="52BF650C" w14:textId="77777777" w:rsidR="004549F2" w:rsidRPr="000B22BE" w:rsidRDefault="004549F2" w:rsidP="004549F2">
      <w:pPr>
        <w:spacing w:line="360" w:lineRule="auto"/>
        <w:jc w:val="center"/>
        <w:rPr>
          <w:rFonts w:ascii="Arial" w:hAnsi="Arial" w:cs="Arial"/>
          <w:b/>
          <w:bCs/>
          <w:color w:val="000000" w:themeColor="text1"/>
          <w:sz w:val="40"/>
          <w:szCs w:val="40"/>
        </w:rPr>
      </w:pPr>
      <w:r w:rsidRPr="000B22BE">
        <w:rPr>
          <w:rFonts w:ascii="Arial" w:hAnsi="Arial" w:cs="Arial"/>
          <w:b/>
          <w:bCs/>
          <w:color w:val="000000" w:themeColor="text1"/>
          <w:sz w:val="40"/>
          <w:szCs w:val="40"/>
        </w:rPr>
        <w:t>Lecturer: Jan Howells-Johnson</w:t>
      </w:r>
    </w:p>
    <w:p w14:paraId="13945135" w14:textId="77777777" w:rsidR="004549F2" w:rsidRPr="000B22BE" w:rsidRDefault="004549F2" w:rsidP="004549F2">
      <w:pPr>
        <w:spacing w:line="360" w:lineRule="auto"/>
        <w:jc w:val="center"/>
        <w:rPr>
          <w:rFonts w:ascii="Arial" w:hAnsi="Arial" w:cs="Arial"/>
          <w:b/>
          <w:bCs/>
          <w:color w:val="000000" w:themeColor="text1"/>
          <w:sz w:val="40"/>
          <w:szCs w:val="40"/>
        </w:rPr>
      </w:pPr>
      <w:r w:rsidRPr="000B22BE">
        <w:rPr>
          <w:rFonts w:ascii="Arial" w:hAnsi="Arial" w:cs="Arial"/>
          <w:b/>
          <w:bCs/>
          <w:color w:val="000000" w:themeColor="text1"/>
          <w:sz w:val="40"/>
          <w:szCs w:val="40"/>
        </w:rPr>
        <w:t>Student: Ioana Nicoleta Hirciaga-2413814</w:t>
      </w:r>
    </w:p>
    <w:p w14:paraId="3BFC1B8C" w14:textId="44DDA58A" w:rsidR="004549F2" w:rsidRPr="000B22BE" w:rsidRDefault="004549F2" w:rsidP="004549F2">
      <w:pPr>
        <w:spacing w:line="360" w:lineRule="auto"/>
        <w:jc w:val="center"/>
        <w:rPr>
          <w:rFonts w:ascii="Arial" w:hAnsi="Arial" w:cs="Arial"/>
          <w:b/>
          <w:bCs/>
          <w:color w:val="000000" w:themeColor="text1"/>
          <w:sz w:val="40"/>
          <w:szCs w:val="40"/>
        </w:rPr>
      </w:pPr>
      <w:r w:rsidRPr="000B22BE">
        <w:rPr>
          <w:rFonts w:ascii="Arial" w:hAnsi="Arial" w:cs="Arial"/>
          <w:b/>
          <w:bCs/>
          <w:color w:val="000000" w:themeColor="text1"/>
          <w:sz w:val="40"/>
          <w:szCs w:val="40"/>
        </w:rPr>
        <w:t>Word count: 2188</w:t>
      </w:r>
    </w:p>
    <w:p w14:paraId="51B993AA" w14:textId="4300A405" w:rsidR="004549F2" w:rsidRPr="000B22BE" w:rsidRDefault="004549F2" w:rsidP="004549F2">
      <w:pPr>
        <w:spacing w:line="360" w:lineRule="auto"/>
        <w:jc w:val="center"/>
        <w:rPr>
          <w:rFonts w:ascii="Arial" w:hAnsi="Arial" w:cs="Arial"/>
          <w:b/>
          <w:bCs/>
          <w:color w:val="000000" w:themeColor="text1"/>
          <w:sz w:val="40"/>
          <w:szCs w:val="40"/>
        </w:rPr>
      </w:pPr>
      <w:r w:rsidRPr="000B22BE">
        <w:rPr>
          <w:rFonts w:ascii="Arial" w:hAnsi="Arial" w:cs="Arial"/>
          <w:b/>
          <w:bCs/>
          <w:color w:val="000000" w:themeColor="text1"/>
          <w:sz w:val="40"/>
          <w:szCs w:val="40"/>
        </w:rPr>
        <w:t>01/05/2026</w:t>
      </w:r>
    </w:p>
    <w:p w14:paraId="63C05EF2" w14:textId="77777777" w:rsidR="004549F2" w:rsidRPr="000B22BE" w:rsidRDefault="004549F2" w:rsidP="004549F2">
      <w:pPr>
        <w:spacing w:line="360" w:lineRule="auto"/>
        <w:jc w:val="center"/>
        <w:rPr>
          <w:rFonts w:ascii="Arial" w:hAnsi="Arial" w:cs="Arial"/>
          <w:b/>
          <w:bCs/>
          <w:color w:val="000000" w:themeColor="text1"/>
          <w:sz w:val="40"/>
          <w:szCs w:val="40"/>
        </w:rPr>
      </w:pPr>
    </w:p>
    <w:p w14:paraId="47170034" w14:textId="77777777" w:rsidR="000B22BE" w:rsidRPr="000B22BE" w:rsidRDefault="000B22BE" w:rsidP="000B22BE">
      <w:pPr>
        <w:pStyle w:val="Title"/>
        <w:spacing w:line="360" w:lineRule="auto"/>
        <w:rPr>
          <w:rFonts w:ascii="Arial" w:hAnsi="Arial" w:cs="Arial"/>
          <w:color w:val="000000" w:themeColor="text1"/>
          <w:sz w:val="24"/>
          <w:szCs w:val="24"/>
        </w:rPr>
      </w:pPr>
    </w:p>
    <w:p w14:paraId="5F345759" w14:textId="77777777" w:rsidR="000B22BE" w:rsidRPr="000B22BE" w:rsidRDefault="000B22BE" w:rsidP="000B22BE">
      <w:pPr>
        <w:rPr>
          <w:color w:val="000000" w:themeColor="text1"/>
        </w:rPr>
      </w:pPr>
    </w:p>
    <w:sdt>
      <w:sdtPr>
        <w:rPr>
          <w:rFonts w:asciiTheme="minorHAnsi" w:eastAsiaTheme="minorHAnsi" w:hAnsiTheme="minorHAnsi" w:cstheme="minorBidi"/>
          <w:color w:val="auto"/>
          <w:kern w:val="2"/>
          <w:sz w:val="24"/>
          <w:szCs w:val="24"/>
          <w:lang w:eastAsia="en-US"/>
          <w14:ligatures w14:val="standardContextual"/>
        </w:rPr>
        <w:id w:val="-1374531496"/>
        <w:docPartObj>
          <w:docPartGallery w:val="Table of Contents"/>
          <w:docPartUnique/>
        </w:docPartObj>
      </w:sdtPr>
      <w:sdtEndPr>
        <w:rPr>
          <w:b/>
          <w:bCs/>
        </w:rPr>
      </w:sdtEndPr>
      <w:sdtContent>
        <w:p w14:paraId="5B672D56" w14:textId="556D62BC" w:rsidR="007D36ED" w:rsidRDefault="007D36ED">
          <w:pPr>
            <w:pStyle w:val="TOCHeading"/>
          </w:pPr>
          <w:r>
            <w:t>Contents</w:t>
          </w:r>
        </w:p>
        <w:p w14:paraId="0D8BCCC1" w14:textId="4549D31D" w:rsidR="007D36ED" w:rsidRDefault="007D36ED">
          <w:pPr>
            <w:pStyle w:val="TOC1"/>
            <w:tabs>
              <w:tab w:val="right" w:leader="dot" w:pos="9016"/>
            </w:tabs>
            <w:rPr>
              <w:noProof/>
            </w:rPr>
          </w:pPr>
          <w:r>
            <w:fldChar w:fldCharType="begin"/>
          </w:r>
          <w:r>
            <w:instrText xml:space="preserve"> TOC \o "1-3" \h \z \u </w:instrText>
          </w:r>
          <w:r>
            <w:fldChar w:fldCharType="separate"/>
          </w:r>
          <w:hyperlink w:anchor="_Toc228784894" w:history="1">
            <w:r w:rsidRPr="00791995">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_Toc228784894 \h </w:instrText>
            </w:r>
            <w:r>
              <w:rPr>
                <w:noProof/>
                <w:webHidden/>
              </w:rPr>
            </w:r>
            <w:r>
              <w:rPr>
                <w:noProof/>
                <w:webHidden/>
              </w:rPr>
              <w:fldChar w:fldCharType="separate"/>
            </w:r>
            <w:r>
              <w:rPr>
                <w:noProof/>
                <w:webHidden/>
              </w:rPr>
              <w:t>3</w:t>
            </w:r>
            <w:r>
              <w:rPr>
                <w:noProof/>
                <w:webHidden/>
              </w:rPr>
              <w:fldChar w:fldCharType="end"/>
            </w:r>
          </w:hyperlink>
        </w:p>
        <w:p w14:paraId="473AC5A1" w14:textId="54D42EE8" w:rsidR="007D36ED" w:rsidRDefault="007D36ED">
          <w:pPr>
            <w:pStyle w:val="TOC1"/>
            <w:tabs>
              <w:tab w:val="right" w:leader="dot" w:pos="9016"/>
            </w:tabs>
            <w:rPr>
              <w:noProof/>
            </w:rPr>
          </w:pPr>
          <w:hyperlink w:anchor="_Toc228784895" w:history="1">
            <w:r w:rsidRPr="00791995">
              <w:rPr>
                <w:rStyle w:val="Hyperlink"/>
                <w:rFonts w:ascii="Arial" w:hAnsi="Arial" w:cs="Arial"/>
                <w:noProof/>
              </w:rPr>
              <w:t>2. Contemporary Challenge: Workforce Shortages and Staff Burnout</w:t>
            </w:r>
            <w:r>
              <w:rPr>
                <w:noProof/>
                <w:webHidden/>
              </w:rPr>
              <w:tab/>
            </w:r>
            <w:r>
              <w:rPr>
                <w:noProof/>
                <w:webHidden/>
              </w:rPr>
              <w:fldChar w:fldCharType="begin"/>
            </w:r>
            <w:r>
              <w:rPr>
                <w:noProof/>
                <w:webHidden/>
              </w:rPr>
              <w:instrText xml:space="preserve"> PAGEREF _Toc228784895 \h </w:instrText>
            </w:r>
            <w:r>
              <w:rPr>
                <w:noProof/>
                <w:webHidden/>
              </w:rPr>
            </w:r>
            <w:r>
              <w:rPr>
                <w:noProof/>
                <w:webHidden/>
              </w:rPr>
              <w:fldChar w:fldCharType="separate"/>
            </w:r>
            <w:r>
              <w:rPr>
                <w:noProof/>
                <w:webHidden/>
              </w:rPr>
              <w:t>3</w:t>
            </w:r>
            <w:r>
              <w:rPr>
                <w:noProof/>
                <w:webHidden/>
              </w:rPr>
              <w:fldChar w:fldCharType="end"/>
            </w:r>
          </w:hyperlink>
        </w:p>
        <w:p w14:paraId="34BC9033" w14:textId="1E91043F" w:rsidR="007D36ED" w:rsidRDefault="007D36ED">
          <w:pPr>
            <w:pStyle w:val="TOC2"/>
            <w:tabs>
              <w:tab w:val="right" w:leader="dot" w:pos="9016"/>
            </w:tabs>
            <w:rPr>
              <w:noProof/>
            </w:rPr>
          </w:pPr>
          <w:hyperlink w:anchor="_Toc228784896" w:history="1">
            <w:r w:rsidRPr="00791995">
              <w:rPr>
                <w:rStyle w:val="Hyperlink"/>
                <w:rFonts w:ascii="Arial" w:hAnsi="Arial" w:cs="Arial"/>
                <w:noProof/>
              </w:rPr>
              <w:t>2.1 Causes of Workforce Shortages</w:t>
            </w:r>
            <w:r>
              <w:rPr>
                <w:noProof/>
                <w:webHidden/>
              </w:rPr>
              <w:tab/>
            </w:r>
            <w:r>
              <w:rPr>
                <w:noProof/>
                <w:webHidden/>
              </w:rPr>
              <w:fldChar w:fldCharType="begin"/>
            </w:r>
            <w:r>
              <w:rPr>
                <w:noProof/>
                <w:webHidden/>
              </w:rPr>
              <w:instrText xml:space="preserve"> PAGEREF _Toc228784896 \h </w:instrText>
            </w:r>
            <w:r>
              <w:rPr>
                <w:noProof/>
                <w:webHidden/>
              </w:rPr>
            </w:r>
            <w:r>
              <w:rPr>
                <w:noProof/>
                <w:webHidden/>
              </w:rPr>
              <w:fldChar w:fldCharType="separate"/>
            </w:r>
            <w:r>
              <w:rPr>
                <w:noProof/>
                <w:webHidden/>
              </w:rPr>
              <w:t>4</w:t>
            </w:r>
            <w:r>
              <w:rPr>
                <w:noProof/>
                <w:webHidden/>
              </w:rPr>
              <w:fldChar w:fldCharType="end"/>
            </w:r>
          </w:hyperlink>
        </w:p>
        <w:p w14:paraId="40F4BEC8" w14:textId="4B7B4959" w:rsidR="007D36ED" w:rsidRDefault="007D36ED">
          <w:pPr>
            <w:pStyle w:val="TOC2"/>
            <w:tabs>
              <w:tab w:val="right" w:leader="dot" w:pos="9016"/>
            </w:tabs>
            <w:rPr>
              <w:noProof/>
            </w:rPr>
          </w:pPr>
          <w:hyperlink w:anchor="_Toc228784897" w:history="1">
            <w:r w:rsidRPr="00791995">
              <w:rPr>
                <w:rStyle w:val="Hyperlink"/>
                <w:rFonts w:ascii="Arial" w:hAnsi="Arial" w:cs="Arial"/>
                <w:noProof/>
              </w:rPr>
              <w:t>2.2 Impact on Service Effectiveness</w:t>
            </w:r>
            <w:r>
              <w:rPr>
                <w:noProof/>
                <w:webHidden/>
              </w:rPr>
              <w:tab/>
            </w:r>
            <w:r>
              <w:rPr>
                <w:noProof/>
                <w:webHidden/>
              </w:rPr>
              <w:fldChar w:fldCharType="begin"/>
            </w:r>
            <w:r>
              <w:rPr>
                <w:noProof/>
                <w:webHidden/>
              </w:rPr>
              <w:instrText xml:space="preserve"> PAGEREF _Toc228784897 \h </w:instrText>
            </w:r>
            <w:r>
              <w:rPr>
                <w:noProof/>
                <w:webHidden/>
              </w:rPr>
            </w:r>
            <w:r>
              <w:rPr>
                <w:noProof/>
                <w:webHidden/>
              </w:rPr>
              <w:fldChar w:fldCharType="separate"/>
            </w:r>
            <w:r>
              <w:rPr>
                <w:noProof/>
                <w:webHidden/>
              </w:rPr>
              <w:t>5</w:t>
            </w:r>
            <w:r>
              <w:rPr>
                <w:noProof/>
                <w:webHidden/>
              </w:rPr>
              <w:fldChar w:fldCharType="end"/>
            </w:r>
          </w:hyperlink>
        </w:p>
        <w:p w14:paraId="0847D8B9" w14:textId="169068D9" w:rsidR="007D36ED" w:rsidRDefault="007D36ED">
          <w:pPr>
            <w:pStyle w:val="TOC1"/>
            <w:tabs>
              <w:tab w:val="right" w:leader="dot" w:pos="9016"/>
            </w:tabs>
            <w:rPr>
              <w:noProof/>
            </w:rPr>
          </w:pPr>
          <w:hyperlink w:anchor="_Toc228784898" w:history="1">
            <w:r w:rsidRPr="00791995">
              <w:rPr>
                <w:rStyle w:val="Hyperlink"/>
                <w:rFonts w:ascii="Arial" w:hAnsi="Arial" w:cs="Arial"/>
                <w:noProof/>
              </w:rPr>
              <w:t>3. Strategic Response to Workforce Challenges</w:t>
            </w:r>
            <w:r>
              <w:rPr>
                <w:noProof/>
                <w:webHidden/>
              </w:rPr>
              <w:tab/>
            </w:r>
            <w:r>
              <w:rPr>
                <w:noProof/>
                <w:webHidden/>
              </w:rPr>
              <w:fldChar w:fldCharType="begin"/>
            </w:r>
            <w:r>
              <w:rPr>
                <w:noProof/>
                <w:webHidden/>
              </w:rPr>
              <w:instrText xml:space="preserve"> PAGEREF _Toc228784898 \h </w:instrText>
            </w:r>
            <w:r>
              <w:rPr>
                <w:noProof/>
                <w:webHidden/>
              </w:rPr>
            </w:r>
            <w:r>
              <w:rPr>
                <w:noProof/>
                <w:webHidden/>
              </w:rPr>
              <w:fldChar w:fldCharType="separate"/>
            </w:r>
            <w:r>
              <w:rPr>
                <w:noProof/>
                <w:webHidden/>
              </w:rPr>
              <w:t>5</w:t>
            </w:r>
            <w:r>
              <w:rPr>
                <w:noProof/>
                <w:webHidden/>
              </w:rPr>
              <w:fldChar w:fldCharType="end"/>
            </w:r>
          </w:hyperlink>
        </w:p>
        <w:p w14:paraId="4751F16C" w14:textId="1FC8884D" w:rsidR="007D36ED" w:rsidRDefault="007D36ED">
          <w:pPr>
            <w:pStyle w:val="TOC2"/>
            <w:tabs>
              <w:tab w:val="right" w:leader="dot" w:pos="9016"/>
            </w:tabs>
            <w:rPr>
              <w:noProof/>
            </w:rPr>
          </w:pPr>
          <w:hyperlink w:anchor="_Toc228784899" w:history="1">
            <w:r w:rsidRPr="00791995">
              <w:rPr>
                <w:rStyle w:val="Hyperlink"/>
                <w:rFonts w:ascii="Arial" w:hAnsi="Arial" w:cs="Arial"/>
                <w:noProof/>
              </w:rPr>
              <w:t>3.1 Retention-Focused People Management Strategy</w:t>
            </w:r>
            <w:r>
              <w:rPr>
                <w:noProof/>
                <w:webHidden/>
              </w:rPr>
              <w:tab/>
            </w:r>
            <w:r>
              <w:rPr>
                <w:noProof/>
                <w:webHidden/>
              </w:rPr>
              <w:fldChar w:fldCharType="begin"/>
            </w:r>
            <w:r>
              <w:rPr>
                <w:noProof/>
                <w:webHidden/>
              </w:rPr>
              <w:instrText xml:space="preserve"> PAGEREF _Toc228784899 \h </w:instrText>
            </w:r>
            <w:r>
              <w:rPr>
                <w:noProof/>
                <w:webHidden/>
              </w:rPr>
            </w:r>
            <w:r>
              <w:rPr>
                <w:noProof/>
                <w:webHidden/>
              </w:rPr>
              <w:fldChar w:fldCharType="separate"/>
            </w:r>
            <w:r>
              <w:rPr>
                <w:noProof/>
                <w:webHidden/>
              </w:rPr>
              <w:t>6</w:t>
            </w:r>
            <w:r>
              <w:rPr>
                <w:noProof/>
                <w:webHidden/>
              </w:rPr>
              <w:fldChar w:fldCharType="end"/>
            </w:r>
          </w:hyperlink>
        </w:p>
        <w:p w14:paraId="2DA78943" w14:textId="06D4A76F" w:rsidR="007D36ED" w:rsidRDefault="007D36ED">
          <w:pPr>
            <w:pStyle w:val="TOC2"/>
            <w:tabs>
              <w:tab w:val="right" w:leader="dot" w:pos="9016"/>
            </w:tabs>
            <w:rPr>
              <w:noProof/>
            </w:rPr>
          </w:pPr>
          <w:hyperlink w:anchor="_Toc228784900" w:history="1">
            <w:r w:rsidRPr="00791995">
              <w:rPr>
                <w:rStyle w:val="Hyperlink"/>
                <w:rFonts w:ascii="Arial" w:hAnsi="Arial" w:cs="Arial"/>
                <w:noProof/>
              </w:rPr>
              <w:t>3.2 Supportive Leadership and Staff Wellbeing</w:t>
            </w:r>
            <w:r>
              <w:rPr>
                <w:noProof/>
                <w:webHidden/>
              </w:rPr>
              <w:tab/>
            </w:r>
            <w:r>
              <w:rPr>
                <w:noProof/>
                <w:webHidden/>
              </w:rPr>
              <w:fldChar w:fldCharType="begin"/>
            </w:r>
            <w:r>
              <w:rPr>
                <w:noProof/>
                <w:webHidden/>
              </w:rPr>
              <w:instrText xml:space="preserve"> PAGEREF _Toc228784900 \h </w:instrText>
            </w:r>
            <w:r>
              <w:rPr>
                <w:noProof/>
                <w:webHidden/>
              </w:rPr>
            </w:r>
            <w:r>
              <w:rPr>
                <w:noProof/>
                <w:webHidden/>
              </w:rPr>
              <w:fldChar w:fldCharType="separate"/>
            </w:r>
            <w:r>
              <w:rPr>
                <w:noProof/>
                <w:webHidden/>
              </w:rPr>
              <w:t>6</w:t>
            </w:r>
            <w:r>
              <w:rPr>
                <w:noProof/>
                <w:webHidden/>
              </w:rPr>
              <w:fldChar w:fldCharType="end"/>
            </w:r>
          </w:hyperlink>
        </w:p>
        <w:p w14:paraId="0F499EB1" w14:textId="43F012F0" w:rsidR="007D36ED" w:rsidRDefault="007D36ED">
          <w:pPr>
            <w:pStyle w:val="TOC2"/>
            <w:tabs>
              <w:tab w:val="right" w:leader="dot" w:pos="9016"/>
            </w:tabs>
            <w:rPr>
              <w:noProof/>
            </w:rPr>
          </w:pPr>
          <w:hyperlink w:anchor="_Toc228784901" w:history="1">
            <w:r w:rsidRPr="00791995">
              <w:rPr>
                <w:rStyle w:val="Hyperlink"/>
                <w:rFonts w:ascii="Arial" w:hAnsi="Arial" w:cs="Arial"/>
                <w:noProof/>
              </w:rPr>
              <w:t>3.3 Workforce Planning and Flexible Working</w:t>
            </w:r>
            <w:r>
              <w:rPr>
                <w:noProof/>
                <w:webHidden/>
              </w:rPr>
              <w:tab/>
            </w:r>
            <w:r>
              <w:rPr>
                <w:noProof/>
                <w:webHidden/>
              </w:rPr>
              <w:fldChar w:fldCharType="begin"/>
            </w:r>
            <w:r>
              <w:rPr>
                <w:noProof/>
                <w:webHidden/>
              </w:rPr>
              <w:instrText xml:space="preserve"> PAGEREF _Toc228784901 \h </w:instrText>
            </w:r>
            <w:r>
              <w:rPr>
                <w:noProof/>
                <w:webHidden/>
              </w:rPr>
            </w:r>
            <w:r>
              <w:rPr>
                <w:noProof/>
                <w:webHidden/>
              </w:rPr>
              <w:fldChar w:fldCharType="separate"/>
            </w:r>
            <w:r>
              <w:rPr>
                <w:noProof/>
                <w:webHidden/>
              </w:rPr>
              <w:t>7</w:t>
            </w:r>
            <w:r>
              <w:rPr>
                <w:noProof/>
                <w:webHidden/>
              </w:rPr>
              <w:fldChar w:fldCharType="end"/>
            </w:r>
          </w:hyperlink>
        </w:p>
        <w:p w14:paraId="1659AD7E" w14:textId="3F4719D1" w:rsidR="007D36ED" w:rsidRDefault="007D36ED">
          <w:pPr>
            <w:pStyle w:val="TOC2"/>
            <w:tabs>
              <w:tab w:val="right" w:leader="dot" w:pos="9016"/>
            </w:tabs>
            <w:rPr>
              <w:noProof/>
            </w:rPr>
          </w:pPr>
          <w:hyperlink w:anchor="_Toc228784902" w:history="1">
            <w:r w:rsidRPr="00791995">
              <w:rPr>
                <w:rStyle w:val="Hyperlink"/>
                <w:rFonts w:ascii="Arial" w:hAnsi="Arial" w:cs="Arial"/>
                <w:noProof/>
              </w:rPr>
              <w:t>3.4 Policy Alignment and System Integration</w:t>
            </w:r>
            <w:r>
              <w:rPr>
                <w:noProof/>
                <w:webHidden/>
              </w:rPr>
              <w:tab/>
            </w:r>
            <w:r>
              <w:rPr>
                <w:noProof/>
                <w:webHidden/>
              </w:rPr>
              <w:fldChar w:fldCharType="begin"/>
            </w:r>
            <w:r>
              <w:rPr>
                <w:noProof/>
                <w:webHidden/>
              </w:rPr>
              <w:instrText xml:space="preserve"> PAGEREF _Toc228784902 \h </w:instrText>
            </w:r>
            <w:r>
              <w:rPr>
                <w:noProof/>
                <w:webHidden/>
              </w:rPr>
            </w:r>
            <w:r>
              <w:rPr>
                <w:noProof/>
                <w:webHidden/>
              </w:rPr>
              <w:fldChar w:fldCharType="separate"/>
            </w:r>
            <w:r>
              <w:rPr>
                <w:noProof/>
                <w:webHidden/>
              </w:rPr>
              <w:t>7</w:t>
            </w:r>
            <w:r>
              <w:rPr>
                <w:noProof/>
                <w:webHidden/>
              </w:rPr>
              <w:fldChar w:fldCharType="end"/>
            </w:r>
          </w:hyperlink>
        </w:p>
        <w:p w14:paraId="09616F4D" w14:textId="5B277927" w:rsidR="007D36ED" w:rsidRDefault="007D36ED">
          <w:pPr>
            <w:pStyle w:val="TOC1"/>
            <w:tabs>
              <w:tab w:val="right" w:leader="dot" w:pos="9016"/>
            </w:tabs>
            <w:rPr>
              <w:noProof/>
            </w:rPr>
          </w:pPr>
          <w:hyperlink w:anchor="_Toc228784903" w:history="1">
            <w:r w:rsidRPr="00791995">
              <w:rPr>
                <w:rStyle w:val="Hyperlink"/>
                <w:rFonts w:ascii="Arial" w:hAnsi="Arial" w:cs="Arial"/>
                <w:noProof/>
              </w:rPr>
              <w:t>4. Evaluation of Strategic Effectiveness</w:t>
            </w:r>
            <w:r>
              <w:rPr>
                <w:noProof/>
                <w:webHidden/>
              </w:rPr>
              <w:tab/>
            </w:r>
            <w:r>
              <w:rPr>
                <w:noProof/>
                <w:webHidden/>
              </w:rPr>
              <w:fldChar w:fldCharType="begin"/>
            </w:r>
            <w:r>
              <w:rPr>
                <w:noProof/>
                <w:webHidden/>
              </w:rPr>
              <w:instrText xml:space="preserve"> PAGEREF _Toc228784903 \h </w:instrText>
            </w:r>
            <w:r>
              <w:rPr>
                <w:noProof/>
                <w:webHidden/>
              </w:rPr>
            </w:r>
            <w:r>
              <w:rPr>
                <w:noProof/>
                <w:webHidden/>
              </w:rPr>
              <w:fldChar w:fldCharType="separate"/>
            </w:r>
            <w:r>
              <w:rPr>
                <w:noProof/>
                <w:webHidden/>
              </w:rPr>
              <w:t>8</w:t>
            </w:r>
            <w:r>
              <w:rPr>
                <w:noProof/>
                <w:webHidden/>
              </w:rPr>
              <w:fldChar w:fldCharType="end"/>
            </w:r>
          </w:hyperlink>
        </w:p>
        <w:p w14:paraId="79F79D1C" w14:textId="33CD9274" w:rsidR="007D36ED" w:rsidRDefault="007D36ED">
          <w:pPr>
            <w:pStyle w:val="TOC2"/>
            <w:tabs>
              <w:tab w:val="right" w:leader="dot" w:pos="9016"/>
            </w:tabs>
            <w:rPr>
              <w:noProof/>
            </w:rPr>
          </w:pPr>
          <w:hyperlink w:anchor="_Toc228784904" w:history="1">
            <w:r w:rsidRPr="00791995">
              <w:rPr>
                <w:rStyle w:val="Hyperlink"/>
                <w:rFonts w:ascii="Arial" w:hAnsi="Arial" w:cs="Arial"/>
                <w:noProof/>
              </w:rPr>
              <w:t>4.1 Benefits</w:t>
            </w:r>
            <w:r>
              <w:rPr>
                <w:noProof/>
                <w:webHidden/>
              </w:rPr>
              <w:tab/>
            </w:r>
            <w:r>
              <w:rPr>
                <w:noProof/>
                <w:webHidden/>
              </w:rPr>
              <w:fldChar w:fldCharType="begin"/>
            </w:r>
            <w:r>
              <w:rPr>
                <w:noProof/>
                <w:webHidden/>
              </w:rPr>
              <w:instrText xml:space="preserve"> PAGEREF _Toc228784904 \h </w:instrText>
            </w:r>
            <w:r>
              <w:rPr>
                <w:noProof/>
                <w:webHidden/>
              </w:rPr>
            </w:r>
            <w:r>
              <w:rPr>
                <w:noProof/>
                <w:webHidden/>
              </w:rPr>
              <w:fldChar w:fldCharType="separate"/>
            </w:r>
            <w:r>
              <w:rPr>
                <w:noProof/>
                <w:webHidden/>
              </w:rPr>
              <w:t>8</w:t>
            </w:r>
            <w:r>
              <w:rPr>
                <w:noProof/>
                <w:webHidden/>
              </w:rPr>
              <w:fldChar w:fldCharType="end"/>
            </w:r>
          </w:hyperlink>
        </w:p>
        <w:p w14:paraId="2B532798" w14:textId="4E4D2072" w:rsidR="007D36ED" w:rsidRDefault="007D36ED">
          <w:pPr>
            <w:pStyle w:val="TOC2"/>
            <w:tabs>
              <w:tab w:val="right" w:leader="dot" w:pos="9016"/>
            </w:tabs>
            <w:rPr>
              <w:noProof/>
            </w:rPr>
          </w:pPr>
          <w:hyperlink w:anchor="_Toc228784905" w:history="1">
            <w:r w:rsidRPr="00791995">
              <w:rPr>
                <w:rStyle w:val="Hyperlink"/>
                <w:rFonts w:ascii="Arial" w:hAnsi="Arial" w:cs="Arial"/>
                <w:noProof/>
              </w:rPr>
              <w:t>4.2 Limitations</w:t>
            </w:r>
            <w:r>
              <w:rPr>
                <w:noProof/>
                <w:webHidden/>
              </w:rPr>
              <w:tab/>
            </w:r>
            <w:r>
              <w:rPr>
                <w:noProof/>
                <w:webHidden/>
              </w:rPr>
              <w:fldChar w:fldCharType="begin"/>
            </w:r>
            <w:r>
              <w:rPr>
                <w:noProof/>
                <w:webHidden/>
              </w:rPr>
              <w:instrText xml:space="preserve"> PAGEREF _Toc228784905 \h </w:instrText>
            </w:r>
            <w:r>
              <w:rPr>
                <w:noProof/>
                <w:webHidden/>
              </w:rPr>
            </w:r>
            <w:r>
              <w:rPr>
                <w:noProof/>
                <w:webHidden/>
              </w:rPr>
              <w:fldChar w:fldCharType="separate"/>
            </w:r>
            <w:r>
              <w:rPr>
                <w:noProof/>
                <w:webHidden/>
              </w:rPr>
              <w:t>8</w:t>
            </w:r>
            <w:r>
              <w:rPr>
                <w:noProof/>
                <w:webHidden/>
              </w:rPr>
              <w:fldChar w:fldCharType="end"/>
            </w:r>
          </w:hyperlink>
        </w:p>
        <w:p w14:paraId="3022C5C4" w14:textId="31FA7E26" w:rsidR="007D36ED" w:rsidRDefault="007D36ED">
          <w:pPr>
            <w:pStyle w:val="TOC2"/>
            <w:tabs>
              <w:tab w:val="right" w:leader="dot" w:pos="9016"/>
            </w:tabs>
            <w:rPr>
              <w:noProof/>
            </w:rPr>
          </w:pPr>
          <w:hyperlink w:anchor="_Toc228784906" w:history="1">
            <w:r w:rsidRPr="00791995">
              <w:rPr>
                <w:rStyle w:val="Hyperlink"/>
                <w:rFonts w:ascii="Arial" w:hAnsi="Arial" w:cs="Arial"/>
                <w:noProof/>
              </w:rPr>
              <w:t>4.3 Critical Evaluation of Sustainability and Strategic Effectiveness</w:t>
            </w:r>
            <w:r>
              <w:rPr>
                <w:noProof/>
                <w:webHidden/>
              </w:rPr>
              <w:tab/>
            </w:r>
            <w:r>
              <w:rPr>
                <w:noProof/>
                <w:webHidden/>
              </w:rPr>
              <w:fldChar w:fldCharType="begin"/>
            </w:r>
            <w:r>
              <w:rPr>
                <w:noProof/>
                <w:webHidden/>
              </w:rPr>
              <w:instrText xml:space="preserve"> PAGEREF _Toc228784906 \h </w:instrText>
            </w:r>
            <w:r>
              <w:rPr>
                <w:noProof/>
                <w:webHidden/>
              </w:rPr>
            </w:r>
            <w:r>
              <w:rPr>
                <w:noProof/>
                <w:webHidden/>
              </w:rPr>
              <w:fldChar w:fldCharType="separate"/>
            </w:r>
            <w:r>
              <w:rPr>
                <w:noProof/>
                <w:webHidden/>
              </w:rPr>
              <w:t>8</w:t>
            </w:r>
            <w:r>
              <w:rPr>
                <w:noProof/>
                <w:webHidden/>
              </w:rPr>
              <w:fldChar w:fldCharType="end"/>
            </w:r>
          </w:hyperlink>
        </w:p>
        <w:p w14:paraId="4109B7FC" w14:textId="5DA79619" w:rsidR="007D36ED" w:rsidRDefault="007D36ED">
          <w:pPr>
            <w:pStyle w:val="TOC2"/>
            <w:tabs>
              <w:tab w:val="right" w:leader="dot" w:pos="9016"/>
            </w:tabs>
            <w:rPr>
              <w:noProof/>
            </w:rPr>
          </w:pPr>
          <w:hyperlink w:anchor="_Toc228784907" w:history="1">
            <w:r w:rsidRPr="00791995">
              <w:rPr>
                <w:rStyle w:val="Hyperlink"/>
                <w:rFonts w:ascii="Arial" w:hAnsi="Arial" w:cs="Arial"/>
                <w:noProof/>
              </w:rPr>
              <w:t>4.4 Wider System Impact</w:t>
            </w:r>
            <w:r>
              <w:rPr>
                <w:noProof/>
                <w:webHidden/>
              </w:rPr>
              <w:tab/>
            </w:r>
            <w:r>
              <w:rPr>
                <w:noProof/>
                <w:webHidden/>
              </w:rPr>
              <w:fldChar w:fldCharType="begin"/>
            </w:r>
            <w:r>
              <w:rPr>
                <w:noProof/>
                <w:webHidden/>
              </w:rPr>
              <w:instrText xml:space="preserve"> PAGEREF _Toc228784907 \h </w:instrText>
            </w:r>
            <w:r>
              <w:rPr>
                <w:noProof/>
                <w:webHidden/>
              </w:rPr>
            </w:r>
            <w:r>
              <w:rPr>
                <w:noProof/>
                <w:webHidden/>
              </w:rPr>
              <w:fldChar w:fldCharType="separate"/>
            </w:r>
            <w:r>
              <w:rPr>
                <w:noProof/>
                <w:webHidden/>
              </w:rPr>
              <w:t>9</w:t>
            </w:r>
            <w:r>
              <w:rPr>
                <w:noProof/>
                <w:webHidden/>
              </w:rPr>
              <w:fldChar w:fldCharType="end"/>
            </w:r>
          </w:hyperlink>
        </w:p>
        <w:p w14:paraId="2CE418D6" w14:textId="15E30D56" w:rsidR="007D36ED" w:rsidRDefault="007D36ED">
          <w:pPr>
            <w:pStyle w:val="TOC1"/>
            <w:tabs>
              <w:tab w:val="right" w:leader="dot" w:pos="9016"/>
            </w:tabs>
            <w:rPr>
              <w:noProof/>
            </w:rPr>
          </w:pPr>
          <w:hyperlink w:anchor="_Toc228784908" w:history="1">
            <w:r w:rsidRPr="00791995">
              <w:rPr>
                <w:rStyle w:val="Hyperlink"/>
                <w:rFonts w:ascii="Arial" w:hAnsi="Arial" w:cs="Arial"/>
                <w:noProof/>
              </w:rPr>
              <w:t>5. Impact on Service Users</w:t>
            </w:r>
            <w:r>
              <w:rPr>
                <w:noProof/>
                <w:webHidden/>
              </w:rPr>
              <w:tab/>
            </w:r>
            <w:r>
              <w:rPr>
                <w:noProof/>
                <w:webHidden/>
              </w:rPr>
              <w:fldChar w:fldCharType="begin"/>
            </w:r>
            <w:r>
              <w:rPr>
                <w:noProof/>
                <w:webHidden/>
              </w:rPr>
              <w:instrText xml:space="preserve"> PAGEREF _Toc228784908 \h </w:instrText>
            </w:r>
            <w:r>
              <w:rPr>
                <w:noProof/>
                <w:webHidden/>
              </w:rPr>
            </w:r>
            <w:r>
              <w:rPr>
                <w:noProof/>
                <w:webHidden/>
              </w:rPr>
              <w:fldChar w:fldCharType="separate"/>
            </w:r>
            <w:r>
              <w:rPr>
                <w:noProof/>
                <w:webHidden/>
              </w:rPr>
              <w:t>10</w:t>
            </w:r>
            <w:r>
              <w:rPr>
                <w:noProof/>
                <w:webHidden/>
              </w:rPr>
              <w:fldChar w:fldCharType="end"/>
            </w:r>
          </w:hyperlink>
        </w:p>
        <w:p w14:paraId="45999EDC" w14:textId="4495CBFF" w:rsidR="007D36ED" w:rsidRDefault="007D36ED">
          <w:pPr>
            <w:pStyle w:val="TOC1"/>
            <w:tabs>
              <w:tab w:val="right" w:leader="dot" w:pos="9016"/>
            </w:tabs>
            <w:rPr>
              <w:noProof/>
            </w:rPr>
          </w:pPr>
          <w:hyperlink w:anchor="_Toc228784909" w:history="1">
            <w:r w:rsidRPr="00791995">
              <w:rPr>
                <w:rStyle w:val="Hyperlink"/>
                <w:rFonts w:ascii="Arial" w:hAnsi="Arial" w:cs="Arial"/>
                <w:noProof/>
              </w:rPr>
              <w:t>6. Conclusion</w:t>
            </w:r>
            <w:r>
              <w:rPr>
                <w:noProof/>
                <w:webHidden/>
              </w:rPr>
              <w:tab/>
            </w:r>
            <w:r>
              <w:rPr>
                <w:noProof/>
                <w:webHidden/>
              </w:rPr>
              <w:fldChar w:fldCharType="begin"/>
            </w:r>
            <w:r>
              <w:rPr>
                <w:noProof/>
                <w:webHidden/>
              </w:rPr>
              <w:instrText xml:space="preserve"> PAGEREF _Toc228784909 \h </w:instrText>
            </w:r>
            <w:r>
              <w:rPr>
                <w:noProof/>
                <w:webHidden/>
              </w:rPr>
            </w:r>
            <w:r>
              <w:rPr>
                <w:noProof/>
                <w:webHidden/>
              </w:rPr>
              <w:fldChar w:fldCharType="separate"/>
            </w:r>
            <w:r>
              <w:rPr>
                <w:noProof/>
                <w:webHidden/>
              </w:rPr>
              <w:t>10</w:t>
            </w:r>
            <w:r>
              <w:rPr>
                <w:noProof/>
                <w:webHidden/>
              </w:rPr>
              <w:fldChar w:fldCharType="end"/>
            </w:r>
          </w:hyperlink>
        </w:p>
        <w:p w14:paraId="317044F3" w14:textId="77F45C91" w:rsidR="007D36ED" w:rsidRDefault="007D36ED">
          <w:pPr>
            <w:pStyle w:val="TOC1"/>
            <w:tabs>
              <w:tab w:val="right" w:leader="dot" w:pos="9016"/>
            </w:tabs>
            <w:rPr>
              <w:noProof/>
            </w:rPr>
          </w:pPr>
          <w:hyperlink w:anchor="_Toc228784910" w:history="1">
            <w:r w:rsidRPr="00791995">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_Toc228784910 \h </w:instrText>
            </w:r>
            <w:r>
              <w:rPr>
                <w:noProof/>
                <w:webHidden/>
              </w:rPr>
            </w:r>
            <w:r>
              <w:rPr>
                <w:noProof/>
                <w:webHidden/>
              </w:rPr>
              <w:fldChar w:fldCharType="separate"/>
            </w:r>
            <w:r>
              <w:rPr>
                <w:noProof/>
                <w:webHidden/>
              </w:rPr>
              <w:t>12</w:t>
            </w:r>
            <w:r>
              <w:rPr>
                <w:noProof/>
                <w:webHidden/>
              </w:rPr>
              <w:fldChar w:fldCharType="end"/>
            </w:r>
          </w:hyperlink>
        </w:p>
        <w:p w14:paraId="20432F2F" w14:textId="74900DC6" w:rsidR="007D36ED" w:rsidRDefault="007D36ED">
          <w:r>
            <w:rPr>
              <w:b/>
              <w:bCs/>
            </w:rPr>
            <w:fldChar w:fldCharType="end"/>
          </w:r>
        </w:p>
      </w:sdtContent>
    </w:sdt>
    <w:p w14:paraId="6ABE2B0E" w14:textId="77777777" w:rsidR="000B22BE" w:rsidRDefault="000B22BE" w:rsidP="000B22BE">
      <w:pPr>
        <w:pStyle w:val="Title"/>
        <w:spacing w:line="360" w:lineRule="auto"/>
        <w:rPr>
          <w:rFonts w:ascii="Arial" w:hAnsi="Arial" w:cs="Arial"/>
          <w:color w:val="000000" w:themeColor="text1"/>
          <w:sz w:val="24"/>
          <w:szCs w:val="24"/>
        </w:rPr>
      </w:pPr>
    </w:p>
    <w:p w14:paraId="73E36862" w14:textId="77777777" w:rsidR="000B22BE" w:rsidRDefault="000B22BE" w:rsidP="000B22BE">
      <w:pPr>
        <w:pStyle w:val="Title"/>
        <w:spacing w:line="360" w:lineRule="auto"/>
        <w:rPr>
          <w:rFonts w:ascii="Arial" w:hAnsi="Arial" w:cs="Arial"/>
          <w:color w:val="000000" w:themeColor="text1"/>
          <w:sz w:val="24"/>
          <w:szCs w:val="24"/>
        </w:rPr>
      </w:pPr>
    </w:p>
    <w:p w14:paraId="09F626AC" w14:textId="77777777" w:rsidR="000B22BE" w:rsidRDefault="000B22BE" w:rsidP="000B22BE">
      <w:pPr>
        <w:pStyle w:val="Title"/>
        <w:spacing w:line="360" w:lineRule="auto"/>
        <w:rPr>
          <w:rFonts w:ascii="Arial" w:hAnsi="Arial" w:cs="Arial"/>
          <w:color w:val="000000" w:themeColor="text1"/>
          <w:sz w:val="24"/>
          <w:szCs w:val="24"/>
        </w:rPr>
      </w:pPr>
    </w:p>
    <w:p w14:paraId="14F7B418" w14:textId="77777777" w:rsidR="000B22BE" w:rsidRDefault="000B22BE" w:rsidP="000B22BE">
      <w:pPr>
        <w:pStyle w:val="Title"/>
        <w:spacing w:line="360" w:lineRule="auto"/>
        <w:rPr>
          <w:rFonts w:ascii="Arial" w:hAnsi="Arial" w:cs="Arial"/>
          <w:color w:val="000000" w:themeColor="text1"/>
          <w:sz w:val="24"/>
          <w:szCs w:val="24"/>
        </w:rPr>
      </w:pPr>
    </w:p>
    <w:p w14:paraId="7DED3CBB" w14:textId="77777777" w:rsidR="000B22BE" w:rsidRDefault="000B22BE" w:rsidP="000B22BE">
      <w:pPr>
        <w:pStyle w:val="Title"/>
        <w:spacing w:line="360" w:lineRule="auto"/>
        <w:rPr>
          <w:rFonts w:ascii="Arial" w:hAnsi="Arial" w:cs="Arial"/>
          <w:color w:val="000000" w:themeColor="text1"/>
          <w:sz w:val="24"/>
          <w:szCs w:val="24"/>
        </w:rPr>
      </w:pPr>
    </w:p>
    <w:p w14:paraId="550F0142" w14:textId="77777777" w:rsidR="000B22BE" w:rsidRDefault="000B22BE" w:rsidP="000B22BE">
      <w:pPr>
        <w:pStyle w:val="Title"/>
        <w:spacing w:line="360" w:lineRule="auto"/>
        <w:rPr>
          <w:rFonts w:ascii="Arial" w:hAnsi="Arial" w:cs="Arial"/>
          <w:color w:val="000000" w:themeColor="text1"/>
          <w:sz w:val="24"/>
          <w:szCs w:val="24"/>
        </w:rPr>
      </w:pPr>
    </w:p>
    <w:p w14:paraId="70491B58" w14:textId="77777777" w:rsidR="000B22BE" w:rsidRDefault="000B22BE" w:rsidP="000B22BE">
      <w:pPr>
        <w:pStyle w:val="Title"/>
        <w:spacing w:line="360" w:lineRule="auto"/>
        <w:rPr>
          <w:rFonts w:ascii="Arial" w:hAnsi="Arial" w:cs="Arial"/>
          <w:color w:val="000000" w:themeColor="text1"/>
          <w:sz w:val="24"/>
          <w:szCs w:val="24"/>
        </w:rPr>
      </w:pPr>
    </w:p>
    <w:p w14:paraId="1957A2D9" w14:textId="77777777" w:rsidR="000B22BE" w:rsidRDefault="000B22BE" w:rsidP="000B22BE">
      <w:pPr>
        <w:pStyle w:val="Title"/>
        <w:spacing w:line="360" w:lineRule="auto"/>
        <w:rPr>
          <w:rFonts w:ascii="Arial" w:hAnsi="Arial" w:cs="Arial"/>
          <w:color w:val="000000" w:themeColor="text1"/>
          <w:sz w:val="24"/>
          <w:szCs w:val="24"/>
        </w:rPr>
      </w:pPr>
    </w:p>
    <w:p w14:paraId="273B5281" w14:textId="77777777" w:rsidR="000B22BE" w:rsidRDefault="000B22BE" w:rsidP="000B22BE">
      <w:pPr>
        <w:pStyle w:val="Title"/>
        <w:spacing w:line="360" w:lineRule="auto"/>
        <w:rPr>
          <w:rFonts w:ascii="Arial" w:hAnsi="Arial" w:cs="Arial"/>
          <w:color w:val="000000" w:themeColor="text1"/>
          <w:sz w:val="24"/>
          <w:szCs w:val="24"/>
        </w:rPr>
      </w:pPr>
    </w:p>
    <w:p w14:paraId="7E96FEF0" w14:textId="77777777" w:rsidR="000B22BE" w:rsidRDefault="000B22BE" w:rsidP="000B22BE">
      <w:pPr>
        <w:pStyle w:val="Title"/>
        <w:spacing w:line="360" w:lineRule="auto"/>
        <w:rPr>
          <w:rFonts w:ascii="Arial" w:hAnsi="Arial" w:cs="Arial"/>
          <w:color w:val="000000" w:themeColor="text1"/>
          <w:sz w:val="24"/>
          <w:szCs w:val="24"/>
        </w:rPr>
      </w:pPr>
    </w:p>
    <w:p w14:paraId="1F0DA963" w14:textId="77777777" w:rsidR="000B22BE" w:rsidRDefault="000B22BE" w:rsidP="000B22BE">
      <w:pPr>
        <w:pStyle w:val="Title"/>
        <w:spacing w:line="360" w:lineRule="auto"/>
        <w:rPr>
          <w:rFonts w:ascii="Arial" w:hAnsi="Arial" w:cs="Arial"/>
          <w:color w:val="000000" w:themeColor="text1"/>
          <w:sz w:val="24"/>
          <w:szCs w:val="24"/>
        </w:rPr>
      </w:pPr>
    </w:p>
    <w:p w14:paraId="1BD04CC0" w14:textId="77777777" w:rsidR="000B22BE" w:rsidRDefault="000B22BE" w:rsidP="000B22BE">
      <w:pPr>
        <w:pStyle w:val="Title"/>
        <w:spacing w:line="360" w:lineRule="auto"/>
        <w:rPr>
          <w:rFonts w:ascii="Arial" w:hAnsi="Arial" w:cs="Arial"/>
          <w:color w:val="000000" w:themeColor="text1"/>
          <w:sz w:val="24"/>
          <w:szCs w:val="24"/>
        </w:rPr>
      </w:pPr>
    </w:p>
    <w:p w14:paraId="438B3871" w14:textId="77777777" w:rsidR="007D36ED" w:rsidRDefault="007D36ED" w:rsidP="000B22BE">
      <w:pPr>
        <w:pStyle w:val="Title"/>
        <w:spacing w:line="360" w:lineRule="auto"/>
        <w:rPr>
          <w:rFonts w:ascii="Arial" w:hAnsi="Arial" w:cs="Arial"/>
          <w:color w:val="000000" w:themeColor="text1"/>
          <w:sz w:val="24"/>
          <w:szCs w:val="24"/>
        </w:rPr>
      </w:pPr>
    </w:p>
    <w:p w14:paraId="1CCFC236" w14:textId="514AF44E" w:rsidR="00664619" w:rsidRPr="000B22BE" w:rsidRDefault="00664619" w:rsidP="000B22BE">
      <w:pPr>
        <w:pStyle w:val="Title"/>
        <w:spacing w:line="360" w:lineRule="auto"/>
        <w:rPr>
          <w:rFonts w:ascii="Arial" w:hAnsi="Arial" w:cs="Arial"/>
          <w:color w:val="000000" w:themeColor="text1"/>
          <w:sz w:val="24"/>
          <w:szCs w:val="24"/>
        </w:rPr>
      </w:pPr>
      <w:r w:rsidRPr="000B22BE">
        <w:rPr>
          <w:rFonts w:ascii="Arial" w:hAnsi="Arial" w:cs="Arial"/>
          <w:color w:val="000000" w:themeColor="text1"/>
          <w:sz w:val="24"/>
          <w:szCs w:val="24"/>
        </w:rPr>
        <w:lastRenderedPageBreak/>
        <w:t>NHS Staff Burnout and Workforce Shortages: A Strategic Management Approach</w:t>
      </w:r>
    </w:p>
    <w:p w14:paraId="20EEA282" w14:textId="77777777" w:rsidR="00BB5763" w:rsidRPr="000B22BE" w:rsidRDefault="00BB5763" w:rsidP="000B22BE">
      <w:pPr>
        <w:spacing w:line="360" w:lineRule="auto"/>
        <w:rPr>
          <w:rFonts w:ascii="Arial" w:hAnsi="Arial" w:cs="Arial"/>
          <w:color w:val="000000" w:themeColor="text1"/>
        </w:rPr>
      </w:pPr>
    </w:p>
    <w:p w14:paraId="17B4D54D" w14:textId="77777777" w:rsidR="00664619" w:rsidRPr="000B22BE" w:rsidRDefault="00664619" w:rsidP="000B22BE">
      <w:pPr>
        <w:pStyle w:val="Heading1"/>
        <w:spacing w:line="360" w:lineRule="auto"/>
        <w:rPr>
          <w:rFonts w:ascii="Arial" w:hAnsi="Arial" w:cs="Arial"/>
          <w:color w:val="000000" w:themeColor="text1"/>
          <w:sz w:val="24"/>
          <w:szCs w:val="24"/>
        </w:rPr>
      </w:pPr>
      <w:bookmarkStart w:id="0" w:name="_Toc228784894"/>
      <w:r w:rsidRPr="000B22BE">
        <w:rPr>
          <w:rFonts w:ascii="Arial" w:hAnsi="Arial" w:cs="Arial"/>
          <w:color w:val="000000" w:themeColor="text1"/>
          <w:sz w:val="24"/>
          <w:szCs w:val="24"/>
        </w:rPr>
        <w:t>1. Introduction</w:t>
      </w:r>
      <w:bookmarkEnd w:id="0"/>
    </w:p>
    <w:p w14:paraId="6C0A2682" w14:textId="721A7E54" w:rsidR="00356337" w:rsidRPr="000B22BE" w:rsidRDefault="00664619" w:rsidP="000B22BE">
      <w:pPr>
        <w:spacing w:line="360" w:lineRule="auto"/>
        <w:rPr>
          <w:rFonts w:ascii="Arial" w:hAnsi="Arial" w:cs="Arial"/>
          <w:color w:val="000000" w:themeColor="text1"/>
        </w:rPr>
      </w:pPr>
      <w:r w:rsidRPr="000B22BE">
        <w:rPr>
          <w:rFonts w:ascii="Arial" w:hAnsi="Arial" w:cs="Arial"/>
          <w:color w:val="000000" w:themeColor="text1"/>
        </w:rPr>
        <w:t>The National Health Service (NHS) is a fundamental institution in the United Kingdom, responsible for delivering accessible, high-quality healthcare to a growing and increasingly complex population (Bennett, 2023). Despite its critical role, the NHS faces significant structural and operational pressures, particularly workforce shortages and staff burnout. These challenges have intensified in recent years due to rising service demand, demographic change, and the long-term impacts of the COVID-19 pandemic</w:t>
      </w:r>
      <w:r w:rsidR="00356337" w:rsidRPr="000B22BE">
        <w:rPr>
          <w:rFonts w:ascii="Arial" w:hAnsi="Arial" w:cs="Arial"/>
          <w:color w:val="000000" w:themeColor="text1"/>
        </w:rPr>
        <w:t xml:space="preserve"> (Vacek et al., 2023)</w:t>
      </w:r>
      <w:r w:rsidRPr="000B22BE">
        <w:rPr>
          <w:rFonts w:ascii="Arial" w:hAnsi="Arial" w:cs="Arial"/>
          <w:color w:val="000000" w:themeColor="text1"/>
        </w:rPr>
        <w:t>.</w:t>
      </w:r>
      <w:r w:rsidR="00356337" w:rsidRPr="000B22BE">
        <w:rPr>
          <w:rFonts w:ascii="Arial" w:hAnsi="Arial" w:cs="Arial"/>
          <w:color w:val="000000" w:themeColor="text1"/>
        </w:rPr>
        <w:t xml:space="preserve"> Burnout and a lack of workers are not isolated human resource problems; rather, they are strategic obstacles that have an immediate impact on patient safety, service efficacy, and organisational sustainability. Effective workforce management is important for sustaining safe and effective healthcare delivery, as </w:t>
      </w:r>
      <w:proofErr w:type="spellStart"/>
      <w:r w:rsidR="00356337" w:rsidRPr="000B22BE">
        <w:rPr>
          <w:rFonts w:ascii="Arial" w:hAnsi="Arial" w:cs="Arial"/>
          <w:color w:val="000000" w:themeColor="text1"/>
        </w:rPr>
        <w:t>Parbery</w:t>
      </w:r>
      <w:proofErr w:type="spellEnd"/>
      <w:r w:rsidR="00356337" w:rsidRPr="000B22BE">
        <w:rPr>
          <w:rFonts w:ascii="Arial" w:hAnsi="Arial" w:cs="Arial"/>
          <w:color w:val="000000" w:themeColor="text1"/>
        </w:rPr>
        <w:t>-Clark et al., (2024)</w:t>
      </w:r>
      <w:r w:rsidR="006E31E5" w:rsidRPr="000B22BE">
        <w:rPr>
          <w:rFonts w:ascii="Arial" w:hAnsi="Arial" w:cs="Arial"/>
          <w:color w:val="000000" w:themeColor="text1"/>
        </w:rPr>
        <w:t xml:space="preserve"> </w:t>
      </w:r>
      <w:r w:rsidR="00356337" w:rsidRPr="000B22BE">
        <w:rPr>
          <w:rFonts w:ascii="Arial" w:hAnsi="Arial" w:cs="Arial"/>
          <w:color w:val="000000" w:themeColor="text1"/>
        </w:rPr>
        <w:t xml:space="preserve">argue, yet ongoing staffing shortages continue to compromise system performance. </w:t>
      </w:r>
      <w:r w:rsidR="006E31E5" w:rsidRPr="000B22BE">
        <w:rPr>
          <w:rFonts w:ascii="Arial" w:hAnsi="Arial" w:cs="Arial"/>
          <w:color w:val="000000" w:themeColor="text1"/>
        </w:rPr>
        <w:t>Comparably</w:t>
      </w:r>
      <w:r w:rsidR="00356337" w:rsidRPr="000B22BE">
        <w:rPr>
          <w:rFonts w:ascii="Arial" w:hAnsi="Arial" w:cs="Arial"/>
          <w:color w:val="000000" w:themeColor="text1"/>
        </w:rPr>
        <w:t>, Khan (2023) emphasises that rising levels of stress and burnout at work are a major factor in staff resignations in healthcare settings.</w:t>
      </w:r>
    </w:p>
    <w:p w14:paraId="25E9AE52" w14:textId="10B5FCDD" w:rsidR="00664619" w:rsidRPr="000B22BE" w:rsidRDefault="007F2E11" w:rsidP="000B22BE">
      <w:pPr>
        <w:spacing w:line="360" w:lineRule="auto"/>
        <w:rPr>
          <w:rFonts w:ascii="Arial" w:hAnsi="Arial" w:cs="Arial"/>
          <w:color w:val="000000" w:themeColor="text1"/>
        </w:rPr>
      </w:pPr>
      <w:r w:rsidRPr="000B22BE">
        <w:rPr>
          <w:rFonts w:ascii="Arial" w:hAnsi="Arial" w:cs="Arial"/>
          <w:color w:val="000000" w:themeColor="text1"/>
        </w:rPr>
        <w:t>This report evaluates workforce shortages and staff burnout as a contemporary strategic challenge within healthcare management. It develops a strategic response underpinned by modern people management theories and critically evaluates the effectiveness of these strategies in improving service delivery and long-term sustainability within the NHS.</w:t>
      </w:r>
    </w:p>
    <w:p w14:paraId="4D709909" w14:textId="77777777" w:rsidR="004549F2" w:rsidRPr="000B22BE" w:rsidRDefault="004549F2" w:rsidP="000B22BE">
      <w:pPr>
        <w:spacing w:line="360" w:lineRule="auto"/>
        <w:rPr>
          <w:rFonts w:ascii="Arial" w:hAnsi="Arial" w:cs="Arial"/>
          <w:b/>
          <w:bCs/>
          <w:color w:val="000000" w:themeColor="text1"/>
        </w:rPr>
      </w:pPr>
    </w:p>
    <w:p w14:paraId="58CCB6DD" w14:textId="5CCA06B8" w:rsidR="007F2E11" w:rsidRPr="000B22BE" w:rsidRDefault="007F2E11" w:rsidP="000B22BE">
      <w:pPr>
        <w:pStyle w:val="Heading1"/>
        <w:spacing w:line="360" w:lineRule="auto"/>
        <w:rPr>
          <w:rFonts w:ascii="Arial" w:hAnsi="Arial" w:cs="Arial"/>
          <w:color w:val="000000" w:themeColor="text1"/>
          <w:sz w:val="24"/>
          <w:szCs w:val="24"/>
        </w:rPr>
      </w:pPr>
      <w:bookmarkStart w:id="1" w:name="_Toc228784895"/>
      <w:r w:rsidRPr="000B22BE">
        <w:rPr>
          <w:rFonts w:ascii="Arial" w:hAnsi="Arial" w:cs="Arial"/>
          <w:color w:val="000000" w:themeColor="text1"/>
          <w:sz w:val="24"/>
          <w:szCs w:val="24"/>
        </w:rPr>
        <w:t>2. Contemporary Challenge: Workforce Shortages and Staff Burnout</w:t>
      </w:r>
      <w:bookmarkEnd w:id="1"/>
    </w:p>
    <w:p w14:paraId="2437B1EF" w14:textId="26D64579" w:rsidR="005E00C9" w:rsidRPr="000B22BE" w:rsidRDefault="005E00C9" w:rsidP="000B22BE">
      <w:pPr>
        <w:spacing w:line="360" w:lineRule="auto"/>
        <w:rPr>
          <w:rFonts w:ascii="Arial" w:hAnsi="Arial" w:cs="Arial"/>
          <w:color w:val="000000" w:themeColor="text1"/>
        </w:rPr>
      </w:pPr>
      <w:r w:rsidRPr="000B22BE">
        <w:rPr>
          <w:rFonts w:ascii="Arial" w:hAnsi="Arial" w:cs="Arial"/>
          <w:color w:val="000000" w:themeColor="text1"/>
        </w:rPr>
        <w:t>Workforce shortages refer to the gap between the demand for healthcare services and the number of qualified professionals available to deliver care (</w:t>
      </w:r>
      <w:proofErr w:type="spellStart"/>
      <w:r w:rsidRPr="000B22BE">
        <w:rPr>
          <w:rFonts w:ascii="Arial" w:hAnsi="Arial" w:cs="Arial"/>
          <w:color w:val="000000" w:themeColor="text1"/>
        </w:rPr>
        <w:t>Džakula</w:t>
      </w:r>
      <w:proofErr w:type="spellEnd"/>
      <w:r w:rsidRPr="000B22BE">
        <w:rPr>
          <w:rFonts w:ascii="Arial" w:hAnsi="Arial" w:cs="Arial"/>
          <w:color w:val="000000" w:themeColor="text1"/>
        </w:rPr>
        <w:t xml:space="preserve">, </w:t>
      </w:r>
      <w:proofErr w:type="spellStart"/>
      <w:r w:rsidRPr="000B22BE">
        <w:rPr>
          <w:rFonts w:ascii="Arial" w:hAnsi="Arial" w:cs="Arial"/>
          <w:color w:val="000000" w:themeColor="text1"/>
        </w:rPr>
        <w:t>Relić</w:t>
      </w:r>
      <w:proofErr w:type="spellEnd"/>
      <w:r w:rsidRPr="000B22BE">
        <w:rPr>
          <w:rFonts w:ascii="Arial" w:hAnsi="Arial" w:cs="Arial"/>
          <w:color w:val="000000" w:themeColor="text1"/>
        </w:rPr>
        <w:t xml:space="preserve"> and Michelutti, 2022). This means there are not enough trained doctors, nurses, and other healthcare staff to meet the needs of patients, which places additional pressure on existing services. As a result, healthcare systems can become stretched and less able to respond effectively to rising patient demand. Staff burnout is a state of </w:t>
      </w:r>
      <w:r w:rsidRPr="000B22BE">
        <w:rPr>
          <w:rFonts w:ascii="Arial" w:hAnsi="Arial" w:cs="Arial"/>
          <w:color w:val="000000" w:themeColor="text1"/>
        </w:rPr>
        <w:lastRenderedPageBreak/>
        <w:t>emotional and physical exhaustion caused by long-term workplace stress, leading to reduced motivation, performance, and well-being (</w:t>
      </w:r>
      <w:proofErr w:type="spellStart"/>
      <w:r w:rsidRPr="000B22BE">
        <w:rPr>
          <w:rFonts w:ascii="Arial" w:hAnsi="Arial" w:cs="Arial"/>
          <w:color w:val="000000" w:themeColor="text1"/>
        </w:rPr>
        <w:t>Sideri</w:t>
      </w:r>
      <w:proofErr w:type="spellEnd"/>
      <w:r w:rsidRPr="000B22BE">
        <w:rPr>
          <w:rFonts w:ascii="Arial" w:hAnsi="Arial" w:cs="Arial"/>
          <w:color w:val="000000" w:themeColor="text1"/>
        </w:rPr>
        <w:t xml:space="preserve"> et al., 2025)</w:t>
      </w:r>
      <w:r w:rsidR="006E31E5" w:rsidRPr="000B22BE">
        <w:rPr>
          <w:rFonts w:ascii="Arial" w:hAnsi="Arial" w:cs="Arial"/>
          <w:color w:val="000000" w:themeColor="text1"/>
        </w:rPr>
        <w:t>.</w:t>
      </w:r>
    </w:p>
    <w:p w14:paraId="07B1E7A2" w14:textId="60696F4A" w:rsidR="005E00C9" w:rsidRPr="000B22BE" w:rsidRDefault="005E00C9" w:rsidP="000B22BE">
      <w:pPr>
        <w:spacing w:line="360" w:lineRule="auto"/>
        <w:rPr>
          <w:rFonts w:ascii="Arial" w:hAnsi="Arial" w:cs="Arial"/>
          <w:color w:val="000000" w:themeColor="text1"/>
        </w:rPr>
      </w:pPr>
      <w:r w:rsidRPr="000B22BE">
        <w:rPr>
          <w:rFonts w:ascii="Arial" w:hAnsi="Arial" w:cs="Arial"/>
          <w:color w:val="000000" w:themeColor="text1"/>
        </w:rPr>
        <w:t xml:space="preserve">Within the </w:t>
      </w:r>
      <w:r w:rsidR="006E31E5" w:rsidRPr="000B22BE">
        <w:rPr>
          <w:rFonts w:ascii="Arial" w:hAnsi="Arial" w:cs="Arial"/>
          <w:color w:val="000000" w:themeColor="text1"/>
        </w:rPr>
        <w:t>NHS</w:t>
      </w:r>
      <w:r w:rsidRPr="000B22BE">
        <w:rPr>
          <w:rFonts w:ascii="Arial" w:hAnsi="Arial" w:cs="Arial"/>
          <w:color w:val="000000" w:themeColor="text1"/>
        </w:rPr>
        <w:t>, these issues are closely linked</w:t>
      </w:r>
      <w:r w:rsidR="00CF41F5" w:rsidRPr="000B22BE">
        <w:rPr>
          <w:rFonts w:ascii="Arial" w:hAnsi="Arial" w:cs="Arial"/>
          <w:color w:val="000000" w:themeColor="text1"/>
        </w:rPr>
        <w:t xml:space="preserve"> as Deakin</w:t>
      </w:r>
      <w:r w:rsidR="006E31E5" w:rsidRPr="000B22BE">
        <w:rPr>
          <w:rFonts w:ascii="Arial" w:hAnsi="Arial" w:cs="Arial"/>
          <w:color w:val="000000" w:themeColor="text1"/>
        </w:rPr>
        <w:t xml:space="preserve"> (</w:t>
      </w:r>
      <w:r w:rsidRPr="000B22BE">
        <w:rPr>
          <w:rFonts w:ascii="Arial" w:hAnsi="Arial" w:cs="Arial"/>
          <w:color w:val="000000" w:themeColor="text1"/>
        </w:rPr>
        <w:t>2022)</w:t>
      </w:r>
      <w:r w:rsidR="006E31E5" w:rsidRPr="000B22BE">
        <w:rPr>
          <w:rFonts w:ascii="Arial" w:hAnsi="Arial" w:cs="Arial"/>
          <w:color w:val="000000" w:themeColor="text1"/>
        </w:rPr>
        <w:t xml:space="preserve"> </w:t>
      </w:r>
      <w:r w:rsidR="00CF41F5" w:rsidRPr="000B22BE">
        <w:rPr>
          <w:rFonts w:ascii="Arial" w:hAnsi="Arial" w:cs="Arial"/>
          <w:color w:val="000000" w:themeColor="text1"/>
        </w:rPr>
        <w:t>argues</w:t>
      </w:r>
      <w:r w:rsidRPr="000B22BE">
        <w:rPr>
          <w:rFonts w:ascii="Arial" w:hAnsi="Arial" w:cs="Arial"/>
          <w:color w:val="000000" w:themeColor="text1"/>
        </w:rPr>
        <w:t>. When staffing levels are low, existing employees face higher workloads and increased pressure, which raises the risk of burnout. In turn, when staff experience burnout, they may take sick leave, reduce their working hours, or leave their jobs entirely, thereby worsening workforce shortages. This creates a continuous cycle that negatively affects service delivery and patient care.</w:t>
      </w:r>
    </w:p>
    <w:p w14:paraId="11CC118D" w14:textId="77777777" w:rsidR="004549F2" w:rsidRPr="000B22BE" w:rsidRDefault="004549F2" w:rsidP="000B22BE">
      <w:pPr>
        <w:spacing w:line="360" w:lineRule="auto"/>
        <w:rPr>
          <w:rFonts w:ascii="Arial" w:hAnsi="Arial" w:cs="Arial"/>
          <w:b/>
          <w:bCs/>
          <w:color w:val="000000" w:themeColor="text1"/>
        </w:rPr>
      </w:pPr>
    </w:p>
    <w:p w14:paraId="72763F16" w14:textId="0A023586" w:rsidR="005E00C9" w:rsidRPr="000B22BE" w:rsidRDefault="005E00C9" w:rsidP="000B22BE">
      <w:pPr>
        <w:pStyle w:val="Heading2"/>
        <w:spacing w:line="360" w:lineRule="auto"/>
        <w:rPr>
          <w:rFonts w:ascii="Arial" w:hAnsi="Arial" w:cs="Arial"/>
          <w:color w:val="000000" w:themeColor="text1"/>
          <w:sz w:val="24"/>
          <w:szCs w:val="24"/>
        </w:rPr>
      </w:pPr>
      <w:bookmarkStart w:id="2" w:name="_Toc228784896"/>
      <w:r w:rsidRPr="000B22BE">
        <w:rPr>
          <w:rFonts w:ascii="Arial" w:hAnsi="Arial" w:cs="Arial"/>
          <w:color w:val="000000" w:themeColor="text1"/>
          <w:sz w:val="24"/>
          <w:szCs w:val="24"/>
        </w:rPr>
        <w:t>2.1 Causes of Workforce Shortages</w:t>
      </w:r>
      <w:bookmarkEnd w:id="2"/>
    </w:p>
    <w:p w14:paraId="01426DD4" w14:textId="77777777" w:rsidR="005E00C9" w:rsidRPr="000B22BE" w:rsidRDefault="005E00C9" w:rsidP="000B22BE">
      <w:pPr>
        <w:spacing w:line="360" w:lineRule="auto"/>
        <w:rPr>
          <w:rFonts w:ascii="Arial" w:hAnsi="Arial" w:cs="Arial"/>
          <w:color w:val="000000" w:themeColor="text1"/>
        </w:rPr>
      </w:pPr>
      <w:r w:rsidRPr="000B22BE">
        <w:rPr>
          <w:rFonts w:ascii="Arial" w:hAnsi="Arial" w:cs="Arial"/>
          <w:color w:val="000000" w:themeColor="text1"/>
        </w:rPr>
        <w:t>Several key factors contribute to workforce shortages:</w:t>
      </w:r>
    </w:p>
    <w:p w14:paraId="03315E07" w14:textId="5DB9C4E9" w:rsidR="005E00C9" w:rsidRPr="000B22BE" w:rsidRDefault="00EA72F5" w:rsidP="000B22BE">
      <w:pPr>
        <w:pStyle w:val="ListParagraph"/>
        <w:numPr>
          <w:ilvl w:val="0"/>
          <w:numId w:val="1"/>
        </w:numPr>
        <w:spacing w:line="360" w:lineRule="auto"/>
        <w:rPr>
          <w:rFonts w:ascii="Arial" w:hAnsi="Arial" w:cs="Arial"/>
          <w:color w:val="000000" w:themeColor="text1"/>
        </w:rPr>
      </w:pPr>
      <w:r w:rsidRPr="000B22BE">
        <w:rPr>
          <w:rFonts w:ascii="Arial" w:hAnsi="Arial" w:cs="Arial"/>
          <w:color w:val="000000" w:themeColor="text1"/>
        </w:rPr>
        <w:t>T</w:t>
      </w:r>
      <w:r w:rsidR="005E00C9" w:rsidRPr="000B22BE">
        <w:rPr>
          <w:rFonts w:ascii="Arial" w:hAnsi="Arial" w:cs="Arial"/>
          <w:color w:val="000000" w:themeColor="text1"/>
        </w:rPr>
        <w:t xml:space="preserve">he ageing population, which has increased demand for healthcare services due to higher prevalence of chronic and complex conditions </w:t>
      </w:r>
      <w:r w:rsidR="00021FBA" w:rsidRPr="000B22BE">
        <w:rPr>
          <w:rFonts w:ascii="Arial" w:hAnsi="Arial" w:cs="Arial"/>
          <w:color w:val="000000" w:themeColor="text1"/>
        </w:rPr>
        <w:t xml:space="preserve">(Andah et al., 2018). </w:t>
      </w:r>
      <w:r w:rsidR="005E00C9" w:rsidRPr="000B22BE">
        <w:rPr>
          <w:rFonts w:ascii="Arial" w:hAnsi="Arial" w:cs="Arial"/>
          <w:color w:val="000000" w:themeColor="text1"/>
        </w:rPr>
        <w:t>This places sustained pressure on already stretched services.</w:t>
      </w:r>
    </w:p>
    <w:p w14:paraId="17F0D949" w14:textId="1A367A64" w:rsidR="005E00C9" w:rsidRPr="000B22BE" w:rsidRDefault="00EA72F5" w:rsidP="000B22BE">
      <w:pPr>
        <w:pStyle w:val="ListParagraph"/>
        <w:numPr>
          <w:ilvl w:val="0"/>
          <w:numId w:val="1"/>
        </w:numPr>
        <w:spacing w:line="360" w:lineRule="auto"/>
        <w:rPr>
          <w:rFonts w:ascii="Arial" w:hAnsi="Arial" w:cs="Arial"/>
          <w:color w:val="000000" w:themeColor="text1"/>
        </w:rPr>
      </w:pPr>
      <w:r w:rsidRPr="000B22BE">
        <w:rPr>
          <w:rFonts w:ascii="Arial" w:hAnsi="Arial" w:cs="Arial"/>
          <w:color w:val="000000" w:themeColor="text1"/>
        </w:rPr>
        <w:t>S</w:t>
      </w:r>
      <w:r w:rsidR="005E00C9" w:rsidRPr="000B22BE">
        <w:rPr>
          <w:rFonts w:ascii="Arial" w:hAnsi="Arial" w:cs="Arial"/>
          <w:color w:val="000000" w:themeColor="text1"/>
        </w:rPr>
        <w:t xml:space="preserve">taff attrition remains a significant issue, with experienced professionals leaving due to burnout, retirement, or dissatisfaction with working conditions </w:t>
      </w:r>
      <w:r w:rsidR="00E87ED7" w:rsidRPr="000B22BE">
        <w:rPr>
          <w:rFonts w:ascii="Arial" w:hAnsi="Arial" w:cs="Arial"/>
          <w:color w:val="000000" w:themeColor="text1"/>
        </w:rPr>
        <w:t>(Woolf et al., 2023)</w:t>
      </w:r>
      <w:r w:rsidR="005E00C9" w:rsidRPr="000B22BE">
        <w:rPr>
          <w:rFonts w:ascii="Arial" w:hAnsi="Arial" w:cs="Arial"/>
          <w:color w:val="000000" w:themeColor="text1"/>
        </w:rPr>
        <w:t>. This creates gaps that are difficult to fill quickly due to the time required to train healthcare professionals.</w:t>
      </w:r>
    </w:p>
    <w:p w14:paraId="0DCC757B" w14:textId="64EC17E9" w:rsidR="005E00C9" w:rsidRPr="000B22BE" w:rsidRDefault="00EA72F5" w:rsidP="000B22BE">
      <w:pPr>
        <w:pStyle w:val="ListParagraph"/>
        <w:numPr>
          <w:ilvl w:val="0"/>
          <w:numId w:val="1"/>
        </w:numPr>
        <w:spacing w:line="360" w:lineRule="auto"/>
        <w:rPr>
          <w:rFonts w:ascii="Arial" w:hAnsi="Arial" w:cs="Arial"/>
          <w:color w:val="000000" w:themeColor="text1"/>
        </w:rPr>
      </w:pPr>
      <w:r w:rsidRPr="000B22BE">
        <w:rPr>
          <w:rFonts w:ascii="Arial" w:hAnsi="Arial" w:cs="Arial"/>
          <w:color w:val="000000" w:themeColor="text1"/>
        </w:rPr>
        <w:t>R</w:t>
      </w:r>
      <w:r w:rsidR="005E00C9" w:rsidRPr="000B22BE">
        <w:rPr>
          <w:rFonts w:ascii="Arial" w:hAnsi="Arial" w:cs="Arial"/>
          <w:color w:val="000000" w:themeColor="text1"/>
        </w:rPr>
        <w:t>ecruitment and training challenges limit the speed at which workforce shortages can be addressed. As Johnson and Ahluwalia (2025) note, the development of qualified healthcare professionals requires long-term investment in education and practical training.</w:t>
      </w:r>
    </w:p>
    <w:p w14:paraId="77C39D63" w14:textId="06448E18" w:rsidR="005E00C9" w:rsidRPr="000B22BE" w:rsidRDefault="00EA72F5" w:rsidP="000B22BE">
      <w:pPr>
        <w:pStyle w:val="ListParagraph"/>
        <w:numPr>
          <w:ilvl w:val="0"/>
          <w:numId w:val="1"/>
        </w:numPr>
        <w:spacing w:line="360" w:lineRule="auto"/>
        <w:rPr>
          <w:rFonts w:ascii="Arial" w:hAnsi="Arial" w:cs="Arial"/>
          <w:color w:val="000000" w:themeColor="text1"/>
        </w:rPr>
      </w:pPr>
      <w:r w:rsidRPr="000B22BE">
        <w:rPr>
          <w:rFonts w:ascii="Arial" w:hAnsi="Arial" w:cs="Arial"/>
          <w:color w:val="000000" w:themeColor="text1"/>
        </w:rPr>
        <w:t>T</w:t>
      </w:r>
      <w:r w:rsidR="005E00C9" w:rsidRPr="000B22BE">
        <w:rPr>
          <w:rFonts w:ascii="Arial" w:hAnsi="Arial" w:cs="Arial"/>
          <w:color w:val="000000" w:themeColor="text1"/>
        </w:rPr>
        <w:t xml:space="preserve">he COVID-19 pandemic significantly worsened workforce pressures, increasing workload intensity, emotional stress, and accelerating staff exits </w:t>
      </w:r>
      <w:r w:rsidR="00E87ED7" w:rsidRPr="000B22BE">
        <w:rPr>
          <w:rFonts w:ascii="Arial" w:hAnsi="Arial" w:cs="Arial"/>
          <w:color w:val="000000" w:themeColor="text1"/>
        </w:rPr>
        <w:t>(McTaggart et al., 2025)</w:t>
      </w:r>
      <w:r w:rsidR="00CF41F5" w:rsidRPr="000B22BE">
        <w:rPr>
          <w:rFonts w:ascii="Arial" w:hAnsi="Arial" w:cs="Arial"/>
          <w:color w:val="000000" w:themeColor="text1"/>
        </w:rPr>
        <w:t>.</w:t>
      </w:r>
    </w:p>
    <w:p w14:paraId="2679D787" w14:textId="2F0B9F38" w:rsidR="005E00C9" w:rsidRPr="000B22BE" w:rsidRDefault="005E00C9" w:rsidP="000B22BE">
      <w:pPr>
        <w:spacing w:line="360" w:lineRule="auto"/>
        <w:rPr>
          <w:rFonts w:ascii="Arial" w:hAnsi="Arial" w:cs="Arial"/>
          <w:color w:val="000000" w:themeColor="text1"/>
        </w:rPr>
      </w:pPr>
      <w:r w:rsidRPr="000B22BE">
        <w:rPr>
          <w:rFonts w:ascii="Arial" w:hAnsi="Arial" w:cs="Arial"/>
          <w:color w:val="000000" w:themeColor="text1"/>
        </w:rPr>
        <w:t>Data from NHS England (2023) highlights the severity of the issue, reporting persistent nursing vacancies and ongoing staffing gaps that continue to impact service delivery.</w:t>
      </w:r>
    </w:p>
    <w:p w14:paraId="4782A887" w14:textId="77777777" w:rsidR="00664619" w:rsidRPr="000B22BE" w:rsidRDefault="00664619" w:rsidP="000B22BE">
      <w:pPr>
        <w:pStyle w:val="Heading2"/>
        <w:spacing w:line="360" w:lineRule="auto"/>
        <w:rPr>
          <w:rFonts w:ascii="Arial" w:hAnsi="Arial" w:cs="Arial"/>
          <w:color w:val="000000" w:themeColor="text1"/>
          <w:sz w:val="24"/>
          <w:szCs w:val="24"/>
        </w:rPr>
      </w:pPr>
    </w:p>
    <w:p w14:paraId="46F039BF" w14:textId="77777777" w:rsidR="00E87ED7" w:rsidRPr="000B22BE" w:rsidRDefault="00E87ED7" w:rsidP="000B22BE">
      <w:pPr>
        <w:pStyle w:val="Heading2"/>
        <w:spacing w:line="360" w:lineRule="auto"/>
        <w:rPr>
          <w:rFonts w:ascii="Arial" w:hAnsi="Arial" w:cs="Arial"/>
          <w:color w:val="000000" w:themeColor="text1"/>
          <w:sz w:val="24"/>
          <w:szCs w:val="24"/>
        </w:rPr>
      </w:pPr>
      <w:bookmarkStart w:id="3" w:name="_Toc228784897"/>
      <w:r w:rsidRPr="000B22BE">
        <w:rPr>
          <w:rFonts w:ascii="Arial" w:hAnsi="Arial" w:cs="Arial"/>
          <w:color w:val="000000" w:themeColor="text1"/>
          <w:sz w:val="24"/>
          <w:szCs w:val="24"/>
        </w:rPr>
        <w:t>2.2 Impact on Service Effectiveness</w:t>
      </w:r>
      <w:bookmarkEnd w:id="3"/>
    </w:p>
    <w:p w14:paraId="08E43F8A" w14:textId="77777777" w:rsidR="00E87ED7" w:rsidRPr="000B22BE" w:rsidRDefault="00E87ED7" w:rsidP="000B22BE">
      <w:pPr>
        <w:spacing w:line="360" w:lineRule="auto"/>
        <w:rPr>
          <w:rFonts w:ascii="Arial" w:hAnsi="Arial" w:cs="Arial"/>
          <w:color w:val="000000" w:themeColor="text1"/>
        </w:rPr>
      </w:pPr>
      <w:r w:rsidRPr="000B22BE">
        <w:rPr>
          <w:rFonts w:ascii="Arial" w:hAnsi="Arial" w:cs="Arial"/>
          <w:color w:val="000000" w:themeColor="text1"/>
        </w:rPr>
        <w:t>Workforce shortages and burnout have wide-ranging implications for healthcare performance:</w:t>
      </w:r>
    </w:p>
    <w:p w14:paraId="7ECF4A2B" w14:textId="3AFBA25B" w:rsidR="00E87ED7" w:rsidRPr="000B22BE" w:rsidRDefault="00EA72F5" w:rsidP="000B22BE">
      <w:pPr>
        <w:pStyle w:val="ListParagraph"/>
        <w:numPr>
          <w:ilvl w:val="0"/>
          <w:numId w:val="2"/>
        </w:numPr>
        <w:spacing w:line="360" w:lineRule="auto"/>
        <w:rPr>
          <w:rFonts w:ascii="Arial" w:hAnsi="Arial" w:cs="Arial"/>
          <w:color w:val="000000" w:themeColor="text1"/>
        </w:rPr>
      </w:pPr>
      <w:r w:rsidRPr="000B22BE">
        <w:rPr>
          <w:rFonts w:ascii="Arial" w:hAnsi="Arial" w:cs="Arial"/>
          <w:color w:val="000000" w:themeColor="text1"/>
        </w:rPr>
        <w:t>I</w:t>
      </w:r>
      <w:r w:rsidR="00E87ED7" w:rsidRPr="000B22BE">
        <w:rPr>
          <w:rFonts w:ascii="Arial" w:hAnsi="Arial" w:cs="Arial"/>
          <w:color w:val="000000" w:themeColor="text1"/>
        </w:rPr>
        <w:t>ncreased waiting times, as reduced staffing levels limit the system’s ability to meet patient demand efficiently (</w:t>
      </w:r>
      <w:proofErr w:type="spellStart"/>
      <w:r w:rsidR="00E87ED7" w:rsidRPr="000B22BE">
        <w:rPr>
          <w:rFonts w:ascii="Arial" w:hAnsi="Arial" w:cs="Arial"/>
          <w:color w:val="000000" w:themeColor="text1"/>
        </w:rPr>
        <w:t>Torjesen</w:t>
      </w:r>
      <w:proofErr w:type="spellEnd"/>
      <w:r w:rsidR="00E87ED7" w:rsidRPr="000B22BE">
        <w:rPr>
          <w:rFonts w:ascii="Arial" w:hAnsi="Arial" w:cs="Arial"/>
          <w:color w:val="000000" w:themeColor="text1"/>
        </w:rPr>
        <w:t>, 2019). This can lead to worsening health outcomes and increased pressure on emergency services.</w:t>
      </w:r>
    </w:p>
    <w:p w14:paraId="715D60B5" w14:textId="154F0535" w:rsidR="00E87ED7" w:rsidRPr="000B22BE" w:rsidRDefault="00EA72F5" w:rsidP="000B22BE">
      <w:pPr>
        <w:pStyle w:val="ListParagraph"/>
        <w:numPr>
          <w:ilvl w:val="0"/>
          <w:numId w:val="2"/>
        </w:numPr>
        <w:spacing w:line="360" w:lineRule="auto"/>
        <w:rPr>
          <w:rFonts w:ascii="Arial" w:hAnsi="Arial" w:cs="Arial"/>
          <w:color w:val="000000" w:themeColor="text1"/>
        </w:rPr>
      </w:pPr>
      <w:r w:rsidRPr="000B22BE">
        <w:rPr>
          <w:rFonts w:ascii="Arial" w:hAnsi="Arial" w:cs="Arial"/>
          <w:color w:val="000000" w:themeColor="text1"/>
        </w:rPr>
        <w:t>R</w:t>
      </w:r>
      <w:r w:rsidR="00E87ED7" w:rsidRPr="000B22BE">
        <w:rPr>
          <w:rFonts w:ascii="Arial" w:hAnsi="Arial" w:cs="Arial"/>
          <w:color w:val="000000" w:themeColor="text1"/>
        </w:rPr>
        <w:t>educed service efficiency occurs when staff are required to work beyond capacity, leading to fatigue and reduced productivity (Oliver, 2022).</w:t>
      </w:r>
    </w:p>
    <w:p w14:paraId="26540128" w14:textId="5068A556" w:rsidR="00E87ED7" w:rsidRPr="000B22BE" w:rsidRDefault="00EA72F5" w:rsidP="000B22BE">
      <w:pPr>
        <w:pStyle w:val="ListParagraph"/>
        <w:numPr>
          <w:ilvl w:val="0"/>
          <w:numId w:val="2"/>
        </w:numPr>
        <w:spacing w:line="360" w:lineRule="auto"/>
        <w:rPr>
          <w:rFonts w:ascii="Arial" w:hAnsi="Arial" w:cs="Arial"/>
          <w:color w:val="000000" w:themeColor="text1"/>
        </w:rPr>
      </w:pPr>
      <w:r w:rsidRPr="000B22BE">
        <w:rPr>
          <w:rFonts w:ascii="Arial" w:hAnsi="Arial" w:cs="Arial"/>
          <w:color w:val="000000" w:themeColor="text1"/>
        </w:rPr>
        <w:t>P</w:t>
      </w:r>
      <w:r w:rsidR="00E87ED7" w:rsidRPr="000B22BE">
        <w:rPr>
          <w:rFonts w:ascii="Arial" w:hAnsi="Arial" w:cs="Arial"/>
          <w:color w:val="000000" w:themeColor="text1"/>
        </w:rPr>
        <w:t>atient safety risks increase significantly, as overworked staff are more likely to make clinical errors (Nursing Standard, 2017).</w:t>
      </w:r>
    </w:p>
    <w:p w14:paraId="7FBD29AE" w14:textId="44584E77" w:rsidR="00E87ED7" w:rsidRPr="000B22BE" w:rsidRDefault="00EA72F5" w:rsidP="000B22BE">
      <w:pPr>
        <w:pStyle w:val="ListParagraph"/>
        <w:numPr>
          <w:ilvl w:val="0"/>
          <w:numId w:val="2"/>
        </w:numPr>
        <w:spacing w:line="360" w:lineRule="auto"/>
        <w:rPr>
          <w:rFonts w:ascii="Arial" w:hAnsi="Arial" w:cs="Arial"/>
          <w:color w:val="000000" w:themeColor="text1"/>
        </w:rPr>
      </w:pPr>
      <w:r w:rsidRPr="000B22BE">
        <w:rPr>
          <w:rFonts w:ascii="Arial" w:hAnsi="Arial" w:cs="Arial"/>
          <w:color w:val="000000" w:themeColor="text1"/>
        </w:rPr>
        <w:t>L</w:t>
      </w:r>
      <w:r w:rsidR="00E87ED7" w:rsidRPr="000B22BE">
        <w:rPr>
          <w:rFonts w:ascii="Arial" w:hAnsi="Arial" w:cs="Arial"/>
          <w:color w:val="000000" w:themeColor="text1"/>
        </w:rPr>
        <w:t>ower patient satisfaction and reduced continuity of care occur when services are disrupted or fragmented (Phillpotts et al., 2025).</w:t>
      </w:r>
    </w:p>
    <w:p w14:paraId="16F4E35C" w14:textId="459E2877" w:rsidR="00E87ED7" w:rsidRPr="000B22BE" w:rsidRDefault="00F97049" w:rsidP="000B22BE">
      <w:pPr>
        <w:spacing w:line="360" w:lineRule="auto"/>
        <w:rPr>
          <w:rFonts w:ascii="Arial" w:hAnsi="Arial" w:cs="Arial"/>
          <w:color w:val="000000" w:themeColor="text1"/>
        </w:rPr>
      </w:pPr>
      <w:r w:rsidRPr="000B22BE">
        <w:rPr>
          <w:rFonts w:ascii="Arial" w:hAnsi="Arial" w:cs="Arial"/>
          <w:color w:val="000000" w:themeColor="text1"/>
        </w:rPr>
        <w:t xml:space="preserve">These impacts show that workforce shortages are not just short-term operational problems but long-term systemic risks to the quality and sustainability of healthcare services (Ellis et al., 2025). They influence both immediate service delivery and the overall resilience of healthcare systems. When staffing levels remain low over time, it becomes increasingly difficult to provide safe, timely, and effective patient care across services. </w:t>
      </w:r>
      <w:r w:rsidR="00CF41F5" w:rsidRPr="000B22BE">
        <w:rPr>
          <w:rFonts w:ascii="Arial" w:hAnsi="Arial" w:cs="Arial"/>
          <w:color w:val="000000" w:themeColor="text1"/>
        </w:rPr>
        <w:t>Additionally,</w:t>
      </w:r>
      <w:r w:rsidRPr="000B22BE">
        <w:rPr>
          <w:rFonts w:ascii="Arial" w:hAnsi="Arial" w:cs="Arial"/>
          <w:color w:val="000000" w:themeColor="text1"/>
        </w:rPr>
        <w:t xml:space="preserve"> greater pressure on existing staff can lead to increased stress, sickness absence, and staff turnover, which further weakens workforce stability and reduces overall service efficiency</w:t>
      </w:r>
      <w:r w:rsidR="00CF41F5" w:rsidRPr="000B22BE">
        <w:rPr>
          <w:rFonts w:ascii="Arial" w:hAnsi="Arial" w:cs="Arial"/>
          <w:color w:val="000000" w:themeColor="text1"/>
        </w:rPr>
        <w:t>.</w:t>
      </w:r>
    </w:p>
    <w:p w14:paraId="5113EF6E" w14:textId="77777777" w:rsidR="00664619" w:rsidRPr="000B22BE" w:rsidRDefault="00664619" w:rsidP="000B22BE">
      <w:pPr>
        <w:spacing w:line="360" w:lineRule="auto"/>
        <w:rPr>
          <w:rFonts w:ascii="Arial" w:hAnsi="Arial" w:cs="Arial"/>
          <w:color w:val="000000" w:themeColor="text1"/>
        </w:rPr>
      </w:pPr>
    </w:p>
    <w:p w14:paraId="5EDB3E34" w14:textId="77777777" w:rsidR="00F97049" w:rsidRPr="000B22BE" w:rsidRDefault="00F97049" w:rsidP="000B22BE">
      <w:pPr>
        <w:pStyle w:val="Heading1"/>
        <w:spacing w:line="360" w:lineRule="auto"/>
        <w:rPr>
          <w:rFonts w:ascii="Arial" w:hAnsi="Arial" w:cs="Arial"/>
          <w:color w:val="000000" w:themeColor="text1"/>
          <w:sz w:val="24"/>
          <w:szCs w:val="24"/>
        </w:rPr>
      </w:pPr>
      <w:bookmarkStart w:id="4" w:name="_Toc228784898"/>
      <w:r w:rsidRPr="000B22BE">
        <w:rPr>
          <w:rFonts w:ascii="Arial" w:hAnsi="Arial" w:cs="Arial"/>
          <w:color w:val="000000" w:themeColor="text1"/>
          <w:sz w:val="24"/>
          <w:szCs w:val="24"/>
        </w:rPr>
        <w:t>3. Strategic Response to Workforce Challenges</w:t>
      </w:r>
      <w:bookmarkEnd w:id="4"/>
    </w:p>
    <w:p w14:paraId="02627CF0" w14:textId="028EA649" w:rsidR="00664619" w:rsidRPr="000B22BE" w:rsidRDefault="00EB66E5" w:rsidP="000B22BE">
      <w:pPr>
        <w:spacing w:line="360" w:lineRule="auto"/>
        <w:rPr>
          <w:rFonts w:ascii="Arial" w:hAnsi="Arial" w:cs="Arial"/>
          <w:color w:val="000000" w:themeColor="text1"/>
        </w:rPr>
      </w:pPr>
      <w:r w:rsidRPr="000B22BE">
        <w:rPr>
          <w:rFonts w:ascii="Arial" w:hAnsi="Arial" w:cs="Arial"/>
          <w:color w:val="000000" w:themeColor="text1"/>
        </w:rPr>
        <w:t>Addressing workforce shortages and burnout requires a comprehensive, multi-dimensional strategic approach grounded in modern people management theories and strategic human resource management principles. This involves not only short-term solutions to ease immediate pressures, but also long-term strategies aimed at improving workforce stability, staff wellbeing, and overall service sustainability.</w:t>
      </w:r>
    </w:p>
    <w:p w14:paraId="5A18F1D4" w14:textId="77777777" w:rsidR="004549F2" w:rsidRPr="000B22BE" w:rsidRDefault="004549F2" w:rsidP="000B22BE">
      <w:pPr>
        <w:spacing w:line="360" w:lineRule="auto"/>
        <w:rPr>
          <w:rFonts w:ascii="Arial" w:hAnsi="Arial" w:cs="Arial"/>
          <w:b/>
          <w:bCs/>
          <w:color w:val="000000" w:themeColor="text1"/>
        </w:rPr>
      </w:pPr>
    </w:p>
    <w:p w14:paraId="7D53AEA3" w14:textId="14A35C4F" w:rsidR="0016688D" w:rsidRPr="000B22BE" w:rsidRDefault="0016688D" w:rsidP="000B22BE">
      <w:pPr>
        <w:pStyle w:val="Heading2"/>
        <w:spacing w:line="360" w:lineRule="auto"/>
        <w:rPr>
          <w:rFonts w:ascii="Arial" w:hAnsi="Arial" w:cs="Arial"/>
          <w:color w:val="000000" w:themeColor="text1"/>
          <w:sz w:val="24"/>
          <w:szCs w:val="24"/>
        </w:rPr>
      </w:pPr>
      <w:bookmarkStart w:id="5" w:name="_Toc228784899"/>
      <w:r w:rsidRPr="000B22BE">
        <w:rPr>
          <w:rFonts w:ascii="Arial" w:hAnsi="Arial" w:cs="Arial"/>
          <w:color w:val="000000" w:themeColor="text1"/>
          <w:sz w:val="24"/>
          <w:szCs w:val="24"/>
        </w:rPr>
        <w:lastRenderedPageBreak/>
        <w:t>3.1 Retention-Focused People Management Strategy</w:t>
      </w:r>
      <w:bookmarkEnd w:id="5"/>
    </w:p>
    <w:p w14:paraId="2DF40675" w14:textId="2B34FC03" w:rsidR="0016688D" w:rsidRPr="000B22BE" w:rsidRDefault="00CF41F5" w:rsidP="000B22BE">
      <w:pPr>
        <w:spacing w:line="360" w:lineRule="auto"/>
        <w:rPr>
          <w:rFonts w:ascii="Arial" w:hAnsi="Arial" w:cs="Arial"/>
          <w:color w:val="000000" w:themeColor="text1"/>
        </w:rPr>
      </w:pPr>
      <w:r w:rsidRPr="000B22BE">
        <w:rPr>
          <w:rFonts w:ascii="Arial" w:hAnsi="Arial" w:cs="Arial"/>
          <w:color w:val="000000" w:themeColor="text1"/>
        </w:rPr>
        <w:t>According to Ostrander (2023), improving</w:t>
      </w:r>
      <w:r w:rsidR="0016688D" w:rsidRPr="000B22BE">
        <w:rPr>
          <w:rFonts w:ascii="Arial" w:hAnsi="Arial" w:cs="Arial"/>
          <w:color w:val="000000" w:themeColor="text1"/>
        </w:rPr>
        <w:t xml:space="preserve"> staff retention is essential for stabilising the workforce and reducing long-term recruitment pressures. Retention strategies are strongly supported by motivational theories such as Maslow's Hierarchy of Needs and Herzberg's Two-Factor Theory, which emphasise the importance of both basic and psychological needs in employee motivation</w:t>
      </w:r>
      <w:r w:rsidR="00A8619B" w:rsidRPr="000B22BE">
        <w:rPr>
          <w:rFonts w:ascii="Arial" w:hAnsi="Arial" w:cs="Arial"/>
          <w:color w:val="000000" w:themeColor="text1"/>
        </w:rPr>
        <w:t xml:space="preserve"> </w:t>
      </w:r>
    </w:p>
    <w:p w14:paraId="05A87E5D" w14:textId="75EA8007" w:rsidR="0016688D" w:rsidRPr="000B22BE" w:rsidRDefault="0016688D" w:rsidP="000B22BE">
      <w:pPr>
        <w:spacing w:line="360" w:lineRule="auto"/>
        <w:rPr>
          <w:rFonts w:ascii="Arial" w:hAnsi="Arial" w:cs="Arial"/>
          <w:color w:val="000000" w:themeColor="text1"/>
        </w:rPr>
      </w:pPr>
      <w:r w:rsidRPr="000B22BE">
        <w:rPr>
          <w:rFonts w:ascii="Arial" w:hAnsi="Arial" w:cs="Arial"/>
          <w:color w:val="000000" w:themeColor="text1"/>
        </w:rPr>
        <w:t xml:space="preserve">Within the NHS, retention can be improved through enhanced working conditions, fair remuneration, </w:t>
      </w:r>
      <w:r w:rsidR="00CF41F5" w:rsidRPr="000B22BE">
        <w:rPr>
          <w:rFonts w:ascii="Arial" w:hAnsi="Arial" w:cs="Arial"/>
          <w:color w:val="000000" w:themeColor="text1"/>
        </w:rPr>
        <w:t>opportunities for career progression</w:t>
      </w:r>
      <w:r w:rsidRPr="000B22BE">
        <w:rPr>
          <w:rFonts w:ascii="Arial" w:hAnsi="Arial" w:cs="Arial"/>
          <w:color w:val="000000" w:themeColor="text1"/>
        </w:rPr>
        <w:t>, and structured recognition systems. These initiatives address both dissatisfaction factors (e.g.</w:t>
      </w:r>
      <w:r w:rsidR="00A8619B" w:rsidRPr="000B22BE">
        <w:rPr>
          <w:rFonts w:ascii="Arial" w:hAnsi="Arial" w:cs="Arial"/>
          <w:color w:val="000000" w:themeColor="text1"/>
        </w:rPr>
        <w:t>,</w:t>
      </w:r>
      <w:r w:rsidRPr="000B22BE">
        <w:rPr>
          <w:rFonts w:ascii="Arial" w:hAnsi="Arial" w:cs="Arial"/>
          <w:color w:val="000000" w:themeColor="text1"/>
        </w:rPr>
        <w:t xml:space="preserve"> workload, pay) and motivational factors (e.g.</w:t>
      </w:r>
      <w:r w:rsidR="00A8619B" w:rsidRPr="000B22BE">
        <w:rPr>
          <w:rFonts w:ascii="Arial" w:hAnsi="Arial" w:cs="Arial"/>
          <w:color w:val="000000" w:themeColor="text1"/>
        </w:rPr>
        <w:t>,</w:t>
      </w:r>
      <w:r w:rsidRPr="000B22BE">
        <w:rPr>
          <w:rFonts w:ascii="Arial" w:hAnsi="Arial" w:cs="Arial"/>
          <w:color w:val="000000" w:themeColor="text1"/>
        </w:rPr>
        <w:t xml:space="preserve"> achievement, development), thereby improving overall job satisfaction.</w:t>
      </w:r>
    </w:p>
    <w:p w14:paraId="2C0470AE" w14:textId="39EC95AB" w:rsidR="0016688D" w:rsidRPr="000B22BE" w:rsidRDefault="0016688D" w:rsidP="000B22BE">
      <w:pPr>
        <w:spacing w:line="360" w:lineRule="auto"/>
        <w:rPr>
          <w:rFonts w:ascii="Arial" w:hAnsi="Arial" w:cs="Arial"/>
          <w:color w:val="000000" w:themeColor="text1"/>
        </w:rPr>
      </w:pPr>
      <w:r w:rsidRPr="000B22BE">
        <w:rPr>
          <w:rFonts w:ascii="Arial" w:hAnsi="Arial" w:cs="Arial"/>
          <w:color w:val="000000" w:themeColor="text1"/>
        </w:rPr>
        <w:t>However, the effectiveness of retention strategies must be critically assessed. While they can reduce turnover and improve workforce stability, they may be limited if underlying systemic issues</w:t>
      </w:r>
      <w:r w:rsidR="00A8619B" w:rsidRPr="000B22BE">
        <w:rPr>
          <w:rFonts w:ascii="Arial" w:hAnsi="Arial" w:cs="Arial"/>
          <w:color w:val="000000" w:themeColor="text1"/>
        </w:rPr>
        <w:t xml:space="preserve">, </w:t>
      </w:r>
      <w:r w:rsidRPr="000B22BE">
        <w:rPr>
          <w:rFonts w:ascii="Arial" w:hAnsi="Arial" w:cs="Arial"/>
          <w:color w:val="000000" w:themeColor="text1"/>
        </w:rPr>
        <w:t>such as chronic understaffing and excessive workload</w:t>
      </w:r>
      <w:r w:rsidR="00A8619B" w:rsidRPr="000B22BE">
        <w:rPr>
          <w:rFonts w:ascii="Arial" w:hAnsi="Arial" w:cs="Arial"/>
          <w:color w:val="000000" w:themeColor="text1"/>
        </w:rPr>
        <w:t xml:space="preserve">, </w:t>
      </w:r>
      <w:r w:rsidR="00CF41F5" w:rsidRPr="000B22BE">
        <w:rPr>
          <w:rFonts w:ascii="Arial" w:hAnsi="Arial" w:cs="Arial"/>
          <w:color w:val="000000" w:themeColor="text1"/>
        </w:rPr>
        <w:t>remain unaddressed</w:t>
      </w:r>
      <w:r w:rsidRPr="000B22BE">
        <w:rPr>
          <w:rFonts w:ascii="Arial" w:hAnsi="Arial" w:cs="Arial"/>
          <w:color w:val="000000" w:themeColor="text1"/>
        </w:rPr>
        <w:t>. Additionally, financial constraints within public healthcare systems may restrict the extent to which such initiatives can be implemented effectively.</w:t>
      </w:r>
    </w:p>
    <w:p w14:paraId="41639435" w14:textId="6B3AD97A" w:rsidR="0016688D" w:rsidRPr="000B22BE" w:rsidRDefault="0016688D" w:rsidP="000B22BE">
      <w:pPr>
        <w:spacing w:line="360" w:lineRule="auto"/>
        <w:rPr>
          <w:rFonts w:ascii="Arial" w:hAnsi="Arial" w:cs="Arial"/>
          <w:color w:val="000000" w:themeColor="text1"/>
        </w:rPr>
      </w:pPr>
      <w:r w:rsidRPr="000B22BE">
        <w:rPr>
          <w:rFonts w:ascii="Arial" w:hAnsi="Arial" w:cs="Arial"/>
          <w:color w:val="000000" w:themeColor="text1"/>
        </w:rPr>
        <w:t>Despite these limitations, retention remains a more sustainable long-term strategy than continuous recruitment, as it preserves institutional knowledge and reduces dependency on temporary staffing solutions</w:t>
      </w:r>
      <w:r w:rsidR="0098590E" w:rsidRPr="000B22BE">
        <w:rPr>
          <w:rFonts w:ascii="Arial" w:hAnsi="Arial" w:cs="Arial"/>
          <w:color w:val="000000" w:themeColor="text1"/>
        </w:rPr>
        <w:t xml:space="preserve"> (Raja et al., 2025)</w:t>
      </w:r>
      <w:r w:rsidRPr="000B22BE">
        <w:rPr>
          <w:rFonts w:ascii="Arial" w:hAnsi="Arial" w:cs="Arial"/>
          <w:color w:val="000000" w:themeColor="text1"/>
        </w:rPr>
        <w:t>.</w:t>
      </w:r>
    </w:p>
    <w:p w14:paraId="0C9D9680" w14:textId="77777777" w:rsidR="004549F2" w:rsidRPr="000B22BE" w:rsidRDefault="004549F2" w:rsidP="000B22BE">
      <w:pPr>
        <w:spacing w:line="360" w:lineRule="auto"/>
        <w:rPr>
          <w:rFonts w:ascii="Arial" w:hAnsi="Arial" w:cs="Arial"/>
          <w:b/>
          <w:bCs/>
          <w:color w:val="000000" w:themeColor="text1"/>
        </w:rPr>
      </w:pPr>
    </w:p>
    <w:p w14:paraId="1818843F" w14:textId="27DE0CCB" w:rsidR="0098590E" w:rsidRPr="000B22BE" w:rsidRDefault="0098590E" w:rsidP="000B22BE">
      <w:pPr>
        <w:pStyle w:val="Heading2"/>
        <w:spacing w:line="360" w:lineRule="auto"/>
        <w:rPr>
          <w:rFonts w:ascii="Arial" w:hAnsi="Arial" w:cs="Arial"/>
          <w:color w:val="000000" w:themeColor="text1"/>
          <w:sz w:val="24"/>
          <w:szCs w:val="24"/>
        </w:rPr>
      </w:pPr>
      <w:bookmarkStart w:id="6" w:name="_Toc228784900"/>
      <w:r w:rsidRPr="000B22BE">
        <w:rPr>
          <w:rFonts w:ascii="Arial" w:hAnsi="Arial" w:cs="Arial"/>
          <w:color w:val="000000" w:themeColor="text1"/>
          <w:sz w:val="24"/>
          <w:szCs w:val="24"/>
        </w:rPr>
        <w:t>3.2 Supportive Leadership and Staff Wellbeing</w:t>
      </w:r>
      <w:bookmarkEnd w:id="6"/>
    </w:p>
    <w:p w14:paraId="047C5FB0" w14:textId="7711B38D" w:rsidR="00EB2B8E" w:rsidRPr="000B22BE" w:rsidRDefault="0098590E" w:rsidP="000B22BE">
      <w:pPr>
        <w:spacing w:line="360" w:lineRule="auto"/>
        <w:rPr>
          <w:rFonts w:ascii="Arial" w:hAnsi="Arial" w:cs="Arial"/>
          <w:color w:val="000000" w:themeColor="text1"/>
        </w:rPr>
      </w:pPr>
      <w:r w:rsidRPr="000B22BE">
        <w:rPr>
          <w:rFonts w:ascii="Arial" w:hAnsi="Arial" w:cs="Arial"/>
          <w:color w:val="000000" w:themeColor="text1"/>
        </w:rPr>
        <w:t xml:space="preserve">Leadership is a key factor in shaping organisational culture and supporting staff wellbeing. This is reflected in Transformational Leadership theory, which emphasises inspiring and motivating employees, building trust, and encouraging a shared commitment to organisational goals (Bader, </w:t>
      </w:r>
      <w:proofErr w:type="spellStart"/>
      <w:r w:rsidRPr="000B22BE">
        <w:rPr>
          <w:rFonts w:ascii="Arial" w:hAnsi="Arial" w:cs="Arial"/>
          <w:color w:val="000000" w:themeColor="text1"/>
        </w:rPr>
        <w:t>Gielnik</w:t>
      </w:r>
      <w:proofErr w:type="spellEnd"/>
      <w:r w:rsidRPr="000B22BE">
        <w:rPr>
          <w:rFonts w:ascii="Arial" w:hAnsi="Arial" w:cs="Arial"/>
          <w:color w:val="000000" w:themeColor="text1"/>
        </w:rPr>
        <w:t xml:space="preserve"> and </w:t>
      </w:r>
      <w:proofErr w:type="spellStart"/>
      <w:r w:rsidRPr="000B22BE">
        <w:rPr>
          <w:rFonts w:ascii="Arial" w:hAnsi="Arial" w:cs="Arial"/>
          <w:color w:val="000000" w:themeColor="text1"/>
        </w:rPr>
        <w:t>Bledow</w:t>
      </w:r>
      <w:proofErr w:type="spellEnd"/>
      <w:r w:rsidRPr="000B22BE">
        <w:rPr>
          <w:rFonts w:ascii="Arial" w:hAnsi="Arial" w:cs="Arial"/>
          <w:color w:val="000000" w:themeColor="text1"/>
        </w:rPr>
        <w:t>, 2022).</w:t>
      </w:r>
      <w:r w:rsidR="00EB2B8E" w:rsidRPr="000B22BE">
        <w:rPr>
          <w:rFonts w:ascii="Arial" w:hAnsi="Arial" w:cs="Arial"/>
          <w:color w:val="000000" w:themeColor="text1"/>
        </w:rPr>
        <w:t xml:space="preserve"> In practice, supportive leadership within the NHS includes open communication, emotional support, and active engagement with staff concerns. </w:t>
      </w:r>
      <w:r w:rsidR="00CF41F5" w:rsidRPr="000B22BE">
        <w:rPr>
          <w:rFonts w:ascii="Arial" w:hAnsi="Arial" w:cs="Arial"/>
          <w:color w:val="000000" w:themeColor="text1"/>
        </w:rPr>
        <w:t>Also</w:t>
      </w:r>
      <w:r w:rsidR="00EB2B8E" w:rsidRPr="000B22BE">
        <w:rPr>
          <w:rFonts w:ascii="Arial" w:hAnsi="Arial" w:cs="Arial"/>
          <w:color w:val="000000" w:themeColor="text1"/>
        </w:rPr>
        <w:t>, well-being initiatives such as counselling services, stress management programmes, and mental health support contribute to reducing burnout and improving resilience.</w:t>
      </w:r>
    </w:p>
    <w:p w14:paraId="678B94A7" w14:textId="2C10AF1C" w:rsidR="00EB2B8E" w:rsidRPr="000B22BE" w:rsidRDefault="00EB2B8E" w:rsidP="000B22BE">
      <w:pPr>
        <w:spacing w:line="360" w:lineRule="auto"/>
        <w:rPr>
          <w:rFonts w:ascii="Arial" w:hAnsi="Arial" w:cs="Arial"/>
          <w:color w:val="000000" w:themeColor="text1"/>
        </w:rPr>
      </w:pPr>
      <w:r w:rsidRPr="000B22BE">
        <w:rPr>
          <w:rFonts w:ascii="Arial" w:hAnsi="Arial" w:cs="Arial"/>
          <w:color w:val="000000" w:themeColor="text1"/>
        </w:rPr>
        <w:lastRenderedPageBreak/>
        <w:t>However, while leadership interventions are valuable, their effectiveness is constrained by structural workforce shortages. Even strong leadership cannot fully mitigate the effects of excessive workload or staffing gaps, highlighting the need for integrated system-wide solutions (Restivo et al., 2022).</w:t>
      </w:r>
    </w:p>
    <w:p w14:paraId="6642B31B" w14:textId="77777777" w:rsidR="004549F2" w:rsidRPr="000B22BE" w:rsidRDefault="004549F2" w:rsidP="000B22BE">
      <w:pPr>
        <w:spacing w:line="360" w:lineRule="auto"/>
        <w:rPr>
          <w:rFonts w:ascii="Arial" w:hAnsi="Arial" w:cs="Arial"/>
          <w:color w:val="000000" w:themeColor="text1"/>
        </w:rPr>
      </w:pPr>
    </w:p>
    <w:p w14:paraId="07A718D7" w14:textId="5E00F84E" w:rsidR="00EB2B8E" w:rsidRPr="000B22BE" w:rsidRDefault="00EB2B8E" w:rsidP="000B22BE">
      <w:pPr>
        <w:pStyle w:val="Heading2"/>
        <w:spacing w:line="360" w:lineRule="auto"/>
        <w:rPr>
          <w:rFonts w:ascii="Arial" w:hAnsi="Arial" w:cs="Arial"/>
          <w:color w:val="000000" w:themeColor="text1"/>
          <w:sz w:val="24"/>
          <w:szCs w:val="24"/>
        </w:rPr>
      </w:pPr>
      <w:bookmarkStart w:id="7" w:name="_Toc228784901"/>
      <w:r w:rsidRPr="000B22BE">
        <w:rPr>
          <w:rFonts w:ascii="Arial" w:hAnsi="Arial" w:cs="Arial"/>
          <w:color w:val="000000" w:themeColor="text1"/>
          <w:sz w:val="24"/>
          <w:szCs w:val="24"/>
        </w:rPr>
        <w:t>3.3 Workforce Planning and Flexible Working</w:t>
      </w:r>
      <w:bookmarkEnd w:id="7"/>
    </w:p>
    <w:p w14:paraId="2388603B" w14:textId="3CFEF856" w:rsidR="00517762" w:rsidRPr="000B22BE" w:rsidRDefault="00EB2B8E" w:rsidP="000B22BE">
      <w:pPr>
        <w:spacing w:line="360" w:lineRule="auto"/>
        <w:rPr>
          <w:rFonts w:ascii="Arial" w:hAnsi="Arial" w:cs="Arial"/>
          <w:color w:val="000000" w:themeColor="text1"/>
        </w:rPr>
      </w:pPr>
      <w:r w:rsidRPr="000B22BE">
        <w:rPr>
          <w:rFonts w:ascii="Arial" w:hAnsi="Arial" w:cs="Arial"/>
          <w:color w:val="000000" w:themeColor="text1"/>
        </w:rPr>
        <w:t>Strategic workforce planning ensures alignment between service demand and staffing capacity (Llort et al., 2018). Within the NHS, this includes flexible working arrangements, skill-mix optimisation, and targeted recruitment strategies. Flexible working improves work-life balance and reduces stress, which can contribute to lower burnout rates. On the other hand, while international recruitment can provide short-term relief, it raises ethical and sustainability concerns, particularly regarding workforce depletion in lower-income countries</w:t>
      </w:r>
      <w:r w:rsidR="00517762" w:rsidRPr="000B22BE">
        <w:rPr>
          <w:rFonts w:ascii="Arial" w:hAnsi="Arial" w:cs="Arial"/>
          <w:color w:val="000000" w:themeColor="text1"/>
        </w:rPr>
        <w:t xml:space="preserve"> (Giorgio Cometto et al., 2023)</w:t>
      </w:r>
      <w:r w:rsidRPr="000B22BE">
        <w:rPr>
          <w:rFonts w:ascii="Arial" w:hAnsi="Arial" w:cs="Arial"/>
          <w:color w:val="000000" w:themeColor="text1"/>
        </w:rPr>
        <w:t xml:space="preserve">. </w:t>
      </w:r>
    </w:p>
    <w:p w14:paraId="2D14A59D" w14:textId="7EAB2956" w:rsidR="00517762" w:rsidRPr="000B22BE" w:rsidRDefault="00EB2B8E" w:rsidP="000B22BE">
      <w:pPr>
        <w:spacing w:line="360" w:lineRule="auto"/>
        <w:rPr>
          <w:rFonts w:ascii="Arial" w:hAnsi="Arial" w:cs="Arial"/>
          <w:color w:val="000000" w:themeColor="text1"/>
        </w:rPr>
      </w:pPr>
      <w:r w:rsidRPr="000B22BE">
        <w:rPr>
          <w:rFonts w:ascii="Arial" w:hAnsi="Arial" w:cs="Arial"/>
          <w:color w:val="000000" w:themeColor="text1"/>
        </w:rPr>
        <w:t>Long-term workforce sustainability requires investment in domestic training pipelines and strategic workforce forecasting rather than reliance on short-term staffing solutions.</w:t>
      </w:r>
    </w:p>
    <w:p w14:paraId="31672B9D" w14:textId="77777777" w:rsidR="004549F2" w:rsidRPr="000B22BE" w:rsidRDefault="004549F2" w:rsidP="000B22BE">
      <w:pPr>
        <w:spacing w:line="360" w:lineRule="auto"/>
        <w:rPr>
          <w:rFonts w:ascii="Arial" w:hAnsi="Arial" w:cs="Arial"/>
          <w:b/>
          <w:bCs/>
          <w:color w:val="000000" w:themeColor="text1"/>
        </w:rPr>
      </w:pPr>
    </w:p>
    <w:p w14:paraId="7A533CE4" w14:textId="075DB7F7" w:rsidR="00517762" w:rsidRPr="000B22BE" w:rsidRDefault="00517762" w:rsidP="000B22BE">
      <w:pPr>
        <w:pStyle w:val="Heading2"/>
        <w:spacing w:line="360" w:lineRule="auto"/>
        <w:rPr>
          <w:rFonts w:ascii="Arial" w:hAnsi="Arial" w:cs="Arial"/>
          <w:color w:val="000000" w:themeColor="text1"/>
          <w:sz w:val="24"/>
          <w:szCs w:val="24"/>
        </w:rPr>
      </w:pPr>
      <w:bookmarkStart w:id="8" w:name="_Toc228784902"/>
      <w:r w:rsidRPr="000B22BE">
        <w:rPr>
          <w:rFonts w:ascii="Arial" w:hAnsi="Arial" w:cs="Arial"/>
          <w:color w:val="000000" w:themeColor="text1"/>
          <w:sz w:val="24"/>
          <w:szCs w:val="24"/>
        </w:rPr>
        <w:t>3.4 Policy Alignment and System Integration</w:t>
      </w:r>
      <w:bookmarkEnd w:id="8"/>
    </w:p>
    <w:p w14:paraId="7B4CD4AF" w14:textId="024C5644" w:rsidR="00517762" w:rsidRPr="000B22BE" w:rsidRDefault="00517762" w:rsidP="000B22BE">
      <w:pPr>
        <w:spacing w:line="360" w:lineRule="auto"/>
        <w:rPr>
          <w:rFonts w:ascii="Arial" w:hAnsi="Arial" w:cs="Arial"/>
          <w:color w:val="000000" w:themeColor="text1"/>
        </w:rPr>
      </w:pPr>
      <w:r w:rsidRPr="000B22BE">
        <w:rPr>
          <w:rFonts w:ascii="Arial" w:hAnsi="Arial" w:cs="Arial"/>
          <w:color w:val="000000" w:themeColor="text1"/>
        </w:rPr>
        <w:t xml:space="preserve">Effective workforce strategies within the </w:t>
      </w:r>
      <w:r w:rsidR="00CF41F5" w:rsidRPr="000B22BE">
        <w:rPr>
          <w:rFonts w:ascii="Arial" w:hAnsi="Arial" w:cs="Arial"/>
          <w:color w:val="000000" w:themeColor="text1"/>
        </w:rPr>
        <w:t>NHS</w:t>
      </w:r>
      <w:r w:rsidRPr="000B22BE">
        <w:rPr>
          <w:rFonts w:ascii="Arial" w:hAnsi="Arial" w:cs="Arial"/>
          <w:color w:val="000000" w:themeColor="text1"/>
        </w:rPr>
        <w:t xml:space="preserve"> must align with national policy frameworks such as the NHS Long Term Workforce Plan</w:t>
      </w:r>
      <w:r w:rsidR="007E0CED" w:rsidRPr="000B22BE">
        <w:rPr>
          <w:rFonts w:ascii="Arial" w:hAnsi="Arial" w:cs="Arial"/>
          <w:color w:val="000000" w:themeColor="text1"/>
        </w:rPr>
        <w:t xml:space="preserve"> (NHS England, 2023). </w:t>
      </w:r>
      <w:r w:rsidRPr="000B22BE">
        <w:rPr>
          <w:rFonts w:ascii="Arial" w:hAnsi="Arial" w:cs="Arial"/>
          <w:color w:val="000000" w:themeColor="text1"/>
        </w:rPr>
        <w:t>This plan focuses on “train, retain, and reform” to improve recruitment, retention, and training capacity, including expanding domestic training and improving staff retention.</w:t>
      </w:r>
    </w:p>
    <w:p w14:paraId="4D882F04" w14:textId="77777777" w:rsidR="00517762" w:rsidRPr="000B22BE" w:rsidRDefault="00517762" w:rsidP="000B22BE">
      <w:pPr>
        <w:spacing w:line="360" w:lineRule="auto"/>
        <w:rPr>
          <w:rFonts w:ascii="Arial" w:hAnsi="Arial" w:cs="Arial"/>
          <w:color w:val="000000" w:themeColor="text1"/>
        </w:rPr>
      </w:pPr>
      <w:r w:rsidRPr="000B22BE">
        <w:rPr>
          <w:rFonts w:ascii="Arial" w:hAnsi="Arial" w:cs="Arial"/>
          <w:color w:val="000000" w:themeColor="text1"/>
        </w:rPr>
        <w:t>Nevertheless, implementation is often limited by funding pressures, rising demand, and operational constraints. As a result, there can be a gap between national workforce planning goals and what can be achieved in practice, which reduces overall effectiveness.</w:t>
      </w:r>
    </w:p>
    <w:p w14:paraId="369AE88B" w14:textId="77777777" w:rsidR="007E0CED" w:rsidRPr="000B22BE" w:rsidRDefault="007E0CED" w:rsidP="000B22BE">
      <w:pPr>
        <w:pStyle w:val="Heading1"/>
        <w:spacing w:line="360" w:lineRule="auto"/>
        <w:rPr>
          <w:rFonts w:ascii="Arial" w:hAnsi="Arial" w:cs="Arial"/>
          <w:color w:val="000000" w:themeColor="text1"/>
          <w:sz w:val="24"/>
          <w:szCs w:val="24"/>
        </w:rPr>
      </w:pPr>
      <w:bookmarkStart w:id="9" w:name="_Toc228784903"/>
      <w:r w:rsidRPr="000B22BE">
        <w:rPr>
          <w:rFonts w:ascii="Arial" w:hAnsi="Arial" w:cs="Arial"/>
          <w:color w:val="000000" w:themeColor="text1"/>
          <w:sz w:val="24"/>
          <w:szCs w:val="24"/>
        </w:rPr>
        <w:lastRenderedPageBreak/>
        <w:t>4. Evaluation of Strategic Effectiveness</w:t>
      </w:r>
      <w:bookmarkEnd w:id="9"/>
    </w:p>
    <w:p w14:paraId="79DDF607" w14:textId="49C33435" w:rsidR="007E0CED" w:rsidRPr="000B22BE" w:rsidRDefault="007E0CED" w:rsidP="000B22BE">
      <w:pPr>
        <w:pStyle w:val="Heading2"/>
        <w:spacing w:line="360" w:lineRule="auto"/>
        <w:rPr>
          <w:rFonts w:ascii="Arial" w:hAnsi="Arial" w:cs="Arial"/>
          <w:color w:val="000000" w:themeColor="text1"/>
          <w:sz w:val="24"/>
          <w:szCs w:val="24"/>
        </w:rPr>
      </w:pPr>
      <w:bookmarkStart w:id="10" w:name="_Toc228784904"/>
      <w:r w:rsidRPr="000B22BE">
        <w:rPr>
          <w:rFonts w:ascii="Arial" w:hAnsi="Arial" w:cs="Arial"/>
          <w:color w:val="000000" w:themeColor="text1"/>
          <w:sz w:val="24"/>
          <w:szCs w:val="24"/>
        </w:rPr>
        <w:t>4.1 Benefits</w:t>
      </w:r>
      <w:bookmarkEnd w:id="10"/>
      <w:r w:rsidR="004A6A72" w:rsidRPr="000B22BE">
        <w:rPr>
          <w:rFonts w:ascii="Arial" w:hAnsi="Arial" w:cs="Arial"/>
          <w:color w:val="000000" w:themeColor="text1"/>
          <w:sz w:val="24"/>
          <w:szCs w:val="24"/>
        </w:rPr>
        <w:t xml:space="preserve"> </w:t>
      </w:r>
    </w:p>
    <w:p w14:paraId="53346BCB" w14:textId="2A7CC04B" w:rsidR="007E0CED" w:rsidRPr="000B22BE" w:rsidRDefault="007E0CED" w:rsidP="000B22BE">
      <w:pPr>
        <w:spacing w:line="360" w:lineRule="auto"/>
        <w:rPr>
          <w:rFonts w:ascii="Arial" w:hAnsi="Arial" w:cs="Arial"/>
          <w:color w:val="000000" w:themeColor="text1"/>
        </w:rPr>
      </w:pPr>
      <w:r w:rsidRPr="000B22BE">
        <w:rPr>
          <w:rFonts w:ascii="Arial" w:hAnsi="Arial" w:cs="Arial"/>
          <w:color w:val="000000" w:themeColor="text1"/>
        </w:rPr>
        <w:t>The proposed strategies offer several important benefits</w:t>
      </w:r>
      <w:r w:rsidR="004A6A72" w:rsidRPr="000B22BE">
        <w:rPr>
          <w:rFonts w:ascii="Arial" w:hAnsi="Arial" w:cs="Arial"/>
          <w:color w:val="000000" w:themeColor="text1"/>
        </w:rPr>
        <w:t xml:space="preserve"> (Fischer and Duncan, 2020)</w:t>
      </w:r>
      <w:r w:rsidRPr="000B22BE">
        <w:rPr>
          <w:rFonts w:ascii="Arial" w:hAnsi="Arial" w:cs="Arial"/>
          <w:color w:val="000000" w:themeColor="text1"/>
        </w:rPr>
        <w:t>:</w:t>
      </w:r>
    </w:p>
    <w:p w14:paraId="1D183153" w14:textId="77777777" w:rsidR="007E0CED" w:rsidRPr="000B22BE" w:rsidRDefault="007E0CED" w:rsidP="000B22BE">
      <w:pPr>
        <w:numPr>
          <w:ilvl w:val="0"/>
          <w:numId w:val="3"/>
        </w:numPr>
        <w:spacing w:line="360" w:lineRule="auto"/>
        <w:rPr>
          <w:rFonts w:ascii="Arial" w:hAnsi="Arial" w:cs="Arial"/>
          <w:color w:val="000000" w:themeColor="text1"/>
        </w:rPr>
      </w:pPr>
      <w:r w:rsidRPr="000B22BE">
        <w:rPr>
          <w:rFonts w:ascii="Arial" w:hAnsi="Arial" w:cs="Arial"/>
          <w:color w:val="000000" w:themeColor="text1"/>
        </w:rPr>
        <w:t xml:space="preserve">Improved workforce stability and reduced turnover </w:t>
      </w:r>
    </w:p>
    <w:p w14:paraId="44290A2E" w14:textId="77777777" w:rsidR="007E0CED" w:rsidRPr="000B22BE" w:rsidRDefault="007E0CED" w:rsidP="000B22BE">
      <w:pPr>
        <w:numPr>
          <w:ilvl w:val="0"/>
          <w:numId w:val="3"/>
        </w:numPr>
        <w:spacing w:line="360" w:lineRule="auto"/>
        <w:rPr>
          <w:rFonts w:ascii="Arial" w:hAnsi="Arial" w:cs="Arial"/>
          <w:color w:val="000000" w:themeColor="text1"/>
        </w:rPr>
      </w:pPr>
      <w:r w:rsidRPr="000B22BE">
        <w:rPr>
          <w:rFonts w:ascii="Arial" w:hAnsi="Arial" w:cs="Arial"/>
          <w:color w:val="000000" w:themeColor="text1"/>
        </w:rPr>
        <w:t xml:space="preserve">Enhanced patient safety and service quality </w:t>
      </w:r>
    </w:p>
    <w:p w14:paraId="7578560F" w14:textId="77777777" w:rsidR="007E0CED" w:rsidRPr="000B22BE" w:rsidRDefault="007E0CED" w:rsidP="000B22BE">
      <w:pPr>
        <w:numPr>
          <w:ilvl w:val="0"/>
          <w:numId w:val="3"/>
        </w:numPr>
        <w:spacing w:line="360" w:lineRule="auto"/>
        <w:rPr>
          <w:rFonts w:ascii="Arial" w:hAnsi="Arial" w:cs="Arial"/>
          <w:color w:val="000000" w:themeColor="text1"/>
        </w:rPr>
      </w:pPr>
      <w:r w:rsidRPr="000B22BE">
        <w:rPr>
          <w:rFonts w:ascii="Arial" w:hAnsi="Arial" w:cs="Arial"/>
          <w:color w:val="000000" w:themeColor="text1"/>
        </w:rPr>
        <w:t xml:space="preserve">Increased efficiency and reduced waiting times </w:t>
      </w:r>
    </w:p>
    <w:p w14:paraId="248A6501" w14:textId="77777777" w:rsidR="007E0CED" w:rsidRPr="000B22BE" w:rsidRDefault="007E0CED" w:rsidP="000B22BE">
      <w:pPr>
        <w:numPr>
          <w:ilvl w:val="0"/>
          <w:numId w:val="3"/>
        </w:numPr>
        <w:spacing w:line="360" w:lineRule="auto"/>
        <w:rPr>
          <w:rFonts w:ascii="Arial" w:hAnsi="Arial" w:cs="Arial"/>
          <w:color w:val="000000" w:themeColor="text1"/>
        </w:rPr>
      </w:pPr>
      <w:r w:rsidRPr="000B22BE">
        <w:rPr>
          <w:rFonts w:ascii="Arial" w:hAnsi="Arial" w:cs="Arial"/>
          <w:color w:val="000000" w:themeColor="text1"/>
        </w:rPr>
        <w:t xml:space="preserve">Lower reliance on expensive agency staffing </w:t>
      </w:r>
    </w:p>
    <w:p w14:paraId="6C518C09" w14:textId="77777777" w:rsidR="007E0CED" w:rsidRPr="000B22BE" w:rsidRDefault="007E0CED" w:rsidP="000B22BE">
      <w:pPr>
        <w:numPr>
          <w:ilvl w:val="0"/>
          <w:numId w:val="3"/>
        </w:numPr>
        <w:spacing w:line="360" w:lineRule="auto"/>
        <w:rPr>
          <w:rFonts w:ascii="Arial" w:hAnsi="Arial" w:cs="Arial"/>
          <w:color w:val="000000" w:themeColor="text1"/>
        </w:rPr>
      </w:pPr>
      <w:r w:rsidRPr="000B22BE">
        <w:rPr>
          <w:rFonts w:ascii="Arial" w:hAnsi="Arial" w:cs="Arial"/>
          <w:color w:val="000000" w:themeColor="text1"/>
        </w:rPr>
        <w:t xml:space="preserve">Improved staff morale and engagement </w:t>
      </w:r>
    </w:p>
    <w:p w14:paraId="0F7629B6" w14:textId="4AC81056" w:rsidR="007E0CED" w:rsidRPr="000B22BE" w:rsidRDefault="007E0CED" w:rsidP="000B22BE">
      <w:pPr>
        <w:spacing w:line="360" w:lineRule="auto"/>
        <w:rPr>
          <w:rFonts w:ascii="Arial" w:hAnsi="Arial" w:cs="Arial"/>
          <w:b/>
          <w:bCs/>
          <w:color w:val="000000" w:themeColor="text1"/>
        </w:rPr>
      </w:pPr>
    </w:p>
    <w:p w14:paraId="432AE915" w14:textId="140FA7CD" w:rsidR="007E0CED" w:rsidRPr="000B22BE" w:rsidRDefault="007E0CED" w:rsidP="000B22BE">
      <w:pPr>
        <w:pStyle w:val="Heading2"/>
        <w:spacing w:line="360" w:lineRule="auto"/>
        <w:rPr>
          <w:rFonts w:ascii="Arial" w:hAnsi="Arial" w:cs="Arial"/>
          <w:color w:val="000000" w:themeColor="text1"/>
          <w:sz w:val="24"/>
          <w:szCs w:val="24"/>
        </w:rPr>
      </w:pPr>
      <w:bookmarkStart w:id="11" w:name="_Toc228784905"/>
      <w:r w:rsidRPr="000B22BE">
        <w:rPr>
          <w:rFonts w:ascii="Arial" w:hAnsi="Arial" w:cs="Arial"/>
          <w:color w:val="000000" w:themeColor="text1"/>
          <w:sz w:val="24"/>
          <w:szCs w:val="24"/>
        </w:rPr>
        <w:t>4.2 Limitations</w:t>
      </w:r>
      <w:bookmarkEnd w:id="11"/>
      <w:r w:rsidR="00571529" w:rsidRPr="000B22BE">
        <w:rPr>
          <w:rFonts w:ascii="Arial" w:hAnsi="Arial" w:cs="Arial"/>
          <w:color w:val="000000" w:themeColor="text1"/>
          <w:sz w:val="24"/>
          <w:szCs w:val="24"/>
        </w:rPr>
        <w:t xml:space="preserve"> </w:t>
      </w:r>
    </w:p>
    <w:p w14:paraId="603CACC9" w14:textId="7236B41E" w:rsidR="007E0CED" w:rsidRPr="000B22BE" w:rsidRDefault="007E0CED" w:rsidP="000B22BE">
      <w:pPr>
        <w:spacing w:line="360" w:lineRule="auto"/>
        <w:rPr>
          <w:rFonts w:ascii="Arial" w:hAnsi="Arial" w:cs="Arial"/>
          <w:color w:val="000000" w:themeColor="text1"/>
        </w:rPr>
      </w:pPr>
      <w:r w:rsidRPr="000B22BE">
        <w:rPr>
          <w:rFonts w:ascii="Arial" w:hAnsi="Arial" w:cs="Arial"/>
          <w:color w:val="000000" w:themeColor="text1"/>
        </w:rPr>
        <w:t>Despite these benefits, several limitations exist</w:t>
      </w:r>
      <w:r w:rsidR="000B22BE" w:rsidRPr="000B22BE">
        <w:rPr>
          <w:rFonts w:ascii="Arial" w:hAnsi="Arial" w:cs="Arial"/>
          <w:color w:val="000000" w:themeColor="text1"/>
        </w:rPr>
        <w:t xml:space="preserve"> </w:t>
      </w:r>
      <w:r w:rsidR="00602650" w:rsidRPr="000B22BE">
        <w:rPr>
          <w:rFonts w:ascii="Arial" w:hAnsi="Arial" w:cs="Arial"/>
          <w:color w:val="000000" w:themeColor="text1"/>
        </w:rPr>
        <w:t>(Matthias and Brown, 2016)</w:t>
      </w:r>
      <w:r w:rsidRPr="000B22BE">
        <w:rPr>
          <w:rFonts w:ascii="Arial" w:hAnsi="Arial" w:cs="Arial"/>
          <w:color w:val="000000" w:themeColor="text1"/>
        </w:rPr>
        <w:t>:</w:t>
      </w:r>
    </w:p>
    <w:p w14:paraId="12BD72EA" w14:textId="77777777" w:rsidR="007E0CED" w:rsidRPr="000B22BE" w:rsidRDefault="007E0CED" w:rsidP="000B22BE">
      <w:pPr>
        <w:numPr>
          <w:ilvl w:val="0"/>
          <w:numId w:val="4"/>
        </w:numPr>
        <w:spacing w:line="360" w:lineRule="auto"/>
        <w:rPr>
          <w:rFonts w:ascii="Arial" w:hAnsi="Arial" w:cs="Arial"/>
          <w:color w:val="000000" w:themeColor="text1"/>
        </w:rPr>
      </w:pPr>
      <w:r w:rsidRPr="000B22BE">
        <w:rPr>
          <w:rFonts w:ascii="Arial" w:hAnsi="Arial" w:cs="Arial"/>
          <w:color w:val="000000" w:themeColor="text1"/>
        </w:rPr>
        <w:t xml:space="preserve">High financial cost of implementation </w:t>
      </w:r>
    </w:p>
    <w:p w14:paraId="08EE30F6" w14:textId="77777777" w:rsidR="007E0CED" w:rsidRPr="000B22BE" w:rsidRDefault="007E0CED" w:rsidP="000B22BE">
      <w:pPr>
        <w:numPr>
          <w:ilvl w:val="0"/>
          <w:numId w:val="4"/>
        </w:numPr>
        <w:spacing w:line="360" w:lineRule="auto"/>
        <w:rPr>
          <w:rFonts w:ascii="Arial" w:hAnsi="Arial" w:cs="Arial"/>
          <w:color w:val="000000" w:themeColor="text1"/>
        </w:rPr>
      </w:pPr>
      <w:r w:rsidRPr="000B22BE">
        <w:rPr>
          <w:rFonts w:ascii="Arial" w:hAnsi="Arial" w:cs="Arial"/>
          <w:color w:val="000000" w:themeColor="text1"/>
        </w:rPr>
        <w:t xml:space="preserve">Time lag between intervention and measurable outcomes </w:t>
      </w:r>
    </w:p>
    <w:p w14:paraId="34D8F874" w14:textId="77777777" w:rsidR="007E0CED" w:rsidRPr="000B22BE" w:rsidRDefault="007E0CED" w:rsidP="000B22BE">
      <w:pPr>
        <w:numPr>
          <w:ilvl w:val="0"/>
          <w:numId w:val="4"/>
        </w:numPr>
        <w:spacing w:line="360" w:lineRule="auto"/>
        <w:rPr>
          <w:rFonts w:ascii="Arial" w:hAnsi="Arial" w:cs="Arial"/>
          <w:color w:val="000000" w:themeColor="text1"/>
        </w:rPr>
      </w:pPr>
      <w:r w:rsidRPr="000B22BE">
        <w:rPr>
          <w:rFonts w:ascii="Arial" w:hAnsi="Arial" w:cs="Arial"/>
          <w:color w:val="000000" w:themeColor="text1"/>
        </w:rPr>
        <w:t xml:space="preserve">Persistent systemic workforce shortages </w:t>
      </w:r>
    </w:p>
    <w:p w14:paraId="02C03EA1" w14:textId="77777777" w:rsidR="007E0CED" w:rsidRPr="000B22BE" w:rsidRDefault="007E0CED" w:rsidP="000B22BE">
      <w:pPr>
        <w:numPr>
          <w:ilvl w:val="0"/>
          <w:numId w:val="4"/>
        </w:numPr>
        <w:spacing w:line="360" w:lineRule="auto"/>
        <w:rPr>
          <w:rFonts w:ascii="Arial" w:hAnsi="Arial" w:cs="Arial"/>
          <w:color w:val="000000" w:themeColor="text1"/>
        </w:rPr>
      </w:pPr>
      <w:r w:rsidRPr="000B22BE">
        <w:rPr>
          <w:rFonts w:ascii="Arial" w:hAnsi="Arial" w:cs="Arial"/>
          <w:color w:val="000000" w:themeColor="text1"/>
        </w:rPr>
        <w:t xml:space="preserve">Organisational resistance to change </w:t>
      </w:r>
    </w:p>
    <w:p w14:paraId="242F5AB7" w14:textId="77777777" w:rsidR="007E0CED" w:rsidRPr="000B22BE" w:rsidRDefault="007E0CED" w:rsidP="000B22BE">
      <w:pPr>
        <w:numPr>
          <w:ilvl w:val="0"/>
          <w:numId w:val="4"/>
        </w:numPr>
        <w:spacing w:line="360" w:lineRule="auto"/>
        <w:rPr>
          <w:rFonts w:ascii="Arial" w:hAnsi="Arial" w:cs="Arial"/>
          <w:color w:val="000000" w:themeColor="text1"/>
        </w:rPr>
      </w:pPr>
      <w:r w:rsidRPr="000B22BE">
        <w:rPr>
          <w:rFonts w:ascii="Arial" w:hAnsi="Arial" w:cs="Arial"/>
          <w:color w:val="000000" w:themeColor="text1"/>
        </w:rPr>
        <w:t xml:space="preserve">Ethical concerns surrounding international recruitment </w:t>
      </w:r>
    </w:p>
    <w:p w14:paraId="21741DE2" w14:textId="77777777" w:rsidR="004549F2" w:rsidRPr="000B22BE" w:rsidRDefault="004549F2" w:rsidP="000B22BE">
      <w:pPr>
        <w:spacing w:line="360" w:lineRule="auto"/>
        <w:rPr>
          <w:rFonts w:ascii="Arial" w:hAnsi="Arial" w:cs="Arial"/>
          <w:color w:val="000000" w:themeColor="text1"/>
        </w:rPr>
      </w:pPr>
    </w:p>
    <w:p w14:paraId="6188A047" w14:textId="77777777" w:rsidR="009C0757" w:rsidRPr="000B22BE" w:rsidRDefault="009C0757" w:rsidP="000B22BE">
      <w:pPr>
        <w:pStyle w:val="Heading2"/>
        <w:spacing w:line="360" w:lineRule="auto"/>
        <w:rPr>
          <w:rFonts w:ascii="Arial" w:hAnsi="Arial" w:cs="Arial"/>
          <w:color w:val="000000" w:themeColor="text1"/>
          <w:sz w:val="24"/>
          <w:szCs w:val="24"/>
        </w:rPr>
      </w:pPr>
      <w:bookmarkStart w:id="12" w:name="_Toc228784906"/>
      <w:r w:rsidRPr="000B22BE">
        <w:rPr>
          <w:rFonts w:ascii="Arial" w:hAnsi="Arial" w:cs="Arial"/>
          <w:color w:val="000000" w:themeColor="text1"/>
          <w:sz w:val="24"/>
          <w:szCs w:val="24"/>
        </w:rPr>
        <w:t>4.3 Critical Evaluation of Sustainability and Strategic Effectiveness</w:t>
      </w:r>
      <w:bookmarkEnd w:id="12"/>
    </w:p>
    <w:p w14:paraId="5E0DC097" w14:textId="6B2B58A0" w:rsidR="00C04893" w:rsidRPr="000B22BE" w:rsidRDefault="00C04893" w:rsidP="000B22BE">
      <w:pPr>
        <w:spacing w:line="360" w:lineRule="auto"/>
        <w:rPr>
          <w:rFonts w:ascii="Arial" w:hAnsi="Arial" w:cs="Arial"/>
          <w:color w:val="000000" w:themeColor="text1"/>
        </w:rPr>
      </w:pPr>
      <w:r w:rsidRPr="000B22BE">
        <w:rPr>
          <w:rFonts w:ascii="Arial" w:hAnsi="Arial" w:cs="Arial"/>
          <w:color w:val="000000" w:themeColor="text1"/>
        </w:rPr>
        <w:t xml:space="preserve">Although the proposed strategies, including retention initiatives, leadership development, workforce planning, and policy alignment, offer short-term improvements, their long-term effectiveness in the </w:t>
      </w:r>
      <w:r w:rsidR="006E31E5" w:rsidRPr="000B22BE">
        <w:rPr>
          <w:rFonts w:ascii="Arial" w:hAnsi="Arial" w:cs="Arial"/>
          <w:color w:val="000000" w:themeColor="text1"/>
        </w:rPr>
        <w:t>NHS</w:t>
      </w:r>
      <w:r w:rsidRPr="000B22BE">
        <w:rPr>
          <w:rFonts w:ascii="Arial" w:hAnsi="Arial" w:cs="Arial"/>
          <w:color w:val="000000" w:themeColor="text1"/>
        </w:rPr>
        <w:t xml:space="preserve"> is more limited when viewed from a sustainability perspective</w:t>
      </w:r>
      <w:r w:rsidR="006E31E5" w:rsidRPr="000B22BE">
        <w:rPr>
          <w:rFonts w:ascii="Arial" w:hAnsi="Arial" w:cs="Arial"/>
          <w:color w:val="000000" w:themeColor="text1"/>
        </w:rPr>
        <w:t xml:space="preserve"> (</w:t>
      </w:r>
      <w:proofErr w:type="spellStart"/>
      <w:r w:rsidR="006E31E5" w:rsidRPr="000B22BE">
        <w:rPr>
          <w:rFonts w:ascii="Arial" w:hAnsi="Arial" w:cs="Arial"/>
          <w:color w:val="000000" w:themeColor="text1"/>
        </w:rPr>
        <w:t>Bimpong</w:t>
      </w:r>
      <w:proofErr w:type="spellEnd"/>
      <w:r w:rsidR="006E31E5" w:rsidRPr="000B22BE">
        <w:rPr>
          <w:rFonts w:ascii="Arial" w:hAnsi="Arial" w:cs="Arial"/>
          <w:color w:val="000000" w:themeColor="text1"/>
        </w:rPr>
        <w:t xml:space="preserve"> et al., 2020)</w:t>
      </w:r>
      <w:r w:rsidRPr="000B22BE">
        <w:rPr>
          <w:rFonts w:ascii="Arial" w:hAnsi="Arial" w:cs="Arial"/>
          <w:color w:val="000000" w:themeColor="text1"/>
        </w:rPr>
        <w:t xml:space="preserve">. Workforce shortages and staff burnout are deeply embedded structural issues driven by rising demand, ageing populations, funding constraints, and workforce supply limitations. As a result, organisational strategies may improve stability and </w:t>
      </w:r>
      <w:r w:rsidR="00CF41F5" w:rsidRPr="000B22BE">
        <w:rPr>
          <w:rFonts w:ascii="Arial" w:hAnsi="Arial" w:cs="Arial"/>
          <w:color w:val="000000" w:themeColor="text1"/>
        </w:rPr>
        <w:t>well-being</w:t>
      </w:r>
      <w:r w:rsidRPr="000B22BE">
        <w:rPr>
          <w:rFonts w:ascii="Arial" w:hAnsi="Arial" w:cs="Arial"/>
          <w:color w:val="000000" w:themeColor="text1"/>
        </w:rPr>
        <w:t xml:space="preserve"> in the short term but do not fully address underlying systemic pressures.</w:t>
      </w:r>
    </w:p>
    <w:p w14:paraId="50A25538" w14:textId="77777777" w:rsidR="00C04893" w:rsidRPr="000B22BE" w:rsidRDefault="00C04893" w:rsidP="000B22BE">
      <w:pPr>
        <w:spacing w:line="360" w:lineRule="auto"/>
        <w:rPr>
          <w:rFonts w:ascii="Arial" w:hAnsi="Arial" w:cs="Arial"/>
          <w:color w:val="000000" w:themeColor="text1"/>
        </w:rPr>
      </w:pPr>
      <w:r w:rsidRPr="000B22BE">
        <w:rPr>
          <w:rFonts w:ascii="Arial" w:hAnsi="Arial" w:cs="Arial"/>
          <w:color w:val="000000" w:themeColor="text1"/>
        </w:rPr>
        <w:lastRenderedPageBreak/>
        <w:t>Retention strategies are generally more effective than continuous recruitment because they reduce turnover and preserve experienced staff. However, their sustainability is limited if working conditions do not improve. High workloads and staffing gaps mean retention initiatives may only delay staff exit rather than prevent it, highlighting that many interventions address symptoms rather than root causes.</w:t>
      </w:r>
    </w:p>
    <w:p w14:paraId="7EAC228D" w14:textId="7A1D27F2" w:rsidR="00C04893" w:rsidRPr="000B22BE" w:rsidRDefault="00C04893" w:rsidP="000B22BE">
      <w:pPr>
        <w:spacing w:line="360" w:lineRule="auto"/>
        <w:rPr>
          <w:rFonts w:ascii="Arial" w:hAnsi="Arial" w:cs="Arial"/>
          <w:color w:val="000000" w:themeColor="text1"/>
        </w:rPr>
      </w:pPr>
      <w:r w:rsidRPr="000B22BE">
        <w:rPr>
          <w:rFonts w:ascii="Arial" w:hAnsi="Arial" w:cs="Arial"/>
          <w:color w:val="000000" w:themeColor="text1"/>
        </w:rPr>
        <w:t>Similarly, Transformational Leadership can improve motivation, communication, and organisational culture, but it cannot offset structural workforce shortages</w:t>
      </w:r>
      <w:r w:rsidR="006E31E5" w:rsidRPr="000B22BE">
        <w:rPr>
          <w:rFonts w:ascii="Arial" w:hAnsi="Arial" w:cs="Arial"/>
          <w:color w:val="000000" w:themeColor="text1"/>
        </w:rPr>
        <w:t xml:space="preserve"> (Chua and </w:t>
      </w:r>
      <w:proofErr w:type="spellStart"/>
      <w:r w:rsidR="006E31E5" w:rsidRPr="000B22BE">
        <w:rPr>
          <w:rFonts w:ascii="Arial" w:hAnsi="Arial" w:cs="Arial"/>
          <w:color w:val="000000" w:themeColor="text1"/>
        </w:rPr>
        <w:t>Ayoko</w:t>
      </w:r>
      <w:proofErr w:type="spellEnd"/>
      <w:r w:rsidR="006E31E5" w:rsidRPr="000B22BE">
        <w:rPr>
          <w:rFonts w:ascii="Arial" w:hAnsi="Arial" w:cs="Arial"/>
          <w:color w:val="000000" w:themeColor="text1"/>
        </w:rPr>
        <w:t>, 2019)</w:t>
      </w:r>
      <w:r w:rsidR="00CF41F5" w:rsidRPr="000B22BE">
        <w:rPr>
          <w:rFonts w:ascii="Arial" w:hAnsi="Arial" w:cs="Arial"/>
          <w:color w:val="000000" w:themeColor="text1"/>
        </w:rPr>
        <w:t>.</w:t>
      </w:r>
      <w:r w:rsidRPr="000B22BE">
        <w:rPr>
          <w:rFonts w:ascii="Arial" w:hAnsi="Arial" w:cs="Arial"/>
          <w:color w:val="000000" w:themeColor="text1"/>
        </w:rPr>
        <w:t xml:space="preserve"> Even strong leadership is constrained by staffing levels, meaning improvements in morale may not be sustained under ongoing pressure.</w:t>
      </w:r>
    </w:p>
    <w:p w14:paraId="2CB679EE" w14:textId="4847AC74" w:rsidR="00C04893" w:rsidRPr="000B22BE" w:rsidRDefault="00C04893" w:rsidP="000B22BE">
      <w:pPr>
        <w:spacing w:line="360" w:lineRule="auto"/>
        <w:rPr>
          <w:rFonts w:ascii="Arial" w:hAnsi="Arial" w:cs="Arial"/>
          <w:color w:val="000000" w:themeColor="text1"/>
        </w:rPr>
      </w:pPr>
      <w:r w:rsidRPr="000B22BE">
        <w:rPr>
          <w:rFonts w:ascii="Arial" w:hAnsi="Arial" w:cs="Arial"/>
          <w:color w:val="000000" w:themeColor="text1"/>
        </w:rPr>
        <w:t xml:space="preserve">Workforce planning and flexible working improve efficiency and </w:t>
      </w:r>
      <w:r w:rsidR="00CF41F5" w:rsidRPr="000B22BE">
        <w:rPr>
          <w:rFonts w:ascii="Arial" w:hAnsi="Arial" w:cs="Arial"/>
          <w:color w:val="000000" w:themeColor="text1"/>
        </w:rPr>
        <w:t>well-being</w:t>
      </w:r>
      <w:r w:rsidRPr="000B22BE">
        <w:rPr>
          <w:rFonts w:ascii="Arial" w:hAnsi="Arial" w:cs="Arial"/>
          <w:color w:val="000000" w:themeColor="text1"/>
        </w:rPr>
        <w:t>, but their impact is restricted by funding and training capacity. Long-term strategies such as domestic workforce expansion require time and investment</w:t>
      </w:r>
      <w:r w:rsidR="006E31E5" w:rsidRPr="000B22BE">
        <w:rPr>
          <w:rFonts w:ascii="Arial" w:hAnsi="Arial" w:cs="Arial"/>
          <w:color w:val="000000" w:themeColor="text1"/>
        </w:rPr>
        <w:t xml:space="preserve"> (Aamena </w:t>
      </w:r>
      <w:proofErr w:type="spellStart"/>
      <w:r w:rsidR="006E31E5" w:rsidRPr="000B22BE">
        <w:rPr>
          <w:rFonts w:ascii="Arial" w:hAnsi="Arial" w:cs="Arial"/>
          <w:color w:val="000000" w:themeColor="text1"/>
        </w:rPr>
        <w:t>Bharmal</w:t>
      </w:r>
      <w:proofErr w:type="spellEnd"/>
      <w:r w:rsidR="006E31E5" w:rsidRPr="000B22BE">
        <w:rPr>
          <w:rFonts w:ascii="Arial" w:hAnsi="Arial" w:cs="Arial"/>
          <w:color w:val="000000" w:themeColor="text1"/>
        </w:rPr>
        <w:t xml:space="preserve"> et al., 2024)</w:t>
      </w:r>
      <w:r w:rsidRPr="000B22BE">
        <w:rPr>
          <w:rFonts w:ascii="Arial" w:hAnsi="Arial" w:cs="Arial"/>
          <w:color w:val="000000" w:themeColor="text1"/>
        </w:rPr>
        <w:t>. Meanwhile, international recruitment may provide short-term relief but raises ethical and sustainability concerns.</w:t>
      </w:r>
    </w:p>
    <w:p w14:paraId="6F7058EE" w14:textId="77777777" w:rsidR="00C04893" w:rsidRPr="000B22BE" w:rsidRDefault="00C04893" w:rsidP="000B22BE">
      <w:pPr>
        <w:spacing w:line="360" w:lineRule="auto"/>
        <w:rPr>
          <w:rFonts w:ascii="Arial" w:hAnsi="Arial" w:cs="Arial"/>
          <w:color w:val="000000" w:themeColor="text1"/>
        </w:rPr>
      </w:pPr>
      <w:r w:rsidRPr="000B22BE">
        <w:rPr>
          <w:rFonts w:ascii="Arial" w:hAnsi="Arial" w:cs="Arial"/>
          <w:color w:val="000000" w:themeColor="text1"/>
        </w:rPr>
        <w:t>Policy alignment through the NHS Long Term Workforce Plan (NHS England, 2023) supports a “train, retain, reform” approach, but implementation is often limited by funding pressures and rising demand, creating a gap between policy and practice.</w:t>
      </w:r>
    </w:p>
    <w:p w14:paraId="44108883" w14:textId="49D7D08A" w:rsidR="00C04893" w:rsidRPr="000B22BE" w:rsidRDefault="00C04893" w:rsidP="000B22BE">
      <w:pPr>
        <w:spacing w:line="360" w:lineRule="auto"/>
        <w:rPr>
          <w:rFonts w:ascii="Arial" w:hAnsi="Arial" w:cs="Arial"/>
          <w:color w:val="000000" w:themeColor="text1"/>
        </w:rPr>
      </w:pPr>
      <w:r w:rsidRPr="000B22BE">
        <w:rPr>
          <w:rFonts w:ascii="Arial" w:hAnsi="Arial" w:cs="Arial"/>
          <w:color w:val="000000" w:themeColor="text1"/>
        </w:rPr>
        <w:t>Taken together, current strategies are largely reactive rather than transformative. While they ease immediate pressures, they do not fully resolve structural workforce challenges. Long-term sustainability requires integrated reform combining workforce investment, improved funding, and system-wide change.</w:t>
      </w:r>
    </w:p>
    <w:p w14:paraId="4357E79B" w14:textId="77777777" w:rsidR="00664619" w:rsidRPr="000B22BE" w:rsidRDefault="00664619" w:rsidP="000B22BE">
      <w:pPr>
        <w:spacing w:line="360" w:lineRule="auto"/>
        <w:rPr>
          <w:rFonts w:ascii="Arial" w:hAnsi="Arial" w:cs="Arial"/>
          <w:color w:val="000000" w:themeColor="text1"/>
        </w:rPr>
      </w:pPr>
    </w:p>
    <w:p w14:paraId="01043FA1" w14:textId="77777777" w:rsidR="00EC4B21" w:rsidRPr="000B22BE" w:rsidRDefault="00EC4B21" w:rsidP="000B22BE">
      <w:pPr>
        <w:pStyle w:val="Heading2"/>
        <w:spacing w:line="360" w:lineRule="auto"/>
        <w:rPr>
          <w:rFonts w:ascii="Arial" w:hAnsi="Arial" w:cs="Arial"/>
          <w:color w:val="000000" w:themeColor="text1"/>
          <w:sz w:val="24"/>
          <w:szCs w:val="24"/>
        </w:rPr>
      </w:pPr>
      <w:bookmarkStart w:id="13" w:name="_Toc228784907"/>
      <w:r w:rsidRPr="000B22BE">
        <w:rPr>
          <w:rFonts w:ascii="Arial" w:hAnsi="Arial" w:cs="Arial"/>
          <w:color w:val="000000" w:themeColor="text1"/>
          <w:sz w:val="24"/>
          <w:szCs w:val="24"/>
        </w:rPr>
        <w:t>4.4 Wider System Impact</w:t>
      </w:r>
      <w:bookmarkEnd w:id="13"/>
    </w:p>
    <w:p w14:paraId="73168B0F" w14:textId="5966AD04" w:rsidR="00664619" w:rsidRPr="000B22BE" w:rsidRDefault="00C31CBD" w:rsidP="000B22BE">
      <w:pPr>
        <w:spacing w:line="360" w:lineRule="auto"/>
        <w:rPr>
          <w:rFonts w:ascii="Arial" w:hAnsi="Arial" w:cs="Arial"/>
          <w:color w:val="000000" w:themeColor="text1"/>
        </w:rPr>
      </w:pPr>
      <w:r w:rsidRPr="000B22BE">
        <w:rPr>
          <w:rFonts w:ascii="Arial" w:hAnsi="Arial" w:cs="Arial"/>
          <w:color w:val="000000" w:themeColor="text1"/>
        </w:rPr>
        <w:t xml:space="preserve">Workforce shortages also extend beyond individual healthcare settings and have wider system-level consequences across the health and social care system. Evidence shows that lower registered nurse staffing levels are strongly associated with negative patient outcomes, including increased risk of death, hospital-acquired infections, and missed care (Griffiths et al., 2025). This is particularly concerning given NHS workforce data showing that, as of March 2022, approximately 10% of nursing posts in acute settings were vacant, totalling 38,972 vacancies, highlighting the scale of persistent staffing shortages. These pressures reduce the ability of staff </w:t>
      </w:r>
      <w:r w:rsidRPr="000B22BE">
        <w:rPr>
          <w:rFonts w:ascii="Arial" w:hAnsi="Arial" w:cs="Arial"/>
          <w:color w:val="000000" w:themeColor="text1"/>
        </w:rPr>
        <w:lastRenderedPageBreak/>
        <w:t>to deliver safe and timely care due to increased workload and reduced capacity for essential tasks such as patient monitoring and care delivery. As a result, demand increases on emergency departments, as patients are more likely to seek urgent care when routine services are less accessible, while delayed discharges also place additional strain on social care services. Financial pressure is further intensified by greater reliance on temporary staffing, which is significantly more expensive than permanent workforce models. All things considered, this demonstrates that workforce shortages are interconnected system-wide issues that impact patient safety, service efficiency, and long-term sustainability across the healthcare system.</w:t>
      </w:r>
    </w:p>
    <w:p w14:paraId="64D85267" w14:textId="77777777" w:rsidR="00664619" w:rsidRPr="000B22BE" w:rsidRDefault="00664619" w:rsidP="000B22BE">
      <w:pPr>
        <w:spacing w:line="360" w:lineRule="auto"/>
        <w:rPr>
          <w:rFonts w:ascii="Arial" w:hAnsi="Arial" w:cs="Arial"/>
          <w:color w:val="000000" w:themeColor="text1"/>
        </w:rPr>
      </w:pPr>
    </w:p>
    <w:p w14:paraId="6AA95240" w14:textId="77777777" w:rsidR="00C31CBD" w:rsidRPr="000B22BE" w:rsidRDefault="00C31CBD" w:rsidP="000B22BE">
      <w:pPr>
        <w:pStyle w:val="Heading1"/>
        <w:spacing w:line="360" w:lineRule="auto"/>
        <w:rPr>
          <w:rFonts w:ascii="Arial" w:hAnsi="Arial" w:cs="Arial"/>
          <w:color w:val="000000" w:themeColor="text1"/>
          <w:sz w:val="24"/>
          <w:szCs w:val="24"/>
        </w:rPr>
      </w:pPr>
      <w:bookmarkStart w:id="14" w:name="_Toc228784908"/>
      <w:r w:rsidRPr="000B22BE">
        <w:rPr>
          <w:rFonts w:ascii="Arial" w:hAnsi="Arial" w:cs="Arial"/>
          <w:color w:val="000000" w:themeColor="text1"/>
          <w:sz w:val="24"/>
          <w:szCs w:val="24"/>
        </w:rPr>
        <w:t>5. Impact on Service Users</w:t>
      </w:r>
      <w:bookmarkEnd w:id="14"/>
    </w:p>
    <w:p w14:paraId="243B6C3F" w14:textId="4AEFAF61" w:rsidR="00C04893" w:rsidRPr="000B22BE" w:rsidRDefault="00CF41F5" w:rsidP="000B22BE">
      <w:pPr>
        <w:spacing w:line="360" w:lineRule="auto"/>
        <w:rPr>
          <w:rFonts w:ascii="Arial" w:hAnsi="Arial" w:cs="Arial"/>
          <w:color w:val="000000" w:themeColor="text1"/>
        </w:rPr>
      </w:pPr>
      <w:r w:rsidRPr="000B22BE">
        <w:rPr>
          <w:rFonts w:ascii="Arial" w:hAnsi="Arial" w:cs="Arial"/>
          <w:color w:val="000000" w:themeColor="text1"/>
        </w:rPr>
        <w:t>Iacobucci (2021) argues that p</w:t>
      </w:r>
      <w:r w:rsidR="00C31CBD" w:rsidRPr="000B22BE">
        <w:rPr>
          <w:rFonts w:ascii="Arial" w:hAnsi="Arial" w:cs="Arial"/>
          <w:color w:val="000000" w:themeColor="text1"/>
        </w:rPr>
        <w:t>atients are directly affected by workforce shortages and staff burnout in several important ways. One of the main impacts is longer waiting times for treatment, as reduced staffing makes it harder to meet patient demand efficiently. This can also lead to cancelled or postponed appointments, which delays care and can worsen health conditions. In addition, shortages often reduce continuity of care, meaning patients may see different healthcare professionals throughout their treatment, resulting in more fragmented care pathways. These disruptions can increase patient anxiety and reduce trust in healthcare services.</w:t>
      </w:r>
    </w:p>
    <w:p w14:paraId="6214F80C" w14:textId="77777777" w:rsidR="004549F2" w:rsidRPr="000B22BE" w:rsidRDefault="004549F2" w:rsidP="000B22BE">
      <w:pPr>
        <w:spacing w:line="360" w:lineRule="auto"/>
        <w:rPr>
          <w:rFonts w:ascii="Arial" w:hAnsi="Arial" w:cs="Arial"/>
          <w:b/>
          <w:bCs/>
          <w:color w:val="000000" w:themeColor="text1"/>
        </w:rPr>
      </w:pPr>
    </w:p>
    <w:p w14:paraId="1656F108" w14:textId="68280356" w:rsidR="00C04893" w:rsidRPr="000B22BE" w:rsidRDefault="00C04893" w:rsidP="000B22BE">
      <w:pPr>
        <w:pStyle w:val="Heading1"/>
        <w:spacing w:line="360" w:lineRule="auto"/>
        <w:rPr>
          <w:rFonts w:ascii="Arial" w:hAnsi="Arial" w:cs="Arial"/>
          <w:color w:val="000000" w:themeColor="text1"/>
          <w:sz w:val="24"/>
          <w:szCs w:val="24"/>
        </w:rPr>
      </w:pPr>
      <w:bookmarkStart w:id="15" w:name="_Toc228784909"/>
      <w:r w:rsidRPr="000B22BE">
        <w:rPr>
          <w:rFonts w:ascii="Arial" w:hAnsi="Arial" w:cs="Arial"/>
          <w:color w:val="000000" w:themeColor="text1"/>
          <w:sz w:val="24"/>
          <w:szCs w:val="24"/>
        </w:rPr>
        <w:t>6. Conclusion</w:t>
      </w:r>
      <w:bookmarkEnd w:id="15"/>
    </w:p>
    <w:p w14:paraId="2D805317" w14:textId="6E999E33" w:rsidR="00C04893" w:rsidRPr="000B22BE" w:rsidRDefault="00C04893" w:rsidP="000B22BE">
      <w:pPr>
        <w:spacing w:line="360" w:lineRule="auto"/>
        <w:rPr>
          <w:rFonts w:ascii="Arial" w:hAnsi="Arial" w:cs="Arial"/>
          <w:color w:val="000000" w:themeColor="text1"/>
        </w:rPr>
      </w:pPr>
      <w:r w:rsidRPr="000B22BE">
        <w:rPr>
          <w:rFonts w:ascii="Arial" w:hAnsi="Arial" w:cs="Arial"/>
          <w:color w:val="000000" w:themeColor="text1"/>
        </w:rPr>
        <w:t>In conclusion, workforce shortages and staff burnout represent a significant and ongoing strategic challenge for the National Health Service. This report has demonstrated that these issues are deeply interconnected, with staffing shortages increasing workload pressures that contribute to burnout, which in turn further worsens retention and staffing capacity. As a result, the NHS experiences a continuous cycle that negatively impacts service efficiency, patient safety, and overall system sustainability.</w:t>
      </w:r>
    </w:p>
    <w:p w14:paraId="2F0055F9" w14:textId="77777777" w:rsidR="00C04893" w:rsidRPr="000B22BE" w:rsidRDefault="00C04893" w:rsidP="000B22BE">
      <w:pPr>
        <w:spacing w:line="360" w:lineRule="auto"/>
        <w:rPr>
          <w:rFonts w:ascii="Arial" w:hAnsi="Arial" w:cs="Arial"/>
          <w:color w:val="000000" w:themeColor="text1"/>
        </w:rPr>
      </w:pPr>
      <w:r w:rsidRPr="000B22BE">
        <w:rPr>
          <w:rFonts w:ascii="Arial" w:hAnsi="Arial" w:cs="Arial"/>
          <w:color w:val="000000" w:themeColor="text1"/>
        </w:rPr>
        <w:lastRenderedPageBreak/>
        <w:t>The evaluation of strategic responses shows that approaches such as retention strategies, transformational leadership, workforce planning, and policy alignment all provide important short-term benefits, including improved staff wellbeing, reduced turnover, and enhanced service delivery. However, their long-term effectiveness is limited by structural constraints such as funding pressures, increasing demand, and insufficient workforce supply. This highlights that many current interventions address the symptoms of workforce challenges rather than their root causes.</w:t>
      </w:r>
    </w:p>
    <w:p w14:paraId="3AEF0946" w14:textId="7422DDE6" w:rsidR="00C04893" w:rsidRPr="000B22BE" w:rsidRDefault="00C04893" w:rsidP="000B22BE">
      <w:pPr>
        <w:spacing w:line="360" w:lineRule="auto"/>
        <w:rPr>
          <w:rFonts w:ascii="Arial" w:hAnsi="Arial" w:cs="Arial"/>
          <w:color w:val="000000" w:themeColor="text1"/>
        </w:rPr>
      </w:pPr>
      <w:r w:rsidRPr="000B22BE">
        <w:rPr>
          <w:rFonts w:ascii="Arial" w:hAnsi="Arial" w:cs="Arial"/>
          <w:color w:val="000000" w:themeColor="text1"/>
        </w:rPr>
        <w:t xml:space="preserve">Furthermore, the wider system impact demonstrates that workforce shortages extend beyond individual organisations, affecting emergency services, social care provision, and national healthcare costs. Patients are also significantly affected </w:t>
      </w:r>
      <w:r w:rsidR="00E752EA" w:rsidRPr="000B22BE">
        <w:rPr>
          <w:rFonts w:ascii="Arial" w:hAnsi="Arial" w:cs="Arial"/>
          <w:color w:val="000000" w:themeColor="text1"/>
        </w:rPr>
        <w:t>by</w:t>
      </w:r>
      <w:r w:rsidRPr="000B22BE">
        <w:rPr>
          <w:rFonts w:ascii="Arial" w:hAnsi="Arial" w:cs="Arial"/>
          <w:color w:val="000000" w:themeColor="text1"/>
        </w:rPr>
        <w:t xml:space="preserve"> longer waiting times, reduced continuity of care, and lower overall satisfaction.</w:t>
      </w:r>
    </w:p>
    <w:p w14:paraId="7F4397C5" w14:textId="77777777" w:rsidR="00C04893" w:rsidRPr="000B22BE" w:rsidRDefault="00C04893" w:rsidP="000B22BE">
      <w:pPr>
        <w:spacing w:line="360" w:lineRule="auto"/>
        <w:rPr>
          <w:rFonts w:ascii="Arial" w:hAnsi="Arial" w:cs="Arial"/>
          <w:color w:val="000000" w:themeColor="text1"/>
        </w:rPr>
      </w:pPr>
      <w:r w:rsidRPr="000B22BE">
        <w:rPr>
          <w:rFonts w:ascii="Arial" w:hAnsi="Arial" w:cs="Arial"/>
          <w:color w:val="000000" w:themeColor="text1"/>
        </w:rPr>
        <w:t>Therefore, while current strategies are necessary to manage immediate pressures, long-term sustainability requires a more transformative and integrated approach. This includes sustained investment in workforce development, improved funding models, and long-term strategic planning to ensure a resilient, stable, and effective healthcare workforce for the future.</w:t>
      </w:r>
    </w:p>
    <w:p w14:paraId="53B1BE22" w14:textId="77777777" w:rsidR="004549F2" w:rsidRPr="000B22BE" w:rsidRDefault="004549F2" w:rsidP="00DF7F91">
      <w:pPr>
        <w:spacing w:line="360" w:lineRule="auto"/>
        <w:rPr>
          <w:rFonts w:ascii="Arial" w:hAnsi="Arial" w:cs="Arial"/>
          <w:color w:val="000000" w:themeColor="text1"/>
        </w:rPr>
      </w:pPr>
    </w:p>
    <w:p w14:paraId="75CC257A" w14:textId="77777777" w:rsidR="004549F2" w:rsidRPr="000B22BE" w:rsidRDefault="004549F2" w:rsidP="00DF7F91">
      <w:pPr>
        <w:spacing w:line="360" w:lineRule="auto"/>
        <w:rPr>
          <w:rFonts w:ascii="Arial" w:hAnsi="Arial" w:cs="Arial"/>
          <w:color w:val="000000" w:themeColor="text1"/>
        </w:rPr>
      </w:pPr>
    </w:p>
    <w:p w14:paraId="59676530" w14:textId="77777777" w:rsidR="00602650" w:rsidRPr="000B22BE" w:rsidRDefault="00602650" w:rsidP="00DF7F91">
      <w:pPr>
        <w:spacing w:line="360" w:lineRule="auto"/>
        <w:rPr>
          <w:rFonts w:ascii="Arial" w:hAnsi="Arial" w:cs="Arial"/>
          <w:color w:val="000000" w:themeColor="text1"/>
        </w:rPr>
      </w:pPr>
    </w:p>
    <w:p w14:paraId="6137BAFE" w14:textId="77777777" w:rsidR="000B22BE" w:rsidRPr="000B22BE" w:rsidRDefault="000B22BE" w:rsidP="00DF7F91">
      <w:pPr>
        <w:spacing w:line="360" w:lineRule="auto"/>
        <w:rPr>
          <w:rFonts w:ascii="Arial" w:hAnsi="Arial" w:cs="Arial"/>
          <w:color w:val="000000" w:themeColor="text1"/>
        </w:rPr>
      </w:pPr>
    </w:p>
    <w:p w14:paraId="4BE344BF" w14:textId="77777777" w:rsidR="000B22BE" w:rsidRPr="000B22BE" w:rsidRDefault="000B22BE" w:rsidP="00DF7F91">
      <w:pPr>
        <w:spacing w:line="360" w:lineRule="auto"/>
        <w:rPr>
          <w:rFonts w:ascii="Arial" w:hAnsi="Arial" w:cs="Arial"/>
          <w:color w:val="000000" w:themeColor="text1"/>
        </w:rPr>
      </w:pPr>
    </w:p>
    <w:p w14:paraId="3E8C9B8A" w14:textId="77777777" w:rsidR="000B22BE" w:rsidRPr="000B22BE" w:rsidRDefault="000B22BE" w:rsidP="00DF7F91">
      <w:pPr>
        <w:spacing w:line="360" w:lineRule="auto"/>
        <w:rPr>
          <w:rFonts w:ascii="Arial" w:hAnsi="Arial" w:cs="Arial"/>
          <w:color w:val="000000" w:themeColor="text1"/>
        </w:rPr>
      </w:pPr>
    </w:p>
    <w:p w14:paraId="01A0703A" w14:textId="77777777" w:rsidR="000B22BE" w:rsidRPr="000B22BE" w:rsidRDefault="000B22BE" w:rsidP="00DF7F91">
      <w:pPr>
        <w:spacing w:line="360" w:lineRule="auto"/>
        <w:rPr>
          <w:rFonts w:ascii="Arial" w:hAnsi="Arial" w:cs="Arial"/>
          <w:color w:val="000000" w:themeColor="text1"/>
        </w:rPr>
      </w:pPr>
    </w:p>
    <w:p w14:paraId="671C7F67" w14:textId="77777777" w:rsidR="000B22BE" w:rsidRPr="000B22BE" w:rsidRDefault="000B22BE" w:rsidP="00DF7F91">
      <w:pPr>
        <w:spacing w:line="360" w:lineRule="auto"/>
        <w:rPr>
          <w:rFonts w:ascii="Arial" w:hAnsi="Arial" w:cs="Arial"/>
          <w:color w:val="000000" w:themeColor="text1"/>
        </w:rPr>
      </w:pPr>
    </w:p>
    <w:p w14:paraId="6B062032" w14:textId="77777777" w:rsidR="000B22BE" w:rsidRPr="000B22BE" w:rsidRDefault="000B22BE" w:rsidP="00DF7F91">
      <w:pPr>
        <w:spacing w:line="360" w:lineRule="auto"/>
        <w:rPr>
          <w:rFonts w:ascii="Arial" w:hAnsi="Arial" w:cs="Arial"/>
          <w:color w:val="000000" w:themeColor="text1"/>
        </w:rPr>
      </w:pPr>
    </w:p>
    <w:p w14:paraId="631A102A" w14:textId="77777777" w:rsidR="000B22BE" w:rsidRPr="000B22BE" w:rsidRDefault="000B22BE" w:rsidP="00DF7F91">
      <w:pPr>
        <w:spacing w:line="360" w:lineRule="auto"/>
        <w:rPr>
          <w:rFonts w:ascii="Arial" w:hAnsi="Arial" w:cs="Arial"/>
          <w:color w:val="000000" w:themeColor="text1"/>
        </w:rPr>
      </w:pPr>
    </w:p>
    <w:p w14:paraId="47D79A16" w14:textId="77777777" w:rsidR="000B22BE" w:rsidRPr="000B22BE" w:rsidRDefault="000B22BE" w:rsidP="00DF7F91">
      <w:pPr>
        <w:spacing w:line="360" w:lineRule="auto"/>
        <w:rPr>
          <w:rFonts w:ascii="Arial" w:hAnsi="Arial" w:cs="Arial"/>
          <w:color w:val="000000" w:themeColor="text1"/>
        </w:rPr>
      </w:pPr>
    </w:p>
    <w:p w14:paraId="67723653" w14:textId="5E15C71D" w:rsidR="004549F2" w:rsidRPr="000B22BE" w:rsidRDefault="004549F2" w:rsidP="00602650">
      <w:pPr>
        <w:pStyle w:val="Heading1"/>
        <w:rPr>
          <w:rFonts w:ascii="Arial" w:hAnsi="Arial" w:cs="Arial"/>
          <w:color w:val="000000" w:themeColor="text1"/>
          <w:sz w:val="24"/>
          <w:szCs w:val="24"/>
        </w:rPr>
      </w:pPr>
      <w:bookmarkStart w:id="16" w:name="_Toc228784910"/>
      <w:r w:rsidRPr="000B22BE">
        <w:rPr>
          <w:rFonts w:ascii="Arial" w:hAnsi="Arial" w:cs="Arial"/>
          <w:color w:val="000000" w:themeColor="text1"/>
          <w:sz w:val="24"/>
          <w:szCs w:val="24"/>
        </w:rPr>
        <w:lastRenderedPageBreak/>
        <w:t>Reference list:</w:t>
      </w:r>
      <w:bookmarkEnd w:id="16"/>
    </w:p>
    <w:p w14:paraId="108314F4" w14:textId="77777777" w:rsidR="000B22BE" w:rsidRPr="000B22BE" w:rsidRDefault="000B22BE" w:rsidP="004A6A72">
      <w:pPr>
        <w:spacing w:line="360" w:lineRule="auto"/>
        <w:rPr>
          <w:rFonts w:ascii="Arial" w:hAnsi="Arial" w:cs="Arial"/>
          <w:color w:val="000000" w:themeColor="text1"/>
        </w:rPr>
      </w:pPr>
    </w:p>
    <w:p w14:paraId="0FC77C6E" w14:textId="77777777" w:rsidR="000B22BE" w:rsidRPr="000B22BE" w:rsidRDefault="000B22BE" w:rsidP="000B22BE">
      <w:pPr>
        <w:spacing w:line="240" w:lineRule="auto"/>
        <w:rPr>
          <w:rFonts w:ascii="Arial" w:hAnsi="Arial" w:cs="Arial"/>
          <w:color w:val="000000" w:themeColor="text1"/>
        </w:rPr>
      </w:pPr>
      <w:r w:rsidRPr="000B22BE">
        <w:rPr>
          <w:rFonts w:ascii="Arial" w:hAnsi="Arial" w:cs="Arial"/>
          <w:color w:val="000000" w:themeColor="text1"/>
        </w:rPr>
        <w:t xml:space="preserve">Aamena Bharmal, Parekh, R., Maini, A., Pinder, R. and Majeed, A. (2024). </w:t>
      </w:r>
      <w:proofErr w:type="spellStart"/>
      <w:r w:rsidRPr="000B22BE">
        <w:rPr>
          <w:rFonts w:ascii="Arial" w:hAnsi="Arial" w:cs="Arial"/>
          <w:color w:val="000000" w:themeColor="text1"/>
        </w:rPr>
        <w:t>The</w:t>
      </w:r>
      <w:r w:rsidRPr="000B22BE">
        <w:rPr>
          <w:rFonts w:ascii="Arial" w:hAnsi="Arial" w:cs="Arial"/>
          <w:i/>
          <w:iCs/>
          <w:color w:val="000000" w:themeColor="text1"/>
        </w:rPr>
        <w:t>NHS</w:t>
      </w:r>
      <w:proofErr w:type="spellEnd"/>
      <w:r w:rsidRPr="000B22BE">
        <w:rPr>
          <w:rFonts w:ascii="Arial" w:hAnsi="Arial" w:cs="Arial"/>
          <w:i/>
          <w:iCs/>
          <w:color w:val="000000" w:themeColor="text1"/>
        </w:rPr>
        <w:t xml:space="preserve"> Long Term Workforce Plan</w:t>
      </w:r>
      <w:r w:rsidRPr="000B22BE">
        <w:rPr>
          <w:rFonts w:ascii="Arial" w:hAnsi="Arial" w:cs="Arial"/>
          <w:color w:val="000000" w:themeColor="text1"/>
        </w:rPr>
        <w:t xml:space="preserve">: what does this mean for general </w:t>
      </w:r>
      <w:proofErr w:type="gramStart"/>
      <w:r w:rsidRPr="000B22BE">
        <w:rPr>
          <w:rFonts w:ascii="Arial" w:hAnsi="Arial" w:cs="Arial"/>
          <w:color w:val="000000" w:themeColor="text1"/>
        </w:rPr>
        <w:t>practices?.</w:t>
      </w:r>
      <w:proofErr w:type="gramEnd"/>
      <w:r w:rsidRPr="000B22BE">
        <w:rPr>
          <w:rFonts w:ascii="Arial" w:hAnsi="Arial" w:cs="Arial"/>
          <w:color w:val="000000" w:themeColor="text1"/>
        </w:rPr>
        <w:t xml:space="preserve"> </w:t>
      </w:r>
      <w:r w:rsidRPr="000B22BE">
        <w:rPr>
          <w:rFonts w:ascii="Arial" w:hAnsi="Arial" w:cs="Arial"/>
          <w:i/>
          <w:iCs/>
          <w:color w:val="000000" w:themeColor="text1"/>
        </w:rPr>
        <w:t>British journal of general practice</w:t>
      </w:r>
      <w:r w:rsidRPr="000B22BE">
        <w:rPr>
          <w:rFonts w:ascii="Arial" w:hAnsi="Arial" w:cs="Arial"/>
          <w:color w:val="000000" w:themeColor="text1"/>
        </w:rPr>
        <w:t xml:space="preserve">, 74(742), pp.198–199. Available at: https://doi.org/10.3399/bjgp24x737073. </w:t>
      </w:r>
    </w:p>
    <w:p w14:paraId="72FD4CBE" w14:textId="77777777" w:rsidR="000B22BE" w:rsidRPr="000B22BE" w:rsidRDefault="000B22BE" w:rsidP="000B22BE">
      <w:pPr>
        <w:spacing w:line="240" w:lineRule="auto"/>
        <w:rPr>
          <w:rFonts w:ascii="Arial" w:hAnsi="Arial" w:cs="Arial"/>
          <w:color w:val="000000" w:themeColor="text1"/>
        </w:rPr>
      </w:pPr>
      <w:r w:rsidRPr="000B22BE">
        <w:rPr>
          <w:rFonts w:ascii="Arial" w:hAnsi="Arial" w:cs="Arial"/>
          <w:color w:val="000000" w:themeColor="text1"/>
        </w:rPr>
        <w:t xml:space="preserve">Andah, E., Ahsan, M., Lee, R., Brewin, E. and Ahmed, K. (2018). The Social Network: a concept to improve the quality of life for an ageing population while reducing loading on the NHS. </w:t>
      </w:r>
      <w:r w:rsidRPr="000B22BE">
        <w:rPr>
          <w:rFonts w:ascii="Arial" w:hAnsi="Arial" w:cs="Arial"/>
          <w:i/>
          <w:iCs/>
          <w:color w:val="000000" w:themeColor="text1"/>
        </w:rPr>
        <w:t>BMJ Innovations</w:t>
      </w:r>
      <w:r w:rsidRPr="000B22BE">
        <w:rPr>
          <w:rFonts w:ascii="Arial" w:hAnsi="Arial" w:cs="Arial"/>
          <w:color w:val="000000" w:themeColor="text1"/>
        </w:rPr>
        <w:t xml:space="preserve">, 4(2), pp.51–53. Available at: https://doi.org/10.1136/bmjinnov-2017-000200. </w:t>
      </w:r>
    </w:p>
    <w:p w14:paraId="7A760B7B" w14:textId="77777777" w:rsidR="000B22BE" w:rsidRPr="000B22BE" w:rsidRDefault="000B22BE" w:rsidP="000B22BE">
      <w:pPr>
        <w:spacing w:line="240" w:lineRule="auto"/>
        <w:rPr>
          <w:rFonts w:ascii="Arial" w:hAnsi="Arial" w:cs="Arial"/>
          <w:color w:val="000000" w:themeColor="text1"/>
        </w:rPr>
      </w:pPr>
      <w:r w:rsidRPr="000B22BE">
        <w:rPr>
          <w:rFonts w:ascii="Arial" w:hAnsi="Arial" w:cs="Arial"/>
          <w:color w:val="000000" w:themeColor="text1"/>
        </w:rPr>
        <w:t xml:space="preserve">Bader, B., </w:t>
      </w:r>
      <w:proofErr w:type="spellStart"/>
      <w:r w:rsidRPr="000B22BE">
        <w:rPr>
          <w:rFonts w:ascii="Arial" w:hAnsi="Arial" w:cs="Arial"/>
          <w:color w:val="000000" w:themeColor="text1"/>
        </w:rPr>
        <w:t>Gielnik</w:t>
      </w:r>
      <w:proofErr w:type="spellEnd"/>
      <w:r w:rsidRPr="000B22BE">
        <w:rPr>
          <w:rFonts w:ascii="Arial" w:hAnsi="Arial" w:cs="Arial"/>
          <w:color w:val="000000" w:themeColor="text1"/>
        </w:rPr>
        <w:t xml:space="preserve">, M.M. and </w:t>
      </w:r>
      <w:proofErr w:type="spellStart"/>
      <w:r w:rsidRPr="000B22BE">
        <w:rPr>
          <w:rFonts w:ascii="Arial" w:hAnsi="Arial" w:cs="Arial"/>
          <w:color w:val="000000" w:themeColor="text1"/>
        </w:rPr>
        <w:t>Bledow</w:t>
      </w:r>
      <w:proofErr w:type="spellEnd"/>
      <w:r w:rsidRPr="000B22BE">
        <w:rPr>
          <w:rFonts w:ascii="Arial" w:hAnsi="Arial" w:cs="Arial"/>
          <w:color w:val="000000" w:themeColor="text1"/>
        </w:rPr>
        <w:t xml:space="preserve">, R. (2022). How transformational leadership transforms followers’ affect and work engagement. </w:t>
      </w:r>
      <w:r w:rsidRPr="000B22BE">
        <w:rPr>
          <w:rFonts w:ascii="Arial" w:hAnsi="Arial" w:cs="Arial"/>
          <w:i/>
          <w:iCs/>
          <w:color w:val="000000" w:themeColor="text1"/>
        </w:rPr>
        <w:t>European Journal of Work and Organizational Psychology</w:t>
      </w:r>
      <w:r w:rsidRPr="000B22BE">
        <w:rPr>
          <w:rFonts w:ascii="Arial" w:hAnsi="Arial" w:cs="Arial"/>
          <w:color w:val="000000" w:themeColor="text1"/>
        </w:rPr>
        <w:t xml:space="preserve">, 32(3), pp.1–13. Available at: https://doi.org/10.1080/1359432x.2022.2161368. </w:t>
      </w:r>
    </w:p>
    <w:p w14:paraId="1DA374A2" w14:textId="01CCCA4B" w:rsidR="000B22BE" w:rsidRPr="000B22BE" w:rsidRDefault="000B22BE" w:rsidP="000B22BE">
      <w:pPr>
        <w:spacing w:line="240" w:lineRule="auto"/>
        <w:rPr>
          <w:rFonts w:ascii="Arial" w:hAnsi="Arial" w:cs="Arial"/>
          <w:color w:val="000000" w:themeColor="text1"/>
        </w:rPr>
      </w:pPr>
      <w:r w:rsidRPr="000B22BE">
        <w:rPr>
          <w:rFonts w:ascii="Arial" w:hAnsi="Arial" w:cs="Arial"/>
          <w:color w:val="000000" w:themeColor="text1"/>
        </w:rPr>
        <w:t xml:space="preserve">Bennett, S.R. (2023). Changes in Healthcare During the Past 30 Years: Can the National Health Service in the United Kingdom Survive? </w:t>
      </w:r>
      <w:r w:rsidRPr="000B22BE">
        <w:rPr>
          <w:rFonts w:ascii="Arial" w:hAnsi="Arial" w:cs="Arial"/>
          <w:i/>
          <w:iCs/>
          <w:color w:val="000000" w:themeColor="text1"/>
        </w:rPr>
        <w:t>Cureus</w:t>
      </w:r>
      <w:r w:rsidRPr="000B22BE">
        <w:rPr>
          <w:rFonts w:ascii="Arial" w:hAnsi="Arial" w:cs="Arial"/>
          <w:color w:val="000000" w:themeColor="text1"/>
        </w:rPr>
        <w:t>, 15(4). Available at: https://</w:t>
      </w:r>
      <w:r w:rsidR="00BE6DEF">
        <w:rPr>
          <w:rFonts w:ascii="Arial" w:hAnsi="Arial" w:cs="Arial"/>
          <w:color w:val="000000" w:themeColor="text1"/>
        </w:rPr>
        <w:t xml:space="preserve"> </w:t>
      </w:r>
      <w:r w:rsidRPr="000B22BE">
        <w:rPr>
          <w:rFonts w:ascii="Arial" w:hAnsi="Arial" w:cs="Arial"/>
          <w:color w:val="000000" w:themeColor="text1"/>
        </w:rPr>
        <w:t xml:space="preserve">doi.org/10.7759/cureus.38120. </w:t>
      </w:r>
    </w:p>
    <w:p w14:paraId="22BE2393" w14:textId="7A899CD1" w:rsidR="000B22BE" w:rsidRPr="000B22BE" w:rsidRDefault="000B22BE" w:rsidP="000B22BE">
      <w:pPr>
        <w:spacing w:line="240" w:lineRule="auto"/>
        <w:rPr>
          <w:rFonts w:ascii="Arial" w:hAnsi="Arial" w:cs="Arial"/>
          <w:color w:val="000000" w:themeColor="text1"/>
        </w:rPr>
      </w:pPr>
      <w:proofErr w:type="spellStart"/>
      <w:r w:rsidRPr="000B22BE">
        <w:rPr>
          <w:rFonts w:ascii="Arial" w:hAnsi="Arial" w:cs="Arial"/>
          <w:color w:val="000000" w:themeColor="text1"/>
        </w:rPr>
        <w:t>Bimpong</w:t>
      </w:r>
      <w:proofErr w:type="spellEnd"/>
      <w:r w:rsidRPr="000B22BE">
        <w:rPr>
          <w:rFonts w:ascii="Arial" w:hAnsi="Arial" w:cs="Arial"/>
          <w:color w:val="000000" w:themeColor="text1"/>
        </w:rPr>
        <w:t xml:space="preserve">, K.A.A., Khan, A., Slight, R., Tolley, C.L. and Slight, S.P. (2020). Relationship between Labour Force satisfaction, Wages and Retention within the Uk National Health service: a Systematic Review of the Literature. </w:t>
      </w:r>
      <w:r w:rsidRPr="000B22BE">
        <w:rPr>
          <w:rFonts w:ascii="Arial" w:hAnsi="Arial" w:cs="Arial"/>
          <w:i/>
          <w:iCs/>
          <w:color w:val="000000" w:themeColor="text1"/>
        </w:rPr>
        <w:t>BMJ Open</w:t>
      </w:r>
      <w:r w:rsidRPr="000B22BE">
        <w:rPr>
          <w:rFonts w:ascii="Arial" w:hAnsi="Arial" w:cs="Arial"/>
          <w:color w:val="000000" w:themeColor="text1"/>
        </w:rPr>
        <w:t xml:space="preserve">, 10(7), pp.1–7. Available at: https://doi:10.1136/bmjopen-2019-034919 </w:t>
      </w:r>
    </w:p>
    <w:p w14:paraId="73678522" w14:textId="46858C8D" w:rsidR="000B22BE" w:rsidRPr="000B22BE" w:rsidRDefault="000B22BE" w:rsidP="000B22BE">
      <w:pPr>
        <w:spacing w:line="240" w:lineRule="auto"/>
        <w:rPr>
          <w:rFonts w:ascii="Arial" w:hAnsi="Arial" w:cs="Arial"/>
          <w:color w:val="000000" w:themeColor="text1"/>
        </w:rPr>
      </w:pPr>
      <w:r w:rsidRPr="000B22BE">
        <w:rPr>
          <w:rFonts w:ascii="Arial" w:hAnsi="Arial" w:cs="Arial"/>
          <w:color w:val="000000" w:themeColor="text1"/>
        </w:rPr>
        <w:t xml:space="preserve">Chua, J. and </w:t>
      </w:r>
      <w:proofErr w:type="spellStart"/>
      <w:r w:rsidRPr="000B22BE">
        <w:rPr>
          <w:rFonts w:ascii="Arial" w:hAnsi="Arial" w:cs="Arial"/>
          <w:color w:val="000000" w:themeColor="text1"/>
        </w:rPr>
        <w:t>Ayoko</w:t>
      </w:r>
      <w:proofErr w:type="spellEnd"/>
      <w:r w:rsidRPr="000B22BE">
        <w:rPr>
          <w:rFonts w:ascii="Arial" w:hAnsi="Arial" w:cs="Arial"/>
          <w:color w:val="000000" w:themeColor="text1"/>
        </w:rPr>
        <w:t xml:space="preserve">, O.B. (2019). Employees’ self-determined motivation, transformational leadership and work engagement. </w:t>
      </w:r>
      <w:r w:rsidRPr="000B22BE">
        <w:rPr>
          <w:rFonts w:ascii="Arial" w:hAnsi="Arial" w:cs="Arial"/>
          <w:i/>
          <w:iCs/>
          <w:color w:val="000000" w:themeColor="text1"/>
        </w:rPr>
        <w:t>Journal of Management &amp; Organization</w:t>
      </w:r>
      <w:r w:rsidRPr="000B22BE">
        <w:rPr>
          <w:rFonts w:ascii="Arial" w:hAnsi="Arial" w:cs="Arial"/>
          <w:color w:val="000000" w:themeColor="text1"/>
        </w:rPr>
        <w:t>, 27(3), pp.1–21. Available at: https://doi.org/10.1017/jmo.2018.74.</w:t>
      </w:r>
    </w:p>
    <w:p w14:paraId="656B552C" w14:textId="77777777" w:rsidR="000B22BE" w:rsidRPr="000B22BE" w:rsidRDefault="000B22BE" w:rsidP="000B22BE">
      <w:pPr>
        <w:spacing w:line="240" w:lineRule="auto"/>
        <w:rPr>
          <w:rFonts w:ascii="Arial" w:hAnsi="Arial" w:cs="Arial"/>
          <w:color w:val="000000" w:themeColor="text1"/>
        </w:rPr>
      </w:pPr>
      <w:r w:rsidRPr="000B22BE">
        <w:rPr>
          <w:rFonts w:ascii="Arial" w:hAnsi="Arial" w:cs="Arial"/>
          <w:color w:val="000000" w:themeColor="text1"/>
        </w:rPr>
        <w:t xml:space="preserve">Deakin, M. (2022). NHS Workforce Shortages and Staff Burnout Are Taking a Toll. </w:t>
      </w:r>
      <w:r w:rsidRPr="000B22BE">
        <w:rPr>
          <w:rFonts w:ascii="Arial" w:hAnsi="Arial" w:cs="Arial"/>
          <w:i/>
          <w:iCs/>
          <w:color w:val="000000" w:themeColor="text1"/>
        </w:rPr>
        <w:t>British Medical Journal</w:t>
      </w:r>
      <w:r w:rsidRPr="000B22BE">
        <w:rPr>
          <w:rFonts w:ascii="Arial" w:hAnsi="Arial" w:cs="Arial"/>
          <w:color w:val="000000" w:themeColor="text1"/>
        </w:rPr>
        <w:t xml:space="preserve">, [online] 377(1), p.945. Available at: https://doi.org/10.1136/bmj.o945. </w:t>
      </w:r>
    </w:p>
    <w:p w14:paraId="61AF6182" w14:textId="407AEA91" w:rsidR="000B22BE" w:rsidRPr="000B22BE" w:rsidRDefault="000B22BE" w:rsidP="000B22BE">
      <w:pPr>
        <w:spacing w:line="240" w:lineRule="auto"/>
        <w:rPr>
          <w:rFonts w:ascii="Arial" w:hAnsi="Arial" w:cs="Arial"/>
          <w:color w:val="000000" w:themeColor="text1"/>
        </w:rPr>
      </w:pPr>
      <w:proofErr w:type="spellStart"/>
      <w:r w:rsidRPr="000B22BE">
        <w:rPr>
          <w:rFonts w:ascii="Arial" w:hAnsi="Arial" w:cs="Arial"/>
          <w:color w:val="000000" w:themeColor="text1"/>
        </w:rPr>
        <w:t>Džakula</w:t>
      </w:r>
      <w:proofErr w:type="spellEnd"/>
      <w:r w:rsidRPr="000B22BE">
        <w:rPr>
          <w:rFonts w:ascii="Arial" w:hAnsi="Arial" w:cs="Arial"/>
          <w:color w:val="000000" w:themeColor="text1"/>
        </w:rPr>
        <w:t xml:space="preserve">, A., </w:t>
      </w:r>
      <w:proofErr w:type="spellStart"/>
      <w:r w:rsidRPr="000B22BE">
        <w:rPr>
          <w:rFonts w:ascii="Arial" w:hAnsi="Arial" w:cs="Arial"/>
          <w:color w:val="000000" w:themeColor="text1"/>
        </w:rPr>
        <w:t>Relić</w:t>
      </w:r>
      <w:proofErr w:type="spellEnd"/>
      <w:r w:rsidRPr="000B22BE">
        <w:rPr>
          <w:rFonts w:ascii="Arial" w:hAnsi="Arial" w:cs="Arial"/>
          <w:color w:val="000000" w:themeColor="text1"/>
        </w:rPr>
        <w:t xml:space="preserve">, D. and </w:t>
      </w:r>
      <w:proofErr w:type="spellStart"/>
      <w:r w:rsidRPr="000B22BE">
        <w:rPr>
          <w:rFonts w:ascii="Arial" w:hAnsi="Arial" w:cs="Arial"/>
          <w:color w:val="000000" w:themeColor="text1"/>
        </w:rPr>
        <w:t>Michelutti</w:t>
      </w:r>
      <w:proofErr w:type="spellEnd"/>
      <w:r w:rsidRPr="000B22BE">
        <w:rPr>
          <w:rFonts w:ascii="Arial" w:hAnsi="Arial" w:cs="Arial"/>
          <w:color w:val="000000" w:themeColor="text1"/>
        </w:rPr>
        <w:t xml:space="preserve">, P. (2022). Health workforce shortage – doing the right things or doing things right? </w:t>
      </w:r>
      <w:r w:rsidRPr="000B22BE">
        <w:rPr>
          <w:rFonts w:ascii="Arial" w:hAnsi="Arial" w:cs="Arial"/>
          <w:i/>
          <w:iCs/>
          <w:color w:val="000000" w:themeColor="text1"/>
        </w:rPr>
        <w:t>Croatian Medical Journal</w:t>
      </w:r>
      <w:r w:rsidRPr="000B22BE">
        <w:rPr>
          <w:rFonts w:ascii="Arial" w:hAnsi="Arial" w:cs="Arial"/>
          <w:color w:val="000000" w:themeColor="text1"/>
        </w:rPr>
        <w:t xml:space="preserve">, 63(2), pp.107–109. Available at: https://doi.org/10.3325/cmj.2022.63.107.  </w:t>
      </w:r>
    </w:p>
    <w:p w14:paraId="203CA0FB" w14:textId="1A6969BD" w:rsidR="000B22BE" w:rsidRPr="000B22BE" w:rsidRDefault="000B22BE" w:rsidP="000B22BE">
      <w:pPr>
        <w:spacing w:line="240" w:lineRule="auto"/>
        <w:rPr>
          <w:rFonts w:ascii="Arial" w:hAnsi="Arial" w:cs="Arial"/>
          <w:color w:val="000000" w:themeColor="text1"/>
        </w:rPr>
      </w:pPr>
      <w:r w:rsidRPr="000B22BE">
        <w:rPr>
          <w:rFonts w:ascii="Arial" w:hAnsi="Arial" w:cs="Arial"/>
          <w:color w:val="000000" w:themeColor="text1"/>
        </w:rPr>
        <w:t xml:space="preserve">Ellis, L.A., Schroeder, T., Saba, M., </w:t>
      </w:r>
      <w:proofErr w:type="spellStart"/>
      <w:r w:rsidRPr="000B22BE">
        <w:rPr>
          <w:rFonts w:ascii="Arial" w:hAnsi="Arial" w:cs="Arial"/>
          <w:color w:val="000000" w:themeColor="text1"/>
        </w:rPr>
        <w:t>Churruca</w:t>
      </w:r>
      <w:proofErr w:type="spellEnd"/>
      <w:r w:rsidRPr="000B22BE">
        <w:rPr>
          <w:rFonts w:ascii="Arial" w:hAnsi="Arial" w:cs="Arial"/>
          <w:color w:val="000000" w:themeColor="text1"/>
        </w:rPr>
        <w:t xml:space="preserve">, K., Long, J.C., Haver, A., </w:t>
      </w:r>
      <w:proofErr w:type="spellStart"/>
      <w:r w:rsidRPr="000B22BE">
        <w:rPr>
          <w:rFonts w:ascii="Arial" w:hAnsi="Arial" w:cs="Arial"/>
          <w:color w:val="000000" w:themeColor="text1"/>
        </w:rPr>
        <w:t>Akerjordet</w:t>
      </w:r>
      <w:proofErr w:type="spellEnd"/>
      <w:r w:rsidRPr="000B22BE">
        <w:rPr>
          <w:rFonts w:ascii="Arial" w:hAnsi="Arial" w:cs="Arial"/>
          <w:color w:val="000000" w:themeColor="text1"/>
        </w:rPr>
        <w:t xml:space="preserve">, K., Ludlow, K., </w:t>
      </w:r>
      <w:proofErr w:type="spellStart"/>
      <w:r w:rsidRPr="000B22BE">
        <w:rPr>
          <w:rFonts w:ascii="Arial" w:hAnsi="Arial" w:cs="Arial"/>
          <w:color w:val="000000" w:themeColor="text1"/>
        </w:rPr>
        <w:t>Bergerød</w:t>
      </w:r>
      <w:proofErr w:type="spellEnd"/>
      <w:r w:rsidRPr="000B22BE">
        <w:rPr>
          <w:rFonts w:ascii="Arial" w:hAnsi="Arial" w:cs="Arial"/>
          <w:color w:val="000000" w:themeColor="text1"/>
        </w:rPr>
        <w:t xml:space="preserve">, I.J., Sini </w:t>
      </w:r>
      <w:proofErr w:type="spellStart"/>
      <w:r w:rsidRPr="000B22BE">
        <w:rPr>
          <w:rFonts w:ascii="Arial" w:hAnsi="Arial" w:cs="Arial"/>
          <w:color w:val="000000" w:themeColor="text1"/>
        </w:rPr>
        <w:t>Nevantaus</w:t>
      </w:r>
      <w:proofErr w:type="spellEnd"/>
      <w:r w:rsidRPr="000B22BE">
        <w:rPr>
          <w:rFonts w:ascii="Arial" w:hAnsi="Arial" w:cs="Arial"/>
          <w:color w:val="000000" w:themeColor="text1"/>
        </w:rPr>
        <w:t>, Jan-Willem Weenink, Gonzales, Z., Spanos, S., Lyng, H.B., Cecilie Haraldseid-</w:t>
      </w:r>
      <w:proofErr w:type="spellStart"/>
      <w:r w:rsidRPr="000B22BE">
        <w:rPr>
          <w:rFonts w:ascii="Arial" w:hAnsi="Arial" w:cs="Arial"/>
          <w:color w:val="000000" w:themeColor="text1"/>
        </w:rPr>
        <w:t>Driftland</w:t>
      </w:r>
      <w:proofErr w:type="spellEnd"/>
      <w:r w:rsidRPr="000B22BE">
        <w:rPr>
          <w:rFonts w:ascii="Arial" w:hAnsi="Arial" w:cs="Arial"/>
          <w:color w:val="000000" w:themeColor="text1"/>
        </w:rPr>
        <w:t xml:space="preserve">, Lungu, D.A., Malin Knutsen Glette, Lahti, M., Florin Tibu and </w:t>
      </w:r>
      <w:proofErr w:type="spellStart"/>
      <w:r w:rsidRPr="000B22BE">
        <w:rPr>
          <w:rFonts w:ascii="Arial" w:hAnsi="Arial" w:cs="Arial"/>
          <w:color w:val="000000" w:themeColor="text1"/>
        </w:rPr>
        <w:t>Chatzittofis</w:t>
      </w:r>
      <w:proofErr w:type="spellEnd"/>
      <w:r w:rsidRPr="000B22BE">
        <w:rPr>
          <w:rFonts w:ascii="Arial" w:hAnsi="Arial" w:cs="Arial"/>
          <w:color w:val="000000" w:themeColor="text1"/>
        </w:rPr>
        <w:t xml:space="preserve">, A. (2025). Supporting the mental wellbeing of aged care workers: A systematic review of factors and interventions. </w:t>
      </w:r>
      <w:r w:rsidRPr="000B22BE">
        <w:rPr>
          <w:rFonts w:ascii="Arial" w:hAnsi="Arial" w:cs="Arial"/>
          <w:i/>
          <w:iCs/>
          <w:color w:val="000000" w:themeColor="text1"/>
        </w:rPr>
        <w:t>AIMS Public Health</w:t>
      </w:r>
      <w:r w:rsidRPr="000B22BE">
        <w:rPr>
          <w:rFonts w:ascii="Arial" w:hAnsi="Arial" w:cs="Arial"/>
          <w:color w:val="000000" w:themeColor="text1"/>
        </w:rPr>
        <w:t xml:space="preserve">, 12(2), pp.600–631. Available at: https://doi.org/10.3934/publichealth.2025032. </w:t>
      </w:r>
    </w:p>
    <w:p w14:paraId="50F86E1C" w14:textId="77777777" w:rsidR="000B22BE" w:rsidRPr="000B22BE" w:rsidRDefault="000B22BE" w:rsidP="000B22BE">
      <w:pPr>
        <w:spacing w:line="240" w:lineRule="auto"/>
        <w:rPr>
          <w:rFonts w:ascii="Arial" w:hAnsi="Arial" w:cs="Arial"/>
          <w:color w:val="000000" w:themeColor="text1"/>
        </w:rPr>
      </w:pPr>
      <w:r w:rsidRPr="000B22BE">
        <w:rPr>
          <w:rFonts w:ascii="Arial" w:hAnsi="Arial" w:cs="Arial"/>
          <w:color w:val="000000" w:themeColor="text1"/>
        </w:rPr>
        <w:t xml:space="preserve">Fischer, H.R. and Duncan, S.D. (2020). The business case for quality improvement. </w:t>
      </w:r>
      <w:r w:rsidRPr="000B22BE">
        <w:rPr>
          <w:rFonts w:ascii="Arial" w:hAnsi="Arial" w:cs="Arial"/>
          <w:i/>
          <w:iCs/>
          <w:color w:val="000000" w:themeColor="text1"/>
        </w:rPr>
        <w:t>Journal of Perinatology</w:t>
      </w:r>
      <w:r w:rsidRPr="000B22BE">
        <w:rPr>
          <w:rFonts w:ascii="Arial" w:hAnsi="Arial" w:cs="Arial"/>
          <w:color w:val="000000" w:themeColor="text1"/>
        </w:rPr>
        <w:t xml:space="preserve">, 40(6). Available at: https://doi.org/10.1038/s41372-020-0660-y. </w:t>
      </w:r>
    </w:p>
    <w:p w14:paraId="65A51976" w14:textId="77777777" w:rsidR="000B22BE" w:rsidRPr="000B22BE" w:rsidRDefault="000B22BE" w:rsidP="000B22BE">
      <w:pPr>
        <w:spacing w:line="240" w:lineRule="auto"/>
        <w:rPr>
          <w:rFonts w:ascii="Arial" w:hAnsi="Arial" w:cs="Arial"/>
          <w:color w:val="000000" w:themeColor="text1"/>
        </w:rPr>
      </w:pPr>
      <w:r w:rsidRPr="000B22BE">
        <w:rPr>
          <w:rFonts w:ascii="Arial" w:hAnsi="Arial" w:cs="Arial"/>
          <w:color w:val="000000" w:themeColor="text1"/>
        </w:rPr>
        <w:t xml:space="preserve">Giorgio Cometto, Boniol, M., Agya Mahat, Diallo, K. and Campbell, J. (2023). Understanding the WHO health workforce support and safeguards list 2023. </w:t>
      </w:r>
      <w:r w:rsidRPr="000B22BE">
        <w:rPr>
          <w:rFonts w:ascii="Arial" w:hAnsi="Arial" w:cs="Arial"/>
          <w:i/>
          <w:iCs/>
          <w:color w:val="000000" w:themeColor="text1"/>
        </w:rPr>
        <w:t xml:space="preserve">Bulletin </w:t>
      </w:r>
      <w:r w:rsidRPr="000B22BE">
        <w:rPr>
          <w:rFonts w:ascii="Arial" w:hAnsi="Arial" w:cs="Arial"/>
          <w:i/>
          <w:iCs/>
          <w:color w:val="000000" w:themeColor="text1"/>
        </w:rPr>
        <w:lastRenderedPageBreak/>
        <w:t>of The World Health Organization</w:t>
      </w:r>
      <w:r w:rsidRPr="000B22BE">
        <w:rPr>
          <w:rFonts w:ascii="Arial" w:hAnsi="Arial" w:cs="Arial"/>
          <w:color w:val="000000" w:themeColor="text1"/>
        </w:rPr>
        <w:t xml:space="preserve">, [online] 101(06), pp.362–362A. Available at: https://doi.org/10.2471/blt.23.290191. </w:t>
      </w:r>
    </w:p>
    <w:p w14:paraId="09CEB649" w14:textId="08E8A02E" w:rsidR="000B22BE" w:rsidRPr="000B22BE" w:rsidRDefault="000B22BE" w:rsidP="000B22BE">
      <w:pPr>
        <w:spacing w:line="240" w:lineRule="auto"/>
        <w:rPr>
          <w:rFonts w:ascii="Arial" w:hAnsi="Arial" w:cs="Arial"/>
          <w:color w:val="000000" w:themeColor="text1"/>
        </w:rPr>
      </w:pPr>
      <w:r w:rsidRPr="000B22BE">
        <w:rPr>
          <w:rFonts w:ascii="Arial" w:hAnsi="Arial" w:cs="Arial"/>
          <w:color w:val="000000" w:themeColor="text1"/>
        </w:rPr>
        <w:t xml:space="preserve">Griffiths, P., Saville, C., Ball, J., </w:t>
      </w:r>
      <w:proofErr w:type="spellStart"/>
      <w:r w:rsidRPr="000B22BE">
        <w:rPr>
          <w:rFonts w:ascii="Arial" w:hAnsi="Arial" w:cs="Arial"/>
          <w:color w:val="000000" w:themeColor="text1"/>
        </w:rPr>
        <w:t>Culliford</w:t>
      </w:r>
      <w:proofErr w:type="spellEnd"/>
      <w:r w:rsidRPr="000B22BE">
        <w:rPr>
          <w:rFonts w:ascii="Arial" w:hAnsi="Arial" w:cs="Arial"/>
          <w:color w:val="000000" w:themeColor="text1"/>
        </w:rPr>
        <w:t xml:space="preserve">, D., Jones, J., Lambert, F., Meredith, P., Rubbo, B., Turner, L. and Chiara </w:t>
      </w:r>
      <w:proofErr w:type="spellStart"/>
      <w:r w:rsidRPr="000B22BE">
        <w:rPr>
          <w:rFonts w:ascii="Arial" w:hAnsi="Arial" w:cs="Arial"/>
          <w:color w:val="000000" w:themeColor="text1"/>
        </w:rPr>
        <w:t>Dall’Ora</w:t>
      </w:r>
      <w:proofErr w:type="spellEnd"/>
      <w:r w:rsidRPr="000B22BE">
        <w:rPr>
          <w:rFonts w:ascii="Arial" w:hAnsi="Arial" w:cs="Arial"/>
          <w:color w:val="000000" w:themeColor="text1"/>
        </w:rPr>
        <w:t xml:space="preserve"> (2025). </w:t>
      </w:r>
      <w:r w:rsidRPr="000B22BE">
        <w:rPr>
          <w:rFonts w:ascii="Arial" w:hAnsi="Arial" w:cs="Arial"/>
          <w:i/>
          <w:iCs/>
          <w:color w:val="000000" w:themeColor="text1"/>
        </w:rPr>
        <w:t>Scientific summary</w:t>
      </w:r>
      <w:r w:rsidRPr="000B22BE">
        <w:rPr>
          <w:rFonts w:ascii="Arial" w:hAnsi="Arial" w:cs="Arial"/>
          <w:color w:val="000000" w:themeColor="text1"/>
        </w:rPr>
        <w:t xml:space="preserve">.Nih.gov. Available at: https://www.ncbi.nlm.nih.gov/books/NBK616022/. </w:t>
      </w:r>
    </w:p>
    <w:p w14:paraId="5A33D001" w14:textId="7978F939" w:rsidR="000B22BE" w:rsidRPr="000B22BE" w:rsidRDefault="000B22BE" w:rsidP="000B22BE">
      <w:pPr>
        <w:spacing w:line="240" w:lineRule="auto"/>
        <w:rPr>
          <w:rFonts w:ascii="Arial" w:hAnsi="Arial" w:cs="Arial"/>
          <w:color w:val="000000" w:themeColor="text1"/>
        </w:rPr>
      </w:pPr>
      <w:r w:rsidRPr="000B22BE">
        <w:rPr>
          <w:rFonts w:ascii="Arial" w:hAnsi="Arial" w:cs="Arial"/>
          <w:color w:val="000000" w:themeColor="text1"/>
        </w:rPr>
        <w:t xml:space="preserve">Iacobucci, G. (2021). Staff burnout: MPs demand ‘total overhaul’ of NHS workforce planning. </w:t>
      </w:r>
      <w:r w:rsidRPr="000B22BE">
        <w:rPr>
          <w:rFonts w:ascii="Arial" w:hAnsi="Arial" w:cs="Arial"/>
          <w:i/>
          <w:iCs/>
          <w:color w:val="000000" w:themeColor="text1"/>
        </w:rPr>
        <w:t>BMJ</w:t>
      </w:r>
      <w:r w:rsidRPr="000B22BE">
        <w:rPr>
          <w:rFonts w:ascii="Arial" w:hAnsi="Arial" w:cs="Arial"/>
          <w:color w:val="000000" w:themeColor="text1"/>
        </w:rPr>
        <w:t xml:space="preserve">, 373, p.n1461. Available at: https://doi.org/10.1136/bmj.n1461.  </w:t>
      </w:r>
    </w:p>
    <w:p w14:paraId="10BFAD21" w14:textId="314388FE" w:rsidR="000B22BE" w:rsidRPr="000B22BE" w:rsidRDefault="000B22BE" w:rsidP="000B22BE">
      <w:pPr>
        <w:spacing w:line="240" w:lineRule="auto"/>
        <w:rPr>
          <w:rFonts w:ascii="Arial" w:hAnsi="Arial" w:cs="Arial"/>
          <w:color w:val="000000" w:themeColor="text1"/>
        </w:rPr>
      </w:pPr>
      <w:r w:rsidRPr="000B22BE">
        <w:rPr>
          <w:rFonts w:ascii="Arial" w:hAnsi="Arial" w:cs="Arial"/>
          <w:color w:val="000000" w:themeColor="text1"/>
        </w:rPr>
        <w:t xml:space="preserve">Johnson, J.-A. and Ahluwalia, S. (2025). Recruiting and retaining doctors—a wicked problem needing complex solutions. </w:t>
      </w:r>
      <w:r w:rsidRPr="000B22BE">
        <w:rPr>
          <w:rFonts w:ascii="Arial" w:hAnsi="Arial" w:cs="Arial"/>
          <w:i/>
          <w:iCs/>
          <w:color w:val="000000" w:themeColor="text1"/>
        </w:rPr>
        <w:t>Postgraduate Medical Journal</w:t>
      </w:r>
      <w:r w:rsidRPr="000B22BE">
        <w:rPr>
          <w:rFonts w:ascii="Arial" w:hAnsi="Arial" w:cs="Arial"/>
          <w:color w:val="000000" w:themeColor="text1"/>
        </w:rPr>
        <w:t xml:space="preserve">, 101(1201). Available at: https://doi.org/10.1093/postmj/qgaf058.  </w:t>
      </w:r>
    </w:p>
    <w:p w14:paraId="24617AA5" w14:textId="77777777" w:rsidR="000B22BE" w:rsidRPr="000B22BE" w:rsidRDefault="000B22BE" w:rsidP="000B22BE">
      <w:pPr>
        <w:spacing w:line="240" w:lineRule="auto"/>
        <w:rPr>
          <w:rFonts w:ascii="Arial" w:hAnsi="Arial" w:cs="Arial"/>
          <w:color w:val="000000" w:themeColor="text1"/>
        </w:rPr>
      </w:pPr>
      <w:r w:rsidRPr="000B22BE">
        <w:rPr>
          <w:rFonts w:ascii="Arial" w:hAnsi="Arial" w:cs="Arial"/>
          <w:color w:val="000000" w:themeColor="text1"/>
        </w:rPr>
        <w:t xml:space="preserve">Khan, Z. (2023). The Emerging Challenges and Strengths of the National Health Services: A Physician Perspective. </w:t>
      </w:r>
      <w:r w:rsidRPr="000B22BE">
        <w:rPr>
          <w:rFonts w:ascii="Arial" w:hAnsi="Arial" w:cs="Arial"/>
          <w:i/>
          <w:iCs/>
          <w:color w:val="000000" w:themeColor="text1"/>
        </w:rPr>
        <w:t>Cureus</w:t>
      </w:r>
      <w:r w:rsidRPr="000B22BE">
        <w:rPr>
          <w:rFonts w:ascii="Arial" w:hAnsi="Arial" w:cs="Arial"/>
          <w:color w:val="000000" w:themeColor="text1"/>
        </w:rPr>
        <w:t xml:space="preserve">, 15(5). Available at: https://pmc.ncbi.nlm.nih.gov/articles/PMC10240167/. </w:t>
      </w:r>
    </w:p>
    <w:p w14:paraId="4AAAD37F" w14:textId="77777777" w:rsidR="000B22BE" w:rsidRPr="000B22BE" w:rsidRDefault="000B22BE" w:rsidP="000B22BE">
      <w:pPr>
        <w:spacing w:line="240" w:lineRule="auto"/>
        <w:rPr>
          <w:rFonts w:ascii="Arial" w:hAnsi="Arial" w:cs="Arial"/>
          <w:color w:val="000000" w:themeColor="text1"/>
        </w:rPr>
      </w:pPr>
      <w:r w:rsidRPr="000B22BE">
        <w:rPr>
          <w:rFonts w:ascii="Arial" w:hAnsi="Arial" w:cs="Arial"/>
          <w:color w:val="000000" w:themeColor="text1"/>
        </w:rPr>
        <w:t xml:space="preserve">Llort, N., Lusa, A., Martínez-Costa, C. and Mateo, M. (2018). A decision support system and a mathematical model for strategic workforce planning in consultancies. </w:t>
      </w:r>
      <w:r w:rsidRPr="000B22BE">
        <w:rPr>
          <w:rFonts w:ascii="Arial" w:hAnsi="Arial" w:cs="Arial"/>
          <w:i/>
          <w:iCs/>
          <w:color w:val="000000" w:themeColor="text1"/>
        </w:rPr>
        <w:t>Flexible Services and Manufacturing Journal</w:t>
      </w:r>
      <w:r w:rsidRPr="000B22BE">
        <w:rPr>
          <w:rFonts w:ascii="Arial" w:hAnsi="Arial" w:cs="Arial"/>
          <w:color w:val="000000" w:themeColor="text1"/>
        </w:rPr>
        <w:t xml:space="preserve">, 31(2), pp.497–523. Available at: https://doi.org/10.1007/s10696-018-9321-2. </w:t>
      </w:r>
    </w:p>
    <w:p w14:paraId="16809AE3" w14:textId="77777777" w:rsidR="000B22BE" w:rsidRPr="000B22BE" w:rsidRDefault="000B22BE" w:rsidP="000B22BE">
      <w:pPr>
        <w:spacing w:line="240" w:lineRule="auto"/>
        <w:rPr>
          <w:rFonts w:ascii="Arial" w:hAnsi="Arial" w:cs="Arial"/>
          <w:color w:val="000000" w:themeColor="text1"/>
        </w:rPr>
      </w:pPr>
      <w:r w:rsidRPr="000B22BE">
        <w:rPr>
          <w:rFonts w:ascii="Arial" w:hAnsi="Arial" w:cs="Arial"/>
          <w:color w:val="000000" w:themeColor="text1"/>
        </w:rPr>
        <w:t xml:space="preserve">Matthias, O. and Brown, S. (2016). Implementing operations strategy through Lean processes within health care. </w:t>
      </w:r>
      <w:r w:rsidRPr="000B22BE">
        <w:rPr>
          <w:rFonts w:ascii="Arial" w:hAnsi="Arial" w:cs="Arial"/>
          <w:i/>
          <w:iCs/>
          <w:color w:val="000000" w:themeColor="text1"/>
        </w:rPr>
        <w:t>International Journal of Operations &amp; Production Management</w:t>
      </w:r>
      <w:r w:rsidRPr="000B22BE">
        <w:rPr>
          <w:rFonts w:ascii="Arial" w:hAnsi="Arial" w:cs="Arial"/>
          <w:color w:val="000000" w:themeColor="text1"/>
        </w:rPr>
        <w:t xml:space="preserve">, 36(11), pp.1435–1457. Available at: https://doi.org/10.1108/ijopm-04-2015-0194. </w:t>
      </w:r>
    </w:p>
    <w:p w14:paraId="5EC2B195" w14:textId="77777777" w:rsidR="000B22BE" w:rsidRPr="000B22BE" w:rsidRDefault="000B22BE" w:rsidP="000B22BE">
      <w:pPr>
        <w:spacing w:line="240" w:lineRule="auto"/>
        <w:rPr>
          <w:rFonts w:ascii="Arial" w:hAnsi="Arial" w:cs="Arial"/>
          <w:color w:val="000000" w:themeColor="text1"/>
        </w:rPr>
      </w:pPr>
      <w:r w:rsidRPr="000B22BE">
        <w:rPr>
          <w:rFonts w:ascii="Arial" w:hAnsi="Arial" w:cs="Arial"/>
          <w:color w:val="000000" w:themeColor="text1"/>
        </w:rPr>
        <w:t xml:space="preserve">McTaggart, E., Itamar Megiddo, Bowers, J. and Kleczkowski, A. (2025). Sickness absence rates in NHS England staff during the COVID-19 pandemic: Insights from multivariate regression and time series modelling. </w:t>
      </w:r>
      <w:proofErr w:type="spellStart"/>
      <w:r w:rsidRPr="000B22BE">
        <w:rPr>
          <w:rFonts w:ascii="Arial" w:hAnsi="Arial" w:cs="Arial"/>
          <w:i/>
          <w:iCs/>
          <w:color w:val="000000" w:themeColor="text1"/>
        </w:rPr>
        <w:t>PLoS</w:t>
      </w:r>
      <w:proofErr w:type="spellEnd"/>
      <w:r w:rsidRPr="000B22BE">
        <w:rPr>
          <w:rFonts w:ascii="Arial" w:hAnsi="Arial" w:cs="Arial"/>
          <w:i/>
          <w:iCs/>
          <w:color w:val="000000" w:themeColor="text1"/>
        </w:rPr>
        <w:t xml:space="preserve"> ONE</w:t>
      </w:r>
      <w:r w:rsidRPr="000B22BE">
        <w:rPr>
          <w:rFonts w:ascii="Arial" w:hAnsi="Arial" w:cs="Arial"/>
          <w:color w:val="000000" w:themeColor="text1"/>
        </w:rPr>
        <w:t xml:space="preserve">, 20(7), </w:t>
      </w:r>
      <w:proofErr w:type="gramStart"/>
      <w:r w:rsidRPr="000B22BE">
        <w:rPr>
          <w:rFonts w:ascii="Arial" w:hAnsi="Arial" w:cs="Arial"/>
          <w:color w:val="000000" w:themeColor="text1"/>
        </w:rPr>
        <w:t>pp.e</w:t>
      </w:r>
      <w:proofErr w:type="gramEnd"/>
      <w:r w:rsidRPr="000B22BE">
        <w:rPr>
          <w:rFonts w:ascii="Arial" w:hAnsi="Arial" w:cs="Arial"/>
          <w:color w:val="000000" w:themeColor="text1"/>
        </w:rPr>
        <w:t xml:space="preserve">0323035–e0323035. Available at: doi.org/10.1371/journal.pone.0323035. </w:t>
      </w:r>
    </w:p>
    <w:p w14:paraId="6E238707" w14:textId="54FB97BC" w:rsidR="000B22BE" w:rsidRPr="000B22BE" w:rsidRDefault="000B22BE" w:rsidP="000B22BE">
      <w:pPr>
        <w:spacing w:line="240" w:lineRule="auto"/>
        <w:rPr>
          <w:rFonts w:ascii="Arial" w:hAnsi="Arial" w:cs="Arial"/>
          <w:color w:val="000000" w:themeColor="text1"/>
        </w:rPr>
      </w:pPr>
      <w:r w:rsidRPr="000B22BE">
        <w:rPr>
          <w:rFonts w:ascii="Arial" w:hAnsi="Arial" w:cs="Arial"/>
          <w:color w:val="000000" w:themeColor="text1"/>
        </w:rPr>
        <w:t xml:space="preserve">NHS England (2023) </w:t>
      </w:r>
      <w:r w:rsidRPr="000B22BE">
        <w:rPr>
          <w:rFonts w:ascii="Arial" w:hAnsi="Arial" w:cs="Arial"/>
          <w:i/>
          <w:iCs/>
          <w:color w:val="000000" w:themeColor="text1"/>
        </w:rPr>
        <w:t>NHS Long Term Workforce Plan</w:t>
      </w:r>
      <w:r w:rsidRPr="000B22BE">
        <w:rPr>
          <w:rFonts w:ascii="Arial" w:hAnsi="Arial" w:cs="Arial"/>
          <w:color w:val="000000" w:themeColor="text1"/>
        </w:rPr>
        <w:t xml:space="preserve">. Available at: </w:t>
      </w:r>
      <w:proofErr w:type="gramStart"/>
      <w:r w:rsidRPr="000B22BE">
        <w:rPr>
          <w:rFonts w:ascii="Arial" w:hAnsi="Arial" w:cs="Arial"/>
          <w:color w:val="000000" w:themeColor="text1"/>
        </w:rPr>
        <w:t>https://www.england.nhs.uk/long-term-workforce-plan/  (</w:t>
      </w:r>
      <w:proofErr w:type="gramEnd"/>
      <w:r w:rsidRPr="000B22BE">
        <w:rPr>
          <w:rFonts w:ascii="Arial" w:hAnsi="Arial" w:cs="Arial"/>
          <w:color w:val="000000" w:themeColor="text1"/>
        </w:rPr>
        <w:t xml:space="preserve">Accessed on 28 April 2026). </w:t>
      </w:r>
    </w:p>
    <w:p w14:paraId="640018F1" w14:textId="374E6247" w:rsidR="000B22BE" w:rsidRPr="000B22BE" w:rsidRDefault="000B22BE" w:rsidP="000B22BE">
      <w:pPr>
        <w:spacing w:line="240" w:lineRule="auto"/>
        <w:rPr>
          <w:rFonts w:ascii="Arial" w:hAnsi="Arial" w:cs="Arial"/>
          <w:color w:val="000000" w:themeColor="text1"/>
        </w:rPr>
      </w:pPr>
      <w:r w:rsidRPr="000B22BE">
        <w:rPr>
          <w:rFonts w:ascii="Arial" w:hAnsi="Arial" w:cs="Arial"/>
          <w:color w:val="000000" w:themeColor="text1"/>
        </w:rPr>
        <w:t xml:space="preserve">NHS England (2023). </w:t>
      </w:r>
      <w:r w:rsidRPr="000B22BE">
        <w:rPr>
          <w:rFonts w:ascii="Arial" w:hAnsi="Arial" w:cs="Arial"/>
          <w:i/>
          <w:iCs/>
          <w:color w:val="000000" w:themeColor="text1"/>
        </w:rPr>
        <w:t>NHS Vacancy Statistics England, April 2015 - March 2023, Experimental Statistics</w:t>
      </w:r>
      <w:r w:rsidRPr="000B22BE">
        <w:rPr>
          <w:rFonts w:ascii="Arial" w:hAnsi="Arial" w:cs="Arial"/>
          <w:color w:val="000000" w:themeColor="text1"/>
        </w:rPr>
        <w:t xml:space="preserve">. NDRS. Available at: https://digital.nhs.uk/data-and-information/publications/statistical/nhs-vacancies-survey/april-2015---march-2023-experimental-statistics.  (Accessed on 26 April 2026) </w:t>
      </w:r>
    </w:p>
    <w:p w14:paraId="72C9CA10" w14:textId="382ABEF3" w:rsidR="000B22BE" w:rsidRPr="000B22BE" w:rsidRDefault="000B22BE" w:rsidP="000B22BE">
      <w:pPr>
        <w:spacing w:line="240" w:lineRule="auto"/>
        <w:rPr>
          <w:rFonts w:ascii="Arial" w:hAnsi="Arial" w:cs="Arial"/>
          <w:color w:val="000000" w:themeColor="text1"/>
        </w:rPr>
      </w:pPr>
      <w:r w:rsidRPr="000B22BE">
        <w:rPr>
          <w:rFonts w:ascii="Arial" w:hAnsi="Arial" w:cs="Arial"/>
          <w:color w:val="000000" w:themeColor="text1"/>
        </w:rPr>
        <w:t xml:space="preserve">Nursing Standard (2017). NHS Providers urges new government to address workforce shortages. </w:t>
      </w:r>
      <w:r w:rsidRPr="000B22BE">
        <w:rPr>
          <w:rFonts w:ascii="Arial" w:hAnsi="Arial" w:cs="Arial"/>
          <w:i/>
          <w:iCs/>
          <w:color w:val="000000" w:themeColor="text1"/>
        </w:rPr>
        <w:t>Nursing Standard</w:t>
      </w:r>
      <w:r w:rsidRPr="000B22BE">
        <w:rPr>
          <w:rFonts w:ascii="Arial" w:hAnsi="Arial" w:cs="Arial"/>
          <w:color w:val="000000" w:themeColor="text1"/>
        </w:rPr>
        <w:t xml:space="preserve">, 31(38), pp.11–11. Available at: https://doi.org/10.7748/ns.31.38.11.s12. </w:t>
      </w:r>
    </w:p>
    <w:p w14:paraId="4259B2F6" w14:textId="111B75C4" w:rsidR="000B22BE" w:rsidRPr="000B22BE" w:rsidRDefault="000B22BE" w:rsidP="000B22BE">
      <w:pPr>
        <w:spacing w:line="240" w:lineRule="auto"/>
        <w:rPr>
          <w:rFonts w:ascii="Arial" w:hAnsi="Arial" w:cs="Arial"/>
          <w:color w:val="000000" w:themeColor="text1"/>
        </w:rPr>
      </w:pPr>
      <w:r w:rsidRPr="000B22BE">
        <w:rPr>
          <w:rFonts w:ascii="Arial" w:hAnsi="Arial" w:cs="Arial"/>
          <w:color w:val="000000" w:themeColor="text1"/>
        </w:rPr>
        <w:t xml:space="preserve">Oliver, D. (2022). David Oliver: Is NHS ‘inefficiency’ a public </w:t>
      </w:r>
      <w:proofErr w:type="gramStart"/>
      <w:r w:rsidRPr="000B22BE">
        <w:rPr>
          <w:rFonts w:ascii="Arial" w:hAnsi="Arial" w:cs="Arial"/>
          <w:color w:val="000000" w:themeColor="text1"/>
        </w:rPr>
        <w:t>myth?.</w:t>
      </w:r>
      <w:proofErr w:type="gramEnd"/>
      <w:r w:rsidRPr="000B22BE">
        <w:rPr>
          <w:rFonts w:ascii="Arial" w:hAnsi="Arial" w:cs="Arial"/>
          <w:color w:val="000000" w:themeColor="text1"/>
        </w:rPr>
        <w:t xml:space="preserve"> </w:t>
      </w:r>
      <w:r w:rsidRPr="000B22BE">
        <w:rPr>
          <w:rFonts w:ascii="Arial" w:hAnsi="Arial" w:cs="Arial"/>
          <w:i/>
          <w:iCs/>
          <w:color w:val="000000" w:themeColor="text1"/>
        </w:rPr>
        <w:t>BMJ</w:t>
      </w:r>
      <w:r w:rsidRPr="000B22BE">
        <w:rPr>
          <w:rFonts w:ascii="Arial" w:hAnsi="Arial" w:cs="Arial"/>
          <w:color w:val="000000" w:themeColor="text1"/>
        </w:rPr>
        <w:t xml:space="preserve">, 377, p.o929. Available at: https://doi.org/10.1136/bmj.o929. </w:t>
      </w:r>
    </w:p>
    <w:p w14:paraId="0633579F" w14:textId="77777777" w:rsidR="000B22BE" w:rsidRPr="000B22BE" w:rsidRDefault="000B22BE" w:rsidP="000B22BE">
      <w:pPr>
        <w:spacing w:line="240" w:lineRule="auto"/>
        <w:rPr>
          <w:rFonts w:ascii="Arial" w:hAnsi="Arial" w:cs="Arial"/>
          <w:color w:val="000000" w:themeColor="text1"/>
        </w:rPr>
      </w:pPr>
      <w:r w:rsidRPr="000B22BE">
        <w:rPr>
          <w:rFonts w:ascii="Arial" w:hAnsi="Arial" w:cs="Arial"/>
          <w:color w:val="000000" w:themeColor="text1"/>
        </w:rPr>
        <w:t xml:space="preserve">Ostrander, M. (2023) </w:t>
      </w:r>
      <w:r w:rsidRPr="000B22BE">
        <w:rPr>
          <w:rFonts w:ascii="Arial" w:hAnsi="Arial" w:cs="Arial"/>
          <w:i/>
          <w:iCs/>
          <w:color w:val="000000" w:themeColor="text1"/>
        </w:rPr>
        <w:t>Effective Retention Strategies for Corporate Employees in the Rail Industry</w:t>
      </w:r>
      <w:r w:rsidRPr="000B22BE">
        <w:rPr>
          <w:rFonts w:ascii="Arial" w:hAnsi="Arial" w:cs="Arial"/>
          <w:color w:val="000000" w:themeColor="text1"/>
        </w:rPr>
        <w:t xml:space="preserve">. ProQuest Dissertations &amp; Theses. </w:t>
      </w:r>
    </w:p>
    <w:p w14:paraId="7AB5107A" w14:textId="77777777" w:rsidR="000B22BE" w:rsidRPr="000B22BE" w:rsidRDefault="000B22BE" w:rsidP="000B22BE">
      <w:pPr>
        <w:spacing w:line="240" w:lineRule="auto"/>
        <w:rPr>
          <w:rFonts w:ascii="Arial" w:hAnsi="Arial" w:cs="Arial"/>
          <w:color w:val="000000" w:themeColor="text1"/>
        </w:rPr>
      </w:pPr>
      <w:proofErr w:type="spellStart"/>
      <w:r w:rsidRPr="000B22BE">
        <w:rPr>
          <w:rFonts w:ascii="Arial" w:hAnsi="Arial" w:cs="Arial"/>
          <w:color w:val="000000" w:themeColor="text1"/>
        </w:rPr>
        <w:t>Parbery</w:t>
      </w:r>
      <w:proofErr w:type="spellEnd"/>
      <w:r w:rsidRPr="000B22BE">
        <w:rPr>
          <w:rFonts w:ascii="Arial" w:hAnsi="Arial" w:cs="Arial"/>
          <w:color w:val="000000" w:themeColor="text1"/>
        </w:rPr>
        <w:t xml:space="preserve">-Clark, C., McSweeney, L., Lally, J. and Sowden, S. (2024). How can health systems approach </w:t>
      </w:r>
      <w:proofErr w:type="gramStart"/>
      <w:r w:rsidRPr="000B22BE">
        <w:rPr>
          <w:rFonts w:ascii="Arial" w:hAnsi="Arial" w:cs="Arial"/>
          <w:color w:val="000000" w:themeColor="text1"/>
        </w:rPr>
        <w:t>reducing</w:t>
      </w:r>
      <w:proofErr w:type="gramEnd"/>
      <w:r w:rsidRPr="000B22BE">
        <w:rPr>
          <w:rFonts w:ascii="Arial" w:hAnsi="Arial" w:cs="Arial"/>
          <w:color w:val="000000" w:themeColor="text1"/>
        </w:rPr>
        <w:t xml:space="preserve"> health inequalities? An in-depth qualitative case study in the UK. </w:t>
      </w:r>
      <w:r w:rsidRPr="000B22BE">
        <w:rPr>
          <w:rFonts w:ascii="Arial" w:hAnsi="Arial" w:cs="Arial"/>
          <w:i/>
          <w:iCs/>
          <w:color w:val="000000" w:themeColor="text1"/>
        </w:rPr>
        <w:t>BMC Public Health</w:t>
      </w:r>
      <w:r w:rsidRPr="000B22BE">
        <w:rPr>
          <w:rFonts w:ascii="Arial" w:hAnsi="Arial" w:cs="Arial"/>
          <w:color w:val="000000" w:themeColor="text1"/>
        </w:rPr>
        <w:t>, 24(1). Available at: https://doi.org/10.1186/s12889-024-19531-5.</w:t>
      </w:r>
    </w:p>
    <w:p w14:paraId="0F460E7C" w14:textId="77777777" w:rsidR="000B22BE" w:rsidRPr="000B22BE" w:rsidRDefault="000B22BE" w:rsidP="000B22BE">
      <w:pPr>
        <w:spacing w:line="240" w:lineRule="auto"/>
        <w:rPr>
          <w:rFonts w:ascii="Arial" w:hAnsi="Arial" w:cs="Arial"/>
          <w:color w:val="000000" w:themeColor="text1"/>
        </w:rPr>
      </w:pPr>
      <w:r w:rsidRPr="000B22BE">
        <w:rPr>
          <w:rFonts w:ascii="Arial" w:hAnsi="Arial" w:cs="Arial"/>
          <w:color w:val="000000" w:themeColor="text1"/>
        </w:rPr>
        <w:lastRenderedPageBreak/>
        <w:t xml:space="preserve">Phillpotts, E.L., Coggins, J., Goodwin, L., Voss, S., Carlton, E., Hoskins, R., Liddiard, C., Butler, K., Wilkinson, L., Blows, G., Evans, L., Macfarlane, R. and Benger, J. </w:t>
      </w:r>
    </w:p>
    <w:p w14:paraId="0DA66FC2" w14:textId="77777777" w:rsidR="000B22BE" w:rsidRPr="000B22BE" w:rsidRDefault="000B22BE" w:rsidP="000B22BE">
      <w:pPr>
        <w:spacing w:line="240" w:lineRule="auto"/>
        <w:rPr>
          <w:rFonts w:ascii="Arial" w:hAnsi="Arial" w:cs="Arial"/>
          <w:color w:val="000000" w:themeColor="text1"/>
        </w:rPr>
      </w:pPr>
      <w:r w:rsidRPr="000B22BE">
        <w:rPr>
          <w:rFonts w:ascii="Arial" w:hAnsi="Arial" w:cs="Arial"/>
          <w:color w:val="000000" w:themeColor="text1"/>
        </w:rPr>
        <w:t xml:space="preserve">Raja, D., K, J., </w:t>
      </w:r>
      <w:proofErr w:type="spellStart"/>
      <w:r w:rsidRPr="000B22BE">
        <w:rPr>
          <w:rFonts w:ascii="Arial" w:hAnsi="Arial" w:cs="Arial"/>
          <w:color w:val="000000" w:themeColor="text1"/>
        </w:rPr>
        <w:t>Gowridurga</w:t>
      </w:r>
      <w:proofErr w:type="spellEnd"/>
      <w:r w:rsidRPr="000B22BE">
        <w:rPr>
          <w:rFonts w:ascii="Arial" w:hAnsi="Arial" w:cs="Arial"/>
          <w:color w:val="000000" w:themeColor="text1"/>
        </w:rPr>
        <w:t xml:space="preserve">, A., R, P.K., Divya, J. and M, Nalini. (2025). Sustainable Management Practices for Enhancing Employee Recruitment and Retention. </w:t>
      </w:r>
      <w:r w:rsidRPr="000B22BE">
        <w:rPr>
          <w:rFonts w:ascii="Arial" w:hAnsi="Arial" w:cs="Arial"/>
          <w:i/>
          <w:iCs/>
          <w:color w:val="000000" w:themeColor="text1"/>
        </w:rPr>
        <w:t>2025 8th International Conference on Trends in Electronics and Informatics (ICOEI)</w:t>
      </w:r>
      <w:r w:rsidRPr="000B22BE">
        <w:rPr>
          <w:rFonts w:ascii="Arial" w:hAnsi="Arial" w:cs="Arial"/>
          <w:color w:val="000000" w:themeColor="text1"/>
        </w:rPr>
        <w:t xml:space="preserve">, pp.1071–1078. Available at: https://doi.org/10.1109/icoei65986.2025.11013179. </w:t>
      </w:r>
    </w:p>
    <w:p w14:paraId="451A2E9B" w14:textId="4A6D4011" w:rsidR="000B22BE" w:rsidRPr="000B22BE" w:rsidRDefault="000B22BE" w:rsidP="000B22BE">
      <w:pPr>
        <w:spacing w:line="240" w:lineRule="auto"/>
        <w:rPr>
          <w:rFonts w:ascii="Arial" w:hAnsi="Arial" w:cs="Arial"/>
          <w:color w:val="000000" w:themeColor="text1"/>
        </w:rPr>
      </w:pPr>
      <w:r w:rsidRPr="000B22BE">
        <w:rPr>
          <w:rFonts w:ascii="Arial" w:hAnsi="Arial" w:cs="Arial"/>
          <w:color w:val="000000" w:themeColor="text1"/>
        </w:rPr>
        <w:t xml:space="preserve">Restivo, V., Minutolo, G., Battaglini, A., Carli, A., Capraro, M., Gaeta, M., Odone, A., Trucchi, C., Favaretti, C., Vitale, F. and Casuccio, A. (2022). Leadership Effectiveness in Healthcare Settings: </w:t>
      </w:r>
      <w:proofErr w:type="gramStart"/>
      <w:r w:rsidRPr="000B22BE">
        <w:rPr>
          <w:rFonts w:ascii="Arial" w:hAnsi="Arial" w:cs="Arial"/>
          <w:color w:val="000000" w:themeColor="text1"/>
        </w:rPr>
        <w:t>a</w:t>
      </w:r>
      <w:proofErr w:type="gramEnd"/>
      <w:r w:rsidRPr="000B22BE">
        <w:rPr>
          <w:rFonts w:ascii="Arial" w:hAnsi="Arial" w:cs="Arial"/>
          <w:color w:val="000000" w:themeColor="text1"/>
        </w:rPr>
        <w:t xml:space="preserve"> Systematic Review and Meta-Analysis of Cross-Sectional and Before–After Studies. </w:t>
      </w:r>
      <w:r w:rsidRPr="000B22BE">
        <w:rPr>
          <w:rFonts w:ascii="Arial" w:hAnsi="Arial" w:cs="Arial"/>
          <w:i/>
          <w:iCs/>
          <w:color w:val="000000" w:themeColor="text1"/>
        </w:rPr>
        <w:t>International Journal of Environmental Research and Public Health</w:t>
      </w:r>
      <w:r w:rsidRPr="000B22BE">
        <w:rPr>
          <w:rFonts w:ascii="Arial" w:hAnsi="Arial" w:cs="Arial"/>
          <w:color w:val="000000" w:themeColor="text1"/>
        </w:rPr>
        <w:t xml:space="preserve">, [online] 19(17), pp.1–13. Available at: https://pmc.ncbi.nlm.nih.gov/articles/PMC9518077/. </w:t>
      </w:r>
    </w:p>
    <w:p w14:paraId="187AD4F1" w14:textId="77777777" w:rsidR="000B22BE" w:rsidRPr="000B22BE" w:rsidRDefault="000B22BE" w:rsidP="000B22BE">
      <w:pPr>
        <w:spacing w:line="240" w:lineRule="auto"/>
        <w:rPr>
          <w:rFonts w:ascii="Arial" w:hAnsi="Arial" w:cs="Arial"/>
          <w:color w:val="000000" w:themeColor="text1"/>
        </w:rPr>
      </w:pPr>
      <w:proofErr w:type="spellStart"/>
      <w:r w:rsidRPr="000B22BE">
        <w:rPr>
          <w:rFonts w:ascii="Arial" w:hAnsi="Arial" w:cs="Arial"/>
          <w:color w:val="000000" w:themeColor="text1"/>
        </w:rPr>
        <w:t>Sideri</w:t>
      </w:r>
      <w:proofErr w:type="spellEnd"/>
      <w:r w:rsidRPr="000B22BE">
        <w:rPr>
          <w:rFonts w:ascii="Arial" w:hAnsi="Arial" w:cs="Arial"/>
          <w:color w:val="000000" w:themeColor="text1"/>
        </w:rPr>
        <w:t xml:space="preserve">, A.D., </w:t>
      </w:r>
      <w:proofErr w:type="spellStart"/>
      <w:r w:rsidRPr="000B22BE">
        <w:rPr>
          <w:rFonts w:ascii="Arial" w:hAnsi="Arial" w:cs="Arial"/>
          <w:color w:val="000000" w:themeColor="text1"/>
        </w:rPr>
        <w:t>Kipoulas</w:t>
      </w:r>
      <w:proofErr w:type="spellEnd"/>
      <w:r w:rsidRPr="000B22BE">
        <w:rPr>
          <w:rFonts w:ascii="Arial" w:hAnsi="Arial" w:cs="Arial"/>
          <w:color w:val="000000" w:themeColor="text1"/>
        </w:rPr>
        <w:t xml:space="preserve">, E., Leddy, A. and Hackmann, C. (2025). Prevalence and Risk Factors of Burnout Among Mental Health Professionals in the NHS: A Systematic Review. </w:t>
      </w:r>
      <w:r w:rsidRPr="000B22BE">
        <w:rPr>
          <w:rFonts w:ascii="Arial" w:hAnsi="Arial" w:cs="Arial"/>
          <w:i/>
          <w:iCs/>
          <w:color w:val="000000" w:themeColor="text1"/>
        </w:rPr>
        <w:t>Counselling and Psychotherapy Research</w:t>
      </w:r>
      <w:r w:rsidRPr="000B22BE">
        <w:rPr>
          <w:rFonts w:ascii="Arial" w:hAnsi="Arial" w:cs="Arial"/>
          <w:color w:val="000000" w:themeColor="text1"/>
        </w:rPr>
        <w:t xml:space="preserve">, 25(4). Available at: https://doi.org/10.1002/capr.70055. </w:t>
      </w:r>
    </w:p>
    <w:p w14:paraId="3B47D2DB" w14:textId="69BAE2C1" w:rsidR="000B22BE" w:rsidRPr="000B22BE" w:rsidRDefault="000B22BE" w:rsidP="000B22BE">
      <w:pPr>
        <w:spacing w:line="240" w:lineRule="auto"/>
        <w:rPr>
          <w:rFonts w:ascii="Arial" w:hAnsi="Arial" w:cs="Arial"/>
          <w:color w:val="000000" w:themeColor="text1"/>
        </w:rPr>
      </w:pPr>
      <w:proofErr w:type="spellStart"/>
      <w:r w:rsidRPr="000B22BE">
        <w:rPr>
          <w:rFonts w:ascii="Arial" w:hAnsi="Arial" w:cs="Arial"/>
          <w:color w:val="000000" w:themeColor="text1"/>
        </w:rPr>
        <w:t>Torjesen</w:t>
      </w:r>
      <w:proofErr w:type="spellEnd"/>
      <w:r w:rsidRPr="000B22BE">
        <w:rPr>
          <w:rFonts w:ascii="Arial" w:hAnsi="Arial" w:cs="Arial"/>
          <w:color w:val="000000" w:themeColor="text1"/>
        </w:rPr>
        <w:t xml:space="preserve">, I. (2019). NHS must focus on routine care to tackle growing waiting lists, says spending watchdog. </w:t>
      </w:r>
      <w:r w:rsidRPr="000B22BE">
        <w:rPr>
          <w:rFonts w:ascii="Arial" w:hAnsi="Arial" w:cs="Arial"/>
          <w:i/>
          <w:iCs/>
          <w:color w:val="000000" w:themeColor="text1"/>
        </w:rPr>
        <w:t>BMJ</w:t>
      </w:r>
      <w:r w:rsidRPr="000B22BE">
        <w:rPr>
          <w:rFonts w:ascii="Arial" w:hAnsi="Arial" w:cs="Arial"/>
          <w:color w:val="000000" w:themeColor="text1"/>
        </w:rPr>
        <w:t xml:space="preserve">, 364, p.l1350. Available at: https://doi.org/10.1136/bmj.l1350. </w:t>
      </w:r>
    </w:p>
    <w:p w14:paraId="4D70E2F7" w14:textId="77777777" w:rsidR="000B22BE" w:rsidRPr="000B22BE" w:rsidRDefault="000B22BE" w:rsidP="000B22BE">
      <w:pPr>
        <w:spacing w:line="240" w:lineRule="auto"/>
        <w:rPr>
          <w:rFonts w:ascii="Arial" w:hAnsi="Arial" w:cs="Arial"/>
          <w:color w:val="000000" w:themeColor="text1"/>
        </w:rPr>
      </w:pPr>
      <w:r w:rsidRPr="000B22BE">
        <w:rPr>
          <w:rFonts w:ascii="Arial" w:hAnsi="Arial" w:cs="Arial"/>
          <w:color w:val="000000" w:themeColor="text1"/>
        </w:rPr>
        <w:t xml:space="preserve">Vacek, A., Chandran, S., Bauld, L., Lunan, C., Horne, A., Kerr, S., Whitworth, C. and Wojcik Wojtek (2023). Looking back to look forward: Surviving COVID-19 and the future of the NHS. </w:t>
      </w:r>
      <w:r w:rsidRPr="000B22BE">
        <w:rPr>
          <w:rFonts w:ascii="Arial" w:hAnsi="Arial" w:cs="Arial"/>
          <w:i/>
          <w:iCs/>
          <w:color w:val="000000" w:themeColor="text1"/>
        </w:rPr>
        <w:t>Looking back to look forward: Surviving COVID-19 and the future of the NHS</w:t>
      </w:r>
      <w:r w:rsidRPr="000B22BE">
        <w:rPr>
          <w:rFonts w:ascii="Arial" w:hAnsi="Arial" w:cs="Arial"/>
          <w:color w:val="000000" w:themeColor="text1"/>
        </w:rPr>
        <w:t xml:space="preserve">, 53(3), p.147827152311736-147827152311736. Available at: https://doi.org/10.1177/14782715231173667. </w:t>
      </w:r>
    </w:p>
    <w:p w14:paraId="7EBFFB8A" w14:textId="77777777" w:rsidR="000B22BE" w:rsidRPr="000B22BE" w:rsidRDefault="000B22BE" w:rsidP="000B22BE">
      <w:pPr>
        <w:spacing w:line="240" w:lineRule="auto"/>
        <w:rPr>
          <w:rFonts w:ascii="Arial" w:hAnsi="Arial" w:cs="Arial"/>
          <w:color w:val="000000" w:themeColor="text1"/>
        </w:rPr>
      </w:pPr>
      <w:r w:rsidRPr="000B22BE">
        <w:rPr>
          <w:rFonts w:ascii="Arial" w:hAnsi="Arial" w:cs="Arial"/>
          <w:color w:val="000000" w:themeColor="text1"/>
        </w:rPr>
        <w:t xml:space="preserve">Woolf, K., </w:t>
      </w:r>
      <w:proofErr w:type="spellStart"/>
      <w:r w:rsidRPr="000B22BE">
        <w:rPr>
          <w:rFonts w:ascii="Arial" w:hAnsi="Arial" w:cs="Arial"/>
          <w:color w:val="000000" w:themeColor="text1"/>
        </w:rPr>
        <w:t>Papineni</w:t>
      </w:r>
      <w:proofErr w:type="spellEnd"/>
      <w:r w:rsidRPr="000B22BE">
        <w:rPr>
          <w:rFonts w:ascii="Arial" w:hAnsi="Arial" w:cs="Arial"/>
          <w:color w:val="000000" w:themeColor="text1"/>
        </w:rPr>
        <w:t xml:space="preserve">, P., </w:t>
      </w:r>
      <w:proofErr w:type="spellStart"/>
      <w:r w:rsidRPr="000B22BE">
        <w:rPr>
          <w:rFonts w:ascii="Arial" w:hAnsi="Arial" w:cs="Arial"/>
          <w:color w:val="000000" w:themeColor="text1"/>
        </w:rPr>
        <w:t>Lagrata</w:t>
      </w:r>
      <w:proofErr w:type="spellEnd"/>
      <w:r w:rsidRPr="000B22BE">
        <w:rPr>
          <w:rFonts w:ascii="Arial" w:hAnsi="Arial" w:cs="Arial"/>
          <w:color w:val="000000" w:themeColor="text1"/>
        </w:rPr>
        <w:t xml:space="preserve">, S. and Pareek, M. (2023). Retention of ethnic minority staff is critical to resolving the NHS workforce crisis. </w:t>
      </w:r>
      <w:r w:rsidRPr="000B22BE">
        <w:rPr>
          <w:rFonts w:ascii="Arial" w:hAnsi="Arial" w:cs="Arial"/>
          <w:i/>
          <w:iCs/>
          <w:color w:val="000000" w:themeColor="text1"/>
        </w:rPr>
        <w:t>BMJ</w:t>
      </w:r>
      <w:r w:rsidRPr="000B22BE">
        <w:rPr>
          <w:rFonts w:ascii="Arial" w:hAnsi="Arial" w:cs="Arial"/>
          <w:color w:val="000000" w:themeColor="text1"/>
        </w:rPr>
        <w:t xml:space="preserve">, 380, p.541. Available at: https://doi.org/10.1136/bmj.p541. </w:t>
      </w:r>
    </w:p>
    <w:p w14:paraId="677CEE93" w14:textId="5CC4C151" w:rsidR="00C31CBD" w:rsidRPr="000B22BE" w:rsidRDefault="00C31CBD" w:rsidP="000B22BE">
      <w:pPr>
        <w:spacing w:line="240" w:lineRule="auto"/>
        <w:rPr>
          <w:rFonts w:ascii="Arial" w:hAnsi="Arial" w:cs="Arial"/>
          <w:color w:val="000000" w:themeColor="text1"/>
        </w:rPr>
      </w:pPr>
    </w:p>
    <w:p w14:paraId="599D6A92" w14:textId="77777777" w:rsidR="0098590E" w:rsidRPr="000B22BE" w:rsidRDefault="0098590E" w:rsidP="000B22BE">
      <w:pPr>
        <w:spacing w:line="240" w:lineRule="auto"/>
        <w:rPr>
          <w:rFonts w:ascii="Arial" w:hAnsi="Arial" w:cs="Arial"/>
          <w:color w:val="000000" w:themeColor="text1"/>
        </w:rPr>
      </w:pPr>
    </w:p>
    <w:sectPr w:rsidR="0098590E" w:rsidRPr="000B22B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A5D7B" w14:textId="77777777" w:rsidR="00EC0165" w:rsidRDefault="00EC0165" w:rsidP="00602650">
      <w:pPr>
        <w:spacing w:after="0" w:line="240" w:lineRule="auto"/>
      </w:pPr>
      <w:r>
        <w:separator/>
      </w:r>
    </w:p>
  </w:endnote>
  <w:endnote w:type="continuationSeparator" w:id="0">
    <w:p w14:paraId="0C4FFE9B" w14:textId="77777777" w:rsidR="00EC0165" w:rsidRDefault="00EC0165" w:rsidP="006026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9966951"/>
      <w:docPartObj>
        <w:docPartGallery w:val="Page Numbers (Bottom of Page)"/>
        <w:docPartUnique/>
      </w:docPartObj>
    </w:sdtPr>
    <w:sdtContent>
      <w:p w14:paraId="5D326795" w14:textId="1333B00F" w:rsidR="00602650" w:rsidRDefault="00602650">
        <w:pPr>
          <w:pStyle w:val="Footer"/>
          <w:jc w:val="center"/>
        </w:pPr>
        <w:r>
          <w:fldChar w:fldCharType="begin"/>
        </w:r>
        <w:r>
          <w:instrText>PAGE   \* MERGEFORMAT</w:instrText>
        </w:r>
        <w:r>
          <w:fldChar w:fldCharType="separate"/>
        </w:r>
        <w:r>
          <w:t>2</w:t>
        </w:r>
        <w:r>
          <w:fldChar w:fldCharType="end"/>
        </w:r>
      </w:p>
    </w:sdtContent>
  </w:sdt>
  <w:p w14:paraId="26BED77A" w14:textId="77777777" w:rsidR="00602650" w:rsidRDefault="006026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CEBFFF" w14:textId="77777777" w:rsidR="00EC0165" w:rsidRDefault="00EC0165" w:rsidP="00602650">
      <w:pPr>
        <w:spacing w:after="0" w:line="240" w:lineRule="auto"/>
      </w:pPr>
      <w:r>
        <w:separator/>
      </w:r>
    </w:p>
  </w:footnote>
  <w:footnote w:type="continuationSeparator" w:id="0">
    <w:p w14:paraId="273E10AB" w14:textId="77777777" w:rsidR="00EC0165" w:rsidRDefault="00EC0165" w:rsidP="006026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309E3"/>
    <w:multiLevelType w:val="multilevel"/>
    <w:tmpl w:val="F4A4B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990F5F"/>
    <w:multiLevelType w:val="hybridMultilevel"/>
    <w:tmpl w:val="D6E47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8958F2"/>
    <w:multiLevelType w:val="multilevel"/>
    <w:tmpl w:val="2BF49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1D1F16"/>
    <w:multiLevelType w:val="hybridMultilevel"/>
    <w:tmpl w:val="8BE42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397615">
    <w:abstractNumId w:val="3"/>
  </w:num>
  <w:num w:numId="2" w16cid:durableId="531694612">
    <w:abstractNumId w:val="1"/>
  </w:num>
  <w:num w:numId="3" w16cid:durableId="362831161">
    <w:abstractNumId w:val="2"/>
  </w:num>
  <w:num w:numId="4" w16cid:durableId="11933755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4AB"/>
    <w:rsid w:val="00021FBA"/>
    <w:rsid w:val="000B22BE"/>
    <w:rsid w:val="0016688D"/>
    <w:rsid w:val="00256EF1"/>
    <w:rsid w:val="003068DB"/>
    <w:rsid w:val="00356337"/>
    <w:rsid w:val="004549F2"/>
    <w:rsid w:val="004A6A72"/>
    <w:rsid w:val="00517762"/>
    <w:rsid w:val="00571529"/>
    <w:rsid w:val="005A0142"/>
    <w:rsid w:val="005E00C9"/>
    <w:rsid w:val="00602650"/>
    <w:rsid w:val="00664619"/>
    <w:rsid w:val="006E31E5"/>
    <w:rsid w:val="007521ED"/>
    <w:rsid w:val="007D36ED"/>
    <w:rsid w:val="007E0CED"/>
    <w:rsid w:val="007F2E11"/>
    <w:rsid w:val="008F5C0E"/>
    <w:rsid w:val="00900A10"/>
    <w:rsid w:val="00955628"/>
    <w:rsid w:val="0098590E"/>
    <w:rsid w:val="009C0757"/>
    <w:rsid w:val="00A306DC"/>
    <w:rsid w:val="00A8619B"/>
    <w:rsid w:val="00BB5763"/>
    <w:rsid w:val="00BE6DEF"/>
    <w:rsid w:val="00C04893"/>
    <w:rsid w:val="00C31CBD"/>
    <w:rsid w:val="00CD1CA0"/>
    <w:rsid w:val="00CF41F5"/>
    <w:rsid w:val="00DA4A16"/>
    <w:rsid w:val="00DC24AB"/>
    <w:rsid w:val="00DF7F91"/>
    <w:rsid w:val="00E51BDE"/>
    <w:rsid w:val="00E74222"/>
    <w:rsid w:val="00E752EA"/>
    <w:rsid w:val="00E87ED7"/>
    <w:rsid w:val="00EA72F5"/>
    <w:rsid w:val="00EB2B8E"/>
    <w:rsid w:val="00EB66E5"/>
    <w:rsid w:val="00EC0165"/>
    <w:rsid w:val="00EC4B21"/>
    <w:rsid w:val="00ED7D7E"/>
    <w:rsid w:val="00F970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00273"/>
  <w15:chartTrackingRefBased/>
  <w15:docId w15:val="{5B82ED33-28D0-42ED-945D-69FE885B4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24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C24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24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24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24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24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24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24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24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4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C24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24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24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24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24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24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24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24AB"/>
    <w:rPr>
      <w:rFonts w:eastAsiaTheme="majorEastAsia" w:cstheme="majorBidi"/>
      <w:color w:val="272727" w:themeColor="text1" w:themeTint="D8"/>
    </w:rPr>
  </w:style>
  <w:style w:type="paragraph" w:styleId="Title">
    <w:name w:val="Title"/>
    <w:basedOn w:val="Normal"/>
    <w:next w:val="Normal"/>
    <w:link w:val="TitleChar"/>
    <w:uiPriority w:val="10"/>
    <w:qFormat/>
    <w:rsid w:val="00DC24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24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24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24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24AB"/>
    <w:pPr>
      <w:spacing w:before="160"/>
      <w:jc w:val="center"/>
    </w:pPr>
    <w:rPr>
      <w:i/>
      <w:iCs/>
      <w:color w:val="404040" w:themeColor="text1" w:themeTint="BF"/>
    </w:rPr>
  </w:style>
  <w:style w:type="character" w:customStyle="1" w:styleId="QuoteChar">
    <w:name w:val="Quote Char"/>
    <w:basedOn w:val="DefaultParagraphFont"/>
    <w:link w:val="Quote"/>
    <w:uiPriority w:val="29"/>
    <w:rsid w:val="00DC24AB"/>
    <w:rPr>
      <w:i/>
      <w:iCs/>
      <w:color w:val="404040" w:themeColor="text1" w:themeTint="BF"/>
    </w:rPr>
  </w:style>
  <w:style w:type="paragraph" w:styleId="ListParagraph">
    <w:name w:val="List Paragraph"/>
    <w:basedOn w:val="Normal"/>
    <w:uiPriority w:val="34"/>
    <w:qFormat/>
    <w:rsid w:val="00DC24AB"/>
    <w:pPr>
      <w:ind w:left="720"/>
      <w:contextualSpacing/>
    </w:pPr>
  </w:style>
  <w:style w:type="character" w:styleId="IntenseEmphasis">
    <w:name w:val="Intense Emphasis"/>
    <w:basedOn w:val="DefaultParagraphFont"/>
    <w:uiPriority w:val="21"/>
    <w:qFormat/>
    <w:rsid w:val="00DC24AB"/>
    <w:rPr>
      <w:i/>
      <w:iCs/>
      <w:color w:val="0F4761" w:themeColor="accent1" w:themeShade="BF"/>
    </w:rPr>
  </w:style>
  <w:style w:type="paragraph" w:styleId="IntenseQuote">
    <w:name w:val="Intense Quote"/>
    <w:basedOn w:val="Normal"/>
    <w:next w:val="Normal"/>
    <w:link w:val="IntenseQuoteChar"/>
    <w:uiPriority w:val="30"/>
    <w:qFormat/>
    <w:rsid w:val="00DC24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24AB"/>
    <w:rPr>
      <w:i/>
      <w:iCs/>
      <w:color w:val="0F4761" w:themeColor="accent1" w:themeShade="BF"/>
    </w:rPr>
  </w:style>
  <w:style w:type="character" w:styleId="IntenseReference">
    <w:name w:val="Intense Reference"/>
    <w:basedOn w:val="DefaultParagraphFont"/>
    <w:uiPriority w:val="32"/>
    <w:qFormat/>
    <w:rsid w:val="00DC24AB"/>
    <w:rPr>
      <w:b/>
      <w:bCs/>
      <w:smallCaps/>
      <w:color w:val="0F4761" w:themeColor="accent1" w:themeShade="BF"/>
      <w:spacing w:val="5"/>
    </w:rPr>
  </w:style>
  <w:style w:type="character" w:styleId="Hyperlink">
    <w:name w:val="Hyperlink"/>
    <w:basedOn w:val="DefaultParagraphFont"/>
    <w:uiPriority w:val="99"/>
    <w:unhideWhenUsed/>
    <w:rsid w:val="00356337"/>
    <w:rPr>
      <w:color w:val="467886" w:themeColor="hyperlink"/>
      <w:u w:val="single"/>
    </w:rPr>
  </w:style>
  <w:style w:type="character" w:styleId="FollowedHyperlink">
    <w:name w:val="FollowedHyperlink"/>
    <w:basedOn w:val="DefaultParagraphFont"/>
    <w:uiPriority w:val="99"/>
    <w:semiHidden/>
    <w:unhideWhenUsed/>
    <w:rsid w:val="00EA72F5"/>
    <w:rPr>
      <w:color w:val="96607D" w:themeColor="followedHyperlink"/>
      <w:u w:val="single"/>
    </w:rPr>
  </w:style>
  <w:style w:type="character" w:styleId="UnresolvedMention">
    <w:name w:val="Unresolved Mention"/>
    <w:basedOn w:val="DefaultParagraphFont"/>
    <w:uiPriority w:val="99"/>
    <w:semiHidden/>
    <w:unhideWhenUsed/>
    <w:rsid w:val="00EB2B8E"/>
    <w:rPr>
      <w:color w:val="605E5C"/>
      <w:shd w:val="clear" w:color="auto" w:fill="E1DFDD"/>
    </w:rPr>
  </w:style>
  <w:style w:type="paragraph" w:styleId="Header">
    <w:name w:val="header"/>
    <w:basedOn w:val="Normal"/>
    <w:link w:val="HeaderChar"/>
    <w:uiPriority w:val="99"/>
    <w:unhideWhenUsed/>
    <w:rsid w:val="006026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2650"/>
  </w:style>
  <w:style w:type="paragraph" w:styleId="Footer">
    <w:name w:val="footer"/>
    <w:basedOn w:val="Normal"/>
    <w:link w:val="FooterChar"/>
    <w:uiPriority w:val="99"/>
    <w:unhideWhenUsed/>
    <w:rsid w:val="006026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2650"/>
  </w:style>
  <w:style w:type="paragraph" w:styleId="TOCHeading">
    <w:name w:val="TOC Heading"/>
    <w:basedOn w:val="Heading1"/>
    <w:next w:val="Normal"/>
    <w:uiPriority w:val="39"/>
    <w:unhideWhenUsed/>
    <w:qFormat/>
    <w:rsid w:val="007D36ED"/>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7D36ED"/>
    <w:pPr>
      <w:spacing w:after="100"/>
    </w:pPr>
  </w:style>
  <w:style w:type="paragraph" w:styleId="TOC2">
    <w:name w:val="toc 2"/>
    <w:basedOn w:val="Normal"/>
    <w:next w:val="Normal"/>
    <w:autoRedefine/>
    <w:uiPriority w:val="39"/>
    <w:unhideWhenUsed/>
    <w:rsid w:val="007D36E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E68DC6-7ABE-43C8-BC6A-1EBF9B174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1</Pages>
  <Words>3902</Words>
  <Characters>22246</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Hirciaga (2413814)</dc:creator>
  <cp:keywords/>
  <dc:description/>
  <cp:lastModifiedBy>Ioana Hirciaga (2413814)</cp:lastModifiedBy>
  <cp:revision>15</cp:revision>
  <dcterms:created xsi:type="dcterms:W3CDTF">2026-04-28T09:06:00Z</dcterms:created>
  <dcterms:modified xsi:type="dcterms:W3CDTF">2026-05-04T10:11:00Z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c76031f4-ddc2-4b3f-bdd4-ebb9834f61cd</vt:lpwstr>
  </property>
</Properties>
</file>