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5F634710"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FD5365">
        <w:rPr>
          <w:rFonts w:ascii="Aptos" w:hAnsi="Aptos" w:cs="Arial"/>
          <w:sz w:val="28"/>
          <w:szCs w:val="28"/>
          <w:lang w:val="nl-NL"/>
        </w:rPr>
        <w:t xml:space="preserve"> Sharmin Moqsuda Ahmed</w:t>
      </w:r>
    </w:p>
    <w:p w14:paraId="4D060E17" w14:textId="4E585EC6"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FD5365" w:rsidRPr="00FD5365">
        <w:rPr>
          <w:rFonts w:ascii="Segoe UI" w:hAnsi="Segoe UI" w:cs="Segoe UI"/>
          <w:color w:val="131313"/>
          <w:sz w:val="23"/>
          <w:szCs w:val="23"/>
          <w:shd w:val="clear" w:color="auto" w:fill="FFFFFF"/>
        </w:rPr>
        <w:t xml:space="preserve"> </w:t>
      </w:r>
      <w:r w:rsidR="00FD5365" w:rsidRPr="00FD5365">
        <w:rPr>
          <w:rFonts w:ascii="Aptos" w:hAnsi="Aptos" w:cs="Arial"/>
          <w:sz w:val="28"/>
          <w:szCs w:val="28"/>
        </w:rPr>
        <w:t>2232368</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331243B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FD5365" w:rsidRPr="00FD5365">
        <w:rPr>
          <w:rFonts w:ascii="Aptos" w:hAnsi="Aptos" w:cs="Arial"/>
          <w:sz w:val="28"/>
          <w:szCs w:val="28"/>
          <w:lang w:val="nl-NL"/>
        </w:rPr>
        <w:t>Independent Project</w:t>
      </w:r>
    </w:p>
    <w:p w14:paraId="42A6E8AA" w14:textId="7B5B1D8E"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FD5365" w:rsidRPr="00FD5365">
        <w:t xml:space="preserve"> </w:t>
      </w:r>
      <w:r w:rsidR="00FD5365" w:rsidRPr="00FD5365">
        <w:rPr>
          <w:rFonts w:ascii="Aptos" w:hAnsi="Aptos" w:cs="Arial"/>
          <w:sz w:val="28"/>
          <w:szCs w:val="28"/>
        </w:rPr>
        <w:t>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5377"/>
        <w:gridCol w:w="9239"/>
      </w:tblGrid>
      <w:tr w:rsidR="00802FF1" w:rsidRPr="00C31D85" w14:paraId="2F1EE6C0" w14:textId="77777777" w:rsidTr="00F52F83">
        <w:trPr>
          <w:trHeight w:val="597"/>
        </w:trPr>
        <w:tc>
          <w:tcPr>
            <w:tcW w:w="14616" w:type="dxa"/>
            <w:gridSpan w:val="2"/>
            <w:vAlign w:val="center"/>
          </w:tcPr>
          <w:p w14:paraId="080E7EB0" w14:textId="7D2C981E" w:rsidR="00802FF1" w:rsidRPr="00802FF1" w:rsidRDefault="00FE4F48" w:rsidP="00802FF1">
            <w:pPr>
              <w:jc w:val="center"/>
              <w:rPr>
                <w:rFonts w:ascii="Aptos" w:hAnsi="Aptos"/>
                <w:b/>
                <w:bCs/>
              </w:rPr>
            </w:pPr>
            <w:r w:rsidRPr="00FE4F48">
              <w:rPr>
                <w:rFonts w:ascii="Aptos" w:hAnsi="Aptos"/>
                <w:b/>
                <w:bCs/>
                <w:sz w:val="36"/>
                <w:szCs w:val="36"/>
              </w:rPr>
              <w:lastRenderedPageBreak/>
              <w:t>Assessing the Impact of Environmental Factors on Asthma in Children and Teenagers in England</w:t>
            </w:r>
          </w:p>
        </w:tc>
      </w:tr>
      <w:tr w:rsidR="00C31D85" w:rsidRPr="00C31D85" w14:paraId="51100EC3" w14:textId="77777777" w:rsidTr="00063B85">
        <w:trPr>
          <w:trHeight w:val="1856"/>
        </w:trPr>
        <w:tc>
          <w:tcPr>
            <w:tcW w:w="7225" w:type="dxa"/>
          </w:tcPr>
          <w:p w14:paraId="7D5ABB49" w14:textId="77777777" w:rsidR="00C31D85" w:rsidRPr="005F7D75" w:rsidRDefault="00C31D85" w:rsidP="00C46111">
            <w:pPr>
              <w:rPr>
                <w:rFonts w:ascii="Aptos" w:hAnsi="Aptos"/>
                <w:b/>
                <w:bCs/>
              </w:rPr>
            </w:pPr>
            <w:r w:rsidRPr="00AB5409">
              <w:rPr>
                <w:rFonts w:ascii="Aptos" w:hAnsi="Aptos"/>
                <w:b/>
                <w:bCs/>
                <w:sz w:val="40"/>
                <w:szCs w:val="40"/>
              </w:rPr>
              <w:t>01</w:t>
            </w:r>
            <w:r w:rsidR="00890534">
              <w:rPr>
                <w:rFonts w:ascii="Aptos" w:hAnsi="Aptos"/>
              </w:rPr>
              <w:t xml:space="preserve"> </w:t>
            </w:r>
            <w:r w:rsidR="00AB5409">
              <w:rPr>
                <w:rFonts w:ascii="Aptos" w:hAnsi="Aptos"/>
              </w:rPr>
              <w:t xml:space="preserve"> </w:t>
            </w:r>
            <w:r w:rsidR="001A2DAB" w:rsidRPr="005F7D75">
              <w:rPr>
                <w:rFonts w:ascii="Aptos" w:hAnsi="Aptos"/>
                <w:b/>
                <w:bCs/>
              </w:rPr>
              <w:t xml:space="preserve">Introduction and </w:t>
            </w:r>
            <w:r w:rsidR="00AB5409" w:rsidRPr="005F7D75">
              <w:rPr>
                <w:rFonts w:ascii="Aptos" w:hAnsi="Aptos"/>
                <w:b/>
                <w:bCs/>
              </w:rPr>
              <w:t xml:space="preserve">Research </w:t>
            </w:r>
            <w:r w:rsidR="001A2DAB" w:rsidRPr="005F7D75">
              <w:rPr>
                <w:rFonts w:ascii="Aptos" w:hAnsi="Aptos"/>
                <w:b/>
                <w:bCs/>
              </w:rPr>
              <w:t xml:space="preserve">Aim </w:t>
            </w:r>
          </w:p>
          <w:p w14:paraId="4F873229" w14:textId="0FCC0FE7" w:rsidR="000E56ED" w:rsidRPr="00FE4F48" w:rsidRDefault="00FE4F48" w:rsidP="00FE4F48">
            <w:pPr>
              <w:spacing w:after="160" w:line="360" w:lineRule="auto"/>
            </w:pPr>
            <w:r w:rsidRPr="0049270C">
              <w:t>This methodology chapter outlines how secondary research methods were applied to investigate the link between environmental exposures and asthma outcomes among children and teenagers in England. The aim is to identify major contributing environmental risk factors and inform policy development for prevention and control strategies.</w:t>
            </w:r>
          </w:p>
        </w:tc>
        <w:tc>
          <w:tcPr>
            <w:tcW w:w="7391" w:type="dxa"/>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25CA190D" w14:textId="08AA743A" w:rsidR="0029329C" w:rsidRPr="004825C1" w:rsidRDefault="004825C1" w:rsidP="004825C1">
            <w:pPr>
              <w:spacing w:after="160" w:line="360" w:lineRule="auto"/>
            </w:pPr>
            <w:r w:rsidRPr="0049270C">
              <w:t>A search strategy in secondary research refers to a systematic plan to locate and select relevant sources from academic and grey literature</w:t>
            </w:r>
            <w:sdt>
              <w:sdtPr>
                <w:id w:val="-2005742674"/>
                <w:citation/>
              </w:sdtPr>
              <w:sdtContent>
                <w:r>
                  <w:fldChar w:fldCharType="begin"/>
                </w:r>
                <w:r>
                  <w:instrText xml:space="preserve"> CITATION Uni2410 \l 1033 </w:instrText>
                </w:r>
                <w:r>
                  <w:fldChar w:fldCharType="separate"/>
                </w:r>
                <w:r w:rsidR="003C2313">
                  <w:rPr>
                    <w:b/>
                    <w:bCs/>
                    <w:noProof/>
                  </w:rPr>
                  <w:t>Invalid source specified.</w:t>
                </w:r>
                <w:r>
                  <w:fldChar w:fldCharType="end"/>
                </w:r>
              </w:sdtContent>
            </w:sdt>
            <w:r w:rsidRPr="0049270C">
              <w:t>. My search strategy used Boolean operators, filters, and key terms (e.g., “childhood asthma”, “air pollution UK”, “housing and asthma”, “climate change and respiratory health”) to retrieve relevant and credible literature from PubMed, Google Scholar, and NHS databases.</w:t>
            </w: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063B85">
        <w:trPr>
          <w:trHeight w:val="1856"/>
        </w:trPr>
        <w:tc>
          <w:tcPr>
            <w:tcW w:w="7225" w:type="dxa"/>
          </w:tcPr>
          <w:p w14:paraId="30AEBD55" w14:textId="77777777" w:rsidR="00C31D85" w:rsidRDefault="00C31D85" w:rsidP="00C46111">
            <w:pPr>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3A664677" w14:textId="77777777" w:rsidR="0006282F" w:rsidRPr="0049270C" w:rsidRDefault="0006282F" w:rsidP="0006282F">
            <w:pPr>
              <w:spacing w:after="160" w:line="360" w:lineRule="auto"/>
            </w:pPr>
            <w:r w:rsidRPr="0049270C">
              <w:t>Step-by-step process:</w:t>
            </w:r>
          </w:p>
          <w:p w14:paraId="00AA0F83" w14:textId="77777777" w:rsidR="0006282F" w:rsidRPr="0049270C" w:rsidRDefault="0006282F" w:rsidP="0006282F">
            <w:pPr>
              <w:numPr>
                <w:ilvl w:val="0"/>
                <w:numId w:val="14"/>
              </w:numPr>
              <w:spacing w:after="160" w:line="360" w:lineRule="auto"/>
            </w:pPr>
            <w:r w:rsidRPr="0049270C">
              <w:t>Initial scoping search to identify keywords and trends.</w:t>
            </w:r>
          </w:p>
          <w:p w14:paraId="1721C49F" w14:textId="77777777" w:rsidR="0006282F" w:rsidRPr="0049270C" w:rsidRDefault="0006282F" w:rsidP="0006282F">
            <w:pPr>
              <w:numPr>
                <w:ilvl w:val="0"/>
                <w:numId w:val="14"/>
              </w:numPr>
              <w:spacing w:after="160" w:line="360" w:lineRule="auto"/>
            </w:pPr>
            <w:r w:rsidRPr="0049270C">
              <w:t>Search conducted using terms such as: “asthma in children UK”, “environmental risk asthma England”, “indoor air quality and asthma”.</w:t>
            </w:r>
          </w:p>
          <w:p w14:paraId="0580CBCD" w14:textId="77777777" w:rsidR="0006282F" w:rsidRPr="0049270C" w:rsidRDefault="0006282F" w:rsidP="0006282F">
            <w:pPr>
              <w:numPr>
                <w:ilvl w:val="0"/>
                <w:numId w:val="14"/>
              </w:numPr>
              <w:spacing w:after="160" w:line="360" w:lineRule="auto"/>
            </w:pPr>
            <w:r w:rsidRPr="0049270C">
              <w:t>Filters applied: English language, UK-based studies, publication years 2014–2024.</w:t>
            </w:r>
          </w:p>
          <w:p w14:paraId="391733C1" w14:textId="77777777" w:rsidR="0006282F" w:rsidRPr="0049270C" w:rsidRDefault="0006282F" w:rsidP="0006282F">
            <w:pPr>
              <w:numPr>
                <w:ilvl w:val="0"/>
                <w:numId w:val="14"/>
              </w:numPr>
              <w:spacing w:after="160" w:line="360" w:lineRule="auto"/>
            </w:pPr>
            <w:r w:rsidRPr="0049270C">
              <w:lastRenderedPageBreak/>
              <w:t>Used government databases (e.g., DEFRA, NHS Digital) for national data.</w:t>
            </w:r>
          </w:p>
          <w:p w14:paraId="4A293EC1" w14:textId="77777777" w:rsidR="0006282F" w:rsidRPr="0049270C" w:rsidRDefault="0006282F" w:rsidP="0006282F">
            <w:pPr>
              <w:numPr>
                <w:ilvl w:val="0"/>
                <w:numId w:val="14"/>
              </w:numPr>
              <w:spacing w:after="160" w:line="360" w:lineRule="auto"/>
            </w:pPr>
            <w:r w:rsidRPr="0049270C">
              <w:t>Selected peer-reviewed articles and reports that were accessible in full.</w:t>
            </w:r>
          </w:p>
          <w:p w14:paraId="3611ED69" w14:textId="18CCB961" w:rsidR="0029329C" w:rsidRPr="0006282F" w:rsidRDefault="0006282F" w:rsidP="0006282F">
            <w:pPr>
              <w:spacing w:after="160" w:line="360" w:lineRule="auto"/>
            </w:pPr>
            <w:r w:rsidRPr="0049270C">
              <w:t>This strategy ensured a focused review of up-to-date and relevant literature on asthma and environmental health.</w:t>
            </w: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391" w:type="dxa"/>
          </w:tcPr>
          <w:p w14:paraId="54995ADA" w14:textId="77777777" w:rsidR="00C31D85" w:rsidRDefault="00C31D85" w:rsidP="00C46111">
            <w:pPr>
              <w:rPr>
                <w:rFonts w:ascii="Aptos" w:hAnsi="Aptos"/>
              </w:rPr>
            </w:pPr>
            <w:r w:rsidRPr="00AB5409">
              <w:rPr>
                <w:rFonts w:ascii="Aptos" w:hAnsi="Aptos"/>
                <w:b/>
                <w:bCs/>
                <w:sz w:val="40"/>
                <w:szCs w:val="40"/>
              </w:rPr>
              <w:lastRenderedPageBreak/>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2BBB997C" w14:textId="6342814E" w:rsidR="005F7D75" w:rsidRPr="00C31D85" w:rsidRDefault="00094B33" w:rsidP="00DC383F">
            <w:pPr>
              <w:spacing w:line="360" w:lineRule="auto"/>
              <w:jc w:val="center"/>
              <w:rPr>
                <w:rFonts w:ascii="Aptos" w:hAnsi="Aptos"/>
              </w:rPr>
            </w:pPr>
            <w:r>
              <w:t>The chart displays asthma mortality rates per 100,000 young people in the UK (ages 10–14, 15–19, 20–24) from 1998 to 2019, revealing several key trends</w:t>
            </w:r>
            <w:r w:rsidR="00DC383F">
              <w:t>.</w:t>
            </w:r>
            <w:r w:rsidR="0006282F">
              <w:rPr>
                <w:noProof/>
              </w:rPr>
              <w:lastRenderedPageBreak/>
              <w:drawing>
                <wp:inline distT="0" distB="0" distL="0" distR="0" wp14:anchorId="5429F283" wp14:editId="117594CF">
                  <wp:extent cx="3738114" cy="1981200"/>
                  <wp:effectExtent l="0" t="0" r="0" b="0"/>
                  <wp:docPr id="1" name="Picture 1" descr="Asthma - AYPH - Youth Health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Asthma - AYPH - Youth Health Dat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42389" cy="1983466"/>
                          </a:xfrm>
                          <a:prstGeom prst="rect">
                            <a:avLst/>
                          </a:prstGeom>
                          <a:noFill/>
                          <a:ln>
                            <a:noFill/>
                          </a:ln>
                        </pic:spPr>
                      </pic:pic>
                    </a:graphicData>
                  </a:graphic>
                </wp:inline>
              </w:drawing>
            </w:r>
            <w:r w:rsidR="00DC383F" w:rsidRPr="00DC383F">
              <w:rPr>
                <w:noProof/>
              </w:rPr>
              <w:drawing>
                <wp:inline distT="0" distB="0" distL="0" distR="0" wp14:anchorId="55A17C89" wp14:editId="3802ECC8">
                  <wp:extent cx="5729605" cy="3670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9605" cy="367030"/>
                          </a:xfrm>
                          <a:prstGeom prst="rect">
                            <a:avLst/>
                          </a:prstGeom>
                          <a:noFill/>
                          <a:ln>
                            <a:noFill/>
                          </a:ln>
                        </pic:spPr>
                      </pic:pic>
                    </a:graphicData>
                  </a:graphic>
                </wp:inline>
              </w:drawing>
            </w: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7E7D1A89" w14:textId="11BEBAC2" w:rsidR="00DC383F" w:rsidRPr="0049270C" w:rsidRDefault="00DC383F" w:rsidP="00DC383F">
            <w:pPr>
              <w:spacing w:after="160" w:line="360" w:lineRule="auto"/>
            </w:pPr>
            <w:r w:rsidRPr="0049270C">
              <w:t>In secondary research, validation refers to ensuring data is credible, reliable, and derived from trustworthy sources</w:t>
            </w:r>
            <w:sdt>
              <w:sdtPr>
                <w:id w:val="2096979635"/>
                <w:citation/>
              </w:sdtPr>
              <w:sdtContent>
                <w:r>
                  <w:fldChar w:fldCharType="begin"/>
                </w:r>
                <w:r>
                  <w:instrText xml:space="preserve"> CITATION Col22 \l 1033 </w:instrText>
                </w:r>
                <w:r>
                  <w:fldChar w:fldCharType="separate"/>
                </w:r>
                <w:r w:rsidR="003C2313">
                  <w:rPr>
                    <w:b/>
                    <w:bCs/>
                    <w:noProof/>
                  </w:rPr>
                  <w:t>Invalid source specified.</w:t>
                </w:r>
                <w:r>
                  <w:fldChar w:fldCharType="end"/>
                </w:r>
              </w:sdtContent>
            </w:sdt>
            <w:r w:rsidRPr="0049270C">
              <w:t>. I prioritised peer-reviewed journals and government datasets. A thematic analysis approach was used to identify recurring topics such as:</w:t>
            </w:r>
          </w:p>
          <w:p w14:paraId="207000F1" w14:textId="77777777" w:rsidR="00DC383F" w:rsidRPr="0049270C" w:rsidRDefault="00DC383F" w:rsidP="00DC383F">
            <w:pPr>
              <w:numPr>
                <w:ilvl w:val="0"/>
                <w:numId w:val="15"/>
              </w:numPr>
              <w:spacing w:after="160" w:line="360" w:lineRule="auto"/>
            </w:pPr>
            <w:r w:rsidRPr="0049270C">
              <w:t>Outdoor air pollution (NO</w:t>
            </w:r>
            <w:r w:rsidRPr="0049270C">
              <w:rPr>
                <w:rFonts w:ascii="Times New Roman" w:hAnsi="Times New Roman" w:cs="Times New Roman"/>
              </w:rPr>
              <w:t>₂</w:t>
            </w:r>
            <w:r w:rsidRPr="0049270C">
              <w:t>, PM</w:t>
            </w:r>
            <w:r w:rsidRPr="0049270C">
              <w:rPr>
                <w:rFonts w:ascii="Times New Roman" w:hAnsi="Times New Roman" w:cs="Times New Roman"/>
              </w:rPr>
              <w:t>₂</w:t>
            </w:r>
            <w:r w:rsidRPr="0049270C">
              <w:t>.</w:t>
            </w:r>
            <w:r w:rsidRPr="0049270C">
              <w:rPr>
                <w:rFonts w:ascii="Times New Roman" w:hAnsi="Times New Roman" w:cs="Times New Roman"/>
              </w:rPr>
              <w:t>₅</w:t>
            </w:r>
            <w:r w:rsidRPr="0049270C">
              <w:t>)</w:t>
            </w:r>
          </w:p>
          <w:p w14:paraId="03E0EB1B" w14:textId="77777777" w:rsidR="00DC383F" w:rsidRPr="0049270C" w:rsidRDefault="00DC383F" w:rsidP="00DC383F">
            <w:pPr>
              <w:numPr>
                <w:ilvl w:val="0"/>
                <w:numId w:val="15"/>
              </w:numPr>
              <w:spacing w:after="160" w:line="360" w:lineRule="auto"/>
            </w:pPr>
            <w:r w:rsidRPr="0049270C">
              <w:t>Damp or mould in housing</w:t>
            </w:r>
          </w:p>
          <w:p w14:paraId="66A81E35" w14:textId="77777777" w:rsidR="00DC383F" w:rsidRPr="0049270C" w:rsidRDefault="00DC383F" w:rsidP="00DC383F">
            <w:pPr>
              <w:numPr>
                <w:ilvl w:val="0"/>
                <w:numId w:val="15"/>
              </w:numPr>
              <w:spacing w:after="160" w:line="360" w:lineRule="auto"/>
            </w:pPr>
            <w:r w:rsidRPr="0049270C">
              <w:t>Socioeconomic disparities in exposure</w:t>
            </w:r>
          </w:p>
          <w:p w14:paraId="7454B819" w14:textId="52C38FED" w:rsidR="00516CC0" w:rsidRPr="00DC383F" w:rsidRDefault="00DC383F" w:rsidP="00DC383F">
            <w:pPr>
              <w:spacing w:after="160" w:line="360" w:lineRule="auto"/>
            </w:pPr>
            <w:r w:rsidRPr="0049270C">
              <w:t>The themes will be explored in-depth in the dissertation findings.</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4137A9D8" w14:textId="77777777" w:rsidR="00DC383F" w:rsidRPr="0049270C" w:rsidRDefault="00DC383F" w:rsidP="00DC383F">
            <w:pPr>
              <w:numPr>
                <w:ilvl w:val="0"/>
                <w:numId w:val="16"/>
              </w:numPr>
              <w:spacing w:after="160" w:line="360" w:lineRule="auto"/>
            </w:pPr>
            <w:r w:rsidRPr="0049270C">
              <w:t>Published in the last 10 years</w:t>
            </w:r>
          </w:p>
          <w:p w14:paraId="0F7BA8C6" w14:textId="77777777" w:rsidR="00DC383F" w:rsidRPr="0049270C" w:rsidRDefault="00DC383F" w:rsidP="00DC383F">
            <w:pPr>
              <w:numPr>
                <w:ilvl w:val="0"/>
                <w:numId w:val="16"/>
              </w:numPr>
              <w:spacing w:after="160" w:line="360" w:lineRule="auto"/>
            </w:pPr>
            <w:r w:rsidRPr="0049270C">
              <w:t>UK-specific or England-focused studies</w:t>
            </w:r>
          </w:p>
          <w:p w14:paraId="16067D96" w14:textId="77777777" w:rsidR="00DC383F" w:rsidRPr="0049270C" w:rsidRDefault="00DC383F" w:rsidP="00DC383F">
            <w:pPr>
              <w:numPr>
                <w:ilvl w:val="0"/>
                <w:numId w:val="16"/>
              </w:numPr>
              <w:spacing w:after="160" w:line="360" w:lineRule="auto"/>
            </w:pPr>
            <w:r w:rsidRPr="0049270C">
              <w:lastRenderedPageBreak/>
              <w:t>Population: children (0–11) and teenagers (12–18)</w:t>
            </w:r>
          </w:p>
          <w:p w14:paraId="00628477" w14:textId="5A40FF2D" w:rsidR="00516CC0" w:rsidRPr="00DC383F" w:rsidRDefault="00DC383F" w:rsidP="00C46111">
            <w:pPr>
              <w:numPr>
                <w:ilvl w:val="0"/>
                <w:numId w:val="16"/>
              </w:numPr>
              <w:spacing w:after="160" w:line="360" w:lineRule="auto"/>
            </w:pPr>
            <w:r w:rsidRPr="0049270C">
              <w:t>Access to full text online</w:t>
            </w: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lastRenderedPageBreak/>
              <w:t>07</w:t>
            </w:r>
            <w:r>
              <w:rPr>
                <w:rFonts w:ascii="Aptos" w:hAnsi="Aptos"/>
              </w:rPr>
              <w:t xml:space="preserve"> </w:t>
            </w:r>
            <w:r w:rsidRPr="005F7D75">
              <w:rPr>
                <w:rFonts w:ascii="Aptos" w:hAnsi="Aptos"/>
                <w:b/>
                <w:bCs/>
              </w:rPr>
              <w:t>Exclusion Criteria</w:t>
            </w:r>
            <w:r>
              <w:rPr>
                <w:rFonts w:ascii="Aptos" w:hAnsi="Aptos"/>
              </w:rPr>
              <w:t xml:space="preserve"> </w:t>
            </w:r>
          </w:p>
          <w:p w14:paraId="36725C55" w14:textId="77777777" w:rsidR="00DC383F" w:rsidRPr="0049270C" w:rsidRDefault="00DC383F" w:rsidP="00DC383F">
            <w:pPr>
              <w:numPr>
                <w:ilvl w:val="0"/>
                <w:numId w:val="17"/>
              </w:numPr>
              <w:spacing w:after="160" w:line="360" w:lineRule="auto"/>
            </w:pPr>
            <w:r w:rsidRPr="0049270C">
              <w:t>Studies outside the UK context</w:t>
            </w:r>
          </w:p>
          <w:p w14:paraId="5C4D0677" w14:textId="77777777" w:rsidR="00DC383F" w:rsidRPr="0049270C" w:rsidRDefault="00DC383F" w:rsidP="00DC383F">
            <w:pPr>
              <w:numPr>
                <w:ilvl w:val="0"/>
                <w:numId w:val="17"/>
              </w:numPr>
              <w:spacing w:after="160" w:line="360" w:lineRule="auto"/>
            </w:pPr>
            <w:r w:rsidRPr="0049270C">
              <w:t>Adults or elderly populations</w:t>
            </w:r>
          </w:p>
          <w:p w14:paraId="11FDD80D" w14:textId="77777777" w:rsidR="00DC383F" w:rsidRPr="0049270C" w:rsidRDefault="00DC383F" w:rsidP="00DC383F">
            <w:pPr>
              <w:numPr>
                <w:ilvl w:val="0"/>
                <w:numId w:val="17"/>
              </w:numPr>
              <w:spacing w:after="160" w:line="360" w:lineRule="auto"/>
            </w:pPr>
            <w:r w:rsidRPr="0049270C">
              <w:lastRenderedPageBreak/>
              <w:t>Non-peer-reviewed blogs or forums</w:t>
            </w:r>
          </w:p>
          <w:p w14:paraId="253F8839" w14:textId="1F15729D" w:rsidR="00516CC0" w:rsidRPr="00DC383F" w:rsidRDefault="00DC383F" w:rsidP="00C46111">
            <w:pPr>
              <w:numPr>
                <w:ilvl w:val="0"/>
                <w:numId w:val="17"/>
              </w:numPr>
              <w:spacing w:after="160" w:line="360" w:lineRule="auto"/>
            </w:pPr>
            <w:r w:rsidRPr="0049270C">
              <w:t>Sources older than 2014 (except seminal works)</w:t>
            </w:r>
          </w:p>
        </w:tc>
      </w:tr>
      <w:tr w:rsidR="00C31D85" w:rsidRPr="00C31D85" w14:paraId="583C9C87" w14:textId="77777777" w:rsidTr="00F52F83">
        <w:trPr>
          <w:trHeight w:val="1798"/>
        </w:trPr>
        <w:tc>
          <w:tcPr>
            <w:tcW w:w="14616" w:type="dxa"/>
            <w:gridSpan w:val="2"/>
          </w:tcPr>
          <w:p w14:paraId="44C8BC9D" w14:textId="77777777" w:rsidR="00C31D85" w:rsidRDefault="00C31D85" w:rsidP="00AB5409">
            <w:pPr>
              <w:jc w:val="center"/>
              <w:rPr>
                <w:rFonts w:ascii="Aptos" w:hAnsi="Aptos"/>
                <w:b/>
                <w:bCs/>
              </w:rPr>
            </w:pPr>
            <w:r w:rsidRPr="00AB5409">
              <w:rPr>
                <w:rFonts w:ascii="Aptos" w:hAnsi="Aptos"/>
                <w:b/>
                <w:bCs/>
                <w:sz w:val="40"/>
                <w:szCs w:val="40"/>
              </w:rPr>
              <w:lastRenderedPageBreak/>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1EFAF50B" w14:textId="4758C603" w:rsidR="00F52F83" w:rsidRPr="00F52F83" w:rsidRDefault="00CA5208" w:rsidP="00411B19">
            <w:pPr>
              <w:rPr>
                <w:rFonts w:ascii="Aptos" w:hAnsi="Aptos"/>
                <w:lang w:val="en-GB"/>
              </w:rPr>
            </w:pPr>
            <w:r w:rsidRPr="0049270C">
              <w:t>Ethics in secondary research involves using data responsibly, avoiding plagiarism, and giving proper attribution</w:t>
            </w:r>
            <w:r w:rsidR="0019298A" w:rsidRPr="0019298A">
              <w:t xml:space="preserve"> (Bhaskar &amp; Ola, 2024)</w:t>
            </w:r>
            <w:r w:rsidRPr="0049270C">
              <w:t xml:space="preserve">. </w:t>
            </w:r>
            <w:bookmarkStart w:id="0" w:name="_Hlk201767481"/>
            <w:r w:rsidR="00411B19" w:rsidRPr="00411B19">
              <w:t xml:space="preserve">This research upholds ethical standards by ensuring respect for intellectual property through accurate citation and referencing to avoid plagiarism. All sources used are properly credited following </w:t>
            </w:r>
            <w:r w:rsidR="0019298A">
              <w:t xml:space="preserve">the </w:t>
            </w:r>
            <w:r w:rsidR="00411B19" w:rsidRPr="00411B19">
              <w:t>Harvard style. Privacy and confidentiality are maintained by excluding any data with identifiable or sensitive personal information. Data integrity is prioritised by selecting only reliable, peer-reviewed, and valid sources. The study complies with legal regulations, including the General Data Protection Regulation (GDPR), governing the use of secondary data.</w:t>
            </w:r>
            <w:bookmarkEnd w:id="0"/>
          </w:p>
          <w:p w14:paraId="28D04039" w14:textId="187C19B3" w:rsidR="00F52F83" w:rsidRPr="00F52F83" w:rsidRDefault="00F52F83" w:rsidP="00F52F83">
            <w:pPr>
              <w:rPr>
                <w:rFonts w:ascii="Aptos" w:hAnsi="Aptos"/>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52782E9E" w14:textId="77777777" w:rsidR="003C2313" w:rsidRDefault="00EB6F36" w:rsidP="00C46111">
      <w:pPr>
        <w:rPr>
          <w:rFonts w:ascii="Arial" w:hAnsi="Arial" w:cs="Arial"/>
          <w:sz w:val="24"/>
          <w:szCs w:val="24"/>
        </w:rPr>
      </w:pPr>
      <w:r>
        <w:rPr>
          <w:rFonts w:ascii="Arial" w:hAnsi="Arial" w:cs="Arial"/>
          <w:sz w:val="24"/>
          <w:szCs w:val="24"/>
        </w:rPr>
        <w:lastRenderedPageBreak/>
        <w:t xml:space="preserve">    </w:t>
      </w:r>
    </w:p>
    <w:sdt>
      <w:sdtPr>
        <w:rPr>
          <w:rFonts w:asciiTheme="minorHAnsi" w:hAnsiTheme="minorHAnsi"/>
          <w:b w:val="0"/>
          <w:color w:val="auto"/>
          <w:spacing w:val="0"/>
          <w:sz w:val="22"/>
        </w:rPr>
        <w:id w:val="2060429510"/>
        <w:docPartObj>
          <w:docPartGallery w:val="Bibliographies"/>
          <w:docPartUnique/>
        </w:docPartObj>
      </w:sdtPr>
      <w:sdtContent>
        <w:p w14:paraId="67A140A5" w14:textId="348DC268" w:rsidR="003C2313" w:rsidRDefault="003C2313">
          <w:pPr>
            <w:pStyle w:val="Heading1"/>
          </w:pPr>
          <w:r>
            <w:t>References</w:t>
          </w:r>
        </w:p>
        <w:sdt>
          <w:sdtPr>
            <w:id w:val="-573587230"/>
            <w:bibliography/>
          </w:sdtPr>
          <w:sdtContent>
            <w:p w14:paraId="171881D4" w14:textId="6BE8AA82" w:rsidR="003C2313" w:rsidRDefault="003C2313">
              <w:r w:rsidRPr="003C2313">
                <w:t>Bhaskar, R. &amp; Ola, M., 2024. Publication Misconduct, Plagiarism, and Research Integrity. In: Principles of Research Methodology and Ethics in Pharmaceutical Sciences. s.l.:CRC Press, pp. 271-310.</w:t>
              </w:r>
            </w:p>
            <w:p w14:paraId="57E22AC5" w14:textId="5EAC6AE4" w:rsidR="00E234E6" w:rsidRDefault="00E234E6">
              <w:r w:rsidRPr="00E234E6">
                <w:t>Coleman, P., 2022. Validity and reliability within qualitative research for the caring sciences. International Journal of Caring Sciences, 14(3), pp. 2041-2045.</w:t>
              </w:r>
            </w:p>
            <w:p w14:paraId="579B2CF1" w14:textId="77777777" w:rsidR="0019298A" w:rsidRDefault="0019298A" w:rsidP="0019298A">
              <w:r>
                <w:t xml:space="preserve">University of Staffordshire, 2024. Information Literacy Guide. [Online] </w:t>
              </w:r>
            </w:p>
            <w:p w14:paraId="7717F94E" w14:textId="77777777" w:rsidR="0019298A" w:rsidRDefault="0019298A" w:rsidP="0019298A">
              <w:r>
                <w:t>Available at: https://libguides.staffs.ac.uk/c.php?g=714324&amp;p=5170627#:~:text=In%20an%20academic%20university%20context,a%20particular%20field%20of%20study.</w:t>
              </w:r>
            </w:p>
            <w:p w14:paraId="178D9CC6" w14:textId="6DC42AC8" w:rsidR="0019298A" w:rsidRDefault="0019298A" w:rsidP="0019298A">
              <w:r>
                <w:t>[Accessed 25 June 2025].</w:t>
              </w:r>
            </w:p>
            <w:p w14:paraId="0419F13F" w14:textId="77777777" w:rsidR="00E234E6" w:rsidRDefault="00E234E6" w:rsidP="00E234E6">
              <w:r>
                <w:t xml:space="preserve">Youth Health Data, 2021. Asthma. [Online] </w:t>
              </w:r>
            </w:p>
            <w:p w14:paraId="72489EC7" w14:textId="77777777" w:rsidR="00E234E6" w:rsidRDefault="00E234E6" w:rsidP="00E234E6">
              <w:r>
                <w:t>Available at: https://ayph-youthhealthdata.org.uk/key-data/physical-health-conditions/asthma/</w:t>
              </w:r>
            </w:p>
            <w:p w14:paraId="778072C2" w14:textId="77777777" w:rsidR="00E234E6" w:rsidRDefault="00E234E6" w:rsidP="00E234E6">
              <w:r>
                <w:t>[Accessed 25 June 2025].</w:t>
              </w:r>
            </w:p>
            <w:p w14:paraId="3039E8FD" w14:textId="1AA643B7" w:rsidR="003C2313" w:rsidRDefault="00000000" w:rsidP="00E234E6"/>
          </w:sdtContent>
        </w:sdt>
      </w:sdtContent>
    </w:sdt>
    <w:p w14:paraId="364E780A" w14:textId="0E399790" w:rsidR="00EB6F36" w:rsidRDefault="00EB6F36" w:rsidP="00C46111">
      <w:pPr>
        <w:rPr>
          <w:rFonts w:ascii="Arial" w:hAnsi="Arial" w:cs="Arial"/>
          <w:sz w:val="24"/>
          <w:szCs w:val="24"/>
        </w:rPr>
      </w:pP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lastRenderedPageBreak/>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F03F" w14:textId="77777777" w:rsidR="002F7D3C" w:rsidRDefault="002F7D3C" w:rsidP="00D210FA">
      <w:pPr>
        <w:spacing w:after="0"/>
      </w:pPr>
      <w:r>
        <w:separator/>
      </w:r>
    </w:p>
  </w:endnote>
  <w:endnote w:type="continuationSeparator" w:id="0">
    <w:p w14:paraId="5959B588" w14:textId="77777777" w:rsidR="002F7D3C" w:rsidRDefault="002F7D3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69A71" w14:textId="77777777" w:rsidR="002F7D3C" w:rsidRDefault="002F7D3C" w:rsidP="00D210FA">
      <w:pPr>
        <w:spacing w:after="0"/>
      </w:pPr>
      <w:r>
        <w:separator/>
      </w:r>
    </w:p>
  </w:footnote>
  <w:footnote w:type="continuationSeparator" w:id="0">
    <w:p w14:paraId="1C8AC573" w14:textId="77777777" w:rsidR="002F7D3C" w:rsidRDefault="002F7D3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4274D3A"/>
    <w:multiLevelType w:val="multilevel"/>
    <w:tmpl w:val="E634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1E7B30"/>
    <w:multiLevelType w:val="multilevel"/>
    <w:tmpl w:val="4F32B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611A47"/>
    <w:multiLevelType w:val="multilevel"/>
    <w:tmpl w:val="A1EA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FB524C8"/>
    <w:multiLevelType w:val="multilevel"/>
    <w:tmpl w:val="6FEE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450511">
    <w:abstractNumId w:val="5"/>
  </w:num>
  <w:num w:numId="2" w16cid:durableId="1467162787">
    <w:abstractNumId w:val="3"/>
  </w:num>
  <w:num w:numId="3" w16cid:durableId="669721218">
    <w:abstractNumId w:val="15"/>
  </w:num>
  <w:num w:numId="4" w16cid:durableId="301471529">
    <w:abstractNumId w:val="16"/>
  </w:num>
  <w:num w:numId="5" w16cid:durableId="560479530">
    <w:abstractNumId w:val="8"/>
  </w:num>
  <w:num w:numId="6" w16cid:durableId="983850500">
    <w:abstractNumId w:val="7"/>
  </w:num>
  <w:num w:numId="7" w16cid:durableId="725177331">
    <w:abstractNumId w:val="13"/>
  </w:num>
  <w:num w:numId="8" w16cid:durableId="1621261801">
    <w:abstractNumId w:val="11"/>
  </w:num>
  <w:num w:numId="9" w16cid:durableId="1095369756">
    <w:abstractNumId w:val="2"/>
  </w:num>
  <w:num w:numId="10" w16cid:durableId="540945931">
    <w:abstractNumId w:val="0"/>
  </w:num>
  <w:num w:numId="11" w16cid:durableId="591426707">
    <w:abstractNumId w:val="6"/>
  </w:num>
  <w:num w:numId="12" w16cid:durableId="849832423">
    <w:abstractNumId w:val="1"/>
  </w:num>
  <w:num w:numId="13" w16cid:durableId="701974341">
    <w:abstractNumId w:val="14"/>
  </w:num>
  <w:num w:numId="14" w16cid:durableId="1950509565">
    <w:abstractNumId w:val="9"/>
  </w:num>
  <w:num w:numId="15" w16cid:durableId="1717657552">
    <w:abstractNumId w:val="4"/>
  </w:num>
  <w:num w:numId="16" w16cid:durableId="1576236797">
    <w:abstractNumId w:val="12"/>
  </w:num>
  <w:num w:numId="17" w16cid:durableId="6817097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282F"/>
    <w:rsid w:val="00063B85"/>
    <w:rsid w:val="000708C1"/>
    <w:rsid w:val="0008782A"/>
    <w:rsid w:val="00094B33"/>
    <w:rsid w:val="000A065A"/>
    <w:rsid w:val="000E56ED"/>
    <w:rsid w:val="00106FC5"/>
    <w:rsid w:val="00120DEC"/>
    <w:rsid w:val="00123C19"/>
    <w:rsid w:val="0019298A"/>
    <w:rsid w:val="001A2DAB"/>
    <w:rsid w:val="001C55B6"/>
    <w:rsid w:val="001D6CC4"/>
    <w:rsid w:val="00206405"/>
    <w:rsid w:val="002341AD"/>
    <w:rsid w:val="00253267"/>
    <w:rsid w:val="002823CD"/>
    <w:rsid w:val="00287787"/>
    <w:rsid w:val="00291685"/>
    <w:rsid w:val="0029329C"/>
    <w:rsid w:val="002B0A3D"/>
    <w:rsid w:val="002F26AB"/>
    <w:rsid w:val="002F7D3C"/>
    <w:rsid w:val="003007A7"/>
    <w:rsid w:val="00314E61"/>
    <w:rsid w:val="003257E1"/>
    <w:rsid w:val="00325DEC"/>
    <w:rsid w:val="00346FFA"/>
    <w:rsid w:val="00385494"/>
    <w:rsid w:val="003A3069"/>
    <w:rsid w:val="003C20B5"/>
    <w:rsid w:val="003C2313"/>
    <w:rsid w:val="003D569D"/>
    <w:rsid w:val="003E545F"/>
    <w:rsid w:val="003F03D2"/>
    <w:rsid w:val="003F1E1A"/>
    <w:rsid w:val="004045E5"/>
    <w:rsid w:val="00411B19"/>
    <w:rsid w:val="00421496"/>
    <w:rsid w:val="00422C27"/>
    <w:rsid w:val="0044367C"/>
    <w:rsid w:val="0044412C"/>
    <w:rsid w:val="004642F0"/>
    <w:rsid w:val="004825C1"/>
    <w:rsid w:val="00500564"/>
    <w:rsid w:val="0051102B"/>
    <w:rsid w:val="00516CC0"/>
    <w:rsid w:val="005475F0"/>
    <w:rsid w:val="00582081"/>
    <w:rsid w:val="005838BC"/>
    <w:rsid w:val="005B57E1"/>
    <w:rsid w:val="005E61E0"/>
    <w:rsid w:val="005F0F31"/>
    <w:rsid w:val="005F7D75"/>
    <w:rsid w:val="006024ED"/>
    <w:rsid w:val="0061793F"/>
    <w:rsid w:val="0062123A"/>
    <w:rsid w:val="0062406F"/>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A3407"/>
    <w:rsid w:val="00AB1210"/>
    <w:rsid w:val="00AB5409"/>
    <w:rsid w:val="00AB770D"/>
    <w:rsid w:val="00AF2088"/>
    <w:rsid w:val="00AF5FB0"/>
    <w:rsid w:val="00B0080A"/>
    <w:rsid w:val="00B0538C"/>
    <w:rsid w:val="00B376E4"/>
    <w:rsid w:val="00B37AB8"/>
    <w:rsid w:val="00B418DE"/>
    <w:rsid w:val="00B47FE7"/>
    <w:rsid w:val="00B67824"/>
    <w:rsid w:val="00B75E23"/>
    <w:rsid w:val="00BE15BA"/>
    <w:rsid w:val="00C20ED0"/>
    <w:rsid w:val="00C31D85"/>
    <w:rsid w:val="00C348A8"/>
    <w:rsid w:val="00C34FA0"/>
    <w:rsid w:val="00C46111"/>
    <w:rsid w:val="00C47DCC"/>
    <w:rsid w:val="00C83332"/>
    <w:rsid w:val="00C95E04"/>
    <w:rsid w:val="00CA5208"/>
    <w:rsid w:val="00CC0A8F"/>
    <w:rsid w:val="00CC24B6"/>
    <w:rsid w:val="00CD3A64"/>
    <w:rsid w:val="00CE08CD"/>
    <w:rsid w:val="00D0664A"/>
    <w:rsid w:val="00D210FA"/>
    <w:rsid w:val="00D30F1D"/>
    <w:rsid w:val="00D57231"/>
    <w:rsid w:val="00D80AE8"/>
    <w:rsid w:val="00D87B48"/>
    <w:rsid w:val="00D91203"/>
    <w:rsid w:val="00D94FD1"/>
    <w:rsid w:val="00DC383F"/>
    <w:rsid w:val="00E234E6"/>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D5365"/>
    <w:rsid w:val="00FE2B9F"/>
    <w:rsid w:val="00FE4F48"/>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395FCD51-4E24-4EFA-91C3-02792AC6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7</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2025-10-20T09:39:00Z</dcterms:created>
  <dcterms:modified xsi:type="dcterms:W3CDTF">2025-10-20T09:39:00Z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d7e342f5-61c4-4559-8107-0cb735a2b142</vt:lpwstr>
  </property>
</Properties>
</file>