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CBF1E" w14:textId="4FCE2EDC" w:rsidR="00CE1D48" w:rsidRPr="0069631A" w:rsidRDefault="00A16BB4" w:rsidP="0069631A">
      <w:pPr>
        <w:spacing w:line="360" w:lineRule="auto"/>
        <w:jc w:val="both"/>
        <w:rPr>
          <w:rFonts w:ascii="Arial" w:hAnsi="Arial" w:cs="Arial"/>
          <w:sz w:val="24"/>
          <w:szCs w:val="24"/>
        </w:rPr>
      </w:pPr>
      <w:r w:rsidRPr="0069631A">
        <w:rPr>
          <w:rFonts w:ascii="Arial" w:hAnsi="Arial" w:cs="Arial"/>
          <w:noProof/>
          <w:sz w:val="24"/>
          <w:szCs w:val="24"/>
        </w:rPr>
        <mc:AlternateContent>
          <mc:Choice Requires="wps">
            <w:drawing>
              <wp:anchor distT="0" distB="0" distL="114300" distR="114300" simplePos="0" relativeHeight="251663360" behindDoc="0" locked="0" layoutInCell="1" allowOverlap="1" wp14:anchorId="5A745304" wp14:editId="3051062B">
                <wp:simplePos x="0" y="0"/>
                <wp:positionH relativeFrom="page">
                  <wp:posOffset>2880360</wp:posOffset>
                </wp:positionH>
                <wp:positionV relativeFrom="margin">
                  <wp:posOffset>152400</wp:posOffset>
                </wp:positionV>
                <wp:extent cx="4290060" cy="6816090"/>
                <wp:effectExtent l="0" t="0" r="15240" b="22860"/>
                <wp:wrapNone/>
                <wp:docPr id="621434263" name="Rectangle 261"/>
                <wp:cNvGraphicFramePr/>
                <a:graphic xmlns:a="http://schemas.openxmlformats.org/drawingml/2006/main">
                  <a:graphicData uri="http://schemas.microsoft.com/office/word/2010/wordprocessingShape">
                    <wps:wsp>
                      <wps:cNvSpPr/>
                      <wps:spPr>
                        <a:xfrm>
                          <a:off x="0" y="0"/>
                          <a:ext cx="4290060" cy="681609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1296F15" id="Rectangle 261" o:spid="_x0000_s1026" style="position:absolute;margin-left:226.8pt;margin-top:12pt;width:337.8pt;height:536.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" fillcolor="white [3212]" strokecolor="#737373 [1614]" strokeweight="1.25pt">
                <w10:wrap anchorx="page" anchory="margin"/>
              </v:rect>
            </w:pict>
          </mc:Fallback>
        </mc:AlternateContent>
      </w:r>
      <w:r w:rsidR="00CE1D48" w:rsidRPr="0069631A">
        <w:rPr>
          <w:rFonts w:ascii="Arial" w:hAnsi="Arial" w:cs="Arial"/>
          <w:noProof/>
          <w:sz w:val="24"/>
          <w:szCs w:val="24"/>
        </w:rPr>
        <mc:AlternateContent>
          <mc:Choice Requires="wps">
            <w:drawing>
              <wp:anchor distT="0" distB="0" distL="114300" distR="114300" simplePos="0" relativeHeight="251661312" behindDoc="1" locked="0" layoutInCell="1" allowOverlap="1" wp14:anchorId="25515BA5" wp14:editId="3F6FCE7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DAB77DC" w14:textId="77777777" w:rsidR="00CE1D48" w:rsidRDefault="00CE1D48" w:rsidP="00CE1D48">
                            <w:r w:rsidRPr="005C666A">
                              <w:rPr>
                                <w:noProof/>
                              </w:rPr>
                              <w:drawing>
                                <wp:inline distT="0" distB="0" distL="0" distR="0" wp14:anchorId="214DDDAA" wp14:editId="433D7E8D">
                                  <wp:extent cx="2141220" cy="968829"/>
                                  <wp:effectExtent l="0" t="0" r="0" b="0"/>
                                  <wp:docPr id="1405205569" name="Picture 14052055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3137" cy="969696"/>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515BA5" id="Rectangle 257" o:spid="_x0000_s1026" style="position:absolute;left:0;text-align:left;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4DAB77DC" w14:textId="77777777" w:rsidR="00CE1D48" w:rsidRDefault="00CE1D48" w:rsidP="00CE1D48">
                      <w:r w:rsidRPr="005C666A">
                        <w:rPr>
                          <w:noProof/>
                        </w:rPr>
                        <w:drawing>
                          <wp:inline distT="0" distB="0" distL="0" distR="0" wp14:anchorId="214DDDAA" wp14:editId="433D7E8D">
                            <wp:extent cx="2141220" cy="968829"/>
                            <wp:effectExtent l="0" t="0" r="0" b="0"/>
                            <wp:docPr id="1405205569" name="Picture 14052055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3137" cy="969696"/>
                                    </a:xfrm>
                                    <a:prstGeom prst="rect">
                                      <a:avLst/>
                                    </a:prstGeom>
                                    <a:noFill/>
                                    <a:ln>
                                      <a:noFill/>
                                    </a:ln>
                                  </pic:spPr>
                                </pic:pic>
                              </a:graphicData>
                            </a:graphic>
                          </wp:inline>
                        </w:drawing>
                      </w:r>
                    </w:p>
                  </w:txbxContent>
                </v:textbox>
                <w10:wrap anchorx="page" anchory="page"/>
              </v:rect>
            </w:pict>
          </mc:Fallback>
        </mc:AlternateContent>
      </w:r>
      <w:r w:rsidR="00CE1D48" w:rsidRPr="0069631A">
        <w:rPr>
          <w:rFonts w:ascii="Arial" w:hAnsi="Arial" w:cs="Arial"/>
          <w:noProof/>
          <w:sz w:val="24"/>
          <w:szCs w:val="24"/>
        </w:rPr>
        <mc:AlternateContent>
          <mc:Choice Requires="wps">
            <w:drawing>
              <wp:anchor distT="0" distB="0" distL="114300" distR="114300" simplePos="0" relativeHeight="251660288" behindDoc="0" locked="0" layoutInCell="1" allowOverlap="1" wp14:anchorId="480FA540" wp14:editId="1B435EC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2A589C" id="Rectangle 263" o:spid="_x0000_s1026" style="position:absolute;margin-left:0;margin-top:0;width:226.45pt;height:9.35pt;z-index:2516602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42970A16" w14:textId="1684639E" w:rsidR="00BD13F7" w:rsidRPr="0069631A" w:rsidRDefault="00BD13F7" w:rsidP="0069631A">
      <w:pPr>
        <w:spacing w:line="360" w:lineRule="auto"/>
        <w:jc w:val="both"/>
        <w:rPr>
          <w:rFonts w:ascii="Arial" w:hAnsi="Arial" w:cs="Arial"/>
          <w:sz w:val="24"/>
          <w:szCs w:val="24"/>
        </w:rPr>
      </w:pPr>
    </w:p>
    <w:p w14:paraId="2D56C874" w14:textId="157208C3" w:rsidR="00282ACE" w:rsidRPr="0069631A" w:rsidRDefault="00F6697C" w:rsidP="0069631A">
      <w:pPr>
        <w:spacing w:line="360" w:lineRule="auto"/>
        <w:jc w:val="both"/>
        <w:rPr>
          <w:rFonts w:ascii="Arial" w:hAnsi="Arial" w:cs="Arial"/>
          <w:sz w:val="24"/>
          <w:szCs w:val="24"/>
        </w:rPr>
      </w:pPr>
      <w:r w:rsidRPr="0069631A">
        <w:rPr>
          <w:rFonts w:ascii="Arial" w:hAnsi="Arial" w:cs="Arial"/>
          <w:noProof/>
          <w:sz w:val="24"/>
          <w:szCs w:val="24"/>
        </w:rPr>
        <mc:AlternateContent>
          <mc:Choice Requires="wps">
            <w:drawing>
              <wp:anchor distT="0" distB="0" distL="114300" distR="114300" simplePos="0" relativeHeight="251669504" behindDoc="0" locked="0" layoutInCell="1" allowOverlap="1" wp14:anchorId="7C7C3C79" wp14:editId="0380929D">
                <wp:simplePos x="0" y="0"/>
                <wp:positionH relativeFrom="page">
                  <wp:posOffset>3131820</wp:posOffset>
                </wp:positionH>
                <wp:positionV relativeFrom="page">
                  <wp:posOffset>1775460</wp:posOffset>
                </wp:positionV>
                <wp:extent cx="4076700" cy="3002280"/>
                <wp:effectExtent l="0" t="0" r="0" b="7620"/>
                <wp:wrapSquare wrapText="bothSides"/>
                <wp:docPr id="470" name="Text Box 265"/>
                <wp:cNvGraphicFramePr/>
                <a:graphic xmlns:a="http://schemas.openxmlformats.org/drawingml/2006/main">
                  <a:graphicData uri="http://schemas.microsoft.com/office/word/2010/wordprocessingShape">
                    <wps:wsp>
                      <wps:cNvSpPr txBox="1"/>
                      <wps:spPr>
                        <a:xfrm>
                          <a:off x="0" y="0"/>
                          <a:ext cx="4076700" cy="3002280"/>
                        </a:xfrm>
                        <a:prstGeom prst="rect">
                          <a:avLst/>
                        </a:prstGeom>
                        <a:noFill/>
                        <a:ln w="6350">
                          <a:noFill/>
                        </a:ln>
                        <a:effectLst/>
                      </wps:spPr>
                      <wps:txbx>
                        <w:txbxContent>
                          <w:sdt>
                            <w:sdtPr>
                              <w:rPr>
                                <w:rFonts w:ascii="Arial" w:hAnsi="Arial" w:cs="Arial"/>
                                <w:b/>
                                <w:bCs/>
                                <w:sz w:val="36"/>
                                <w:szCs w:val="44"/>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28A9984E" w14:textId="77777777" w:rsidR="007E1A57" w:rsidRPr="00A53C5F" w:rsidRDefault="007E1A57" w:rsidP="007E1A57">
                                <w:pPr>
                                  <w:spacing w:line="240" w:lineRule="auto"/>
                                  <w:rPr>
                                    <w:rFonts w:ascii="Arial" w:eastAsiaTheme="majorEastAsia" w:hAnsi="Arial" w:cs="Arial"/>
                                    <w:b/>
                                    <w:bCs/>
                                    <w:noProof/>
                                    <w:color w:val="156082" w:themeColor="accent1"/>
                                    <w:sz w:val="36"/>
                                    <w:szCs w:val="44"/>
                                  </w:rPr>
                                </w:pPr>
                                <w:r>
                                  <w:rPr>
                                    <w:rFonts w:ascii="Arial" w:hAnsi="Arial" w:cs="Arial"/>
                                    <w:b/>
                                    <w:bCs/>
                                    <w:sz w:val="36"/>
                                    <w:szCs w:val="44"/>
                                  </w:rPr>
                                  <w:t xml:space="preserve">     </w:t>
                                </w:r>
                              </w:p>
                            </w:sdtContent>
                          </w:sdt>
                          <w:sdt>
                            <w:sdtPr>
                              <w:rPr>
                                <w:rFonts w:ascii="Arial" w:hAnsi="Arial" w:cs="Arial"/>
                                <w:b/>
                                <w:bCs/>
                                <w:kern w:val="0"/>
                                <w:sz w:val="36"/>
                                <w:szCs w:val="44"/>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44ABDA" w14:textId="6F343144" w:rsidR="007E1A57" w:rsidRPr="00A53C5F" w:rsidRDefault="007E1A57" w:rsidP="007E1A57">
                                <w:pPr>
                                  <w:rPr>
                                    <w:rFonts w:ascii="Arial" w:hAnsi="Arial" w:cs="Arial"/>
                                    <w:b/>
                                    <w:bCs/>
                                    <w:sz w:val="36"/>
                                    <w:szCs w:val="44"/>
                                  </w:rPr>
                                </w:pPr>
                                <w:r>
                                  <w:rPr>
                                    <w:rFonts w:ascii="Arial" w:hAnsi="Arial" w:cs="Arial"/>
                                    <w:b/>
                                    <w:bCs/>
                                    <w:kern w:val="0"/>
                                    <w:sz w:val="36"/>
                                    <w:szCs w:val="44"/>
                                    <w14:ligatures w14:val="none"/>
                                  </w:rPr>
                                  <w:t>H</w:t>
                                </w:r>
                                <w:r w:rsidR="00213781">
                                  <w:rPr>
                                    <w:rFonts w:ascii="Arial" w:hAnsi="Arial" w:cs="Arial"/>
                                    <w:b/>
                                    <w:bCs/>
                                    <w:kern w:val="0"/>
                                    <w:sz w:val="36"/>
                                    <w:szCs w:val="44"/>
                                    <w14:ligatures w14:val="none"/>
                                  </w:rPr>
                                  <w:t>ealth, Safety and welfare (ACBA4023)</w:t>
                                </w:r>
                              </w:p>
                            </w:sdtContent>
                          </w:sdt>
                          <w:p w14:paraId="0F4CB176" w14:textId="77777777" w:rsidR="00F6697C" w:rsidRDefault="00F6697C" w:rsidP="007E1A57">
                            <w:pPr>
                              <w:rPr>
                                <w:rFonts w:ascii="Arial" w:hAnsi="Arial" w:cs="Arial"/>
                                <w:b/>
                                <w:bCs/>
                                <w:kern w:val="0"/>
                                <w:sz w:val="36"/>
                                <w:szCs w:val="44"/>
                                <w14:ligatures w14:val="none"/>
                              </w:rPr>
                            </w:pPr>
                          </w:p>
                          <w:p w14:paraId="6B1CAA5B" w14:textId="5D89ECC2" w:rsidR="00213781" w:rsidRDefault="00C45CD1" w:rsidP="007E1A57">
                            <w:pPr>
                              <w:rPr>
                                <w:rFonts w:ascii="Arial" w:hAnsi="Arial" w:cs="Arial"/>
                                <w:b/>
                                <w:bCs/>
                                <w:kern w:val="0"/>
                                <w:sz w:val="36"/>
                                <w:szCs w:val="44"/>
                                <w14:ligatures w14:val="none"/>
                              </w:rPr>
                            </w:pPr>
                            <w:r>
                              <w:rPr>
                                <w:rFonts w:ascii="Arial" w:hAnsi="Arial" w:cs="Arial"/>
                                <w:b/>
                                <w:bCs/>
                                <w:kern w:val="0"/>
                                <w:sz w:val="36"/>
                                <w:szCs w:val="44"/>
                                <w14:ligatures w14:val="none"/>
                              </w:rPr>
                              <w:t>HNC / HND / BSc Quantity Surveying</w:t>
                            </w:r>
                          </w:p>
                          <w:p w14:paraId="31CEAD76" w14:textId="276B618C" w:rsidR="00F6697C" w:rsidRDefault="00F6697C" w:rsidP="007E1A57">
                            <w:pPr>
                              <w:rPr>
                                <w:rFonts w:ascii="Arial" w:hAnsi="Arial" w:cs="Arial"/>
                                <w:b/>
                                <w:bCs/>
                                <w:kern w:val="0"/>
                                <w:sz w:val="36"/>
                                <w:szCs w:val="44"/>
                                <w14:ligatures w14:val="none"/>
                              </w:rPr>
                            </w:pPr>
                          </w:p>
                          <w:p w14:paraId="1E817090" w14:textId="6CDD255B" w:rsidR="007E1A57" w:rsidRPr="005C666A" w:rsidRDefault="007E1A57" w:rsidP="007E1A57">
                            <w:pPr>
                              <w:rPr>
                                <w:rFonts w:asciiTheme="majorHAnsi" w:eastAsiaTheme="majorEastAsia" w:hAnsiTheme="majorHAnsi" w:cstheme="majorBidi"/>
                                <w:noProof/>
                                <w:color w:val="0E2841" w:themeColor="text2"/>
                                <w:sz w:val="14"/>
                                <w:szCs w:val="18"/>
                              </w:rPr>
                            </w:pPr>
                            <w:r w:rsidRPr="00A53C5F">
                              <w:rPr>
                                <w:rFonts w:ascii="Arial" w:hAnsi="Arial" w:cs="Arial"/>
                                <w:b/>
                                <w:bCs/>
                                <w:kern w:val="0"/>
                                <w:sz w:val="36"/>
                                <w:szCs w:val="44"/>
                                <w14:ligatures w14:val="none"/>
                              </w:rPr>
                              <w:t xml:space="preserve">Lecturer – </w:t>
                            </w:r>
                            <w:r w:rsidR="001E04FD">
                              <w:rPr>
                                <w:rFonts w:ascii="Arial" w:hAnsi="Arial" w:cs="Arial"/>
                                <w:b/>
                                <w:bCs/>
                                <w:kern w:val="0"/>
                                <w:sz w:val="36"/>
                                <w:szCs w:val="44"/>
                                <w14:ligatures w14:val="none"/>
                              </w:rPr>
                              <w:t>Rhodri Thomas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7C3C79" id="_x0000_t202" coordsize="21600,21600" o:spt="202" path="m,l,21600r21600,l21600,xe">
                <v:stroke joinstyle="miter"/>
                <v:path gradientshapeok="t" o:connecttype="rect"/>
              </v:shapetype>
              <v:shape id="Text Box 265" o:spid="_x0000_s1027" type="#_x0000_t202" style="position:absolute;left:0;text-align:left;margin-left:246.6pt;margin-top:139.8pt;width:321pt;height:236.4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" filled="f" stroked="f" strokeweight=".5pt">
                <v:textbox>
                  <w:txbxContent>
                    <w:sdt>
                      <w:sdtPr>
                        <w:rPr>
                          <w:rFonts w:ascii="Arial" w:hAnsi="Arial" w:cs="Arial"/>
                          <w:b/>
                          <w:bCs/>
                          <w:sz w:val="36"/>
                          <w:szCs w:val="44"/>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28A9984E" w14:textId="77777777" w:rsidR="007E1A57" w:rsidRPr="00A53C5F" w:rsidRDefault="007E1A57" w:rsidP="007E1A57">
                          <w:pPr>
                            <w:spacing w:line="240" w:lineRule="auto"/>
                            <w:rPr>
                              <w:rFonts w:ascii="Arial" w:eastAsiaTheme="majorEastAsia" w:hAnsi="Arial" w:cs="Arial"/>
                              <w:b/>
                              <w:bCs/>
                              <w:noProof/>
                              <w:color w:val="156082" w:themeColor="accent1"/>
                              <w:sz w:val="36"/>
                              <w:szCs w:val="44"/>
                            </w:rPr>
                          </w:pPr>
                          <w:r>
                            <w:rPr>
                              <w:rFonts w:ascii="Arial" w:hAnsi="Arial" w:cs="Arial"/>
                              <w:b/>
                              <w:bCs/>
                              <w:sz w:val="36"/>
                              <w:szCs w:val="44"/>
                            </w:rPr>
                            <w:t xml:space="preserve">     </w:t>
                          </w:r>
                        </w:p>
                      </w:sdtContent>
                    </w:sdt>
                    <w:sdt>
                      <w:sdtPr>
                        <w:rPr>
                          <w:rFonts w:ascii="Arial" w:hAnsi="Arial" w:cs="Arial"/>
                          <w:b/>
                          <w:bCs/>
                          <w:kern w:val="0"/>
                          <w:sz w:val="36"/>
                          <w:szCs w:val="44"/>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44ABDA" w14:textId="6F343144" w:rsidR="007E1A57" w:rsidRPr="00A53C5F" w:rsidRDefault="007E1A57" w:rsidP="007E1A57">
                          <w:pPr>
                            <w:rPr>
                              <w:rFonts w:ascii="Arial" w:hAnsi="Arial" w:cs="Arial"/>
                              <w:b/>
                              <w:bCs/>
                              <w:sz w:val="36"/>
                              <w:szCs w:val="44"/>
                            </w:rPr>
                          </w:pPr>
                          <w:r>
                            <w:rPr>
                              <w:rFonts w:ascii="Arial" w:hAnsi="Arial" w:cs="Arial"/>
                              <w:b/>
                              <w:bCs/>
                              <w:kern w:val="0"/>
                              <w:sz w:val="36"/>
                              <w:szCs w:val="44"/>
                              <w14:ligatures w14:val="none"/>
                            </w:rPr>
                            <w:t>H</w:t>
                          </w:r>
                          <w:r w:rsidR="00213781">
                            <w:rPr>
                              <w:rFonts w:ascii="Arial" w:hAnsi="Arial" w:cs="Arial"/>
                              <w:b/>
                              <w:bCs/>
                              <w:kern w:val="0"/>
                              <w:sz w:val="36"/>
                              <w:szCs w:val="44"/>
                              <w14:ligatures w14:val="none"/>
                            </w:rPr>
                            <w:t>ealth, Safety and welfare (ACBA4023)</w:t>
                          </w:r>
                        </w:p>
                      </w:sdtContent>
                    </w:sdt>
                    <w:p w14:paraId="0F4CB176" w14:textId="77777777" w:rsidR="00F6697C" w:rsidRDefault="00F6697C" w:rsidP="007E1A57">
                      <w:pPr>
                        <w:rPr>
                          <w:rFonts w:ascii="Arial" w:hAnsi="Arial" w:cs="Arial"/>
                          <w:b/>
                          <w:bCs/>
                          <w:kern w:val="0"/>
                          <w:sz w:val="36"/>
                          <w:szCs w:val="44"/>
                          <w14:ligatures w14:val="none"/>
                        </w:rPr>
                      </w:pPr>
                    </w:p>
                    <w:p w14:paraId="6B1CAA5B" w14:textId="5D89ECC2" w:rsidR="00213781" w:rsidRDefault="00C45CD1" w:rsidP="007E1A57">
                      <w:pPr>
                        <w:rPr>
                          <w:rFonts w:ascii="Arial" w:hAnsi="Arial" w:cs="Arial"/>
                          <w:b/>
                          <w:bCs/>
                          <w:kern w:val="0"/>
                          <w:sz w:val="36"/>
                          <w:szCs w:val="44"/>
                          <w14:ligatures w14:val="none"/>
                        </w:rPr>
                      </w:pPr>
                      <w:r>
                        <w:rPr>
                          <w:rFonts w:ascii="Arial" w:hAnsi="Arial" w:cs="Arial"/>
                          <w:b/>
                          <w:bCs/>
                          <w:kern w:val="0"/>
                          <w:sz w:val="36"/>
                          <w:szCs w:val="44"/>
                          <w14:ligatures w14:val="none"/>
                        </w:rPr>
                        <w:t>HNC / HND / BSc Quantity Surveying</w:t>
                      </w:r>
                    </w:p>
                    <w:p w14:paraId="31CEAD76" w14:textId="276B618C" w:rsidR="00F6697C" w:rsidRDefault="00F6697C" w:rsidP="007E1A57">
                      <w:pPr>
                        <w:rPr>
                          <w:rFonts w:ascii="Arial" w:hAnsi="Arial" w:cs="Arial"/>
                          <w:b/>
                          <w:bCs/>
                          <w:kern w:val="0"/>
                          <w:sz w:val="36"/>
                          <w:szCs w:val="44"/>
                          <w14:ligatures w14:val="none"/>
                        </w:rPr>
                      </w:pPr>
                    </w:p>
                    <w:p w14:paraId="1E817090" w14:textId="6CDD255B" w:rsidR="007E1A57" w:rsidRPr="005C666A" w:rsidRDefault="007E1A57" w:rsidP="007E1A57">
                      <w:pPr>
                        <w:rPr>
                          <w:rFonts w:asciiTheme="majorHAnsi" w:eastAsiaTheme="majorEastAsia" w:hAnsiTheme="majorHAnsi" w:cstheme="majorBidi"/>
                          <w:noProof/>
                          <w:color w:val="0E2841" w:themeColor="text2"/>
                          <w:sz w:val="14"/>
                          <w:szCs w:val="18"/>
                        </w:rPr>
                      </w:pPr>
                      <w:r w:rsidRPr="00A53C5F">
                        <w:rPr>
                          <w:rFonts w:ascii="Arial" w:hAnsi="Arial" w:cs="Arial"/>
                          <w:b/>
                          <w:bCs/>
                          <w:kern w:val="0"/>
                          <w:sz w:val="36"/>
                          <w:szCs w:val="44"/>
                          <w14:ligatures w14:val="none"/>
                        </w:rPr>
                        <w:t xml:space="preserve">Lecturer – </w:t>
                      </w:r>
                      <w:r w:rsidR="001E04FD">
                        <w:rPr>
                          <w:rFonts w:ascii="Arial" w:hAnsi="Arial" w:cs="Arial"/>
                          <w:b/>
                          <w:bCs/>
                          <w:kern w:val="0"/>
                          <w:sz w:val="36"/>
                          <w:szCs w:val="44"/>
                          <w14:ligatures w14:val="none"/>
                        </w:rPr>
                        <w:t>Rhodri Thomas</w:t>
                      </w:r>
                    </w:p>
                  </w:txbxContent>
                </v:textbox>
                <w10:wrap type="square" anchorx="page" anchory="page"/>
              </v:shape>
            </w:pict>
          </mc:Fallback>
        </mc:AlternateContent>
      </w:r>
    </w:p>
    <w:p w14:paraId="53B8317E" w14:textId="71063026" w:rsidR="00282ACE" w:rsidRPr="0069631A" w:rsidRDefault="00282ACE" w:rsidP="0069631A">
      <w:pPr>
        <w:spacing w:line="360" w:lineRule="auto"/>
        <w:jc w:val="both"/>
        <w:rPr>
          <w:rFonts w:ascii="Arial" w:hAnsi="Arial" w:cs="Arial"/>
          <w:sz w:val="24"/>
          <w:szCs w:val="24"/>
        </w:rPr>
      </w:pPr>
    </w:p>
    <w:p w14:paraId="75FE9540" w14:textId="25C8162E" w:rsidR="00282ACE" w:rsidRPr="0069631A" w:rsidRDefault="00282ACE" w:rsidP="0069631A">
      <w:pPr>
        <w:spacing w:line="360" w:lineRule="auto"/>
        <w:jc w:val="both"/>
        <w:rPr>
          <w:rFonts w:ascii="Arial" w:hAnsi="Arial" w:cs="Arial"/>
          <w:sz w:val="24"/>
          <w:szCs w:val="24"/>
        </w:rPr>
      </w:pPr>
    </w:p>
    <w:p w14:paraId="1005D2E0" w14:textId="513A87D0" w:rsidR="00282ACE" w:rsidRPr="0069631A" w:rsidRDefault="00282ACE" w:rsidP="0069631A">
      <w:pPr>
        <w:spacing w:line="360" w:lineRule="auto"/>
        <w:jc w:val="both"/>
        <w:rPr>
          <w:rFonts w:ascii="Arial" w:hAnsi="Arial" w:cs="Arial"/>
          <w:sz w:val="24"/>
          <w:szCs w:val="24"/>
        </w:rPr>
      </w:pPr>
    </w:p>
    <w:p w14:paraId="6784F4CE" w14:textId="458DBA1F" w:rsidR="00282ACE" w:rsidRPr="0069631A" w:rsidRDefault="00282ACE" w:rsidP="0069631A">
      <w:pPr>
        <w:spacing w:line="360" w:lineRule="auto"/>
        <w:jc w:val="both"/>
        <w:rPr>
          <w:rFonts w:ascii="Arial" w:hAnsi="Arial" w:cs="Arial"/>
          <w:sz w:val="24"/>
          <w:szCs w:val="24"/>
        </w:rPr>
      </w:pPr>
    </w:p>
    <w:p w14:paraId="7652A2D0" w14:textId="57411FC0" w:rsidR="00282ACE" w:rsidRPr="0069631A" w:rsidRDefault="00282ACE" w:rsidP="0069631A">
      <w:pPr>
        <w:spacing w:line="360" w:lineRule="auto"/>
        <w:jc w:val="both"/>
        <w:rPr>
          <w:rFonts w:ascii="Arial" w:hAnsi="Arial" w:cs="Arial"/>
          <w:sz w:val="24"/>
          <w:szCs w:val="24"/>
        </w:rPr>
      </w:pPr>
    </w:p>
    <w:p w14:paraId="4F24412C" w14:textId="48DC7732" w:rsidR="00282ACE" w:rsidRPr="0069631A" w:rsidRDefault="00282ACE" w:rsidP="0069631A">
      <w:pPr>
        <w:spacing w:line="360" w:lineRule="auto"/>
        <w:jc w:val="both"/>
        <w:rPr>
          <w:rFonts w:ascii="Arial" w:hAnsi="Arial" w:cs="Arial"/>
          <w:sz w:val="24"/>
          <w:szCs w:val="24"/>
        </w:rPr>
      </w:pPr>
    </w:p>
    <w:p w14:paraId="3D7BC389" w14:textId="2A9D8842" w:rsidR="00282ACE" w:rsidRPr="0069631A" w:rsidRDefault="00282ACE" w:rsidP="0069631A">
      <w:pPr>
        <w:spacing w:line="360" w:lineRule="auto"/>
        <w:jc w:val="both"/>
        <w:rPr>
          <w:rFonts w:ascii="Arial" w:hAnsi="Arial" w:cs="Arial"/>
          <w:sz w:val="24"/>
          <w:szCs w:val="24"/>
        </w:rPr>
      </w:pPr>
    </w:p>
    <w:p w14:paraId="0D54A445" w14:textId="21B0E890" w:rsidR="00282ACE" w:rsidRPr="0069631A" w:rsidRDefault="00282ACE" w:rsidP="0069631A">
      <w:pPr>
        <w:spacing w:line="360" w:lineRule="auto"/>
        <w:jc w:val="both"/>
        <w:rPr>
          <w:rFonts w:ascii="Arial" w:hAnsi="Arial" w:cs="Arial"/>
          <w:sz w:val="24"/>
          <w:szCs w:val="24"/>
        </w:rPr>
      </w:pPr>
    </w:p>
    <w:p w14:paraId="2E2BF02E" w14:textId="7F225E40" w:rsidR="00282ACE" w:rsidRPr="0069631A" w:rsidRDefault="00282ACE" w:rsidP="0069631A">
      <w:pPr>
        <w:spacing w:line="360" w:lineRule="auto"/>
        <w:jc w:val="both"/>
        <w:rPr>
          <w:rFonts w:ascii="Arial" w:hAnsi="Arial" w:cs="Arial"/>
          <w:sz w:val="24"/>
          <w:szCs w:val="24"/>
        </w:rPr>
      </w:pPr>
    </w:p>
    <w:p w14:paraId="1C464D09" w14:textId="39883831" w:rsidR="00282ACE" w:rsidRPr="0069631A" w:rsidRDefault="00282ACE" w:rsidP="0069631A">
      <w:pPr>
        <w:spacing w:line="360" w:lineRule="auto"/>
        <w:jc w:val="both"/>
        <w:rPr>
          <w:rFonts w:ascii="Arial" w:hAnsi="Arial" w:cs="Arial"/>
          <w:sz w:val="24"/>
          <w:szCs w:val="24"/>
        </w:rPr>
      </w:pPr>
    </w:p>
    <w:p w14:paraId="137BB206" w14:textId="55280836" w:rsidR="00282ACE" w:rsidRPr="0069631A" w:rsidRDefault="00282ACE" w:rsidP="0069631A">
      <w:pPr>
        <w:spacing w:line="360" w:lineRule="auto"/>
        <w:jc w:val="both"/>
        <w:rPr>
          <w:rFonts w:ascii="Arial" w:hAnsi="Arial" w:cs="Arial"/>
          <w:sz w:val="24"/>
          <w:szCs w:val="24"/>
        </w:rPr>
      </w:pPr>
    </w:p>
    <w:p w14:paraId="642C6979" w14:textId="0FA2D12E" w:rsidR="00282ACE" w:rsidRPr="0069631A" w:rsidRDefault="004B5EDC" w:rsidP="0069631A">
      <w:pPr>
        <w:spacing w:line="360" w:lineRule="auto"/>
        <w:jc w:val="both"/>
        <w:rPr>
          <w:rFonts w:ascii="Arial" w:hAnsi="Arial" w:cs="Arial"/>
          <w:sz w:val="24"/>
          <w:szCs w:val="24"/>
        </w:rPr>
      </w:pPr>
      <w:r w:rsidRPr="0069631A">
        <w:rPr>
          <w:rFonts w:ascii="Arial" w:hAnsi="Arial" w:cs="Arial"/>
          <w:noProof/>
          <w:sz w:val="24"/>
          <w:szCs w:val="24"/>
        </w:rPr>
        <mc:AlternateContent>
          <mc:Choice Requires="wps">
            <w:drawing>
              <wp:anchor distT="0" distB="0" distL="114300" distR="114300" simplePos="0" relativeHeight="251667456" behindDoc="0" locked="0" layoutInCell="1" allowOverlap="1" wp14:anchorId="5C4B6CBC" wp14:editId="743F7A05">
                <wp:simplePos x="0" y="0"/>
                <wp:positionH relativeFrom="margin">
                  <wp:align>right</wp:align>
                </wp:positionH>
                <wp:positionV relativeFrom="page">
                  <wp:posOffset>6355080</wp:posOffset>
                </wp:positionV>
                <wp:extent cx="2797810" cy="889000"/>
                <wp:effectExtent l="0" t="0" r="0" b="635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889000"/>
                        </a:xfrm>
                        <a:prstGeom prst="rect">
                          <a:avLst/>
                        </a:prstGeom>
                        <a:noFill/>
                        <a:ln w="6350">
                          <a:noFill/>
                        </a:ln>
                        <a:effectLst/>
                      </wps:spPr>
                      <wps:txbx>
                        <w:txbxContent>
                          <w:p w14:paraId="2A39B3AB" w14:textId="711B677F" w:rsidR="004B5EDC" w:rsidRPr="00A53C5F" w:rsidRDefault="006D66F8" w:rsidP="004B5EDC">
                            <w:pPr>
                              <w:pStyle w:val="NoSpacing"/>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5EDC">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Bibek Khatri</w:t>
                                </w:r>
                              </w:sdtContent>
                            </w:sdt>
                          </w:p>
                          <w:p w14:paraId="02AE7CFE" w14:textId="77777777" w:rsidR="004B5EDC" w:rsidRPr="00A53C5F" w:rsidRDefault="004B5EDC" w:rsidP="004B5EDC">
                            <w:pPr>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3C5F">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- 2503477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C4B6CBC" id="Text Box 255" o:spid="_x0000_s1028" type="#_x0000_t202" style="position:absolute;left:0;text-align:left;margin-left:169.1pt;margin-top:500.4pt;width:220.3pt;height:70pt;z-index:251667456;visibility:visible;mso-wrap-style:square;mso-width-percent:360;mso-height-percent:0;mso-wrap-distance-left:9pt;mso-wrap-distance-top:0;mso-wrap-distance-right:9pt;mso-wrap-distance-bottom:0;mso-position-horizontal:right;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" filled="f" stroked="f" strokeweight=".5pt">
                <v:textbox>
                  <w:txbxContent>
                    <w:p w14:paraId="2A39B3AB" w14:textId="711B677F" w:rsidR="004B5EDC" w:rsidRPr="00A53C5F" w:rsidRDefault="006D66F8" w:rsidP="004B5EDC">
                      <w:pPr>
                        <w:pStyle w:val="NoSpacing"/>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5EDC">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Bibek Khatri</w:t>
                          </w:r>
                        </w:sdtContent>
                      </w:sdt>
                    </w:p>
                    <w:p w14:paraId="02AE7CFE" w14:textId="77777777" w:rsidR="004B5EDC" w:rsidRPr="00A53C5F" w:rsidRDefault="004B5EDC" w:rsidP="004B5EDC">
                      <w:pPr>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3C5F">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- 2503477</w:t>
                      </w:r>
                    </w:p>
                  </w:txbxContent>
                </v:textbox>
                <w10:wrap type="square" anchorx="margin" anchory="page"/>
              </v:shape>
            </w:pict>
          </mc:Fallback>
        </mc:AlternateContent>
      </w:r>
    </w:p>
    <w:p w14:paraId="5781F33A" w14:textId="6AC82614" w:rsidR="00282ACE" w:rsidRPr="0069631A" w:rsidRDefault="00282ACE" w:rsidP="0069631A">
      <w:pPr>
        <w:spacing w:line="360" w:lineRule="auto"/>
        <w:jc w:val="both"/>
        <w:rPr>
          <w:rFonts w:ascii="Arial" w:hAnsi="Arial" w:cs="Arial"/>
          <w:sz w:val="24"/>
          <w:szCs w:val="24"/>
        </w:rPr>
      </w:pPr>
    </w:p>
    <w:p w14:paraId="184C598B" w14:textId="2F7E98F7" w:rsidR="00282ACE" w:rsidRPr="0069631A" w:rsidRDefault="00282ACE" w:rsidP="0069631A">
      <w:pPr>
        <w:spacing w:line="360" w:lineRule="auto"/>
        <w:jc w:val="both"/>
        <w:rPr>
          <w:rFonts w:ascii="Arial" w:hAnsi="Arial" w:cs="Arial"/>
          <w:sz w:val="24"/>
          <w:szCs w:val="24"/>
        </w:rPr>
      </w:pPr>
    </w:p>
    <w:p w14:paraId="486495E3" w14:textId="1201A101" w:rsidR="00282ACE" w:rsidRPr="0069631A" w:rsidRDefault="00282ACE" w:rsidP="0069631A">
      <w:pPr>
        <w:spacing w:line="360" w:lineRule="auto"/>
        <w:jc w:val="both"/>
        <w:rPr>
          <w:rFonts w:ascii="Arial" w:hAnsi="Arial" w:cs="Arial"/>
          <w:sz w:val="24"/>
          <w:szCs w:val="24"/>
        </w:rPr>
      </w:pPr>
    </w:p>
    <w:p w14:paraId="368B484C" w14:textId="50134DF7" w:rsidR="00282ACE" w:rsidRPr="0069631A" w:rsidRDefault="00E15DA9" w:rsidP="0069631A">
      <w:pPr>
        <w:spacing w:line="360" w:lineRule="auto"/>
        <w:jc w:val="both"/>
        <w:rPr>
          <w:rFonts w:ascii="Arial" w:hAnsi="Arial" w:cs="Arial"/>
          <w:sz w:val="24"/>
          <w:szCs w:val="24"/>
        </w:rPr>
      </w:pPr>
      <w:r w:rsidRPr="0069631A">
        <w:rPr>
          <w:rFonts w:ascii="Arial" w:hAnsi="Arial" w:cs="Arial"/>
          <w:noProof/>
          <w:sz w:val="24"/>
          <w:szCs w:val="24"/>
        </w:rPr>
        <mc:AlternateContent>
          <mc:Choice Requires="wps">
            <w:drawing>
              <wp:anchor distT="0" distB="0" distL="114300" distR="114300" simplePos="0" relativeHeight="251665408" behindDoc="0" locked="0" layoutInCell="1" allowOverlap="1" wp14:anchorId="0F020D60" wp14:editId="0CB73E8F">
                <wp:simplePos x="0" y="0"/>
                <wp:positionH relativeFrom="margin">
                  <wp:align>right</wp:align>
                </wp:positionH>
                <wp:positionV relativeFrom="page">
                  <wp:posOffset>7574280</wp:posOffset>
                </wp:positionV>
                <wp:extent cx="2875915" cy="118745"/>
                <wp:effectExtent l="0" t="0" r="3175" b="0"/>
                <wp:wrapNone/>
                <wp:docPr id="2125987510"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D29C0B9" id="Rectangle 263" o:spid="_x0000_s1026" style="position:absolute;margin-left:175.25pt;margin-top:596.4pt;width:226.45pt;height:9.35pt;z-index:251665408;visibility:visible;mso-wrap-style:square;mso-width-percent:370;mso-height-percent:0;mso-wrap-distance-left:9pt;mso-wrap-distance-top:0;mso-wrap-distance-right:9pt;mso-wrap-distance-bottom:0;mso-position-horizontal:right;mso-position-horizontal-relative:margin;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" fillcolor="#156082 [3204]" stroked="f" strokeweight="1pt">
                <w10:wrap anchorx="margin" anchory="page"/>
              </v:rect>
            </w:pict>
          </mc:Fallback>
        </mc:AlternateContent>
      </w:r>
    </w:p>
    <w:p w14:paraId="6C4CB523" w14:textId="77777777" w:rsidR="00282ACE" w:rsidRPr="0069631A" w:rsidRDefault="00282ACE" w:rsidP="0069631A">
      <w:pPr>
        <w:spacing w:line="360" w:lineRule="auto"/>
        <w:jc w:val="both"/>
        <w:rPr>
          <w:rFonts w:ascii="Arial" w:hAnsi="Arial" w:cs="Arial"/>
          <w:sz w:val="24"/>
          <w:szCs w:val="24"/>
        </w:rPr>
      </w:pPr>
    </w:p>
    <w:p w14:paraId="56959D85" w14:textId="77777777" w:rsidR="00282ACE" w:rsidRPr="0069631A" w:rsidRDefault="00282ACE" w:rsidP="0069631A">
      <w:pPr>
        <w:spacing w:line="360" w:lineRule="auto"/>
        <w:jc w:val="both"/>
        <w:rPr>
          <w:rFonts w:ascii="Arial" w:hAnsi="Arial" w:cs="Arial"/>
          <w:sz w:val="24"/>
          <w:szCs w:val="24"/>
        </w:rPr>
      </w:pPr>
    </w:p>
    <w:p w14:paraId="683A8F9F" w14:textId="77777777" w:rsidR="00282ACE" w:rsidRPr="0069631A" w:rsidRDefault="00282ACE" w:rsidP="0069631A">
      <w:pPr>
        <w:spacing w:line="360" w:lineRule="auto"/>
        <w:jc w:val="both"/>
        <w:rPr>
          <w:rFonts w:ascii="Arial" w:hAnsi="Arial" w:cs="Arial"/>
          <w:sz w:val="24"/>
          <w:szCs w:val="24"/>
        </w:rPr>
      </w:pPr>
    </w:p>
    <w:p w14:paraId="2DE929D7" w14:textId="77777777" w:rsidR="00282ACE" w:rsidRPr="0069631A" w:rsidRDefault="00282ACE" w:rsidP="0069631A">
      <w:pPr>
        <w:spacing w:line="360" w:lineRule="auto"/>
        <w:jc w:val="both"/>
        <w:rPr>
          <w:rFonts w:ascii="Arial" w:hAnsi="Arial" w:cs="Arial"/>
          <w:sz w:val="24"/>
          <w:szCs w:val="24"/>
        </w:rPr>
      </w:pPr>
    </w:p>
    <w:p w14:paraId="38755D8C" w14:textId="77777777" w:rsidR="00F15315" w:rsidRPr="0069631A" w:rsidRDefault="00F15315" w:rsidP="0069631A">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728070463"/>
        <w:docPartObj>
          <w:docPartGallery w:val="Table of Contents"/>
          <w:docPartUnique/>
        </w:docPartObj>
      </w:sdtPr>
      <w:sdtEndPr>
        <w:rPr>
          <w:noProof/>
        </w:rPr>
      </w:sdtEndPr>
      <w:sdtContent>
        <w:p w14:paraId="56722E1D" w14:textId="69BB2B7A" w:rsidR="005421EC" w:rsidRPr="0069631A" w:rsidRDefault="005421EC" w:rsidP="0069631A">
          <w:pPr>
            <w:pStyle w:val="TOCHeading"/>
            <w:spacing w:line="360" w:lineRule="auto"/>
            <w:jc w:val="both"/>
            <w:rPr>
              <w:rFonts w:ascii="Arial" w:hAnsi="Arial" w:cs="Arial"/>
              <w:sz w:val="24"/>
              <w:szCs w:val="24"/>
            </w:rPr>
          </w:pPr>
          <w:r w:rsidRPr="0069631A">
            <w:rPr>
              <w:rFonts w:ascii="Arial" w:hAnsi="Arial" w:cs="Arial"/>
              <w:sz w:val="24"/>
              <w:szCs w:val="24"/>
            </w:rPr>
            <w:t>Contents</w:t>
          </w:r>
        </w:p>
        <w:p w14:paraId="6B0823A0" w14:textId="450D4E07" w:rsidR="0069631A" w:rsidRDefault="005421EC">
          <w:pPr>
            <w:pStyle w:val="TOC1"/>
            <w:rPr>
              <w:rFonts w:eastAsiaTheme="minorEastAsia"/>
              <w:noProof/>
              <w:sz w:val="24"/>
              <w:szCs w:val="24"/>
              <w:lang w:eastAsia="en-GB"/>
            </w:rPr>
          </w:pPr>
          <w:r w:rsidRPr="0069631A">
            <w:rPr>
              <w:rFonts w:ascii="Arial" w:hAnsi="Arial" w:cs="Arial"/>
              <w:sz w:val="24"/>
              <w:szCs w:val="24"/>
            </w:rPr>
            <w:fldChar w:fldCharType="begin"/>
          </w:r>
          <w:r w:rsidRPr="0069631A">
            <w:rPr>
              <w:rFonts w:ascii="Arial" w:hAnsi="Arial" w:cs="Arial"/>
              <w:sz w:val="24"/>
              <w:szCs w:val="24"/>
            </w:rPr>
            <w:instrText xml:space="preserve"> TOC \o "1-3" \h \z \u </w:instrText>
          </w:r>
          <w:r w:rsidRPr="0069631A">
            <w:rPr>
              <w:rFonts w:ascii="Arial" w:hAnsi="Arial" w:cs="Arial"/>
              <w:sz w:val="24"/>
              <w:szCs w:val="24"/>
            </w:rPr>
            <w:fldChar w:fldCharType="separate"/>
          </w:r>
          <w:hyperlink w:anchor="_Toc228975586" w:history="1">
            <w:r w:rsidR="0069631A" w:rsidRPr="00B16B62">
              <w:rPr>
                <w:rStyle w:val="Hyperlink"/>
                <w:rFonts w:ascii="Arial" w:hAnsi="Arial" w:cs="Arial"/>
                <w:noProof/>
              </w:rPr>
              <w:t>1.0 Introduction</w:t>
            </w:r>
            <w:r w:rsidR="0069631A">
              <w:rPr>
                <w:noProof/>
                <w:webHidden/>
              </w:rPr>
              <w:tab/>
            </w:r>
            <w:r w:rsidR="0069631A">
              <w:rPr>
                <w:noProof/>
                <w:webHidden/>
              </w:rPr>
              <w:fldChar w:fldCharType="begin"/>
            </w:r>
            <w:r w:rsidR="0069631A">
              <w:rPr>
                <w:noProof/>
                <w:webHidden/>
              </w:rPr>
              <w:instrText xml:space="preserve"> PAGEREF _Toc228975586 \h </w:instrText>
            </w:r>
            <w:r w:rsidR="0069631A">
              <w:rPr>
                <w:noProof/>
                <w:webHidden/>
              </w:rPr>
            </w:r>
            <w:r w:rsidR="0069631A">
              <w:rPr>
                <w:noProof/>
                <w:webHidden/>
              </w:rPr>
              <w:fldChar w:fldCharType="separate"/>
            </w:r>
            <w:r w:rsidR="0069631A">
              <w:rPr>
                <w:noProof/>
                <w:webHidden/>
              </w:rPr>
              <w:t>1</w:t>
            </w:r>
            <w:r w:rsidR="0069631A">
              <w:rPr>
                <w:noProof/>
                <w:webHidden/>
              </w:rPr>
              <w:fldChar w:fldCharType="end"/>
            </w:r>
          </w:hyperlink>
        </w:p>
        <w:p w14:paraId="324BA065" w14:textId="39E17DF5" w:rsidR="0069631A" w:rsidRDefault="0069631A">
          <w:pPr>
            <w:pStyle w:val="TOC1"/>
            <w:rPr>
              <w:rFonts w:eastAsiaTheme="minorEastAsia"/>
              <w:noProof/>
              <w:sz w:val="24"/>
              <w:szCs w:val="24"/>
              <w:lang w:eastAsia="en-GB"/>
            </w:rPr>
          </w:pPr>
          <w:hyperlink w:anchor="_Toc228975587" w:history="1">
            <w:r w:rsidRPr="00B16B62">
              <w:rPr>
                <w:rStyle w:val="Hyperlink"/>
                <w:rFonts w:ascii="Arial" w:hAnsi="Arial" w:cs="Arial"/>
                <w:noProof/>
              </w:rPr>
              <w:t>2.0 Relevance and Impact of the Building Safety Act 2022 and Building Safety (Wales) Bill</w:t>
            </w:r>
            <w:r>
              <w:rPr>
                <w:noProof/>
                <w:webHidden/>
              </w:rPr>
              <w:tab/>
            </w:r>
            <w:r>
              <w:rPr>
                <w:noProof/>
                <w:webHidden/>
              </w:rPr>
              <w:fldChar w:fldCharType="begin"/>
            </w:r>
            <w:r>
              <w:rPr>
                <w:noProof/>
                <w:webHidden/>
              </w:rPr>
              <w:instrText xml:space="preserve"> PAGEREF _Toc228975587 \h </w:instrText>
            </w:r>
            <w:r>
              <w:rPr>
                <w:noProof/>
                <w:webHidden/>
              </w:rPr>
            </w:r>
            <w:r>
              <w:rPr>
                <w:noProof/>
                <w:webHidden/>
              </w:rPr>
              <w:fldChar w:fldCharType="separate"/>
            </w:r>
            <w:r>
              <w:rPr>
                <w:noProof/>
                <w:webHidden/>
              </w:rPr>
              <w:t>1</w:t>
            </w:r>
            <w:r>
              <w:rPr>
                <w:noProof/>
                <w:webHidden/>
              </w:rPr>
              <w:fldChar w:fldCharType="end"/>
            </w:r>
          </w:hyperlink>
        </w:p>
        <w:p w14:paraId="1A55127E" w14:textId="04FF8F5C" w:rsidR="0069631A" w:rsidRDefault="0069631A">
          <w:pPr>
            <w:pStyle w:val="TOC1"/>
            <w:rPr>
              <w:rFonts w:eastAsiaTheme="minorEastAsia"/>
              <w:noProof/>
              <w:sz w:val="24"/>
              <w:szCs w:val="24"/>
              <w:lang w:eastAsia="en-GB"/>
            </w:rPr>
          </w:pPr>
          <w:hyperlink w:anchor="_Toc228975588" w:history="1">
            <w:r w:rsidRPr="00B16B62">
              <w:rPr>
                <w:rStyle w:val="Hyperlink"/>
                <w:rFonts w:ascii="Arial" w:hAnsi="Arial" w:cs="Arial"/>
                <w:noProof/>
              </w:rPr>
              <w:t>2.1 Regulatory Context</w:t>
            </w:r>
            <w:r>
              <w:rPr>
                <w:noProof/>
                <w:webHidden/>
              </w:rPr>
              <w:tab/>
            </w:r>
            <w:r>
              <w:rPr>
                <w:noProof/>
                <w:webHidden/>
              </w:rPr>
              <w:fldChar w:fldCharType="begin"/>
            </w:r>
            <w:r>
              <w:rPr>
                <w:noProof/>
                <w:webHidden/>
              </w:rPr>
              <w:instrText xml:space="preserve"> PAGEREF _Toc228975588 \h </w:instrText>
            </w:r>
            <w:r>
              <w:rPr>
                <w:noProof/>
                <w:webHidden/>
              </w:rPr>
            </w:r>
            <w:r>
              <w:rPr>
                <w:noProof/>
                <w:webHidden/>
              </w:rPr>
              <w:fldChar w:fldCharType="separate"/>
            </w:r>
            <w:r>
              <w:rPr>
                <w:noProof/>
                <w:webHidden/>
              </w:rPr>
              <w:t>1</w:t>
            </w:r>
            <w:r>
              <w:rPr>
                <w:noProof/>
                <w:webHidden/>
              </w:rPr>
              <w:fldChar w:fldCharType="end"/>
            </w:r>
          </w:hyperlink>
        </w:p>
        <w:p w14:paraId="4CB33068" w14:textId="2F2B1CCD" w:rsidR="0069631A" w:rsidRDefault="0069631A">
          <w:pPr>
            <w:pStyle w:val="TOC1"/>
            <w:rPr>
              <w:rFonts w:eastAsiaTheme="minorEastAsia"/>
              <w:noProof/>
              <w:sz w:val="24"/>
              <w:szCs w:val="24"/>
              <w:lang w:eastAsia="en-GB"/>
            </w:rPr>
          </w:pPr>
          <w:hyperlink w:anchor="_Toc228975589" w:history="1">
            <w:r w:rsidRPr="00B16B62">
              <w:rPr>
                <w:rStyle w:val="Hyperlink"/>
                <w:rFonts w:ascii="Arial" w:hAnsi="Arial" w:cs="Arial"/>
                <w:noProof/>
              </w:rPr>
              <w:t>2.2 Classification of Croft Street Block 2</w:t>
            </w:r>
            <w:r>
              <w:rPr>
                <w:noProof/>
                <w:webHidden/>
              </w:rPr>
              <w:tab/>
            </w:r>
            <w:r>
              <w:rPr>
                <w:noProof/>
                <w:webHidden/>
              </w:rPr>
              <w:fldChar w:fldCharType="begin"/>
            </w:r>
            <w:r>
              <w:rPr>
                <w:noProof/>
                <w:webHidden/>
              </w:rPr>
              <w:instrText xml:space="preserve"> PAGEREF _Toc228975589 \h </w:instrText>
            </w:r>
            <w:r>
              <w:rPr>
                <w:noProof/>
                <w:webHidden/>
              </w:rPr>
            </w:r>
            <w:r>
              <w:rPr>
                <w:noProof/>
                <w:webHidden/>
              </w:rPr>
              <w:fldChar w:fldCharType="separate"/>
            </w:r>
            <w:r>
              <w:rPr>
                <w:noProof/>
                <w:webHidden/>
              </w:rPr>
              <w:t>2</w:t>
            </w:r>
            <w:r>
              <w:rPr>
                <w:noProof/>
                <w:webHidden/>
              </w:rPr>
              <w:fldChar w:fldCharType="end"/>
            </w:r>
          </w:hyperlink>
        </w:p>
        <w:p w14:paraId="1154EE4F" w14:textId="31743C5E" w:rsidR="0069631A" w:rsidRDefault="0069631A">
          <w:pPr>
            <w:pStyle w:val="TOC1"/>
            <w:rPr>
              <w:rFonts w:eastAsiaTheme="minorEastAsia"/>
              <w:noProof/>
              <w:sz w:val="24"/>
              <w:szCs w:val="24"/>
              <w:lang w:eastAsia="en-GB"/>
            </w:rPr>
          </w:pPr>
          <w:hyperlink w:anchor="_Toc228975590" w:history="1">
            <w:r w:rsidRPr="00B16B62">
              <w:rPr>
                <w:rStyle w:val="Hyperlink"/>
                <w:rFonts w:ascii="Arial" w:hAnsi="Arial" w:cs="Arial"/>
                <w:noProof/>
              </w:rPr>
              <w:t>2.3 Gateway Process Specifications</w:t>
            </w:r>
            <w:r>
              <w:rPr>
                <w:noProof/>
                <w:webHidden/>
              </w:rPr>
              <w:tab/>
            </w:r>
            <w:r>
              <w:rPr>
                <w:noProof/>
                <w:webHidden/>
              </w:rPr>
              <w:fldChar w:fldCharType="begin"/>
            </w:r>
            <w:r>
              <w:rPr>
                <w:noProof/>
                <w:webHidden/>
              </w:rPr>
              <w:instrText xml:space="preserve"> PAGEREF _Toc228975590 \h </w:instrText>
            </w:r>
            <w:r>
              <w:rPr>
                <w:noProof/>
                <w:webHidden/>
              </w:rPr>
            </w:r>
            <w:r>
              <w:rPr>
                <w:noProof/>
                <w:webHidden/>
              </w:rPr>
              <w:fldChar w:fldCharType="separate"/>
            </w:r>
            <w:r>
              <w:rPr>
                <w:noProof/>
                <w:webHidden/>
              </w:rPr>
              <w:t>2</w:t>
            </w:r>
            <w:r>
              <w:rPr>
                <w:noProof/>
                <w:webHidden/>
              </w:rPr>
              <w:fldChar w:fldCharType="end"/>
            </w:r>
          </w:hyperlink>
        </w:p>
        <w:p w14:paraId="02470F17" w14:textId="5824F733" w:rsidR="0069631A" w:rsidRDefault="0069631A">
          <w:pPr>
            <w:pStyle w:val="TOC1"/>
            <w:rPr>
              <w:rFonts w:eastAsiaTheme="minorEastAsia"/>
              <w:noProof/>
              <w:sz w:val="24"/>
              <w:szCs w:val="24"/>
              <w:lang w:eastAsia="en-GB"/>
            </w:rPr>
          </w:pPr>
          <w:hyperlink w:anchor="_Toc228975591" w:history="1">
            <w:r w:rsidRPr="00B16B62">
              <w:rPr>
                <w:rStyle w:val="Hyperlink"/>
                <w:rFonts w:ascii="Arial" w:hAnsi="Arial" w:cs="Arial"/>
                <w:noProof/>
              </w:rPr>
              <w:t>2.3.1 Gateway One – Planning Gateway One (PGO)</w:t>
            </w:r>
            <w:r>
              <w:rPr>
                <w:noProof/>
                <w:webHidden/>
              </w:rPr>
              <w:tab/>
            </w:r>
            <w:r>
              <w:rPr>
                <w:noProof/>
                <w:webHidden/>
              </w:rPr>
              <w:fldChar w:fldCharType="begin"/>
            </w:r>
            <w:r>
              <w:rPr>
                <w:noProof/>
                <w:webHidden/>
              </w:rPr>
              <w:instrText xml:space="preserve"> PAGEREF _Toc228975591 \h </w:instrText>
            </w:r>
            <w:r>
              <w:rPr>
                <w:noProof/>
                <w:webHidden/>
              </w:rPr>
            </w:r>
            <w:r>
              <w:rPr>
                <w:noProof/>
                <w:webHidden/>
              </w:rPr>
              <w:fldChar w:fldCharType="separate"/>
            </w:r>
            <w:r>
              <w:rPr>
                <w:noProof/>
                <w:webHidden/>
              </w:rPr>
              <w:t>2</w:t>
            </w:r>
            <w:r>
              <w:rPr>
                <w:noProof/>
                <w:webHidden/>
              </w:rPr>
              <w:fldChar w:fldCharType="end"/>
            </w:r>
          </w:hyperlink>
        </w:p>
        <w:p w14:paraId="7B1A9648" w14:textId="44E97996" w:rsidR="0069631A" w:rsidRDefault="0069631A">
          <w:pPr>
            <w:pStyle w:val="TOC1"/>
            <w:rPr>
              <w:rFonts w:eastAsiaTheme="minorEastAsia"/>
              <w:noProof/>
              <w:sz w:val="24"/>
              <w:szCs w:val="24"/>
              <w:lang w:eastAsia="en-GB"/>
            </w:rPr>
          </w:pPr>
          <w:hyperlink w:anchor="_Toc228975592" w:history="1">
            <w:r w:rsidRPr="00B16B62">
              <w:rPr>
                <w:rStyle w:val="Hyperlink"/>
                <w:rFonts w:ascii="Arial" w:hAnsi="Arial" w:cs="Arial"/>
                <w:noProof/>
              </w:rPr>
              <w:t>2.3.2 Gateway Two – Pre-Construction Approval</w:t>
            </w:r>
            <w:r>
              <w:rPr>
                <w:noProof/>
                <w:webHidden/>
              </w:rPr>
              <w:tab/>
            </w:r>
            <w:r>
              <w:rPr>
                <w:noProof/>
                <w:webHidden/>
              </w:rPr>
              <w:fldChar w:fldCharType="begin"/>
            </w:r>
            <w:r>
              <w:rPr>
                <w:noProof/>
                <w:webHidden/>
              </w:rPr>
              <w:instrText xml:space="preserve"> PAGEREF _Toc228975592 \h </w:instrText>
            </w:r>
            <w:r>
              <w:rPr>
                <w:noProof/>
                <w:webHidden/>
              </w:rPr>
            </w:r>
            <w:r>
              <w:rPr>
                <w:noProof/>
                <w:webHidden/>
              </w:rPr>
              <w:fldChar w:fldCharType="separate"/>
            </w:r>
            <w:r>
              <w:rPr>
                <w:noProof/>
                <w:webHidden/>
              </w:rPr>
              <w:t>3</w:t>
            </w:r>
            <w:r>
              <w:rPr>
                <w:noProof/>
                <w:webHidden/>
              </w:rPr>
              <w:fldChar w:fldCharType="end"/>
            </w:r>
          </w:hyperlink>
        </w:p>
        <w:p w14:paraId="46043973" w14:textId="77C99F81" w:rsidR="0069631A" w:rsidRDefault="0069631A">
          <w:pPr>
            <w:pStyle w:val="TOC1"/>
            <w:rPr>
              <w:rFonts w:eastAsiaTheme="minorEastAsia"/>
              <w:noProof/>
              <w:sz w:val="24"/>
              <w:szCs w:val="24"/>
              <w:lang w:eastAsia="en-GB"/>
            </w:rPr>
          </w:pPr>
          <w:hyperlink w:anchor="_Toc228975593" w:history="1">
            <w:r w:rsidRPr="00B16B62">
              <w:rPr>
                <w:rStyle w:val="Hyperlink"/>
                <w:rFonts w:ascii="Arial" w:hAnsi="Arial" w:cs="Arial"/>
                <w:noProof/>
              </w:rPr>
              <w:t>2.3.3 Gateway Three – Completion and Occupation</w:t>
            </w:r>
            <w:r>
              <w:rPr>
                <w:noProof/>
                <w:webHidden/>
              </w:rPr>
              <w:tab/>
            </w:r>
            <w:r>
              <w:rPr>
                <w:noProof/>
                <w:webHidden/>
              </w:rPr>
              <w:fldChar w:fldCharType="begin"/>
            </w:r>
            <w:r>
              <w:rPr>
                <w:noProof/>
                <w:webHidden/>
              </w:rPr>
              <w:instrText xml:space="preserve"> PAGEREF _Toc228975593 \h </w:instrText>
            </w:r>
            <w:r>
              <w:rPr>
                <w:noProof/>
                <w:webHidden/>
              </w:rPr>
            </w:r>
            <w:r>
              <w:rPr>
                <w:noProof/>
                <w:webHidden/>
              </w:rPr>
              <w:fldChar w:fldCharType="separate"/>
            </w:r>
            <w:r>
              <w:rPr>
                <w:noProof/>
                <w:webHidden/>
              </w:rPr>
              <w:t>4</w:t>
            </w:r>
            <w:r>
              <w:rPr>
                <w:noProof/>
                <w:webHidden/>
              </w:rPr>
              <w:fldChar w:fldCharType="end"/>
            </w:r>
          </w:hyperlink>
        </w:p>
        <w:p w14:paraId="2B1CD3E9" w14:textId="474EA1B0" w:rsidR="0069631A" w:rsidRDefault="0069631A">
          <w:pPr>
            <w:pStyle w:val="TOC1"/>
            <w:rPr>
              <w:rFonts w:eastAsiaTheme="minorEastAsia"/>
              <w:noProof/>
              <w:sz w:val="24"/>
              <w:szCs w:val="24"/>
              <w:lang w:eastAsia="en-GB"/>
            </w:rPr>
          </w:pPr>
          <w:hyperlink w:anchor="_Toc228975594" w:history="1">
            <w:r w:rsidRPr="00B16B62">
              <w:rPr>
                <w:rStyle w:val="Hyperlink"/>
                <w:rFonts w:ascii="Arial" w:hAnsi="Arial" w:cs="Arial"/>
                <w:noProof/>
              </w:rPr>
              <w:t>2.4 Changes to Fire Safety Legislation</w:t>
            </w:r>
            <w:r>
              <w:rPr>
                <w:noProof/>
                <w:webHidden/>
              </w:rPr>
              <w:tab/>
            </w:r>
            <w:r>
              <w:rPr>
                <w:noProof/>
                <w:webHidden/>
              </w:rPr>
              <w:fldChar w:fldCharType="begin"/>
            </w:r>
            <w:r>
              <w:rPr>
                <w:noProof/>
                <w:webHidden/>
              </w:rPr>
              <w:instrText xml:space="preserve"> PAGEREF _Toc228975594 \h </w:instrText>
            </w:r>
            <w:r>
              <w:rPr>
                <w:noProof/>
                <w:webHidden/>
              </w:rPr>
            </w:r>
            <w:r>
              <w:rPr>
                <w:noProof/>
                <w:webHidden/>
              </w:rPr>
              <w:fldChar w:fldCharType="separate"/>
            </w:r>
            <w:r>
              <w:rPr>
                <w:noProof/>
                <w:webHidden/>
              </w:rPr>
              <w:t>4</w:t>
            </w:r>
            <w:r>
              <w:rPr>
                <w:noProof/>
                <w:webHidden/>
              </w:rPr>
              <w:fldChar w:fldCharType="end"/>
            </w:r>
          </w:hyperlink>
        </w:p>
        <w:p w14:paraId="0BFA510A" w14:textId="75CCC731" w:rsidR="0069631A" w:rsidRDefault="0069631A">
          <w:pPr>
            <w:pStyle w:val="TOC1"/>
            <w:rPr>
              <w:rFonts w:eastAsiaTheme="minorEastAsia"/>
              <w:noProof/>
              <w:sz w:val="24"/>
              <w:szCs w:val="24"/>
              <w:lang w:eastAsia="en-GB"/>
            </w:rPr>
          </w:pPr>
          <w:hyperlink w:anchor="_Toc228975595" w:history="1">
            <w:r w:rsidRPr="00B16B62">
              <w:rPr>
                <w:rStyle w:val="Hyperlink"/>
                <w:rFonts w:ascii="Arial" w:hAnsi="Arial" w:cs="Arial"/>
                <w:noProof/>
              </w:rPr>
              <w:t>2.5 The Golden Thread of Information</w:t>
            </w:r>
            <w:r>
              <w:rPr>
                <w:noProof/>
                <w:webHidden/>
              </w:rPr>
              <w:tab/>
            </w:r>
            <w:r>
              <w:rPr>
                <w:noProof/>
                <w:webHidden/>
              </w:rPr>
              <w:fldChar w:fldCharType="begin"/>
            </w:r>
            <w:r>
              <w:rPr>
                <w:noProof/>
                <w:webHidden/>
              </w:rPr>
              <w:instrText xml:space="preserve"> PAGEREF _Toc228975595 \h </w:instrText>
            </w:r>
            <w:r>
              <w:rPr>
                <w:noProof/>
                <w:webHidden/>
              </w:rPr>
            </w:r>
            <w:r>
              <w:rPr>
                <w:noProof/>
                <w:webHidden/>
              </w:rPr>
              <w:fldChar w:fldCharType="separate"/>
            </w:r>
            <w:r>
              <w:rPr>
                <w:noProof/>
                <w:webHidden/>
              </w:rPr>
              <w:t>5</w:t>
            </w:r>
            <w:r>
              <w:rPr>
                <w:noProof/>
                <w:webHidden/>
              </w:rPr>
              <w:fldChar w:fldCharType="end"/>
            </w:r>
          </w:hyperlink>
        </w:p>
        <w:p w14:paraId="1D039360" w14:textId="1AC71F76" w:rsidR="0069631A" w:rsidRDefault="0069631A">
          <w:pPr>
            <w:pStyle w:val="TOC1"/>
            <w:rPr>
              <w:rFonts w:eastAsiaTheme="minorEastAsia"/>
              <w:noProof/>
              <w:sz w:val="24"/>
              <w:szCs w:val="24"/>
              <w:lang w:eastAsia="en-GB"/>
            </w:rPr>
          </w:pPr>
          <w:hyperlink w:anchor="_Toc228975596" w:history="1">
            <w:r w:rsidRPr="00B16B62">
              <w:rPr>
                <w:rStyle w:val="Hyperlink"/>
                <w:rFonts w:ascii="Arial" w:hAnsi="Arial" w:cs="Arial"/>
                <w:noProof/>
              </w:rPr>
              <w:t>3.0 Compliance with Relevant Health and Safety legislation and management</w:t>
            </w:r>
            <w:r>
              <w:rPr>
                <w:noProof/>
                <w:webHidden/>
              </w:rPr>
              <w:tab/>
            </w:r>
            <w:r>
              <w:rPr>
                <w:noProof/>
                <w:webHidden/>
              </w:rPr>
              <w:fldChar w:fldCharType="begin"/>
            </w:r>
            <w:r>
              <w:rPr>
                <w:noProof/>
                <w:webHidden/>
              </w:rPr>
              <w:instrText xml:space="preserve"> PAGEREF _Toc228975596 \h </w:instrText>
            </w:r>
            <w:r>
              <w:rPr>
                <w:noProof/>
                <w:webHidden/>
              </w:rPr>
            </w:r>
            <w:r>
              <w:rPr>
                <w:noProof/>
                <w:webHidden/>
              </w:rPr>
              <w:fldChar w:fldCharType="separate"/>
            </w:r>
            <w:r>
              <w:rPr>
                <w:noProof/>
                <w:webHidden/>
              </w:rPr>
              <w:t>5</w:t>
            </w:r>
            <w:r>
              <w:rPr>
                <w:noProof/>
                <w:webHidden/>
              </w:rPr>
              <w:fldChar w:fldCharType="end"/>
            </w:r>
          </w:hyperlink>
        </w:p>
        <w:p w14:paraId="2D3979D5" w14:textId="248A68DF" w:rsidR="0069631A" w:rsidRDefault="0069631A">
          <w:pPr>
            <w:pStyle w:val="TOC1"/>
            <w:rPr>
              <w:rFonts w:eastAsiaTheme="minorEastAsia"/>
              <w:noProof/>
              <w:sz w:val="24"/>
              <w:szCs w:val="24"/>
              <w:lang w:eastAsia="en-GB"/>
            </w:rPr>
          </w:pPr>
          <w:hyperlink w:anchor="_Toc228975597" w:history="1">
            <w:r w:rsidRPr="00B16B62">
              <w:rPr>
                <w:rStyle w:val="Hyperlink"/>
                <w:rFonts w:ascii="Arial" w:hAnsi="Arial" w:cs="Arial"/>
                <w:noProof/>
              </w:rPr>
              <w:t>3.1 Health and Safety at Work etc Act 1974</w:t>
            </w:r>
            <w:r>
              <w:rPr>
                <w:noProof/>
                <w:webHidden/>
              </w:rPr>
              <w:tab/>
            </w:r>
            <w:r>
              <w:rPr>
                <w:noProof/>
                <w:webHidden/>
              </w:rPr>
              <w:fldChar w:fldCharType="begin"/>
            </w:r>
            <w:r>
              <w:rPr>
                <w:noProof/>
                <w:webHidden/>
              </w:rPr>
              <w:instrText xml:space="preserve"> PAGEREF _Toc228975597 \h </w:instrText>
            </w:r>
            <w:r>
              <w:rPr>
                <w:noProof/>
                <w:webHidden/>
              </w:rPr>
            </w:r>
            <w:r>
              <w:rPr>
                <w:noProof/>
                <w:webHidden/>
              </w:rPr>
              <w:fldChar w:fldCharType="separate"/>
            </w:r>
            <w:r>
              <w:rPr>
                <w:noProof/>
                <w:webHidden/>
              </w:rPr>
              <w:t>5</w:t>
            </w:r>
            <w:r>
              <w:rPr>
                <w:noProof/>
                <w:webHidden/>
              </w:rPr>
              <w:fldChar w:fldCharType="end"/>
            </w:r>
          </w:hyperlink>
        </w:p>
        <w:p w14:paraId="11039D73" w14:textId="4C7467D0" w:rsidR="0069631A" w:rsidRDefault="0069631A">
          <w:pPr>
            <w:pStyle w:val="TOC1"/>
            <w:rPr>
              <w:rFonts w:eastAsiaTheme="minorEastAsia"/>
              <w:noProof/>
              <w:sz w:val="24"/>
              <w:szCs w:val="24"/>
              <w:lang w:eastAsia="en-GB"/>
            </w:rPr>
          </w:pPr>
          <w:hyperlink w:anchor="_Toc228975598" w:history="1">
            <w:r w:rsidRPr="00B16B62">
              <w:rPr>
                <w:rStyle w:val="Hyperlink"/>
                <w:rFonts w:ascii="Arial" w:hAnsi="Arial" w:cs="Arial"/>
                <w:noProof/>
              </w:rPr>
              <w:t>3.2 Occupational Health and Safety Management Regulations 1999</w:t>
            </w:r>
            <w:r>
              <w:rPr>
                <w:noProof/>
                <w:webHidden/>
              </w:rPr>
              <w:tab/>
            </w:r>
            <w:r>
              <w:rPr>
                <w:noProof/>
                <w:webHidden/>
              </w:rPr>
              <w:fldChar w:fldCharType="begin"/>
            </w:r>
            <w:r>
              <w:rPr>
                <w:noProof/>
                <w:webHidden/>
              </w:rPr>
              <w:instrText xml:space="preserve"> PAGEREF _Toc228975598 \h </w:instrText>
            </w:r>
            <w:r>
              <w:rPr>
                <w:noProof/>
                <w:webHidden/>
              </w:rPr>
            </w:r>
            <w:r>
              <w:rPr>
                <w:noProof/>
                <w:webHidden/>
              </w:rPr>
              <w:fldChar w:fldCharType="separate"/>
            </w:r>
            <w:r>
              <w:rPr>
                <w:noProof/>
                <w:webHidden/>
              </w:rPr>
              <w:t>6</w:t>
            </w:r>
            <w:r>
              <w:rPr>
                <w:noProof/>
                <w:webHidden/>
              </w:rPr>
              <w:fldChar w:fldCharType="end"/>
            </w:r>
          </w:hyperlink>
        </w:p>
        <w:p w14:paraId="52BBF9AD" w14:textId="5330F220" w:rsidR="0069631A" w:rsidRDefault="0069631A">
          <w:pPr>
            <w:pStyle w:val="TOC1"/>
            <w:rPr>
              <w:rFonts w:eastAsiaTheme="minorEastAsia"/>
              <w:noProof/>
              <w:sz w:val="24"/>
              <w:szCs w:val="24"/>
              <w:lang w:eastAsia="en-GB"/>
            </w:rPr>
          </w:pPr>
          <w:hyperlink w:anchor="_Toc228975599" w:history="1">
            <w:r w:rsidRPr="00B16B62">
              <w:rPr>
                <w:rStyle w:val="Hyperlink"/>
                <w:rFonts w:ascii="Arial" w:hAnsi="Arial" w:cs="Arial"/>
                <w:noProof/>
              </w:rPr>
              <w:t>3.3 Work at Height Regulations 2005</w:t>
            </w:r>
            <w:r>
              <w:rPr>
                <w:noProof/>
                <w:webHidden/>
              </w:rPr>
              <w:tab/>
            </w:r>
            <w:r>
              <w:rPr>
                <w:noProof/>
                <w:webHidden/>
              </w:rPr>
              <w:fldChar w:fldCharType="begin"/>
            </w:r>
            <w:r>
              <w:rPr>
                <w:noProof/>
                <w:webHidden/>
              </w:rPr>
              <w:instrText xml:space="preserve"> PAGEREF _Toc228975599 \h </w:instrText>
            </w:r>
            <w:r>
              <w:rPr>
                <w:noProof/>
                <w:webHidden/>
              </w:rPr>
            </w:r>
            <w:r>
              <w:rPr>
                <w:noProof/>
                <w:webHidden/>
              </w:rPr>
              <w:fldChar w:fldCharType="separate"/>
            </w:r>
            <w:r>
              <w:rPr>
                <w:noProof/>
                <w:webHidden/>
              </w:rPr>
              <w:t>6</w:t>
            </w:r>
            <w:r>
              <w:rPr>
                <w:noProof/>
                <w:webHidden/>
              </w:rPr>
              <w:fldChar w:fldCharType="end"/>
            </w:r>
          </w:hyperlink>
        </w:p>
        <w:p w14:paraId="106644D5" w14:textId="103D63FE" w:rsidR="0069631A" w:rsidRDefault="0069631A">
          <w:pPr>
            <w:pStyle w:val="TOC1"/>
            <w:rPr>
              <w:rFonts w:eastAsiaTheme="minorEastAsia"/>
              <w:noProof/>
              <w:sz w:val="24"/>
              <w:szCs w:val="24"/>
              <w:lang w:eastAsia="en-GB"/>
            </w:rPr>
          </w:pPr>
          <w:hyperlink w:anchor="_Toc228975600" w:history="1">
            <w:r w:rsidRPr="00B16B62">
              <w:rPr>
                <w:rStyle w:val="Hyperlink"/>
                <w:rFonts w:ascii="Arial" w:hAnsi="Arial" w:cs="Arial"/>
                <w:noProof/>
              </w:rPr>
              <w:t>3.4 Control of Substances Hazardous to Health Regulations 2002</w:t>
            </w:r>
            <w:r>
              <w:rPr>
                <w:noProof/>
                <w:webHidden/>
              </w:rPr>
              <w:tab/>
            </w:r>
            <w:r>
              <w:rPr>
                <w:noProof/>
                <w:webHidden/>
              </w:rPr>
              <w:fldChar w:fldCharType="begin"/>
            </w:r>
            <w:r>
              <w:rPr>
                <w:noProof/>
                <w:webHidden/>
              </w:rPr>
              <w:instrText xml:space="preserve"> PAGEREF _Toc228975600 \h </w:instrText>
            </w:r>
            <w:r>
              <w:rPr>
                <w:noProof/>
                <w:webHidden/>
              </w:rPr>
            </w:r>
            <w:r>
              <w:rPr>
                <w:noProof/>
                <w:webHidden/>
              </w:rPr>
              <w:fldChar w:fldCharType="separate"/>
            </w:r>
            <w:r>
              <w:rPr>
                <w:noProof/>
                <w:webHidden/>
              </w:rPr>
              <w:t>7</w:t>
            </w:r>
            <w:r>
              <w:rPr>
                <w:noProof/>
                <w:webHidden/>
              </w:rPr>
              <w:fldChar w:fldCharType="end"/>
            </w:r>
          </w:hyperlink>
        </w:p>
        <w:p w14:paraId="3E6B50D5" w14:textId="76F2911B" w:rsidR="0069631A" w:rsidRDefault="0069631A">
          <w:pPr>
            <w:pStyle w:val="TOC1"/>
            <w:rPr>
              <w:rFonts w:eastAsiaTheme="minorEastAsia"/>
              <w:noProof/>
              <w:sz w:val="24"/>
              <w:szCs w:val="24"/>
              <w:lang w:eastAsia="en-GB"/>
            </w:rPr>
          </w:pPr>
          <w:hyperlink w:anchor="_Toc228975601" w:history="1">
            <w:r w:rsidRPr="00B16B62">
              <w:rPr>
                <w:rStyle w:val="Hyperlink"/>
                <w:rFonts w:ascii="Arial" w:hAnsi="Arial" w:cs="Arial"/>
                <w:noProof/>
              </w:rPr>
              <w:t>3.5 Noise at Work Regulations 2005 Control</w:t>
            </w:r>
            <w:r>
              <w:rPr>
                <w:noProof/>
                <w:webHidden/>
              </w:rPr>
              <w:tab/>
            </w:r>
            <w:r>
              <w:rPr>
                <w:noProof/>
                <w:webHidden/>
              </w:rPr>
              <w:fldChar w:fldCharType="begin"/>
            </w:r>
            <w:r>
              <w:rPr>
                <w:noProof/>
                <w:webHidden/>
              </w:rPr>
              <w:instrText xml:space="preserve"> PAGEREF _Toc228975601 \h </w:instrText>
            </w:r>
            <w:r>
              <w:rPr>
                <w:noProof/>
                <w:webHidden/>
              </w:rPr>
            </w:r>
            <w:r>
              <w:rPr>
                <w:noProof/>
                <w:webHidden/>
              </w:rPr>
              <w:fldChar w:fldCharType="separate"/>
            </w:r>
            <w:r>
              <w:rPr>
                <w:noProof/>
                <w:webHidden/>
              </w:rPr>
              <w:t>7</w:t>
            </w:r>
            <w:r>
              <w:rPr>
                <w:noProof/>
                <w:webHidden/>
              </w:rPr>
              <w:fldChar w:fldCharType="end"/>
            </w:r>
          </w:hyperlink>
        </w:p>
        <w:p w14:paraId="3608D0B9" w14:textId="1F56C78C" w:rsidR="0069631A" w:rsidRDefault="0069631A">
          <w:pPr>
            <w:pStyle w:val="TOC1"/>
            <w:rPr>
              <w:rFonts w:eastAsiaTheme="minorEastAsia"/>
              <w:noProof/>
              <w:sz w:val="24"/>
              <w:szCs w:val="24"/>
              <w:lang w:eastAsia="en-GB"/>
            </w:rPr>
          </w:pPr>
          <w:hyperlink w:anchor="_Toc228975602" w:history="1">
            <w:r w:rsidRPr="00B16B62">
              <w:rPr>
                <w:rStyle w:val="Hyperlink"/>
                <w:rFonts w:ascii="Arial" w:hAnsi="Arial" w:cs="Arial"/>
                <w:noProof/>
              </w:rPr>
              <w:t>3.6 Training and Competency Frameworks</w:t>
            </w:r>
            <w:r>
              <w:rPr>
                <w:noProof/>
                <w:webHidden/>
              </w:rPr>
              <w:tab/>
            </w:r>
            <w:r>
              <w:rPr>
                <w:noProof/>
                <w:webHidden/>
              </w:rPr>
              <w:fldChar w:fldCharType="begin"/>
            </w:r>
            <w:r>
              <w:rPr>
                <w:noProof/>
                <w:webHidden/>
              </w:rPr>
              <w:instrText xml:space="preserve"> PAGEREF _Toc228975602 \h </w:instrText>
            </w:r>
            <w:r>
              <w:rPr>
                <w:noProof/>
                <w:webHidden/>
              </w:rPr>
            </w:r>
            <w:r>
              <w:rPr>
                <w:noProof/>
                <w:webHidden/>
              </w:rPr>
              <w:fldChar w:fldCharType="separate"/>
            </w:r>
            <w:r>
              <w:rPr>
                <w:noProof/>
                <w:webHidden/>
              </w:rPr>
              <w:t>7</w:t>
            </w:r>
            <w:r>
              <w:rPr>
                <w:noProof/>
                <w:webHidden/>
              </w:rPr>
              <w:fldChar w:fldCharType="end"/>
            </w:r>
          </w:hyperlink>
        </w:p>
        <w:p w14:paraId="0B3C1EC7" w14:textId="1E6A650F" w:rsidR="0069631A" w:rsidRDefault="0069631A">
          <w:pPr>
            <w:pStyle w:val="TOC1"/>
            <w:rPr>
              <w:rFonts w:eastAsiaTheme="minorEastAsia"/>
              <w:noProof/>
              <w:sz w:val="24"/>
              <w:szCs w:val="24"/>
              <w:lang w:eastAsia="en-GB"/>
            </w:rPr>
          </w:pPr>
          <w:hyperlink w:anchor="_Toc228975603" w:history="1">
            <w:r w:rsidRPr="00B16B62">
              <w:rPr>
                <w:rStyle w:val="Hyperlink"/>
                <w:rFonts w:ascii="Arial" w:hAnsi="Arial" w:cs="Arial"/>
                <w:noProof/>
              </w:rPr>
              <w:t>4.0 Compliance with the CDM Regulations 2015</w:t>
            </w:r>
            <w:r>
              <w:rPr>
                <w:noProof/>
                <w:webHidden/>
              </w:rPr>
              <w:tab/>
            </w:r>
            <w:r>
              <w:rPr>
                <w:noProof/>
                <w:webHidden/>
              </w:rPr>
              <w:fldChar w:fldCharType="begin"/>
            </w:r>
            <w:r>
              <w:rPr>
                <w:noProof/>
                <w:webHidden/>
              </w:rPr>
              <w:instrText xml:space="preserve"> PAGEREF _Toc228975603 \h </w:instrText>
            </w:r>
            <w:r>
              <w:rPr>
                <w:noProof/>
                <w:webHidden/>
              </w:rPr>
            </w:r>
            <w:r>
              <w:rPr>
                <w:noProof/>
                <w:webHidden/>
              </w:rPr>
              <w:fldChar w:fldCharType="separate"/>
            </w:r>
            <w:r>
              <w:rPr>
                <w:noProof/>
                <w:webHidden/>
              </w:rPr>
              <w:t>8</w:t>
            </w:r>
            <w:r>
              <w:rPr>
                <w:noProof/>
                <w:webHidden/>
              </w:rPr>
              <w:fldChar w:fldCharType="end"/>
            </w:r>
          </w:hyperlink>
        </w:p>
        <w:p w14:paraId="1C757C68" w14:textId="72C99411" w:rsidR="0069631A" w:rsidRDefault="0069631A">
          <w:pPr>
            <w:pStyle w:val="TOC1"/>
            <w:rPr>
              <w:rFonts w:eastAsiaTheme="minorEastAsia"/>
              <w:noProof/>
              <w:sz w:val="24"/>
              <w:szCs w:val="24"/>
              <w:lang w:eastAsia="en-GB"/>
            </w:rPr>
          </w:pPr>
          <w:hyperlink w:anchor="_Toc228975604" w:history="1">
            <w:r w:rsidRPr="00B16B62">
              <w:rPr>
                <w:rStyle w:val="Hyperlink"/>
                <w:rFonts w:ascii="Arial" w:hAnsi="Arial" w:cs="Arial"/>
                <w:noProof/>
              </w:rPr>
              <w:t>4.1 Application of CDM 2015.</w:t>
            </w:r>
            <w:r>
              <w:rPr>
                <w:noProof/>
                <w:webHidden/>
              </w:rPr>
              <w:tab/>
            </w:r>
            <w:r>
              <w:rPr>
                <w:noProof/>
                <w:webHidden/>
              </w:rPr>
              <w:fldChar w:fldCharType="begin"/>
            </w:r>
            <w:r>
              <w:rPr>
                <w:noProof/>
                <w:webHidden/>
              </w:rPr>
              <w:instrText xml:space="preserve"> PAGEREF _Toc228975604 \h </w:instrText>
            </w:r>
            <w:r>
              <w:rPr>
                <w:noProof/>
                <w:webHidden/>
              </w:rPr>
            </w:r>
            <w:r>
              <w:rPr>
                <w:noProof/>
                <w:webHidden/>
              </w:rPr>
              <w:fldChar w:fldCharType="separate"/>
            </w:r>
            <w:r>
              <w:rPr>
                <w:noProof/>
                <w:webHidden/>
              </w:rPr>
              <w:t>8</w:t>
            </w:r>
            <w:r>
              <w:rPr>
                <w:noProof/>
                <w:webHidden/>
              </w:rPr>
              <w:fldChar w:fldCharType="end"/>
            </w:r>
          </w:hyperlink>
        </w:p>
        <w:p w14:paraId="62325987" w14:textId="1A0A4DE8" w:rsidR="0069631A" w:rsidRDefault="0069631A">
          <w:pPr>
            <w:pStyle w:val="TOC1"/>
            <w:rPr>
              <w:rFonts w:eastAsiaTheme="minorEastAsia"/>
              <w:noProof/>
              <w:sz w:val="24"/>
              <w:szCs w:val="24"/>
              <w:lang w:eastAsia="en-GB"/>
            </w:rPr>
          </w:pPr>
          <w:hyperlink w:anchor="_Toc228975605" w:history="1">
            <w:r w:rsidRPr="00B16B62">
              <w:rPr>
                <w:rStyle w:val="Hyperlink"/>
                <w:rFonts w:ascii="Arial" w:hAnsi="Arial" w:cs="Arial"/>
                <w:noProof/>
              </w:rPr>
              <w:t>4.2 Appointment and Qualification of Officers</w:t>
            </w:r>
            <w:r>
              <w:rPr>
                <w:noProof/>
                <w:webHidden/>
              </w:rPr>
              <w:tab/>
            </w:r>
            <w:r>
              <w:rPr>
                <w:noProof/>
                <w:webHidden/>
              </w:rPr>
              <w:fldChar w:fldCharType="begin"/>
            </w:r>
            <w:r>
              <w:rPr>
                <w:noProof/>
                <w:webHidden/>
              </w:rPr>
              <w:instrText xml:space="preserve"> PAGEREF _Toc228975605 \h </w:instrText>
            </w:r>
            <w:r>
              <w:rPr>
                <w:noProof/>
                <w:webHidden/>
              </w:rPr>
            </w:r>
            <w:r>
              <w:rPr>
                <w:noProof/>
                <w:webHidden/>
              </w:rPr>
              <w:fldChar w:fldCharType="separate"/>
            </w:r>
            <w:r>
              <w:rPr>
                <w:noProof/>
                <w:webHidden/>
              </w:rPr>
              <w:t>8</w:t>
            </w:r>
            <w:r>
              <w:rPr>
                <w:noProof/>
                <w:webHidden/>
              </w:rPr>
              <w:fldChar w:fldCharType="end"/>
            </w:r>
          </w:hyperlink>
        </w:p>
        <w:p w14:paraId="40A16F47" w14:textId="080168A4" w:rsidR="0069631A" w:rsidRDefault="0069631A">
          <w:pPr>
            <w:pStyle w:val="TOC1"/>
            <w:rPr>
              <w:rFonts w:eastAsiaTheme="minorEastAsia"/>
              <w:noProof/>
              <w:sz w:val="24"/>
              <w:szCs w:val="24"/>
              <w:lang w:eastAsia="en-GB"/>
            </w:rPr>
          </w:pPr>
          <w:hyperlink w:anchor="_Toc228975606" w:history="1">
            <w:r w:rsidRPr="00B16B62">
              <w:rPr>
                <w:rStyle w:val="Hyperlink"/>
                <w:rFonts w:ascii="Arial" w:hAnsi="Arial" w:cs="Arial"/>
                <w:noProof/>
              </w:rPr>
              <w:t>4.3 Construction Phase Plan</w:t>
            </w:r>
            <w:r>
              <w:rPr>
                <w:noProof/>
                <w:webHidden/>
              </w:rPr>
              <w:tab/>
            </w:r>
            <w:r>
              <w:rPr>
                <w:noProof/>
                <w:webHidden/>
              </w:rPr>
              <w:fldChar w:fldCharType="begin"/>
            </w:r>
            <w:r>
              <w:rPr>
                <w:noProof/>
                <w:webHidden/>
              </w:rPr>
              <w:instrText xml:space="preserve"> PAGEREF _Toc228975606 \h </w:instrText>
            </w:r>
            <w:r>
              <w:rPr>
                <w:noProof/>
                <w:webHidden/>
              </w:rPr>
            </w:r>
            <w:r>
              <w:rPr>
                <w:noProof/>
                <w:webHidden/>
              </w:rPr>
              <w:fldChar w:fldCharType="separate"/>
            </w:r>
            <w:r>
              <w:rPr>
                <w:noProof/>
                <w:webHidden/>
              </w:rPr>
              <w:t>8</w:t>
            </w:r>
            <w:r>
              <w:rPr>
                <w:noProof/>
                <w:webHidden/>
              </w:rPr>
              <w:fldChar w:fldCharType="end"/>
            </w:r>
          </w:hyperlink>
        </w:p>
        <w:p w14:paraId="0C36CB77" w14:textId="6D7BE16F" w:rsidR="0069631A" w:rsidRDefault="0069631A">
          <w:pPr>
            <w:pStyle w:val="TOC1"/>
            <w:rPr>
              <w:rFonts w:eastAsiaTheme="minorEastAsia"/>
              <w:noProof/>
              <w:sz w:val="24"/>
              <w:szCs w:val="24"/>
              <w:lang w:eastAsia="en-GB"/>
            </w:rPr>
          </w:pPr>
          <w:hyperlink w:anchor="_Toc228975607" w:history="1">
            <w:r w:rsidRPr="00B16B62">
              <w:rPr>
                <w:rStyle w:val="Hyperlink"/>
                <w:rFonts w:ascii="Arial" w:hAnsi="Arial" w:cs="Arial"/>
                <w:noProof/>
              </w:rPr>
              <w:t>4.4 Health and Safety File</w:t>
            </w:r>
            <w:r>
              <w:rPr>
                <w:noProof/>
                <w:webHidden/>
              </w:rPr>
              <w:tab/>
            </w:r>
            <w:r>
              <w:rPr>
                <w:noProof/>
                <w:webHidden/>
              </w:rPr>
              <w:fldChar w:fldCharType="begin"/>
            </w:r>
            <w:r>
              <w:rPr>
                <w:noProof/>
                <w:webHidden/>
              </w:rPr>
              <w:instrText xml:space="preserve"> PAGEREF _Toc228975607 \h </w:instrText>
            </w:r>
            <w:r>
              <w:rPr>
                <w:noProof/>
                <w:webHidden/>
              </w:rPr>
            </w:r>
            <w:r>
              <w:rPr>
                <w:noProof/>
                <w:webHidden/>
              </w:rPr>
              <w:fldChar w:fldCharType="separate"/>
            </w:r>
            <w:r>
              <w:rPr>
                <w:noProof/>
                <w:webHidden/>
              </w:rPr>
              <w:t>9</w:t>
            </w:r>
            <w:r>
              <w:rPr>
                <w:noProof/>
                <w:webHidden/>
              </w:rPr>
              <w:fldChar w:fldCharType="end"/>
            </w:r>
          </w:hyperlink>
        </w:p>
        <w:p w14:paraId="2D285173" w14:textId="223B1348" w:rsidR="0069631A" w:rsidRDefault="0069631A">
          <w:pPr>
            <w:pStyle w:val="TOC1"/>
            <w:rPr>
              <w:rFonts w:eastAsiaTheme="minorEastAsia"/>
              <w:noProof/>
              <w:sz w:val="24"/>
              <w:szCs w:val="24"/>
              <w:lang w:eastAsia="en-GB"/>
            </w:rPr>
          </w:pPr>
          <w:hyperlink w:anchor="_Toc228975608" w:history="1">
            <w:r w:rsidRPr="00B16B62">
              <w:rPr>
                <w:rStyle w:val="Hyperlink"/>
                <w:rFonts w:ascii="Arial" w:hAnsi="Arial" w:cs="Arial"/>
                <w:noProof/>
              </w:rPr>
              <w:t>4.5 Staff Engagement</w:t>
            </w:r>
            <w:r>
              <w:rPr>
                <w:noProof/>
                <w:webHidden/>
              </w:rPr>
              <w:tab/>
            </w:r>
            <w:r>
              <w:rPr>
                <w:noProof/>
                <w:webHidden/>
              </w:rPr>
              <w:fldChar w:fldCharType="begin"/>
            </w:r>
            <w:r>
              <w:rPr>
                <w:noProof/>
                <w:webHidden/>
              </w:rPr>
              <w:instrText xml:space="preserve"> PAGEREF _Toc228975608 \h </w:instrText>
            </w:r>
            <w:r>
              <w:rPr>
                <w:noProof/>
                <w:webHidden/>
              </w:rPr>
            </w:r>
            <w:r>
              <w:rPr>
                <w:noProof/>
                <w:webHidden/>
              </w:rPr>
              <w:fldChar w:fldCharType="separate"/>
            </w:r>
            <w:r>
              <w:rPr>
                <w:noProof/>
                <w:webHidden/>
              </w:rPr>
              <w:t>9</w:t>
            </w:r>
            <w:r>
              <w:rPr>
                <w:noProof/>
                <w:webHidden/>
              </w:rPr>
              <w:fldChar w:fldCharType="end"/>
            </w:r>
          </w:hyperlink>
        </w:p>
        <w:p w14:paraId="7EC96B9C" w14:textId="1CAF697B" w:rsidR="0069631A" w:rsidRDefault="0069631A">
          <w:pPr>
            <w:pStyle w:val="TOC1"/>
            <w:rPr>
              <w:rFonts w:eastAsiaTheme="minorEastAsia"/>
              <w:noProof/>
              <w:sz w:val="24"/>
              <w:szCs w:val="24"/>
              <w:lang w:eastAsia="en-GB"/>
            </w:rPr>
          </w:pPr>
          <w:hyperlink w:anchor="_Toc228975609" w:history="1">
            <w:r w:rsidRPr="00B16B62">
              <w:rPr>
                <w:rStyle w:val="Hyperlink"/>
                <w:rFonts w:ascii="Arial" w:hAnsi="Arial" w:cs="Arial"/>
                <w:noProof/>
              </w:rPr>
              <w:t>4.6 Coordination in an Occupied Building</w:t>
            </w:r>
            <w:r>
              <w:rPr>
                <w:noProof/>
                <w:webHidden/>
              </w:rPr>
              <w:tab/>
            </w:r>
            <w:r>
              <w:rPr>
                <w:noProof/>
                <w:webHidden/>
              </w:rPr>
              <w:fldChar w:fldCharType="begin"/>
            </w:r>
            <w:r>
              <w:rPr>
                <w:noProof/>
                <w:webHidden/>
              </w:rPr>
              <w:instrText xml:space="preserve"> PAGEREF _Toc228975609 \h </w:instrText>
            </w:r>
            <w:r>
              <w:rPr>
                <w:noProof/>
                <w:webHidden/>
              </w:rPr>
            </w:r>
            <w:r>
              <w:rPr>
                <w:noProof/>
                <w:webHidden/>
              </w:rPr>
              <w:fldChar w:fldCharType="separate"/>
            </w:r>
            <w:r>
              <w:rPr>
                <w:noProof/>
                <w:webHidden/>
              </w:rPr>
              <w:t>9</w:t>
            </w:r>
            <w:r>
              <w:rPr>
                <w:noProof/>
                <w:webHidden/>
              </w:rPr>
              <w:fldChar w:fldCharType="end"/>
            </w:r>
          </w:hyperlink>
        </w:p>
        <w:p w14:paraId="103240C7" w14:textId="70F7A9B6" w:rsidR="0069631A" w:rsidRDefault="0069631A">
          <w:pPr>
            <w:pStyle w:val="TOC1"/>
            <w:rPr>
              <w:rFonts w:eastAsiaTheme="minorEastAsia"/>
              <w:noProof/>
              <w:sz w:val="24"/>
              <w:szCs w:val="24"/>
              <w:lang w:eastAsia="en-GB"/>
            </w:rPr>
          </w:pPr>
          <w:hyperlink w:anchor="_Toc228975610" w:history="1">
            <w:r w:rsidRPr="00B16B62">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_Toc228975610 \h </w:instrText>
            </w:r>
            <w:r>
              <w:rPr>
                <w:noProof/>
                <w:webHidden/>
              </w:rPr>
            </w:r>
            <w:r>
              <w:rPr>
                <w:noProof/>
                <w:webHidden/>
              </w:rPr>
              <w:fldChar w:fldCharType="separate"/>
            </w:r>
            <w:r>
              <w:rPr>
                <w:noProof/>
                <w:webHidden/>
              </w:rPr>
              <w:t>9</w:t>
            </w:r>
            <w:r>
              <w:rPr>
                <w:noProof/>
                <w:webHidden/>
              </w:rPr>
              <w:fldChar w:fldCharType="end"/>
            </w:r>
          </w:hyperlink>
        </w:p>
        <w:p w14:paraId="72EBC491" w14:textId="12EFEAC8" w:rsidR="0069631A" w:rsidRDefault="0069631A">
          <w:pPr>
            <w:pStyle w:val="TOC1"/>
            <w:rPr>
              <w:rFonts w:eastAsiaTheme="minorEastAsia"/>
              <w:noProof/>
              <w:sz w:val="24"/>
              <w:szCs w:val="24"/>
              <w:lang w:eastAsia="en-GB"/>
            </w:rPr>
          </w:pPr>
          <w:hyperlink w:anchor="_Toc228975611" w:history="1">
            <w:r w:rsidRPr="00B16B62">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_Toc228975611 \h </w:instrText>
            </w:r>
            <w:r>
              <w:rPr>
                <w:noProof/>
                <w:webHidden/>
              </w:rPr>
            </w:r>
            <w:r>
              <w:rPr>
                <w:noProof/>
                <w:webHidden/>
              </w:rPr>
              <w:fldChar w:fldCharType="separate"/>
            </w:r>
            <w:r>
              <w:rPr>
                <w:noProof/>
                <w:webHidden/>
              </w:rPr>
              <w:t>10</w:t>
            </w:r>
            <w:r>
              <w:rPr>
                <w:noProof/>
                <w:webHidden/>
              </w:rPr>
              <w:fldChar w:fldCharType="end"/>
            </w:r>
          </w:hyperlink>
        </w:p>
        <w:p w14:paraId="09E65193" w14:textId="59E0EA4E" w:rsidR="004D2EA7" w:rsidRPr="0069631A" w:rsidRDefault="005421EC" w:rsidP="0069631A">
          <w:pPr>
            <w:spacing w:line="360" w:lineRule="auto"/>
            <w:jc w:val="both"/>
            <w:rPr>
              <w:rFonts w:ascii="Arial" w:hAnsi="Arial" w:cs="Arial"/>
              <w:sz w:val="24"/>
              <w:szCs w:val="24"/>
            </w:rPr>
            <w:sectPr w:rsidR="004D2EA7" w:rsidRPr="0069631A">
              <w:pgSz w:w="11906" w:h="16838"/>
              <w:pgMar w:top="1440" w:right="1440" w:bottom="1440" w:left="1440" w:header="708" w:footer="708" w:gutter="0"/>
              <w:cols w:space="708"/>
              <w:docGrid w:linePitch="360"/>
            </w:sectPr>
          </w:pPr>
          <w:r w:rsidRPr="0069631A">
            <w:rPr>
              <w:rFonts w:ascii="Arial" w:hAnsi="Arial" w:cs="Arial"/>
              <w:noProof/>
              <w:sz w:val="24"/>
              <w:szCs w:val="24"/>
            </w:rPr>
            <w:fldChar w:fldCharType="end"/>
          </w:r>
        </w:p>
      </w:sdtContent>
    </w:sdt>
    <w:p w14:paraId="42D44506" w14:textId="40769371" w:rsidR="004D2EA7" w:rsidRPr="0069631A" w:rsidRDefault="004D2EA7" w:rsidP="0069631A">
      <w:pPr>
        <w:pStyle w:val="Heading1"/>
        <w:spacing w:line="360" w:lineRule="auto"/>
        <w:jc w:val="both"/>
        <w:rPr>
          <w:rFonts w:ascii="Arial" w:hAnsi="Arial" w:cs="Arial"/>
          <w:sz w:val="24"/>
          <w:szCs w:val="24"/>
        </w:rPr>
      </w:pPr>
      <w:bookmarkStart w:id="0" w:name="_Toc228975586"/>
      <w:r w:rsidRPr="0069631A">
        <w:rPr>
          <w:rFonts w:ascii="Arial" w:hAnsi="Arial" w:cs="Arial"/>
          <w:sz w:val="24"/>
          <w:szCs w:val="24"/>
        </w:rPr>
        <w:lastRenderedPageBreak/>
        <w:t>1.0 Introduction</w:t>
      </w:r>
      <w:bookmarkEnd w:id="0"/>
    </w:p>
    <w:p w14:paraId="6EA65B09" w14:textId="77777777" w:rsidR="00D5656F" w:rsidRPr="0069631A" w:rsidRDefault="00D5656F" w:rsidP="0069631A">
      <w:pPr>
        <w:spacing w:line="360" w:lineRule="auto"/>
        <w:jc w:val="both"/>
        <w:rPr>
          <w:rFonts w:ascii="Arial" w:hAnsi="Arial" w:cs="Arial"/>
          <w:sz w:val="24"/>
          <w:szCs w:val="24"/>
        </w:rPr>
      </w:pPr>
      <w:r w:rsidRPr="0069631A">
        <w:rPr>
          <w:rFonts w:ascii="Arial" w:hAnsi="Arial" w:cs="Arial"/>
          <w:sz w:val="24"/>
          <w:szCs w:val="24"/>
        </w:rPr>
        <w:t xml:space="preserve">This report will explain the key health and safety issues associated with the proposed large scale retrofit of Croft Street Block 2, a residential tower block in Swansea. The project is a major refurbishment of an occupied multi-storey residential building including the installation of new kitchens and bathrooms, fitting of fire sprinkler systems and adding weather-proof external cladding to improve energy efficiency. These activities pose a number of health and safety challenges, particularly with regard to working at height, risk of fire, construction in occupied dwellings and interaction with residents and members of the public. </w:t>
      </w:r>
    </w:p>
    <w:p w14:paraId="471CE883" w14:textId="70101B49" w:rsidR="00D5656F" w:rsidRPr="0069631A" w:rsidRDefault="00D5656F" w:rsidP="0069631A">
      <w:pPr>
        <w:spacing w:line="360" w:lineRule="auto"/>
        <w:jc w:val="both"/>
        <w:rPr>
          <w:rFonts w:ascii="Arial" w:hAnsi="Arial" w:cs="Arial"/>
          <w:sz w:val="24"/>
          <w:szCs w:val="24"/>
        </w:rPr>
      </w:pPr>
      <w:r w:rsidRPr="0069631A">
        <w:rPr>
          <w:rFonts w:ascii="Arial" w:hAnsi="Arial" w:cs="Arial"/>
          <w:sz w:val="24"/>
          <w:szCs w:val="24"/>
        </w:rPr>
        <w:t>The report thereby considers the importance of building safety legislation, wider health and safety law and compliance with the Construction Design and Management Regulations 2015 in ensuring the effective planning, management and safe delivery of the project.</w:t>
      </w:r>
    </w:p>
    <w:p w14:paraId="28316A0B" w14:textId="4FA75EB5" w:rsidR="00F15315" w:rsidRPr="0069631A" w:rsidRDefault="00F15315" w:rsidP="0069631A">
      <w:pPr>
        <w:pStyle w:val="Heading1"/>
        <w:spacing w:line="360" w:lineRule="auto"/>
        <w:jc w:val="both"/>
        <w:rPr>
          <w:rFonts w:ascii="Arial" w:hAnsi="Arial" w:cs="Arial"/>
          <w:sz w:val="24"/>
          <w:szCs w:val="24"/>
        </w:rPr>
      </w:pPr>
      <w:bookmarkStart w:id="1" w:name="_Toc228975587"/>
      <w:r w:rsidRPr="0069631A">
        <w:rPr>
          <w:rFonts w:ascii="Arial" w:hAnsi="Arial" w:cs="Arial"/>
          <w:sz w:val="24"/>
          <w:szCs w:val="24"/>
        </w:rPr>
        <w:t>2.0 Relevance and Impact of the Building Safety Act 2022 and Building Safety (Wales) Bill</w:t>
      </w:r>
      <w:bookmarkEnd w:id="1"/>
    </w:p>
    <w:p w14:paraId="225BB0CC" w14:textId="754805BC" w:rsidR="00002EBC" w:rsidRPr="0069631A" w:rsidRDefault="00002EBC" w:rsidP="0069631A">
      <w:pPr>
        <w:spacing w:line="360" w:lineRule="auto"/>
        <w:jc w:val="both"/>
        <w:rPr>
          <w:rFonts w:ascii="Arial" w:hAnsi="Arial" w:cs="Arial"/>
          <w:sz w:val="24"/>
          <w:szCs w:val="24"/>
        </w:rPr>
      </w:pPr>
      <w:r w:rsidRPr="0069631A">
        <w:rPr>
          <w:rFonts w:ascii="Arial" w:hAnsi="Arial" w:cs="Arial"/>
          <w:sz w:val="24"/>
          <w:szCs w:val="24"/>
        </w:rPr>
        <w:t>The Building Safety Act 2022 and Building Safety (Wales) Bill reflect a major change in the way building safety is regulated across the UK and Wales. These legal frameworks are directly relevant to the Croft Street Block 2 project with the introduction of tighter controls, increased accountability and mandatory safety processes for high-risk residential buildings. These influences have a net effect on design decisions, construction management, fire safety responsibilities and the long-term occupation of the building. Promoting safety throughout the entire lifecycle of the building, rather than managing it at the end (Legislation.gov.uk, 2022).</w:t>
      </w:r>
    </w:p>
    <w:p w14:paraId="1276D4D1" w14:textId="0E70D6AC" w:rsidR="00640C55" w:rsidRPr="0069631A" w:rsidRDefault="00F15315" w:rsidP="0069631A">
      <w:pPr>
        <w:pStyle w:val="Heading1"/>
        <w:spacing w:line="360" w:lineRule="auto"/>
        <w:jc w:val="both"/>
        <w:rPr>
          <w:rFonts w:ascii="Arial" w:hAnsi="Arial" w:cs="Arial"/>
          <w:sz w:val="24"/>
          <w:szCs w:val="24"/>
        </w:rPr>
      </w:pPr>
      <w:bookmarkStart w:id="2" w:name="_Toc228975588"/>
      <w:r w:rsidRPr="0069631A">
        <w:rPr>
          <w:rFonts w:ascii="Arial" w:hAnsi="Arial" w:cs="Arial"/>
          <w:sz w:val="24"/>
          <w:szCs w:val="24"/>
        </w:rPr>
        <w:t>2.1 Regulatory Context</w:t>
      </w:r>
      <w:bookmarkEnd w:id="2"/>
    </w:p>
    <w:p w14:paraId="463CB6FD" w14:textId="77777777" w:rsidR="00640C55" w:rsidRPr="0069631A" w:rsidRDefault="00640C55" w:rsidP="0069631A">
      <w:pPr>
        <w:spacing w:line="360" w:lineRule="auto"/>
        <w:jc w:val="both"/>
        <w:rPr>
          <w:rFonts w:ascii="Arial" w:hAnsi="Arial" w:cs="Arial"/>
          <w:sz w:val="24"/>
          <w:szCs w:val="24"/>
        </w:rPr>
      </w:pPr>
      <w:r w:rsidRPr="0069631A">
        <w:rPr>
          <w:rFonts w:ascii="Arial" w:hAnsi="Arial" w:cs="Arial"/>
          <w:sz w:val="24"/>
          <w:szCs w:val="24"/>
        </w:rPr>
        <w:t>Following the Grenfell Tower tragedy in 2017, the UK government implemented major reforms of the building safety regulatory framework. The Building Safety Act 2022 (BSA) is a significant change in the regulation of building safety, establishing clearer accountability, more robust building control processes and further safety requirements for higher-risk buildings (Legislation.gov.uk, 2022).</w:t>
      </w:r>
    </w:p>
    <w:p w14:paraId="6B9F63F2" w14:textId="2244D071" w:rsidR="00640C55" w:rsidRPr="0069631A" w:rsidRDefault="00640C55" w:rsidP="0069631A">
      <w:pPr>
        <w:spacing w:line="360" w:lineRule="auto"/>
        <w:jc w:val="both"/>
        <w:rPr>
          <w:rFonts w:ascii="Arial" w:hAnsi="Arial" w:cs="Arial"/>
          <w:sz w:val="24"/>
          <w:szCs w:val="24"/>
        </w:rPr>
      </w:pPr>
      <w:r w:rsidRPr="0069631A">
        <w:rPr>
          <w:rFonts w:ascii="Arial" w:hAnsi="Arial" w:cs="Arial"/>
          <w:sz w:val="24"/>
          <w:szCs w:val="24"/>
        </w:rPr>
        <w:lastRenderedPageBreak/>
        <w:t>Further developments are being introduced in Wales by the Building Safety (Wales) Bill, which was presented to the Senedd Committee on 7 July 2025. The Welsh Bill provides for occupation-phase provisions of the BSA but creates a Wales-specific regulatory regime. This retains the fundamental principles of enhanced safety and accountability, whilst working with the Welsh housing structures (GOV.WALES, 2025).</w:t>
      </w:r>
    </w:p>
    <w:p w14:paraId="47E9C73E" w14:textId="4FB54815" w:rsidR="00234054" w:rsidRPr="0069631A" w:rsidRDefault="00F15315" w:rsidP="0069631A">
      <w:pPr>
        <w:pStyle w:val="Heading1"/>
        <w:spacing w:line="360" w:lineRule="auto"/>
        <w:jc w:val="both"/>
        <w:rPr>
          <w:rFonts w:ascii="Arial" w:hAnsi="Arial" w:cs="Arial"/>
          <w:sz w:val="24"/>
          <w:szCs w:val="24"/>
        </w:rPr>
      </w:pPr>
      <w:bookmarkStart w:id="3" w:name="_Toc228975589"/>
      <w:r w:rsidRPr="0069631A">
        <w:rPr>
          <w:rFonts w:ascii="Arial" w:hAnsi="Arial" w:cs="Arial"/>
          <w:sz w:val="24"/>
          <w:szCs w:val="24"/>
        </w:rPr>
        <w:t>2.2 Classification of Croft Street Block 2</w:t>
      </w:r>
      <w:bookmarkEnd w:id="3"/>
      <w:r w:rsidRPr="0069631A">
        <w:rPr>
          <w:rFonts w:ascii="Arial" w:hAnsi="Arial" w:cs="Arial"/>
          <w:sz w:val="24"/>
          <w:szCs w:val="24"/>
        </w:rPr>
        <w:t xml:space="preserve"> </w:t>
      </w:r>
    </w:p>
    <w:p w14:paraId="2EB2B7D7" w14:textId="77777777" w:rsidR="00234054" w:rsidRPr="0069631A" w:rsidRDefault="00234054" w:rsidP="0069631A">
      <w:pPr>
        <w:spacing w:line="360" w:lineRule="auto"/>
        <w:jc w:val="both"/>
        <w:rPr>
          <w:rFonts w:ascii="Arial" w:hAnsi="Arial" w:cs="Arial"/>
          <w:sz w:val="24"/>
          <w:szCs w:val="24"/>
        </w:rPr>
      </w:pPr>
      <w:r w:rsidRPr="0069631A">
        <w:rPr>
          <w:rFonts w:ascii="Arial" w:hAnsi="Arial" w:cs="Arial"/>
          <w:sz w:val="24"/>
          <w:szCs w:val="24"/>
        </w:rPr>
        <w:t>Croft Street Block 2 is subject to the Building Safety Act 2022 and Welsh building safety law. The classification of the proposed extensive retrofit works has an important impact on the regulatory controls that apply.</w:t>
      </w:r>
    </w:p>
    <w:p w14:paraId="0C3DBEAF" w14:textId="5EE5C139" w:rsidR="00234054" w:rsidRPr="0069631A" w:rsidRDefault="00234054" w:rsidP="0069631A">
      <w:pPr>
        <w:pStyle w:val="ListParagraph"/>
        <w:numPr>
          <w:ilvl w:val="0"/>
          <w:numId w:val="75"/>
        </w:numPr>
        <w:spacing w:line="360" w:lineRule="auto"/>
        <w:jc w:val="both"/>
        <w:rPr>
          <w:rFonts w:ascii="Arial" w:hAnsi="Arial" w:cs="Arial"/>
          <w:sz w:val="24"/>
          <w:szCs w:val="24"/>
        </w:rPr>
      </w:pPr>
      <w:r w:rsidRPr="0069631A">
        <w:rPr>
          <w:rFonts w:ascii="Arial" w:hAnsi="Arial" w:cs="Arial"/>
          <w:sz w:val="24"/>
          <w:szCs w:val="24"/>
        </w:rPr>
        <w:t>The Building Safety (Definition of Higher-Risk Building) (Design and Construction Phase) (Wales) Regulations 2023 define higher-risk buildings as At least 18 metres in height or seven storeys in height and</w:t>
      </w:r>
      <w:r w:rsidR="00295468" w:rsidRPr="0069631A">
        <w:rPr>
          <w:rFonts w:ascii="Arial" w:hAnsi="Arial" w:cs="Arial"/>
          <w:sz w:val="24"/>
          <w:szCs w:val="24"/>
        </w:rPr>
        <w:t xml:space="preserve"> </w:t>
      </w:r>
      <w:r w:rsidR="00255DC1" w:rsidRPr="0069631A">
        <w:rPr>
          <w:rFonts w:ascii="Arial" w:hAnsi="Arial" w:cs="Arial"/>
          <w:sz w:val="24"/>
          <w:szCs w:val="24"/>
        </w:rPr>
        <w:t>one</w:t>
      </w:r>
      <w:r w:rsidRPr="0069631A">
        <w:rPr>
          <w:rFonts w:ascii="Arial" w:hAnsi="Arial" w:cs="Arial"/>
          <w:sz w:val="24"/>
          <w:szCs w:val="24"/>
        </w:rPr>
        <w:t xml:space="preserve"> or more residential dwellings (Frost &amp; Abuzaid, 2024).</w:t>
      </w:r>
    </w:p>
    <w:p w14:paraId="41132A2F" w14:textId="169000DD" w:rsidR="00234054" w:rsidRPr="0069631A" w:rsidRDefault="00234054" w:rsidP="0069631A">
      <w:pPr>
        <w:spacing w:line="360" w:lineRule="auto"/>
        <w:jc w:val="both"/>
        <w:rPr>
          <w:rFonts w:ascii="Arial" w:hAnsi="Arial" w:cs="Arial"/>
          <w:sz w:val="24"/>
          <w:szCs w:val="24"/>
        </w:rPr>
      </w:pPr>
      <w:r w:rsidRPr="0069631A">
        <w:rPr>
          <w:rFonts w:ascii="Arial" w:hAnsi="Arial" w:cs="Arial"/>
          <w:sz w:val="24"/>
          <w:szCs w:val="24"/>
        </w:rPr>
        <w:t xml:space="preserve">As Croft Street Block 2 is a residential tower block, we can be almost certain that it would fit this definition. The project is therefore subject to more </w:t>
      </w:r>
      <w:r w:rsidR="001E759B">
        <w:rPr>
          <w:rFonts w:ascii="Arial" w:hAnsi="Arial" w:cs="Arial"/>
          <w:sz w:val="24"/>
          <w:szCs w:val="24"/>
        </w:rPr>
        <w:t>tough</w:t>
      </w:r>
      <w:r w:rsidRPr="0069631A">
        <w:rPr>
          <w:rFonts w:ascii="Arial" w:hAnsi="Arial" w:cs="Arial"/>
          <w:sz w:val="24"/>
          <w:szCs w:val="24"/>
        </w:rPr>
        <w:t xml:space="preserve"> regulatory requirements both in the design and construction phase and also during occupation after completion.</w:t>
      </w:r>
    </w:p>
    <w:p w14:paraId="7D80532F" w14:textId="73175F24" w:rsidR="007C7D94" w:rsidRPr="0069631A" w:rsidRDefault="00F15315" w:rsidP="0069631A">
      <w:pPr>
        <w:pStyle w:val="Heading1"/>
        <w:spacing w:line="360" w:lineRule="auto"/>
        <w:jc w:val="both"/>
        <w:rPr>
          <w:rFonts w:ascii="Arial" w:hAnsi="Arial" w:cs="Arial"/>
          <w:sz w:val="24"/>
          <w:szCs w:val="24"/>
        </w:rPr>
      </w:pPr>
      <w:bookmarkStart w:id="4" w:name="_Toc228975590"/>
      <w:r w:rsidRPr="0069631A">
        <w:rPr>
          <w:rFonts w:ascii="Arial" w:hAnsi="Arial" w:cs="Arial"/>
          <w:sz w:val="24"/>
          <w:szCs w:val="24"/>
        </w:rPr>
        <w:t>2.3 Gateway Process Specifications</w:t>
      </w:r>
      <w:bookmarkEnd w:id="4"/>
    </w:p>
    <w:p w14:paraId="1C85BC83" w14:textId="232BA1A7" w:rsidR="007C7D94" w:rsidRPr="0069631A" w:rsidRDefault="007C7D94" w:rsidP="0069631A">
      <w:pPr>
        <w:spacing w:line="360" w:lineRule="auto"/>
        <w:jc w:val="both"/>
        <w:rPr>
          <w:rFonts w:ascii="Arial" w:hAnsi="Arial" w:cs="Arial"/>
          <w:sz w:val="24"/>
          <w:szCs w:val="24"/>
        </w:rPr>
      </w:pPr>
      <w:r w:rsidRPr="0069631A">
        <w:rPr>
          <w:rFonts w:ascii="Arial" w:hAnsi="Arial" w:cs="Arial"/>
          <w:sz w:val="24"/>
          <w:szCs w:val="24"/>
        </w:rPr>
        <w:t>Higher-risk buildings will also have mandatory gateway approval points as part of the building (Higher-Risk Buildings Procedures) (Wales) Regulations 2025, which are set to come into force on 1 July 2026. This framework can be used to evaluate the extensive retrofit project on Croft Street Block 2, which is projected to be implemented during the project life cycle (although it is not yet in force).</w:t>
      </w:r>
    </w:p>
    <w:p w14:paraId="4214E696" w14:textId="280790A7" w:rsidR="00EB197D" w:rsidRPr="0069631A" w:rsidRDefault="00F15315" w:rsidP="0069631A">
      <w:pPr>
        <w:pStyle w:val="Heading1"/>
        <w:spacing w:line="360" w:lineRule="auto"/>
        <w:jc w:val="both"/>
        <w:rPr>
          <w:rFonts w:ascii="Arial" w:hAnsi="Arial" w:cs="Arial"/>
          <w:sz w:val="24"/>
          <w:szCs w:val="24"/>
        </w:rPr>
      </w:pPr>
      <w:bookmarkStart w:id="5" w:name="_Toc228975591"/>
      <w:r w:rsidRPr="0069631A">
        <w:rPr>
          <w:rFonts w:ascii="Arial" w:hAnsi="Arial" w:cs="Arial"/>
          <w:sz w:val="24"/>
          <w:szCs w:val="24"/>
        </w:rPr>
        <w:t>2.3.1 Gateway One – Planning Gateway One (PGO)</w:t>
      </w:r>
      <w:bookmarkEnd w:id="5"/>
      <w:r w:rsidRPr="0069631A">
        <w:rPr>
          <w:rFonts w:ascii="Arial" w:hAnsi="Arial" w:cs="Arial"/>
          <w:sz w:val="24"/>
          <w:szCs w:val="24"/>
        </w:rPr>
        <w:t xml:space="preserve"> </w:t>
      </w:r>
    </w:p>
    <w:p w14:paraId="6BCA3DD3" w14:textId="77777777" w:rsidR="00EB197D" w:rsidRPr="0069631A" w:rsidRDefault="00EB197D" w:rsidP="0069631A">
      <w:pPr>
        <w:spacing w:line="360" w:lineRule="auto"/>
        <w:jc w:val="both"/>
        <w:rPr>
          <w:rFonts w:ascii="Arial" w:hAnsi="Arial" w:cs="Arial"/>
          <w:sz w:val="24"/>
          <w:szCs w:val="24"/>
        </w:rPr>
      </w:pPr>
      <w:r w:rsidRPr="0069631A">
        <w:rPr>
          <w:rFonts w:ascii="Arial" w:hAnsi="Arial" w:cs="Arial"/>
          <w:sz w:val="24"/>
          <w:szCs w:val="24"/>
        </w:rPr>
        <w:t>Planning Gateway One helps to ensure fire safety is considered at the beginning of the planning procedure for higher risk residential developments. It covers buildings higher than 18 metres or seven storeys and therefore includes Croft Street Block 2.</w:t>
      </w:r>
    </w:p>
    <w:p w14:paraId="7EA27EE9" w14:textId="77777777" w:rsidR="00EB197D" w:rsidRPr="0069631A" w:rsidRDefault="00EB197D" w:rsidP="0069631A">
      <w:pPr>
        <w:pStyle w:val="ListParagraph"/>
        <w:numPr>
          <w:ilvl w:val="0"/>
          <w:numId w:val="52"/>
        </w:numPr>
        <w:spacing w:line="360" w:lineRule="auto"/>
        <w:jc w:val="both"/>
        <w:rPr>
          <w:rFonts w:ascii="Arial" w:hAnsi="Arial" w:cs="Arial"/>
          <w:sz w:val="24"/>
          <w:szCs w:val="24"/>
        </w:rPr>
      </w:pPr>
      <w:r w:rsidRPr="0069631A">
        <w:rPr>
          <w:rFonts w:ascii="Arial" w:hAnsi="Arial" w:cs="Arial"/>
          <w:sz w:val="24"/>
          <w:szCs w:val="24"/>
        </w:rPr>
        <w:t>The Building Safety Regulator is a statutory consultee to the Local Planning Authority at this point.</w:t>
      </w:r>
    </w:p>
    <w:p w14:paraId="457D6F78" w14:textId="77777777" w:rsidR="00EB197D" w:rsidRPr="0069631A" w:rsidRDefault="00EB197D" w:rsidP="0069631A">
      <w:pPr>
        <w:pStyle w:val="ListParagraph"/>
        <w:numPr>
          <w:ilvl w:val="0"/>
          <w:numId w:val="52"/>
        </w:numPr>
        <w:spacing w:line="360" w:lineRule="auto"/>
        <w:jc w:val="both"/>
        <w:rPr>
          <w:rFonts w:ascii="Arial" w:hAnsi="Arial" w:cs="Arial"/>
          <w:sz w:val="24"/>
          <w:szCs w:val="24"/>
        </w:rPr>
      </w:pPr>
      <w:r w:rsidRPr="0069631A">
        <w:rPr>
          <w:rFonts w:ascii="Arial" w:hAnsi="Arial" w:cs="Arial"/>
          <w:sz w:val="24"/>
          <w:szCs w:val="24"/>
        </w:rPr>
        <w:lastRenderedPageBreak/>
        <w:t>The developer has to provide a Fire Statement showing how fire safety risks have been addressed in the design.</w:t>
      </w:r>
    </w:p>
    <w:p w14:paraId="5D973B22" w14:textId="77777777" w:rsidR="00EB197D" w:rsidRPr="0069631A" w:rsidRDefault="00EB197D" w:rsidP="0069631A">
      <w:pPr>
        <w:pStyle w:val="ListParagraph"/>
        <w:numPr>
          <w:ilvl w:val="0"/>
          <w:numId w:val="52"/>
        </w:numPr>
        <w:spacing w:line="360" w:lineRule="auto"/>
        <w:jc w:val="both"/>
        <w:rPr>
          <w:rFonts w:ascii="Arial" w:hAnsi="Arial" w:cs="Arial"/>
          <w:sz w:val="24"/>
          <w:szCs w:val="24"/>
        </w:rPr>
      </w:pPr>
      <w:r w:rsidRPr="0069631A">
        <w:rPr>
          <w:rFonts w:ascii="Arial" w:hAnsi="Arial" w:cs="Arial"/>
          <w:sz w:val="24"/>
          <w:szCs w:val="24"/>
        </w:rPr>
        <w:t>Early fire safety in the design process eliminates unsafe design elements prior to construction and reduces long-term risks and cost.</w:t>
      </w:r>
    </w:p>
    <w:p w14:paraId="1D955FF6" w14:textId="75732675" w:rsidR="00EB197D" w:rsidRPr="0069631A" w:rsidRDefault="00EB197D" w:rsidP="0069631A">
      <w:pPr>
        <w:spacing w:line="360" w:lineRule="auto"/>
        <w:jc w:val="both"/>
        <w:rPr>
          <w:rFonts w:ascii="Arial" w:hAnsi="Arial" w:cs="Arial"/>
          <w:sz w:val="24"/>
          <w:szCs w:val="24"/>
        </w:rPr>
      </w:pPr>
      <w:r w:rsidRPr="0069631A">
        <w:rPr>
          <w:rFonts w:ascii="Arial" w:hAnsi="Arial" w:cs="Arial"/>
          <w:sz w:val="24"/>
          <w:szCs w:val="24"/>
        </w:rPr>
        <w:t>Including a fire safety in planning decisions enables safer design solutions before works begin, managing risk proactively rather than retrospectively (Planning Portal, n.d.).</w:t>
      </w:r>
    </w:p>
    <w:p w14:paraId="486C6295" w14:textId="272B5510" w:rsidR="00F15315" w:rsidRPr="0069631A" w:rsidRDefault="00F15315" w:rsidP="0069631A">
      <w:pPr>
        <w:pStyle w:val="Heading1"/>
        <w:spacing w:line="360" w:lineRule="auto"/>
        <w:jc w:val="both"/>
        <w:rPr>
          <w:rFonts w:ascii="Arial" w:hAnsi="Arial" w:cs="Arial"/>
          <w:sz w:val="24"/>
          <w:szCs w:val="24"/>
        </w:rPr>
      </w:pPr>
      <w:r w:rsidRPr="0069631A">
        <w:rPr>
          <w:rFonts w:ascii="Arial" w:hAnsi="Arial" w:cs="Arial"/>
          <w:sz w:val="24"/>
          <w:szCs w:val="24"/>
        </w:rPr>
        <w:t xml:space="preserve"> </w:t>
      </w:r>
      <w:bookmarkStart w:id="6" w:name="_Toc228975592"/>
      <w:r w:rsidRPr="0069631A">
        <w:rPr>
          <w:rFonts w:ascii="Arial" w:hAnsi="Arial" w:cs="Arial"/>
          <w:sz w:val="24"/>
          <w:szCs w:val="24"/>
        </w:rPr>
        <w:t>2.3.2 Gateway Two – Pre-Construction Approval</w:t>
      </w:r>
      <w:bookmarkEnd w:id="6"/>
    </w:p>
    <w:p w14:paraId="27C224A3" w14:textId="77777777" w:rsidR="00997655" w:rsidRPr="0069631A" w:rsidRDefault="00997655" w:rsidP="0069631A">
      <w:pPr>
        <w:spacing w:line="360" w:lineRule="auto"/>
        <w:jc w:val="both"/>
        <w:rPr>
          <w:rFonts w:ascii="Arial" w:hAnsi="Arial" w:cs="Arial"/>
          <w:sz w:val="24"/>
          <w:szCs w:val="24"/>
        </w:rPr>
      </w:pPr>
      <w:r w:rsidRPr="0069631A">
        <w:rPr>
          <w:rFonts w:ascii="Arial" w:hAnsi="Arial" w:cs="Arial"/>
          <w:sz w:val="24"/>
          <w:szCs w:val="24"/>
        </w:rPr>
        <w:t>Gateway Two is the pre-construction approval stage and is a key control point for higher risk building work. The formal 'hard stop' on the scheme means work cannot begin until the Building Safety Regulator has given the go-ahead.</w:t>
      </w:r>
    </w:p>
    <w:p w14:paraId="7FA55E7A" w14:textId="77777777" w:rsidR="00997655" w:rsidRPr="0069631A" w:rsidRDefault="00997655" w:rsidP="0069631A">
      <w:pPr>
        <w:pStyle w:val="ListParagraph"/>
        <w:numPr>
          <w:ilvl w:val="0"/>
          <w:numId w:val="76"/>
        </w:numPr>
        <w:spacing w:line="360" w:lineRule="auto"/>
        <w:jc w:val="both"/>
        <w:rPr>
          <w:rFonts w:ascii="Arial" w:hAnsi="Arial" w:cs="Arial"/>
          <w:sz w:val="24"/>
          <w:szCs w:val="24"/>
        </w:rPr>
      </w:pPr>
      <w:r w:rsidRPr="0069631A">
        <w:rPr>
          <w:rFonts w:ascii="Arial" w:hAnsi="Arial" w:cs="Arial"/>
          <w:sz w:val="24"/>
          <w:szCs w:val="24"/>
        </w:rPr>
        <w:t>Applications for detailed designs must also show compliance with Building Regulations, especially those concerning fire and structural safety.</w:t>
      </w:r>
    </w:p>
    <w:p w14:paraId="57D8EC30" w14:textId="77777777" w:rsidR="00997655" w:rsidRPr="0069631A" w:rsidRDefault="00997655" w:rsidP="0069631A">
      <w:pPr>
        <w:pStyle w:val="ListParagraph"/>
        <w:numPr>
          <w:ilvl w:val="0"/>
          <w:numId w:val="76"/>
        </w:numPr>
        <w:spacing w:line="360" w:lineRule="auto"/>
        <w:jc w:val="both"/>
        <w:rPr>
          <w:rFonts w:ascii="Arial" w:hAnsi="Arial" w:cs="Arial"/>
          <w:sz w:val="24"/>
          <w:szCs w:val="24"/>
        </w:rPr>
      </w:pPr>
      <w:r w:rsidRPr="0069631A">
        <w:rPr>
          <w:rFonts w:ascii="Arial" w:hAnsi="Arial" w:cs="Arial"/>
          <w:sz w:val="24"/>
          <w:szCs w:val="24"/>
        </w:rPr>
        <w:t>Duty holders must produce declarations of competence that they have the required skills, knowledge and experience.</w:t>
      </w:r>
    </w:p>
    <w:p w14:paraId="3263D1FE" w14:textId="77777777" w:rsidR="00997655" w:rsidRPr="0069631A" w:rsidRDefault="00997655" w:rsidP="0069631A">
      <w:pPr>
        <w:pStyle w:val="ListParagraph"/>
        <w:numPr>
          <w:ilvl w:val="0"/>
          <w:numId w:val="76"/>
        </w:numPr>
        <w:spacing w:line="360" w:lineRule="auto"/>
        <w:jc w:val="both"/>
        <w:rPr>
          <w:rFonts w:ascii="Arial" w:hAnsi="Arial" w:cs="Arial"/>
          <w:sz w:val="24"/>
          <w:szCs w:val="24"/>
        </w:rPr>
      </w:pPr>
      <w:r w:rsidRPr="0069631A">
        <w:rPr>
          <w:rFonts w:ascii="Arial" w:hAnsi="Arial" w:cs="Arial"/>
          <w:sz w:val="24"/>
          <w:szCs w:val="24"/>
        </w:rPr>
        <w:t>Submissions of low quality may be rejected resulting in delays and additional project costs.</w:t>
      </w:r>
    </w:p>
    <w:p w14:paraId="3A4800AE" w14:textId="6BB8FA36" w:rsidR="00997655" w:rsidRPr="0069631A" w:rsidRDefault="00997655" w:rsidP="0069631A">
      <w:pPr>
        <w:spacing w:line="360" w:lineRule="auto"/>
        <w:jc w:val="both"/>
        <w:rPr>
          <w:rFonts w:ascii="Arial" w:hAnsi="Arial" w:cs="Arial"/>
          <w:sz w:val="24"/>
          <w:szCs w:val="24"/>
        </w:rPr>
      </w:pPr>
      <w:r w:rsidRPr="0069631A">
        <w:rPr>
          <w:rFonts w:ascii="Arial" w:hAnsi="Arial" w:cs="Arial"/>
          <w:sz w:val="24"/>
          <w:szCs w:val="24"/>
        </w:rPr>
        <w:t>Gateway Two guarantees that construction will not begin until safety risks are clearly identified, controlled and competently managed (Sutton, 2025).</w:t>
      </w:r>
    </w:p>
    <w:p w14:paraId="587C8DA9" w14:textId="2C22A7E2" w:rsidR="00EF640A" w:rsidRPr="0069631A" w:rsidRDefault="00F15315" w:rsidP="0069631A">
      <w:pPr>
        <w:pStyle w:val="Heading1"/>
        <w:spacing w:line="360" w:lineRule="auto"/>
        <w:jc w:val="both"/>
        <w:rPr>
          <w:rFonts w:ascii="Arial" w:hAnsi="Arial" w:cs="Arial"/>
          <w:sz w:val="24"/>
          <w:szCs w:val="24"/>
        </w:rPr>
      </w:pPr>
      <w:bookmarkStart w:id="7" w:name="_Toc228975593"/>
      <w:r w:rsidRPr="0069631A">
        <w:rPr>
          <w:rFonts w:ascii="Arial" w:hAnsi="Arial" w:cs="Arial"/>
          <w:sz w:val="24"/>
          <w:szCs w:val="24"/>
        </w:rPr>
        <w:t>2.3.3 Gateway Three – Completion and Occupation</w:t>
      </w:r>
      <w:bookmarkEnd w:id="7"/>
      <w:r w:rsidRPr="0069631A">
        <w:rPr>
          <w:rFonts w:ascii="Arial" w:hAnsi="Arial" w:cs="Arial"/>
          <w:sz w:val="24"/>
          <w:szCs w:val="24"/>
        </w:rPr>
        <w:t xml:space="preserve"> </w:t>
      </w:r>
    </w:p>
    <w:p w14:paraId="74321E5F" w14:textId="77777777" w:rsidR="00EF640A" w:rsidRPr="0069631A" w:rsidRDefault="00EF640A" w:rsidP="0069631A">
      <w:pPr>
        <w:spacing w:line="360" w:lineRule="auto"/>
        <w:jc w:val="both"/>
        <w:rPr>
          <w:rFonts w:ascii="Arial" w:hAnsi="Arial" w:cs="Arial"/>
          <w:sz w:val="24"/>
          <w:szCs w:val="24"/>
        </w:rPr>
      </w:pPr>
      <w:r w:rsidRPr="0069631A">
        <w:rPr>
          <w:rFonts w:ascii="Arial" w:hAnsi="Arial" w:cs="Arial"/>
          <w:sz w:val="24"/>
          <w:szCs w:val="24"/>
        </w:rPr>
        <w:t>Gateway Three is the final gate before building occupancy. Residents will not be able to move in until the Building Safety Regulator has issued a completion certificate. The requirements are as follows:</w:t>
      </w:r>
    </w:p>
    <w:p w14:paraId="4EC8D316" w14:textId="77777777" w:rsidR="00EF640A" w:rsidRPr="0069631A" w:rsidRDefault="00EF640A" w:rsidP="0069631A">
      <w:pPr>
        <w:pStyle w:val="ListParagraph"/>
        <w:numPr>
          <w:ilvl w:val="0"/>
          <w:numId w:val="77"/>
        </w:numPr>
        <w:spacing w:line="360" w:lineRule="auto"/>
        <w:jc w:val="both"/>
        <w:rPr>
          <w:rFonts w:ascii="Arial" w:hAnsi="Arial" w:cs="Arial"/>
          <w:sz w:val="24"/>
          <w:szCs w:val="24"/>
        </w:rPr>
      </w:pPr>
      <w:r w:rsidRPr="0069631A">
        <w:rPr>
          <w:rFonts w:ascii="Arial" w:hAnsi="Arial" w:cs="Arial"/>
          <w:sz w:val="24"/>
          <w:szCs w:val="24"/>
        </w:rPr>
        <w:t>Submission of as-built drawings, fire safety information and safety case reports.</w:t>
      </w:r>
    </w:p>
    <w:p w14:paraId="108A407A" w14:textId="77777777" w:rsidR="00EF640A" w:rsidRPr="0069631A" w:rsidRDefault="00EF640A" w:rsidP="0069631A">
      <w:pPr>
        <w:pStyle w:val="ListParagraph"/>
        <w:numPr>
          <w:ilvl w:val="0"/>
          <w:numId w:val="77"/>
        </w:numPr>
        <w:spacing w:line="360" w:lineRule="auto"/>
        <w:jc w:val="both"/>
        <w:rPr>
          <w:rFonts w:ascii="Arial" w:hAnsi="Arial" w:cs="Arial"/>
          <w:sz w:val="24"/>
          <w:szCs w:val="24"/>
        </w:rPr>
      </w:pPr>
      <w:r w:rsidRPr="0069631A">
        <w:rPr>
          <w:rFonts w:ascii="Arial" w:hAnsi="Arial" w:cs="Arial"/>
          <w:sz w:val="24"/>
          <w:szCs w:val="24"/>
        </w:rPr>
        <w:t>Demonstration of the golden thread of information showing how safety has been managed over the project lifecycle.</w:t>
      </w:r>
    </w:p>
    <w:p w14:paraId="4F1BACA7" w14:textId="77777777" w:rsidR="00EF640A" w:rsidRPr="0069631A" w:rsidRDefault="00EF640A" w:rsidP="0069631A">
      <w:pPr>
        <w:pStyle w:val="ListParagraph"/>
        <w:numPr>
          <w:ilvl w:val="0"/>
          <w:numId w:val="77"/>
        </w:numPr>
        <w:spacing w:line="360" w:lineRule="auto"/>
        <w:jc w:val="both"/>
        <w:rPr>
          <w:rFonts w:ascii="Arial" w:hAnsi="Arial" w:cs="Arial"/>
          <w:sz w:val="24"/>
          <w:szCs w:val="24"/>
        </w:rPr>
      </w:pPr>
      <w:r w:rsidRPr="0069631A">
        <w:rPr>
          <w:rFonts w:ascii="Arial" w:hAnsi="Arial" w:cs="Arial"/>
          <w:sz w:val="24"/>
          <w:szCs w:val="24"/>
        </w:rPr>
        <w:t>Confirmation that an Accountable Person is willing to take responsibility for the continued management of building safety after handover.</w:t>
      </w:r>
    </w:p>
    <w:p w14:paraId="6CE640A2" w14:textId="4A558D54" w:rsidR="00EF640A" w:rsidRPr="0069631A" w:rsidRDefault="00EF640A" w:rsidP="0069631A">
      <w:pPr>
        <w:spacing w:line="360" w:lineRule="auto"/>
        <w:jc w:val="both"/>
        <w:rPr>
          <w:rFonts w:ascii="Arial" w:hAnsi="Arial" w:cs="Arial"/>
          <w:sz w:val="24"/>
          <w:szCs w:val="24"/>
        </w:rPr>
      </w:pPr>
      <w:r w:rsidRPr="0069631A">
        <w:rPr>
          <w:rFonts w:ascii="Arial" w:hAnsi="Arial" w:cs="Arial"/>
          <w:sz w:val="24"/>
          <w:szCs w:val="24"/>
        </w:rPr>
        <w:lastRenderedPageBreak/>
        <w:t>Gateway Three assures that the building is demonstrably safe for occupation and has effective long-term safety management (Sutton, 2025).</w:t>
      </w:r>
    </w:p>
    <w:p w14:paraId="4B941F8C" w14:textId="7ADF3F11" w:rsidR="00090948" w:rsidRPr="0069631A" w:rsidRDefault="00F15315" w:rsidP="0069631A">
      <w:pPr>
        <w:pStyle w:val="Heading1"/>
        <w:spacing w:line="360" w:lineRule="auto"/>
        <w:jc w:val="both"/>
        <w:rPr>
          <w:rFonts w:ascii="Arial" w:hAnsi="Arial" w:cs="Arial"/>
          <w:sz w:val="24"/>
          <w:szCs w:val="24"/>
        </w:rPr>
      </w:pPr>
      <w:bookmarkStart w:id="8" w:name="_Toc228975594"/>
      <w:r w:rsidRPr="0069631A">
        <w:rPr>
          <w:rFonts w:ascii="Arial" w:hAnsi="Arial" w:cs="Arial"/>
          <w:sz w:val="24"/>
          <w:szCs w:val="24"/>
        </w:rPr>
        <w:t>2.4 Changes to Fire Safety Legislation</w:t>
      </w:r>
      <w:bookmarkEnd w:id="8"/>
    </w:p>
    <w:p w14:paraId="49DEFC9E" w14:textId="77777777" w:rsidR="00090948" w:rsidRPr="0069631A" w:rsidRDefault="00090948" w:rsidP="0069631A">
      <w:pPr>
        <w:spacing w:line="360" w:lineRule="auto"/>
        <w:jc w:val="both"/>
        <w:rPr>
          <w:rFonts w:ascii="Arial" w:hAnsi="Arial" w:cs="Arial"/>
          <w:sz w:val="24"/>
          <w:szCs w:val="24"/>
        </w:rPr>
      </w:pPr>
      <w:r w:rsidRPr="0069631A">
        <w:rPr>
          <w:rFonts w:ascii="Arial" w:hAnsi="Arial" w:cs="Arial"/>
          <w:sz w:val="24"/>
          <w:szCs w:val="24"/>
        </w:rPr>
        <w:t>The Building Safety Act section 156 is now live in Wales and amends the Regulatory Reform (Fire Safety) Order 2005. The main requirements are:</w:t>
      </w:r>
    </w:p>
    <w:p w14:paraId="6CDEE45E" w14:textId="77777777" w:rsidR="00090948" w:rsidRPr="0069631A" w:rsidRDefault="00090948" w:rsidP="0069631A">
      <w:pPr>
        <w:pStyle w:val="ListParagraph"/>
        <w:numPr>
          <w:ilvl w:val="0"/>
          <w:numId w:val="78"/>
        </w:numPr>
        <w:spacing w:line="360" w:lineRule="auto"/>
        <w:jc w:val="both"/>
        <w:rPr>
          <w:rFonts w:ascii="Arial" w:hAnsi="Arial" w:cs="Arial"/>
          <w:sz w:val="24"/>
          <w:szCs w:val="24"/>
        </w:rPr>
      </w:pPr>
      <w:r w:rsidRPr="0069631A">
        <w:rPr>
          <w:rFonts w:ascii="Arial" w:hAnsi="Arial" w:cs="Arial"/>
          <w:sz w:val="24"/>
          <w:szCs w:val="24"/>
        </w:rPr>
        <w:t>Fire risk assessments for all applicable buildings.</w:t>
      </w:r>
    </w:p>
    <w:p w14:paraId="61133ABC" w14:textId="77777777" w:rsidR="00090948" w:rsidRPr="0069631A" w:rsidRDefault="00090948" w:rsidP="0069631A">
      <w:pPr>
        <w:pStyle w:val="ListParagraph"/>
        <w:numPr>
          <w:ilvl w:val="0"/>
          <w:numId w:val="78"/>
        </w:numPr>
        <w:spacing w:line="360" w:lineRule="auto"/>
        <w:jc w:val="both"/>
        <w:rPr>
          <w:rFonts w:ascii="Arial" w:hAnsi="Arial" w:cs="Arial"/>
          <w:sz w:val="24"/>
          <w:szCs w:val="24"/>
        </w:rPr>
      </w:pPr>
      <w:r w:rsidRPr="0069631A">
        <w:rPr>
          <w:rFonts w:ascii="Arial" w:hAnsi="Arial" w:cs="Arial"/>
          <w:sz w:val="24"/>
          <w:szCs w:val="24"/>
        </w:rPr>
        <w:t>The appointment of competent persons to carry out and assist in risk assessments.</w:t>
      </w:r>
    </w:p>
    <w:p w14:paraId="055917BD" w14:textId="77777777" w:rsidR="00090948" w:rsidRPr="0069631A" w:rsidRDefault="00090948" w:rsidP="0069631A">
      <w:pPr>
        <w:pStyle w:val="ListParagraph"/>
        <w:numPr>
          <w:ilvl w:val="0"/>
          <w:numId w:val="78"/>
        </w:numPr>
        <w:spacing w:line="360" w:lineRule="auto"/>
        <w:jc w:val="both"/>
        <w:rPr>
          <w:rFonts w:ascii="Arial" w:hAnsi="Arial" w:cs="Arial"/>
          <w:sz w:val="24"/>
          <w:szCs w:val="24"/>
        </w:rPr>
      </w:pPr>
      <w:r w:rsidRPr="0069631A">
        <w:rPr>
          <w:rFonts w:ascii="Arial" w:hAnsi="Arial" w:cs="Arial"/>
          <w:sz w:val="24"/>
          <w:szCs w:val="24"/>
        </w:rPr>
        <w:t>Providing clear information to residents about fire safety.</w:t>
      </w:r>
    </w:p>
    <w:p w14:paraId="1A4236C1" w14:textId="77777777" w:rsidR="00090948" w:rsidRPr="0069631A" w:rsidRDefault="00090948" w:rsidP="0069631A">
      <w:pPr>
        <w:pStyle w:val="ListParagraph"/>
        <w:numPr>
          <w:ilvl w:val="0"/>
          <w:numId w:val="78"/>
        </w:numPr>
        <w:spacing w:line="360" w:lineRule="auto"/>
        <w:jc w:val="both"/>
        <w:rPr>
          <w:rFonts w:ascii="Arial" w:hAnsi="Arial" w:cs="Arial"/>
          <w:sz w:val="24"/>
          <w:szCs w:val="24"/>
        </w:rPr>
      </w:pPr>
      <w:r w:rsidRPr="0069631A">
        <w:rPr>
          <w:rFonts w:ascii="Arial" w:hAnsi="Arial" w:cs="Arial"/>
          <w:sz w:val="24"/>
          <w:szCs w:val="24"/>
        </w:rPr>
        <w:t>Encouraging collaboration between different responsible parties where relevant (GOV.WALES, 2023).</w:t>
      </w:r>
    </w:p>
    <w:p w14:paraId="50BCACD1" w14:textId="35690DC6" w:rsidR="00090948" w:rsidRPr="0069631A" w:rsidRDefault="00090948" w:rsidP="0069631A">
      <w:pPr>
        <w:spacing w:line="360" w:lineRule="auto"/>
        <w:jc w:val="both"/>
        <w:rPr>
          <w:rFonts w:ascii="Arial" w:hAnsi="Arial" w:cs="Arial"/>
          <w:sz w:val="24"/>
          <w:szCs w:val="24"/>
        </w:rPr>
      </w:pPr>
      <w:r w:rsidRPr="0069631A">
        <w:rPr>
          <w:rFonts w:ascii="Arial" w:hAnsi="Arial" w:cs="Arial"/>
          <w:sz w:val="24"/>
          <w:szCs w:val="24"/>
        </w:rPr>
        <w:t>During the construction phase UWTSD Construction will need to work closely with the Responsible Person for the building to ensure that the fire safety arrangements remain effective throughout construction as Croft Street Block 2 may be partially occupied during extensive retrofit.</w:t>
      </w:r>
    </w:p>
    <w:p w14:paraId="6D1F75FB" w14:textId="38B17A47" w:rsidR="00BA70F4" w:rsidRPr="0069631A" w:rsidRDefault="00F15315" w:rsidP="0069631A">
      <w:pPr>
        <w:pStyle w:val="Heading1"/>
        <w:spacing w:line="360" w:lineRule="auto"/>
        <w:jc w:val="both"/>
        <w:rPr>
          <w:rFonts w:ascii="Arial" w:hAnsi="Arial" w:cs="Arial"/>
          <w:sz w:val="24"/>
          <w:szCs w:val="24"/>
        </w:rPr>
      </w:pPr>
      <w:bookmarkStart w:id="9" w:name="_Toc228975595"/>
      <w:r w:rsidRPr="0069631A">
        <w:rPr>
          <w:rFonts w:ascii="Arial" w:hAnsi="Arial" w:cs="Arial"/>
          <w:sz w:val="24"/>
          <w:szCs w:val="24"/>
        </w:rPr>
        <w:t>2.5 The Golden Thread of Information</w:t>
      </w:r>
      <w:bookmarkEnd w:id="9"/>
    </w:p>
    <w:p w14:paraId="17FBF1A5" w14:textId="77777777" w:rsidR="00BA70F4" w:rsidRPr="0069631A" w:rsidRDefault="00BA70F4" w:rsidP="0069631A">
      <w:pPr>
        <w:spacing w:line="360" w:lineRule="auto"/>
        <w:jc w:val="both"/>
        <w:rPr>
          <w:rFonts w:ascii="Arial" w:hAnsi="Arial" w:cs="Arial"/>
          <w:sz w:val="24"/>
          <w:szCs w:val="24"/>
        </w:rPr>
      </w:pPr>
      <w:r w:rsidRPr="0069631A">
        <w:rPr>
          <w:rFonts w:ascii="Arial" w:hAnsi="Arial" w:cs="Arial"/>
          <w:sz w:val="24"/>
          <w:szCs w:val="24"/>
        </w:rPr>
        <w:t>The Building Safety Act 2022 and Welsh legislation require a ‘golden thread’ of building safety information to be operated. It is a full digital record of safety critical information for managing fire and structural risks over the life of the building.</w:t>
      </w:r>
    </w:p>
    <w:p w14:paraId="3913E78F" w14:textId="77777777" w:rsidR="00BA70F4" w:rsidRPr="0069631A" w:rsidRDefault="00BA70F4" w:rsidP="0069631A">
      <w:pPr>
        <w:spacing w:line="360" w:lineRule="auto"/>
        <w:jc w:val="both"/>
        <w:rPr>
          <w:rFonts w:ascii="Arial" w:hAnsi="Arial" w:cs="Arial"/>
          <w:sz w:val="24"/>
          <w:szCs w:val="24"/>
        </w:rPr>
      </w:pPr>
      <w:r w:rsidRPr="0069631A">
        <w:rPr>
          <w:rFonts w:ascii="Arial" w:hAnsi="Arial" w:cs="Arial"/>
          <w:sz w:val="24"/>
          <w:szCs w:val="24"/>
        </w:rPr>
        <w:t>For Block 2 of Croft Street this means:</w:t>
      </w:r>
    </w:p>
    <w:p w14:paraId="3FF5D85F" w14:textId="77777777" w:rsidR="00BA70F4" w:rsidRPr="0069631A" w:rsidRDefault="00BA70F4" w:rsidP="0069631A">
      <w:pPr>
        <w:pStyle w:val="ListParagraph"/>
        <w:numPr>
          <w:ilvl w:val="0"/>
          <w:numId w:val="79"/>
        </w:numPr>
        <w:spacing w:line="360" w:lineRule="auto"/>
        <w:jc w:val="both"/>
        <w:rPr>
          <w:rFonts w:ascii="Arial" w:hAnsi="Arial" w:cs="Arial"/>
          <w:sz w:val="24"/>
          <w:szCs w:val="24"/>
        </w:rPr>
      </w:pPr>
      <w:r w:rsidRPr="0069631A">
        <w:rPr>
          <w:rFonts w:ascii="Arial" w:hAnsi="Arial" w:cs="Arial"/>
          <w:sz w:val="24"/>
          <w:szCs w:val="24"/>
        </w:rPr>
        <w:t>Maintaining accurate, current and accessible digital records.</w:t>
      </w:r>
    </w:p>
    <w:p w14:paraId="45BC2D99" w14:textId="77777777" w:rsidR="00BA70F4" w:rsidRPr="0069631A" w:rsidRDefault="00BA70F4" w:rsidP="0069631A">
      <w:pPr>
        <w:pStyle w:val="ListParagraph"/>
        <w:numPr>
          <w:ilvl w:val="0"/>
          <w:numId w:val="79"/>
        </w:numPr>
        <w:spacing w:line="360" w:lineRule="auto"/>
        <w:jc w:val="both"/>
        <w:rPr>
          <w:rFonts w:ascii="Arial" w:hAnsi="Arial" w:cs="Arial"/>
          <w:sz w:val="24"/>
          <w:szCs w:val="24"/>
        </w:rPr>
      </w:pPr>
      <w:r w:rsidRPr="0069631A">
        <w:rPr>
          <w:rFonts w:ascii="Arial" w:hAnsi="Arial" w:cs="Arial"/>
          <w:sz w:val="24"/>
          <w:szCs w:val="24"/>
        </w:rPr>
        <w:t>Compliance with Building Regulations throughout all stages.</w:t>
      </w:r>
    </w:p>
    <w:p w14:paraId="527E8B6C" w14:textId="77777777" w:rsidR="00BA70F4" w:rsidRPr="0069631A" w:rsidRDefault="00BA70F4" w:rsidP="0069631A">
      <w:pPr>
        <w:pStyle w:val="ListParagraph"/>
        <w:numPr>
          <w:ilvl w:val="0"/>
          <w:numId w:val="79"/>
        </w:numPr>
        <w:spacing w:line="360" w:lineRule="auto"/>
        <w:jc w:val="both"/>
        <w:rPr>
          <w:rFonts w:ascii="Arial" w:hAnsi="Arial" w:cs="Arial"/>
          <w:sz w:val="24"/>
          <w:szCs w:val="24"/>
        </w:rPr>
      </w:pPr>
      <w:r w:rsidRPr="0069631A">
        <w:rPr>
          <w:rFonts w:ascii="Arial" w:hAnsi="Arial" w:cs="Arial"/>
          <w:sz w:val="24"/>
          <w:szCs w:val="24"/>
        </w:rPr>
        <w:t>Updating information during construction and handover of responsibility at occupation</w:t>
      </w:r>
    </w:p>
    <w:p w14:paraId="3E00CFF5" w14:textId="77777777" w:rsidR="00BA70F4" w:rsidRPr="0069631A" w:rsidRDefault="00BA70F4" w:rsidP="0069631A">
      <w:pPr>
        <w:pStyle w:val="ListParagraph"/>
        <w:numPr>
          <w:ilvl w:val="0"/>
          <w:numId w:val="79"/>
        </w:numPr>
        <w:spacing w:line="360" w:lineRule="auto"/>
        <w:jc w:val="both"/>
        <w:rPr>
          <w:rFonts w:ascii="Arial" w:hAnsi="Arial" w:cs="Arial"/>
          <w:sz w:val="24"/>
          <w:szCs w:val="24"/>
        </w:rPr>
      </w:pPr>
      <w:r w:rsidRPr="0069631A">
        <w:rPr>
          <w:rFonts w:ascii="Arial" w:hAnsi="Arial" w:cs="Arial"/>
          <w:sz w:val="24"/>
          <w:szCs w:val="24"/>
        </w:rPr>
        <w:t xml:space="preserve"> Allowing the Accountable Person to operate safety post-completion (GOV.UK, 2023).</w:t>
      </w:r>
    </w:p>
    <w:p w14:paraId="2E5FB610" w14:textId="662418B5" w:rsidR="00BA70F4" w:rsidRPr="0069631A" w:rsidRDefault="00BA70F4" w:rsidP="0069631A">
      <w:pPr>
        <w:spacing w:line="360" w:lineRule="auto"/>
        <w:jc w:val="both"/>
        <w:rPr>
          <w:rFonts w:ascii="Arial" w:hAnsi="Arial" w:cs="Arial"/>
          <w:sz w:val="24"/>
          <w:szCs w:val="24"/>
        </w:rPr>
      </w:pPr>
      <w:r w:rsidRPr="0069631A">
        <w:rPr>
          <w:rFonts w:ascii="Arial" w:hAnsi="Arial" w:cs="Arial"/>
          <w:sz w:val="24"/>
          <w:szCs w:val="24"/>
        </w:rPr>
        <w:t>The classification of the Croft Street Block 2 as a higher risk building comes with an increased level of documentation, coordination and programme risk. But these measures greatly improve accountability and safety results for residents and workers.</w:t>
      </w:r>
    </w:p>
    <w:p w14:paraId="6659D126" w14:textId="77777777" w:rsidR="00F15315" w:rsidRPr="0069631A" w:rsidRDefault="00F15315" w:rsidP="0069631A">
      <w:pPr>
        <w:pStyle w:val="Heading1"/>
        <w:spacing w:line="360" w:lineRule="auto"/>
        <w:jc w:val="both"/>
        <w:rPr>
          <w:rFonts w:ascii="Arial" w:hAnsi="Arial" w:cs="Arial"/>
          <w:sz w:val="24"/>
          <w:szCs w:val="24"/>
        </w:rPr>
      </w:pPr>
      <w:bookmarkStart w:id="10" w:name="_Toc228975596"/>
      <w:r w:rsidRPr="0069631A">
        <w:rPr>
          <w:rFonts w:ascii="Arial" w:hAnsi="Arial" w:cs="Arial"/>
          <w:sz w:val="24"/>
          <w:szCs w:val="24"/>
        </w:rPr>
        <w:lastRenderedPageBreak/>
        <w:t>3.0 Compliance with Relevant Health and Safety legislation and management</w:t>
      </w:r>
      <w:bookmarkEnd w:id="10"/>
    </w:p>
    <w:p w14:paraId="50C59087" w14:textId="03D43EDD" w:rsidR="00F15315" w:rsidRPr="0069631A" w:rsidRDefault="00F15315" w:rsidP="0069631A">
      <w:pPr>
        <w:spacing w:line="360" w:lineRule="auto"/>
        <w:jc w:val="both"/>
        <w:rPr>
          <w:rFonts w:ascii="Arial" w:hAnsi="Arial" w:cs="Arial"/>
          <w:sz w:val="24"/>
          <w:szCs w:val="24"/>
        </w:rPr>
      </w:pPr>
      <w:r w:rsidRPr="0069631A">
        <w:rPr>
          <w:rFonts w:ascii="Arial" w:hAnsi="Arial" w:cs="Arial"/>
          <w:sz w:val="24"/>
          <w:szCs w:val="24"/>
        </w:rPr>
        <w:t>Good health and safety compliance depends on strong leadership, clear responsibilities, competent supervision and continuous performance monitoring. Senior management commitment and worker involvement are critical to the maintenance of a positive safety culture.</w:t>
      </w:r>
    </w:p>
    <w:p w14:paraId="00141C3D" w14:textId="591BDEB7" w:rsidR="00EC6143" w:rsidRPr="0069631A" w:rsidRDefault="00F15315" w:rsidP="0069631A">
      <w:pPr>
        <w:pStyle w:val="Heading1"/>
        <w:spacing w:line="360" w:lineRule="auto"/>
        <w:jc w:val="both"/>
        <w:rPr>
          <w:rFonts w:ascii="Arial" w:hAnsi="Arial" w:cs="Arial"/>
          <w:sz w:val="24"/>
          <w:szCs w:val="24"/>
        </w:rPr>
      </w:pPr>
      <w:bookmarkStart w:id="11" w:name="_Toc228975597"/>
      <w:r w:rsidRPr="0069631A">
        <w:rPr>
          <w:rFonts w:ascii="Arial" w:hAnsi="Arial" w:cs="Arial"/>
          <w:sz w:val="24"/>
          <w:szCs w:val="24"/>
        </w:rPr>
        <w:t>3.1 Health and Safety at Work etc Act 1974</w:t>
      </w:r>
      <w:bookmarkEnd w:id="11"/>
    </w:p>
    <w:p w14:paraId="16D8F296" w14:textId="77777777" w:rsidR="00EC6143" w:rsidRPr="0069631A" w:rsidRDefault="00EC6143" w:rsidP="0069631A">
      <w:pPr>
        <w:spacing w:line="360" w:lineRule="auto"/>
        <w:jc w:val="both"/>
        <w:rPr>
          <w:rFonts w:ascii="Arial" w:hAnsi="Arial" w:cs="Arial"/>
          <w:sz w:val="24"/>
          <w:szCs w:val="24"/>
        </w:rPr>
      </w:pPr>
      <w:r w:rsidRPr="0069631A">
        <w:rPr>
          <w:rFonts w:ascii="Arial" w:hAnsi="Arial" w:cs="Arial"/>
          <w:sz w:val="24"/>
          <w:szCs w:val="24"/>
        </w:rPr>
        <w:t>Health and Safety at Work etc.  The 1974 Act places a general duty upon employers to secure, as far as is reasonably practical, the health, safety and welfare of their employees and others affected by their operations.</w:t>
      </w:r>
    </w:p>
    <w:p w14:paraId="3A1B11EA" w14:textId="77777777" w:rsidR="00EC6143" w:rsidRPr="0069631A" w:rsidRDefault="00EC6143" w:rsidP="0069631A">
      <w:pPr>
        <w:spacing w:line="360" w:lineRule="auto"/>
        <w:jc w:val="both"/>
        <w:rPr>
          <w:rFonts w:ascii="Arial" w:hAnsi="Arial" w:cs="Arial"/>
          <w:sz w:val="24"/>
          <w:szCs w:val="24"/>
        </w:rPr>
      </w:pPr>
      <w:r w:rsidRPr="0069631A">
        <w:rPr>
          <w:rFonts w:ascii="Arial" w:hAnsi="Arial" w:cs="Arial"/>
          <w:sz w:val="24"/>
          <w:szCs w:val="24"/>
        </w:rPr>
        <w:t>Higher risk retrofit for Croft Street Block 2 due to:</w:t>
      </w:r>
    </w:p>
    <w:p w14:paraId="7336B192" w14:textId="77777777" w:rsidR="009F6281" w:rsidRPr="0069631A" w:rsidRDefault="00EC6143" w:rsidP="0069631A">
      <w:pPr>
        <w:pStyle w:val="ListParagraph"/>
        <w:numPr>
          <w:ilvl w:val="0"/>
          <w:numId w:val="80"/>
        </w:numPr>
        <w:spacing w:line="360" w:lineRule="auto"/>
        <w:jc w:val="both"/>
        <w:rPr>
          <w:rFonts w:ascii="Arial" w:hAnsi="Arial" w:cs="Arial"/>
          <w:sz w:val="24"/>
          <w:szCs w:val="24"/>
        </w:rPr>
      </w:pPr>
      <w:r w:rsidRPr="0069631A">
        <w:rPr>
          <w:rFonts w:ascii="Arial" w:hAnsi="Arial" w:cs="Arial"/>
          <w:sz w:val="24"/>
          <w:szCs w:val="24"/>
        </w:rPr>
        <w:t>Height working</w:t>
      </w:r>
    </w:p>
    <w:p w14:paraId="7EEADADE" w14:textId="14471825" w:rsidR="00EC6143" w:rsidRPr="0069631A" w:rsidRDefault="00EC6143" w:rsidP="0069631A">
      <w:pPr>
        <w:pStyle w:val="ListParagraph"/>
        <w:numPr>
          <w:ilvl w:val="0"/>
          <w:numId w:val="80"/>
        </w:numPr>
        <w:spacing w:line="360" w:lineRule="auto"/>
        <w:jc w:val="both"/>
        <w:rPr>
          <w:rFonts w:ascii="Arial" w:hAnsi="Arial" w:cs="Arial"/>
          <w:sz w:val="24"/>
          <w:szCs w:val="24"/>
        </w:rPr>
      </w:pPr>
      <w:r w:rsidRPr="0069631A">
        <w:rPr>
          <w:rFonts w:ascii="Arial" w:hAnsi="Arial" w:cs="Arial"/>
          <w:sz w:val="24"/>
          <w:szCs w:val="24"/>
        </w:rPr>
        <w:t>Engaging with residents and the public</w:t>
      </w:r>
    </w:p>
    <w:p w14:paraId="00E1F1E3" w14:textId="172198AD" w:rsidR="00EC6143" w:rsidRPr="0069631A" w:rsidRDefault="00EC6143" w:rsidP="0069631A">
      <w:pPr>
        <w:pStyle w:val="ListParagraph"/>
        <w:numPr>
          <w:ilvl w:val="0"/>
          <w:numId w:val="80"/>
        </w:numPr>
        <w:spacing w:line="360" w:lineRule="auto"/>
        <w:jc w:val="both"/>
        <w:rPr>
          <w:rFonts w:ascii="Arial" w:hAnsi="Arial" w:cs="Arial"/>
          <w:sz w:val="24"/>
          <w:szCs w:val="24"/>
        </w:rPr>
      </w:pPr>
      <w:r w:rsidRPr="0069631A">
        <w:rPr>
          <w:rFonts w:ascii="Arial" w:hAnsi="Arial" w:cs="Arial"/>
          <w:sz w:val="24"/>
          <w:szCs w:val="24"/>
        </w:rPr>
        <w:t>Complex construction within an occupied building</w:t>
      </w:r>
    </w:p>
    <w:p w14:paraId="7BCD9D63" w14:textId="77094144" w:rsidR="00EC6143" w:rsidRPr="0069631A" w:rsidRDefault="00EC6143" w:rsidP="0069631A">
      <w:pPr>
        <w:spacing w:line="360" w:lineRule="auto"/>
        <w:jc w:val="both"/>
        <w:rPr>
          <w:rFonts w:ascii="Arial" w:hAnsi="Arial" w:cs="Arial"/>
          <w:sz w:val="24"/>
          <w:szCs w:val="24"/>
        </w:rPr>
      </w:pPr>
      <w:r w:rsidRPr="0069631A">
        <w:rPr>
          <w:rFonts w:ascii="Arial" w:hAnsi="Arial" w:cs="Arial"/>
          <w:sz w:val="24"/>
          <w:szCs w:val="24"/>
        </w:rPr>
        <w:t>As a trainee Health and Safety Officer for UWTSD Construction it is important to understand statutory duties and implement effective management systems through supervision, training and procedures (Ryder, 2025).</w:t>
      </w:r>
    </w:p>
    <w:p w14:paraId="4D59BE4C" w14:textId="440047A9" w:rsidR="0091286D" w:rsidRPr="0069631A" w:rsidRDefault="00F15315" w:rsidP="0069631A">
      <w:pPr>
        <w:pStyle w:val="Heading1"/>
        <w:spacing w:line="360" w:lineRule="auto"/>
        <w:jc w:val="both"/>
        <w:rPr>
          <w:rFonts w:ascii="Arial" w:hAnsi="Arial" w:cs="Arial"/>
          <w:sz w:val="24"/>
          <w:szCs w:val="24"/>
        </w:rPr>
      </w:pPr>
      <w:bookmarkStart w:id="12" w:name="_Toc228975598"/>
      <w:r w:rsidRPr="0069631A">
        <w:rPr>
          <w:rFonts w:ascii="Arial" w:hAnsi="Arial" w:cs="Arial"/>
          <w:sz w:val="24"/>
          <w:szCs w:val="24"/>
        </w:rPr>
        <w:t>3.2 Occupational Health and Safety Management Regulations 1999</w:t>
      </w:r>
      <w:bookmarkEnd w:id="12"/>
    </w:p>
    <w:p w14:paraId="58F4ACFC" w14:textId="77777777" w:rsidR="0091286D" w:rsidRPr="0069631A" w:rsidRDefault="0091286D" w:rsidP="0069631A">
      <w:pPr>
        <w:spacing w:line="360" w:lineRule="auto"/>
        <w:jc w:val="both"/>
        <w:rPr>
          <w:rFonts w:ascii="Arial" w:hAnsi="Arial" w:cs="Arial"/>
          <w:sz w:val="24"/>
          <w:szCs w:val="24"/>
        </w:rPr>
      </w:pPr>
      <w:r w:rsidRPr="0069631A">
        <w:rPr>
          <w:rFonts w:ascii="Arial" w:hAnsi="Arial" w:cs="Arial"/>
          <w:sz w:val="24"/>
          <w:szCs w:val="24"/>
        </w:rPr>
        <w:t>These Regulations require companies to carry out suitable and sufficient risk evaluations and to implement appropriate control measures which will be involved in Croft Street block 2 retrofit.</w:t>
      </w:r>
    </w:p>
    <w:p w14:paraId="1BDBA8C4" w14:textId="77777777" w:rsidR="0091286D" w:rsidRPr="0069631A" w:rsidRDefault="0091286D" w:rsidP="0069631A">
      <w:pPr>
        <w:pStyle w:val="ListParagraph"/>
        <w:numPr>
          <w:ilvl w:val="0"/>
          <w:numId w:val="81"/>
        </w:numPr>
        <w:spacing w:line="360" w:lineRule="auto"/>
        <w:jc w:val="both"/>
        <w:rPr>
          <w:rFonts w:ascii="Arial" w:hAnsi="Arial" w:cs="Arial"/>
          <w:sz w:val="24"/>
          <w:szCs w:val="24"/>
        </w:rPr>
      </w:pPr>
      <w:r w:rsidRPr="0069631A">
        <w:rPr>
          <w:rFonts w:ascii="Arial" w:hAnsi="Arial" w:cs="Arial"/>
          <w:sz w:val="24"/>
          <w:szCs w:val="24"/>
        </w:rPr>
        <w:t>Identify the risks to workers, residents and visitors;</w:t>
      </w:r>
    </w:p>
    <w:p w14:paraId="0870E525" w14:textId="77777777" w:rsidR="0091286D" w:rsidRPr="0069631A" w:rsidRDefault="0091286D" w:rsidP="0069631A">
      <w:pPr>
        <w:pStyle w:val="ListParagraph"/>
        <w:numPr>
          <w:ilvl w:val="0"/>
          <w:numId w:val="81"/>
        </w:numPr>
        <w:spacing w:line="360" w:lineRule="auto"/>
        <w:jc w:val="both"/>
        <w:rPr>
          <w:rFonts w:ascii="Arial" w:hAnsi="Arial" w:cs="Arial"/>
          <w:sz w:val="24"/>
          <w:szCs w:val="24"/>
        </w:rPr>
      </w:pPr>
      <w:r w:rsidRPr="0069631A">
        <w:rPr>
          <w:rFonts w:ascii="Arial" w:hAnsi="Arial" w:cs="Arial"/>
          <w:sz w:val="24"/>
          <w:szCs w:val="24"/>
        </w:rPr>
        <w:t>Emphasis on elimination and collective measures in accordance with the hierarchy of control.</w:t>
      </w:r>
    </w:p>
    <w:p w14:paraId="02BD90DB" w14:textId="77777777" w:rsidR="0091286D" w:rsidRPr="0069631A" w:rsidRDefault="0091286D" w:rsidP="0069631A">
      <w:pPr>
        <w:pStyle w:val="ListParagraph"/>
        <w:numPr>
          <w:ilvl w:val="0"/>
          <w:numId w:val="81"/>
        </w:numPr>
        <w:spacing w:line="360" w:lineRule="auto"/>
        <w:jc w:val="both"/>
        <w:rPr>
          <w:rFonts w:ascii="Arial" w:hAnsi="Arial" w:cs="Arial"/>
          <w:sz w:val="24"/>
          <w:szCs w:val="24"/>
        </w:rPr>
      </w:pPr>
      <w:r w:rsidRPr="0069631A">
        <w:rPr>
          <w:rFonts w:ascii="Arial" w:hAnsi="Arial" w:cs="Arial"/>
          <w:sz w:val="24"/>
          <w:szCs w:val="24"/>
        </w:rPr>
        <w:t>Designating competent people with the authority to address risks</w:t>
      </w:r>
    </w:p>
    <w:p w14:paraId="01A24BA6" w14:textId="77777777" w:rsidR="0091286D" w:rsidRPr="0069631A" w:rsidRDefault="0091286D" w:rsidP="0069631A">
      <w:pPr>
        <w:pStyle w:val="ListParagraph"/>
        <w:numPr>
          <w:ilvl w:val="0"/>
          <w:numId w:val="81"/>
        </w:numPr>
        <w:spacing w:line="360" w:lineRule="auto"/>
        <w:jc w:val="both"/>
        <w:rPr>
          <w:rFonts w:ascii="Arial" w:hAnsi="Arial" w:cs="Arial"/>
          <w:sz w:val="24"/>
          <w:szCs w:val="24"/>
        </w:rPr>
      </w:pPr>
      <w:r w:rsidRPr="0069631A">
        <w:rPr>
          <w:rFonts w:ascii="Arial" w:hAnsi="Arial" w:cs="Arial"/>
          <w:sz w:val="24"/>
          <w:szCs w:val="24"/>
        </w:rPr>
        <w:t>Providing information, instruction and training to all workers.</w:t>
      </w:r>
    </w:p>
    <w:p w14:paraId="2BEB0B9C" w14:textId="77777777" w:rsidR="0091286D" w:rsidRPr="0069631A" w:rsidRDefault="0091286D" w:rsidP="0069631A">
      <w:pPr>
        <w:pStyle w:val="ListParagraph"/>
        <w:numPr>
          <w:ilvl w:val="0"/>
          <w:numId w:val="81"/>
        </w:numPr>
        <w:spacing w:line="360" w:lineRule="auto"/>
        <w:jc w:val="both"/>
        <w:rPr>
          <w:rFonts w:ascii="Arial" w:hAnsi="Arial" w:cs="Arial"/>
          <w:sz w:val="24"/>
          <w:szCs w:val="24"/>
        </w:rPr>
      </w:pPr>
      <w:r w:rsidRPr="0069631A">
        <w:rPr>
          <w:rFonts w:ascii="Arial" w:hAnsi="Arial" w:cs="Arial"/>
          <w:sz w:val="24"/>
          <w:szCs w:val="24"/>
        </w:rPr>
        <w:t>Review and update controls as works progress, particularly where residents may be affected.</w:t>
      </w:r>
    </w:p>
    <w:p w14:paraId="496EB331" w14:textId="49891B59" w:rsidR="0091286D" w:rsidRPr="0069631A" w:rsidRDefault="0091286D" w:rsidP="0069631A">
      <w:pPr>
        <w:spacing w:line="360" w:lineRule="auto"/>
        <w:jc w:val="both"/>
        <w:rPr>
          <w:rFonts w:ascii="Arial" w:hAnsi="Arial" w:cs="Arial"/>
          <w:sz w:val="24"/>
          <w:szCs w:val="24"/>
        </w:rPr>
      </w:pPr>
      <w:r w:rsidRPr="0069631A">
        <w:rPr>
          <w:rFonts w:ascii="Arial" w:hAnsi="Arial" w:cs="Arial"/>
          <w:sz w:val="24"/>
          <w:szCs w:val="24"/>
        </w:rPr>
        <w:t>Risk management should be flexible and responsive to changes on site during the retrofit (Work Accident Advice Centre, n.d.).</w:t>
      </w:r>
    </w:p>
    <w:p w14:paraId="757E18E8" w14:textId="28E4C2BC" w:rsidR="00757DFA" w:rsidRPr="0069631A" w:rsidRDefault="00F15315" w:rsidP="0069631A">
      <w:pPr>
        <w:pStyle w:val="Heading1"/>
        <w:spacing w:line="360" w:lineRule="auto"/>
        <w:jc w:val="both"/>
        <w:rPr>
          <w:rFonts w:ascii="Arial" w:hAnsi="Arial" w:cs="Arial"/>
          <w:sz w:val="24"/>
          <w:szCs w:val="24"/>
        </w:rPr>
      </w:pPr>
      <w:bookmarkStart w:id="13" w:name="_Toc228975599"/>
      <w:r w:rsidRPr="0069631A">
        <w:rPr>
          <w:rFonts w:ascii="Arial" w:hAnsi="Arial" w:cs="Arial"/>
          <w:sz w:val="24"/>
          <w:szCs w:val="24"/>
        </w:rPr>
        <w:lastRenderedPageBreak/>
        <w:t>3.3 Work at Height Regulations 2005</w:t>
      </w:r>
      <w:bookmarkEnd w:id="13"/>
    </w:p>
    <w:p w14:paraId="06BB867F" w14:textId="47B749CF" w:rsidR="00757DFA" w:rsidRPr="0069631A" w:rsidRDefault="00757DFA" w:rsidP="0069631A">
      <w:pPr>
        <w:spacing w:line="360" w:lineRule="auto"/>
        <w:jc w:val="both"/>
        <w:rPr>
          <w:rFonts w:ascii="Arial" w:hAnsi="Arial" w:cs="Arial"/>
          <w:sz w:val="24"/>
          <w:szCs w:val="24"/>
        </w:rPr>
      </w:pPr>
      <w:r w:rsidRPr="0069631A">
        <w:rPr>
          <w:rFonts w:ascii="Arial" w:hAnsi="Arial" w:cs="Arial"/>
          <w:sz w:val="24"/>
          <w:szCs w:val="24"/>
        </w:rPr>
        <w:t xml:space="preserve">The Work at Height Regulations 2005 </w:t>
      </w:r>
      <w:r w:rsidR="00DB3657" w:rsidRPr="0069631A">
        <w:rPr>
          <w:rFonts w:ascii="Arial" w:hAnsi="Arial" w:cs="Arial"/>
          <w:sz w:val="24"/>
          <w:szCs w:val="24"/>
        </w:rPr>
        <w:t>is</w:t>
      </w:r>
      <w:r w:rsidRPr="0069631A">
        <w:rPr>
          <w:rFonts w:ascii="Arial" w:hAnsi="Arial" w:cs="Arial"/>
          <w:sz w:val="24"/>
          <w:szCs w:val="24"/>
        </w:rPr>
        <w:t xml:space="preserve"> directly applicable to the large scale retrofit of a high rise building such as Croft Street Block 2. Management responsibilities include</w:t>
      </w:r>
      <w:r w:rsidR="00DB3657" w:rsidRPr="0069631A">
        <w:rPr>
          <w:rFonts w:ascii="Arial" w:hAnsi="Arial" w:cs="Arial"/>
          <w:sz w:val="24"/>
          <w:szCs w:val="24"/>
        </w:rPr>
        <w:t>,</w:t>
      </w:r>
    </w:p>
    <w:p w14:paraId="4BCCC57D" w14:textId="77777777" w:rsidR="00757DFA" w:rsidRPr="0069631A" w:rsidRDefault="00757DFA" w:rsidP="0069631A">
      <w:pPr>
        <w:pStyle w:val="ListParagraph"/>
        <w:numPr>
          <w:ilvl w:val="0"/>
          <w:numId w:val="82"/>
        </w:numPr>
        <w:spacing w:line="360" w:lineRule="auto"/>
        <w:jc w:val="both"/>
        <w:rPr>
          <w:rFonts w:ascii="Arial" w:hAnsi="Arial" w:cs="Arial"/>
          <w:sz w:val="24"/>
          <w:szCs w:val="24"/>
        </w:rPr>
      </w:pPr>
      <w:r w:rsidRPr="0069631A">
        <w:rPr>
          <w:rFonts w:ascii="Arial" w:hAnsi="Arial" w:cs="Arial"/>
          <w:sz w:val="24"/>
          <w:szCs w:val="24"/>
        </w:rPr>
        <w:t>Avoid work at height where it is reasonably practicable.</w:t>
      </w:r>
    </w:p>
    <w:p w14:paraId="20E4A02A" w14:textId="77777777" w:rsidR="00757DFA" w:rsidRPr="0069631A" w:rsidRDefault="00757DFA" w:rsidP="0069631A">
      <w:pPr>
        <w:pStyle w:val="ListParagraph"/>
        <w:numPr>
          <w:ilvl w:val="0"/>
          <w:numId w:val="82"/>
        </w:numPr>
        <w:spacing w:line="360" w:lineRule="auto"/>
        <w:jc w:val="both"/>
        <w:rPr>
          <w:rFonts w:ascii="Arial" w:hAnsi="Arial" w:cs="Arial"/>
          <w:sz w:val="24"/>
          <w:szCs w:val="24"/>
        </w:rPr>
      </w:pPr>
      <w:r w:rsidRPr="0069631A">
        <w:rPr>
          <w:rFonts w:ascii="Arial" w:hAnsi="Arial" w:cs="Arial"/>
          <w:sz w:val="24"/>
          <w:szCs w:val="24"/>
        </w:rPr>
        <w:t>Apply collective protection measures like guardrails and scaffolding.</w:t>
      </w:r>
    </w:p>
    <w:p w14:paraId="35AC9292" w14:textId="77777777" w:rsidR="00757DFA" w:rsidRPr="0069631A" w:rsidRDefault="00757DFA" w:rsidP="0069631A">
      <w:pPr>
        <w:pStyle w:val="ListParagraph"/>
        <w:numPr>
          <w:ilvl w:val="0"/>
          <w:numId w:val="82"/>
        </w:numPr>
        <w:spacing w:line="360" w:lineRule="auto"/>
        <w:jc w:val="both"/>
        <w:rPr>
          <w:rFonts w:ascii="Arial" w:hAnsi="Arial" w:cs="Arial"/>
          <w:sz w:val="24"/>
          <w:szCs w:val="24"/>
        </w:rPr>
      </w:pPr>
      <w:r w:rsidRPr="0069631A">
        <w:rPr>
          <w:rFonts w:ascii="Arial" w:hAnsi="Arial" w:cs="Arial"/>
          <w:sz w:val="24"/>
          <w:szCs w:val="24"/>
        </w:rPr>
        <w:t>Competent people to undertake height specific risk assessments.</w:t>
      </w:r>
    </w:p>
    <w:p w14:paraId="267A2288" w14:textId="77777777" w:rsidR="00757DFA" w:rsidRPr="0069631A" w:rsidRDefault="00757DFA" w:rsidP="0069631A">
      <w:pPr>
        <w:pStyle w:val="ListParagraph"/>
        <w:numPr>
          <w:ilvl w:val="0"/>
          <w:numId w:val="82"/>
        </w:numPr>
        <w:spacing w:line="360" w:lineRule="auto"/>
        <w:jc w:val="both"/>
        <w:rPr>
          <w:rFonts w:ascii="Arial" w:hAnsi="Arial" w:cs="Arial"/>
          <w:sz w:val="24"/>
          <w:szCs w:val="24"/>
        </w:rPr>
      </w:pPr>
      <w:r w:rsidRPr="0069631A">
        <w:rPr>
          <w:rFonts w:ascii="Arial" w:hAnsi="Arial" w:cs="Arial"/>
          <w:sz w:val="24"/>
          <w:szCs w:val="24"/>
        </w:rPr>
        <w:t>Training and certification to ensure competency.</w:t>
      </w:r>
    </w:p>
    <w:p w14:paraId="6001D69E" w14:textId="77777777" w:rsidR="00757DFA" w:rsidRPr="0069631A" w:rsidRDefault="00757DFA" w:rsidP="0069631A">
      <w:pPr>
        <w:pStyle w:val="ListParagraph"/>
        <w:numPr>
          <w:ilvl w:val="0"/>
          <w:numId w:val="82"/>
        </w:numPr>
        <w:spacing w:line="360" w:lineRule="auto"/>
        <w:jc w:val="both"/>
        <w:rPr>
          <w:rFonts w:ascii="Arial" w:hAnsi="Arial" w:cs="Arial"/>
          <w:sz w:val="24"/>
          <w:szCs w:val="24"/>
        </w:rPr>
      </w:pPr>
      <w:r w:rsidRPr="0069631A">
        <w:rPr>
          <w:rFonts w:ascii="Arial" w:hAnsi="Arial" w:cs="Arial"/>
          <w:sz w:val="24"/>
          <w:szCs w:val="24"/>
        </w:rPr>
        <w:t>Inspecting and servicing access equipment including scaffolds and MEWPs.</w:t>
      </w:r>
    </w:p>
    <w:p w14:paraId="51281FEE" w14:textId="4CC29603" w:rsidR="00757DFA" w:rsidRPr="0069631A" w:rsidRDefault="00757DFA" w:rsidP="0069631A">
      <w:pPr>
        <w:spacing w:line="360" w:lineRule="auto"/>
        <w:jc w:val="both"/>
        <w:rPr>
          <w:rFonts w:ascii="Arial" w:hAnsi="Arial" w:cs="Arial"/>
          <w:sz w:val="24"/>
          <w:szCs w:val="24"/>
        </w:rPr>
      </w:pPr>
      <w:r w:rsidRPr="0069631A">
        <w:rPr>
          <w:rFonts w:ascii="Arial" w:hAnsi="Arial" w:cs="Arial"/>
          <w:sz w:val="24"/>
          <w:szCs w:val="24"/>
        </w:rPr>
        <w:t>Relevant training, for example, PASMA, IPAF and harness inspection training (Gard, 2025).</w:t>
      </w:r>
    </w:p>
    <w:p w14:paraId="31D15BB9" w14:textId="19C171F0" w:rsidR="00946BA8" w:rsidRPr="0069631A" w:rsidRDefault="00F15315" w:rsidP="0069631A">
      <w:pPr>
        <w:pStyle w:val="Heading1"/>
        <w:spacing w:line="360" w:lineRule="auto"/>
        <w:jc w:val="both"/>
        <w:rPr>
          <w:rFonts w:ascii="Arial" w:hAnsi="Arial" w:cs="Arial"/>
          <w:sz w:val="24"/>
          <w:szCs w:val="24"/>
        </w:rPr>
      </w:pPr>
      <w:bookmarkStart w:id="14" w:name="_Toc228975600"/>
      <w:r w:rsidRPr="0069631A">
        <w:rPr>
          <w:rFonts w:ascii="Arial" w:hAnsi="Arial" w:cs="Arial"/>
          <w:sz w:val="24"/>
          <w:szCs w:val="24"/>
        </w:rPr>
        <w:t>3.4 Control of Substances Hazardous to Health Regulations 2002</w:t>
      </w:r>
      <w:bookmarkEnd w:id="14"/>
      <w:r w:rsidRPr="0069631A">
        <w:rPr>
          <w:rFonts w:ascii="Arial" w:hAnsi="Arial" w:cs="Arial"/>
          <w:sz w:val="24"/>
          <w:szCs w:val="24"/>
        </w:rPr>
        <w:t xml:space="preserve"> </w:t>
      </w:r>
    </w:p>
    <w:p w14:paraId="3F2CCBE4" w14:textId="77777777" w:rsidR="00946BA8" w:rsidRPr="0069631A" w:rsidRDefault="00946BA8" w:rsidP="0069631A">
      <w:pPr>
        <w:spacing w:line="360" w:lineRule="auto"/>
        <w:jc w:val="both"/>
        <w:rPr>
          <w:rFonts w:ascii="Arial" w:hAnsi="Arial" w:cs="Arial"/>
          <w:sz w:val="24"/>
          <w:szCs w:val="24"/>
        </w:rPr>
      </w:pPr>
      <w:r w:rsidRPr="0069631A">
        <w:rPr>
          <w:rFonts w:ascii="Arial" w:hAnsi="Arial" w:cs="Arial"/>
          <w:sz w:val="24"/>
          <w:szCs w:val="24"/>
        </w:rPr>
        <w:t>Retrofit work can generate hazardous substances, including silica dust, cement, solvents and fumes. COSHH management responsibilities are:</w:t>
      </w:r>
    </w:p>
    <w:p w14:paraId="2881AE43" w14:textId="77777777" w:rsidR="00946BA8" w:rsidRPr="0069631A" w:rsidRDefault="00946BA8" w:rsidP="0069631A">
      <w:pPr>
        <w:pStyle w:val="ListParagraph"/>
        <w:numPr>
          <w:ilvl w:val="0"/>
          <w:numId w:val="83"/>
        </w:numPr>
        <w:spacing w:line="360" w:lineRule="auto"/>
        <w:jc w:val="both"/>
        <w:rPr>
          <w:rFonts w:ascii="Arial" w:hAnsi="Arial" w:cs="Arial"/>
          <w:sz w:val="24"/>
          <w:szCs w:val="24"/>
        </w:rPr>
      </w:pPr>
      <w:r w:rsidRPr="0069631A">
        <w:rPr>
          <w:rFonts w:ascii="Arial" w:hAnsi="Arial" w:cs="Arial"/>
          <w:sz w:val="24"/>
          <w:szCs w:val="24"/>
        </w:rPr>
        <w:t>Identify and assess hazardous substances.</w:t>
      </w:r>
    </w:p>
    <w:p w14:paraId="2E301B13" w14:textId="068B7A2D" w:rsidR="00946BA8" w:rsidRPr="0069631A" w:rsidRDefault="00946BA8" w:rsidP="0069631A">
      <w:pPr>
        <w:pStyle w:val="ListParagraph"/>
        <w:numPr>
          <w:ilvl w:val="0"/>
          <w:numId w:val="83"/>
        </w:numPr>
        <w:spacing w:line="360" w:lineRule="auto"/>
        <w:jc w:val="both"/>
        <w:rPr>
          <w:rFonts w:ascii="Arial" w:hAnsi="Arial" w:cs="Arial"/>
          <w:sz w:val="24"/>
          <w:szCs w:val="24"/>
        </w:rPr>
      </w:pPr>
      <w:r w:rsidRPr="0069631A">
        <w:rPr>
          <w:rFonts w:ascii="Arial" w:hAnsi="Arial" w:cs="Arial"/>
          <w:sz w:val="24"/>
          <w:szCs w:val="24"/>
        </w:rPr>
        <w:t>Applying structure of control</w:t>
      </w:r>
    </w:p>
    <w:p w14:paraId="350B9C1B" w14:textId="77777777" w:rsidR="00946BA8" w:rsidRPr="0069631A" w:rsidRDefault="00946BA8" w:rsidP="0069631A">
      <w:pPr>
        <w:pStyle w:val="ListParagraph"/>
        <w:numPr>
          <w:ilvl w:val="0"/>
          <w:numId w:val="83"/>
        </w:numPr>
        <w:spacing w:line="360" w:lineRule="auto"/>
        <w:jc w:val="both"/>
        <w:rPr>
          <w:rFonts w:ascii="Arial" w:hAnsi="Arial" w:cs="Arial"/>
          <w:sz w:val="24"/>
          <w:szCs w:val="24"/>
        </w:rPr>
      </w:pPr>
      <w:r w:rsidRPr="0069631A">
        <w:rPr>
          <w:rFonts w:ascii="Arial" w:hAnsi="Arial" w:cs="Arial"/>
          <w:sz w:val="24"/>
          <w:szCs w:val="24"/>
        </w:rPr>
        <w:t>Informing employees of the results of COSHH assessments.</w:t>
      </w:r>
    </w:p>
    <w:p w14:paraId="55BADC9F" w14:textId="77777777" w:rsidR="00946BA8" w:rsidRPr="0069631A" w:rsidRDefault="00946BA8" w:rsidP="0069631A">
      <w:pPr>
        <w:pStyle w:val="ListParagraph"/>
        <w:numPr>
          <w:ilvl w:val="0"/>
          <w:numId w:val="83"/>
        </w:numPr>
        <w:spacing w:line="360" w:lineRule="auto"/>
        <w:jc w:val="both"/>
        <w:rPr>
          <w:rFonts w:ascii="Arial" w:hAnsi="Arial" w:cs="Arial"/>
          <w:sz w:val="24"/>
          <w:szCs w:val="24"/>
        </w:rPr>
      </w:pPr>
      <w:r w:rsidRPr="0069631A">
        <w:rPr>
          <w:rFonts w:ascii="Arial" w:hAnsi="Arial" w:cs="Arial"/>
          <w:sz w:val="24"/>
          <w:szCs w:val="24"/>
        </w:rPr>
        <w:t>Training in hazards and emergency procedures.</w:t>
      </w:r>
    </w:p>
    <w:p w14:paraId="7EA3E88B" w14:textId="77777777" w:rsidR="00946BA8" w:rsidRPr="0069631A" w:rsidRDefault="00946BA8" w:rsidP="0069631A">
      <w:pPr>
        <w:pStyle w:val="ListParagraph"/>
        <w:numPr>
          <w:ilvl w:val="0"/>
          <w:numId w:val="83"/>
        </w:numPr>
        <w:spacing w:line="360" w:lineRule="auto"/>
        <w:jc w:val="both"/>
        <w:rPr>
          <w:rFonts w:ascii="Arial" w:hAnsi="Arial" w:cs="Arial"/>
          <w:sz w:val="24"/>
          <w:szCs w:val="24"/>
        </w:rPr>
      </w:pPr>
      <w:r w:rsidRPr="0069631A">
        <w:rPr>
          <w:rFonts w:ascii="Arial" w:hAnsi="Arial" w:cs="Arial"/>
          <w:sz w:val="24"/>
          <w:szCs w:val="24"/>
        </w:rPr>
        <w:t>Implementing exposure monitoring and health surveillance where required.</w:t>
      </w:r>
    </w:p>
    <w:p w14:paraId="106720F5" w14:textId="6D4F758D" w:rsidR="00946BA8" w:rsidRPr="0069631A" w:rsidRDefault="00946BA8" w:rsidP="0069631A">
      <w:pPr>
        <w:spacing w:line="360" w:lineRule="auto"/>
        <w:jc w:val="both"/>
        <w:rPr>
          <w:rFonts w:ascii="Arial" w:hAnsi="Arial" w:cs="Arial"/>
          <w:sz w:val="24"/>
          <w:szCs w:val="24"/>
        </w:rPr>
      </w:pPr>
      <w:r w:rsidRPr="0069631A">
        <w:rPr>
          <w:rFonts w:ascii="Arial" w:hAnsi="Arial" w:cs="Arial"/>
          <w:sz w:val="24"/>
          <w:szCs w:val="24"/>
        </w:rPr>
        <w:t xml:space="preserve">Proper COSHH management </w:t>
      </w:r>
      <w:r w:rsidR="00342870">
        <w:rPr>
          <w:rFonts w:ascii="Arial" w:hAnsi="Arial" w:cs="Arial"/>
          <w:sz w:val="24"/>
          <w:szCs w:val="24"/>
        </w:rPr>
        <w:t>protect</w:t>
      </w:r>
      <w:r w:rsidRPr="0069631A">
        <w:rPr>
          <w:rFonts w:ascii="Arial" w:hAnsi="Arial" w:cs="Arial"/>
          <w:sz w:val="24"/>
          <w:szCs w:val="24"/>
        </w:rPr>
        <w:t xml:space="preserve"> workers and residents (Team, 2026).</w:t>
      </w:r>
    </w:p>
    <w:p w14:paraId="48A40EC4" w14:textId="68DBBD5E" w:rsidR="00AB06E2" w:rsidRPr="0069631A" w:rsidRDefault="00F15315" w:rsidP="0069631A">
      <w:pPr>
        <w:pStyle w:val="Heading1"/>
        <w:spacing w:line="360" w:lineRule="auto"/>
        <w:jc w:val="both"/>
        <w:rPr>
          <w:rFonts w:ascii="Arial" w:hAnsi="Arial" w:cs="Arial"/>
          <w:sz w:val="24"/>
          <w:szCs w:val="24"/>
        </w:rPr>
      </w:pPr>
      <w:bookmarkStart w:id="15" w:name="_Toc228975601"/>
      <w:r w:rsidRPr="0069631A">
        <w:rPr>
          <w:rFonts w:ascii="Arial" w:hAnsi="Arial" w:cs="Arial"/>
          <w:sz w:val="24"/>
          <w:szCs w:val="24"/>
        </w:rPr>
        <w:t>3.5 Noise at Work Regulations 2005 Control</w:t>
      </w:r>
      <w:bookmarkEnd w:id="15"/>
      <w:r w:rsidR="00384593">
        <w:rPr>
          <w:rFonts w:ascii="Arial" w:hAnsi="Arial" w:cs="Arial"/>
          <w:sz w:val="24"/>
          <w:szCs w:val="24"/>
        </w:rPr>
        <w:t>s</w:t>
      </w:r>
    </w:p>
    <w:p w14:paraId="504EA238" w14:textId="77777777" w:rsidR="00AB06E2" w:rsidRPr="0069631A" w:rsidRDefault="00AB06E2" w:rsidP="0069631A">
      <w:pPr>
        <w:spacing w:line="360" w:lineRule="auto"/>
        <w:jc w:val="both"/>
        <w:rPr>
          <w:rFonts w:ascii="Arial" w:hAnsi="Arial" w:cs="Arial"/>
          <w:sz w:val="24"/>
          <w:szCs w:val="24"/>
        </w:rPr>
      </w:pPr>
      <w:r w:rsidRPr="0069631A">
        <w:rPr>
          <w:rFonts w:ascii="Arial" w:hAnsi="Arial" w:cs="Arial"/>
          <w:sz w:val="24"/>
          <w:szCs w:val="24"/>
        </w:rPr>
        <w:t xml:space="preserve">Noise-generating activities like drilling and cutting in occupied buildings carry additional risks. Managers shall be: </w:t>
      </w:r>
    </w:p>
    <w:p w14:paraId="298FF130" w14:textId="77777777" w:rsidR="00AB06E2" w:rsidRPr="0069631A" w:rsidRDefault="00AB06E2" w:rsidP="0069631A">
      <w:pPr>
        <w:pStyle w:val="ListParagraph"/>
        <w:numPr>
          <w:ilvl w:val="0"/>
          <w:numId w:val="84"/>
        </w:numPr>
        <w:spacing w:line="360" w:lineRule="auto"/>
        <w:jc w:val="both"/>
        <w:rPr>
          <w:rFonts w:ascii="Arial" w:hAnsi="Arial" w:cs="Arial"/>
          <w:sz w:val="24"/>
          <w:szCs w:val="24"/>
        </w:rPr>
      </w:pPr>
      <w:r w:rsidRPr="0069631A">
        <w:rPr>
          <w:rFonts w:ascii="Arial" w:hAnsi="Arial" w:cs="Arial"/>
          <w:sz w:val="24"/>
          <w:szCs w:val="24"/>
        </w:rPr>
        <w:t>Assess noise exposure levels.</w:t>
      </w:r>
    </w:p>
    <w:p w14:paraId="2BCE49D8" w14:textId="77777777" w:rsidR="00AB06E2" w:rsidRPr="0069631A" w:rsidRDefault="00AB06E2" w:rsidP="0069631A">
      <w:pPr>
        <w:pStyle w:val="ListParagraph"/>
        <w:numPr>
          <w:ilvl w:val="0"/>
          <w:numId w:val="84"/>
        </w:numPr>
        <w:spacing w:line="360" w:lineRule="auto"/>
        <w:jc w:val="both"/>
        <w:rPr>
          <w:rFonts w:ascii="Arial" w:hAnsi="Arial" w:cs="Arial"/>
          <w:sz w:val="24"/>
          <w:szCs w:val="24"/>
        </w:rPr>
      </w:pPr>
      <w:r w:rsidRPr="0069631A">
        <w:rPr>
          <w:rFonts w:ascii="Arial" w:hAnsi="Arial" w:cs="Arial"/>
          <w:sz w:val="24"/>
          <w:szCs w:val="24"/>
        </w:rPr>
        <w:t>Reduce noise at source by planning and choice of equipment.</w:t>
      </w:r>
    </w:p>
    <w:p w14:paraId="2EEA1B19" w14:textId="77777777" w:rsidR="00AB06E2" w:rsidRPr="0069631A" w:rsidRDefault="00AB06E2" w:rsidP="0069631A">
      <w:pPr>
        <w:pStyle w:val="ListParagraph"/>
        <w:numPr>
          <w:ilvl w:val="0"/>
          <w:numId w:val="84"/>
        </w:numPr>
        <w:spacing w:line="360" w:lineRule="auto"/>
        <w:jc w:val="both"/>
        <w:rPr>
          <w:rFonts w:ascii="Arial" w:hAnsi="Arial" w:cs="Arial"/>
          <w:sz w:val="24"/>
          <w:szCs w:val="24"/>
        </w:rPr>
      </w:pPr>
      <w:r w:rsidRPr="0069631A">
        <w:rPr>
          <w:rFonts w:ascii="Arial" w:hAnsi="Arial" w:cs="Arial"/>
          <w:sz w:val="24"/>
          <w:szCs w:val="24"/>
        </w:rPr>
        <w:t>Establish hearing protection zones, as required.</w:t>
      </w:r>
    </w:p>
    <w:p w14:paraId="28A87F72" w14:textId="66B7A963" w:rsidR="00AB06E2" w:rsidRPr="0069631A" w:rsidRDefault="00AB06E2" w:rsidP="0069631A">
      <w:pPr>
        <w:pStyle w:val="ListParagraph"/>
        <w:numPr>
          <w:ilvl w:val="0"/>
          <w:numId w:val="84"/>
        </w:numPr>
        <w:spacing w:line="360" w:lineRule="auto"/>
        <w:jc w:val="both"/>
        <w:rPr>
          <w:rFonts w:ascii="Arial" w:hAnsi="Arial" w:cs="Arial"/>
          <w:sz w:val="24"/>
          <w:szCs w:val="24"/>
        </w:rPr>
      </w:pPr>
      <w:r w:rsidRPr="0069631A">
        <w:rPr>
          <w:rFonts w:ascii="Arial" w:hAnsi="Arial" w:cs="Arial"/>
          <w:sz w:val="24"/>
          <w:szCs w:val="24"/>
        </w:rPr>
        <w:t>Provide training and health surveillance where a risk is identified (Team, 2026).</w:t>
      </w:r>
    </w:p>
    <w:p w14:paraId="43A494A4" w14:textId="16E3A059" w:rsidR="009237C6" w:rsidRPr="0069631A" w:rsidRDefault="00F15315" w:rsidP="0069631A">
      <w:pPr>
        <w:pStyle w:val="Heading1"/>
        <w:spacing w:line="360" w:lineRule="auto"/>
        <w:jc w:val="both"/>
        <w:rPr>
          <w:rFonts w:ascii="Arial" w:hAnsi="Arial" w:cs="Arial"/>
          <w:sz w:val="24"/>
          <w:szCs w:val="24"/>
        </w:rPr>
      </w:pPr>
      <w:bookmarkStart w:id="16" w:name="_Toc228975602"/>
      <w:r w:rsidRPr="0069631A">
        <w:rPr>
          <w:rFonts w:ascii="Arial" w:hAnsi="Arial" w:cs="Arial"/>
          <w:sz w:val="24"/>
          <w:szCs w:val="24"/>
        </w:rPr>
        <w:lastRenderedPageBreak/>
        <w:t>3.6 Training and Competency Frameworks</w:t>
      </w:r>
      <w:bookmarkEnd w:id="16"/>
    </w:p>
    <w:p w14:paraId="5FEBB1E3" w14:textId="77777777" w:rsidR="009237C6" w:rsidRPr="0069631A" w:rsidRDefault="009237C6" w:rsidP="0069631A">
      <w:pPr>
        <w:spacing w:line="360" w:lineRule="auto"/>
        <w:jc w:val="both"/>
        <w:rPr>
          <w:rFonts w:ascii="Arial" w:hAnsi="Arial" w:cs="Arial"/>
          <w:sz w:val="24"/>
          <w:szCs w:val="24"/>
        </w:rPr>
      </w:pPr>
      <w:r w:rsidRPr="0069631A">
        <w:rPr>
          <w:rFonts w:ascii="Arial" w:hAnsi="Arial" w:cs="Arial"/>
          <w:sz w:val="24"/>
          <w:szCs w:val="24"/>
        </w:rPr>
        <w:t>Competence should be recorded in a structured training matrix that shows compliance. The key training consists of the following:</w:t>
      </w:r>
    </w:p>
    <w:p w14:paraId="7B80FF01" w14:textId="77777777" w:rsidR="009237C6" w:rsidRPr="0069631A" w:rsidRDefault="009237C6" w:rsidP="0069631A">
      <w:pPr>
        <w:pStyle w:val="ListParagraph"/>
        <w:numPr>
          <w:ilvl w:val="0"/>
          <w:numId w:val="85"/>
        </w:numPr>
        <w:spacing w:line="360" w:lineRule="auto"/>
        <w:jc w:val="both"/>
        <w:rPr>
          <w:rFonts w:ascii="Arial" w:hAnsi="Arial" w:cs="Arial"/>
          <w:sz w:val="24"/>
          <w:szCs w:val="24"/>
        </w:rPr>
      </w:pPr>
      <w:r w:rsidRPr="0069631A">
        <w:rPr>
          <w:rFonts w:ascii="Arial" w:hAnsi="Arial" w:cs="Arial"/>
          <w:sz w:val="24"/>
          <w:szCs w:val="24"/>
        </w:rPr>
        <w:t>Introduction to site and emergency procedures.</w:t>
      </w:r>
    </w:p>
    <w:p w14:paraId="38BCB4A5" w14:textId="20C72D32" w:rsidR="009237C6" w:rsidRPr="0069631A" w:rsidRDefault="009237C6" w:rsidP="0069631A">
      <w:pPr>
        <w:pStyle w:val="ListParagraph"/>
        <w:numPr>
          <w:ilvl w:val="0"/>
          <w:numId w:val="85"/>
        </w:numPr>
        <w:spacing w:line="360" w:lineRule="auto"/>
        <w:jc w:val="both"/>
        <w:rPr>
          <w:rFonts w:ascii="Arial" w:hAnsi="Arial" w:cs="Arial"/>
          <w:sz w:val="24"/>
          <w:szCs w:val="24"/>
        </w:rPr>
      </w:pPr>
      <w:r w:rsidRPr="0069631A">
        <w:rPr>
          <w:rFonts w:ascii="Arial" w:hAnsi="Arial" w:cs="Arial"/>
          <w:sz w:val="24"/>
          <w:szCs w:val="24"/>
        </w:rPr>
        <w:t>Training for high-risk tasks.</w:t>
      </w:r>
    </w:p>
    <w:p w14:paraId="035FF244" w14:textId="77777777" w:rsidR="009237C6" w:rsidRPr="0069631A" w:rsidRDefault="009237C6" w:rsidP="0069631A">
      <w:pPr>
        <w:pStyle w:val="ListParagraph"/>
        <w:numPr>
          <w:ilvl w:val="0"/>
          <w:numId w:val="85"/>
        </w:numPr>
        <w:spacing w:line="360" w:lineRule="auto"/>
        <w:jc w:val="both"/>
        <w:rPr>
          <w:rFonts w:ascii="Arial" w:hAnsi="Arial" w:cs="Arial"/>
          <w:sz w:val="24"/>
          <w:szCs w:val="24"/>
        </w:rPr>
      </w:pPr>
      <w:r w:rsidRPr="0069631A">
        <w:rPr>
          <w:rFonts w:ascii="Arial" w:hAnsi="Arial" w:cs="Arial"/>
          <w:sz w:val="24"/>
          <w:szCs w:val="24"/>
        </w:rPr>
        <w:t>Training of supervisors and management on legal duties.</w:t>
      </w:r>
    </w:p>
    <w:p w14:paraId="2E12A9F0" w14:textId="77777777" w:rsidR="009237C6" w:rsidRPr="0069631A" w:rsidRDefault="009237C6" w:rsidP="0069631A">
      <w:pPr>
        <w:pStyle w:val="ListParagraph"/>
        <w:numPr>
          <w:ilvl w:val="0"/>
          <w:numId w:val="85"/>
        </w:numPr>
        <w:spacing w:line="360" w:lineRule="auto"/>
        <w:jc w:val="both"/>
        <w:rPr>
          <w:rFonts w:ascii="Arial" w:hAnsi="Arial" w:cs="Arial"/>
          <w:sz w:val="24"/>
          <w:szCs w:val="24"/>
        </w:rPr>
      </w:pPr>
      <w:r w:rsidRPr="0069631A">
        <w:rPr>
          <w:rFonts w:ascii="Arial" w:hAnsi="Arial" w:cs="Arial"/>
          <w:sz w:val="24"/>
          <w:szCs w:val="24"/>
        </w:rPr>
        <w:t>Toolbox talk and refresher at regular interval.</w:t>
      </w:r>
    </w:p>
    <w:p w14:paraId="10459D33" w14:textId="79BBA0BF" w:rsidR="009237C6" w:rsidRPr="0069631A" w:rsidRDefault="009237C6" w:rsidP="0069631A">
      <w:pPr>
        <w:spacing w:line="360" w:lineRule="auto"/>
        <w:jc w:val="both"/>
        <w:rPr>
          <w:rFonts w:ascii="Arial" w:hAnsi="Arial" w:cs="Arial"/>
          <w:sz w:val="24"/>
          <w:szCs w:val="24"/>
        </w:rPr>
      </w:pPr>
      <w:r w:rsidRPr="0069631A">
        <w:rPr>
          <w:rFonts w:ascii="Arial" w:hAnsi="Arial" w:cs="Arial"/>
          <w:sz w:val="24"/>
          <w:szCs w:val="24"/>
        </w:rPr>
        <w:t>Competence must be verified before work begins (Financial Conduct Authority, 2015).</w:t>
      </w:r>
    </w:p>
    <w:p w14:paraId="68E69729" w14:textId="2A3D9A8A" w:rsidR="000B183F" w:rsidRPr="0069631A" w:rsidRDefault="00F15315" w:rsidP="0069631A">
      <w:pPr>
        <w:pStyle w:val="Heading1"/>
        <w:spacing w:line="360" w:lineRule="auto"/>
        <w:jc w:val="both"/>
        <w:rPr>
          <w:rFonts w:ascii="Arial" w:hAnsi="Arial" w:cs="Arial"/>
          <w:sz w:val="24"/>
          <w:szCs w:val="24"/>
        </w:rPr>
      </w:pPr>
      <w:bookmarkStart w:id="17" w:name="_Toc228975603"/>
      <w:r w:rsidRPr="0069631A">
        <w:rPr>
          <w:rFonts w:ascii="Arial" w:hAnsi="Arial" w:cs="Arial"/>
          <w:sz w:val="24"/>
          <w:szCs w:val="24"/>
        </w:rPr>
        <w:t>4.0 Compliance with the CDM Regulations 2015</w:t>
      </w:r>
      <w:bookmarkEnd w:id="17"/>
    </w:p>
    <w:p w14:paraId="71EC1673" w14:textId="31BE53C4" w:rsidR="000B183F" w:rsidRPr="0069631A" w:rsidRDefault="000B183F" w:rsidP="0069631A">
      <w:pPr>
        <w:spacing w:line="360" w:lineRule="auto"/>
        <w:jc w:val="both"/>
        <w:rPr>
          <w:rFonts w:ascii="Arial" w:hAnsi="Arial" w:cs="Arial"/>
          <w:sz w:val="24"/>
          <w:szCs w:val="24"/>
        </w:rPr>
      </w:pPr>
      <w:r w:rsidRPr="0069631A">
        <w:rPr>
          <w:rFonts w:ascii="Arial" w:hAnsi="Arial" w:cs="Arial"/>
          <w:sz w:val="24"/>
          <w:szCs w:val="24"/>
        </w:rPr>
        <w:t>The main regulation for health and safety in construction in the UK is the Construction (Design and Management) Regulations 2015 (CDM 2015). Health and safety should be planned, managed and monitored throughout the project life cycle (HSE, 2015).</w:t>
      </w:r>
    </w:p>
    <w:p w14:paraId="361E0BCF" w14:textId="0A1FF2A1" w:rsidR="00832380" w:rsidRPr="0069631A" w:rsidRDefault="00F15315" w:rsidP="0069631A">
      <w:pPr>
        <w:pStyle w:val="Heading1"/>
        <w:spacing w:line="360" w:lineRule="auto"/>
        <w:jc w:val="both"/>
        <w:rPr>
          <w:rFonts w:ascii="Arial" w:hAnsi="Arial" w:cs="Arial"/>
          <w:sz w:val="24"/>
          <w:szCs w:val="24"/>
        </w:rPr>
      </w:pPr>
      <w:bookmarkStart w:id="18" w:name="_Toc228975604"/>
      <w:r w:rsidRPr="0069631A">
        <w:rPr>
          <w:rFonts w:ascii="Arial" w:hAnsi="Arial" w:cs="Arial"/>
          <w:sz w:val="24"/>
          <w:szCs w:val="24"/>
        </w:rPr>
        <w:t>4.1 Application of CDM 2015.</w:t>
      </w:r>
      <w:bookmarkEnd w:id="18"/>
    </w:p>
    <w:p w14:paraId="757B094E" w14:textId="77777777" w:rsidR="00832380" w:rsidRPr="0069631A" w:rsidRDefault="00832380" w:rsidP="0069631A">
      <w:pPr>
        <w:spacing w:line="360" w:lineRule="auto"/>
        <w:jc w:val="both"/>
        <w:rPr>
          <w:rFonts w:ascii="Arial" w:hAnsi="Arial" w:cs="Arial"/>
          <w:sz w:val="24"/>
          <w:szCs w:val="24"/>
        </w:rPr>
      </w:pPr>
      <w:r w:rsidRPr="0069631A">
        <w:rPr>
          <w:rFonts w:ascii="Arial" w:hAnsi="Arial" w:cs="Arial"/>
          <w:sz w:val="24"/>
          <w:szCs w:val="24"/>
        </w:rPr>
        <w:t xml:space="preserve">As the Croft Street Block 2 retrofit is construction work on an existing high-rise residential building, CDM 2015 applies in full. The Regulations:  </w:t>
      </w:r>
    </w:p>
    <w:p w14:paraId="36C7606E" w14:textId="77777777" w:rsidR="00832380" w:rsidRPr="0069631A" w:rsidRDefault="00832380" w:rsidP="0069631A">
      <w:pPr>
        <w:pStyle w:val="ListParagraph"/>
        <w:numPr>
          <w:ilvl w:val="0"/>
          <w:numId w:val="86"/>
        </w:numPr>
        <w:spacing w:line="360" w:lineRule="auto"/>
        <w:jc w:val="both"/>
        <w:rPr>
          <w:rFonts w:ascii="Arial" w:hAnsi="Arial" w:cs="Arial"/>
          <w:sz w:val="24"/>
          <w:szCs w:val="24"/>
        </w:rPr>
      </w:pPr>
      <w:r w:rsidRPr="0069631A">
        <w:rPr>
          <w:rFonts w:ascii="Arial" w:hAnsi="Arial" w:cs="Arial"/>
          <w:sz w:val="24"/>
          <w:szCs w:val="24"/>
        </w:rPr>
        <w:t>Integrate safety into the design, planning and construction.</w:t>
      </w:r>
    </w:p>
    <w:p w14:paraId="4BECC508" w14:textId="77777777" w:rsidR="00832380" w:rsidRPr="0069631A" w:rsidRDefault="00832380" w:rsidP="0069631A">
      <w:pPr>
        <w:pStyle w:val="ListParagraph"/>
        <w:numPr>
          <w:ilvl w:val="0"/>
          <w:numId w:val="86"/>
        </w:numPr>
        <w:spacing w:line="360" w:lineRule="auto"/>
        <w:jc w:val="both"/>
        <w:rPr>
          <w:rFonts w:ascii="Arial" w:hAnsi="Arial" w:cs="Arial"/>
          <w:sz w:val="24"/>
          <w:szCs w:val="24"/>
        </w:rPr>
      </w:pPr>
      <w:r w:rsidRPr="0069631A">
        <w:rPr>
          <w:rFonts w:ascii="Arial" w:hAnsi="Arial" w:cs="Arial"/>
          <w:sz w:val="24"/>
          <w:szCs w:val="24"/>
        </w:rPr>
        <w:t>Competent duty holders</w:t>
      </w:r>
    </w:p>
    <w:p w14:paraId="4CB6414E" w14:textId="77777777" w:rsidR="00832380" w:rsidRPr="0069631A" w:rsidRDefault="00832380" w:rsidP="0069631A">
      <w:pPr>
        <w:pStyle w:val="ListParagraph"/>
        <w:numPr>
          <w:ilvl w:val="0"/>
          <w:numId w:val="86"/>
        </w:numPr>
        <w:spacing w:line="360" w:lineRule="auto"/>
        <w:jc w:val="both"/>
        <w:rPr>
          <w:rFonts w:ascii="Arial" w:hAnsi="Arial" w:cs="Arial"/>
          <w:sz w:val="24"/>
          <w:szCs w:val="24"/>
        </w:rPr>
      </w:pPr>
      <w:r w:rsidRPr="0069631A">
        <w:rPr>
          <w:rFonts w:ascii="Arial" w:hAnsi="Arial" w:cs="Arial"/>
          <w:sz w:val="24"/>
          <w:szCs w:val="24"/>
        </w:rPr>
        <w:t>Aligned with the principles of the Building Safety Act 2022.</w:t>
      </w:r>
    </w:p>
    <w:p w14:paraId="08F77F6B" w14:textId="187E9F69" w:rsidR="00832380" w:rsidRPr="0069631A" w:rsidRDefault="00832380" w:rsidP="0069631A">
      <w:pPr>
        <w:spacing w:line="360" w:lineRule="auto"/>
        <w:jc w:val="both"/>
        <w:rPr>
          <w:rFonts w:ascii="Arial" w:hAnsi="Arial" w:cs="Arial"/>
          <w:sz w:val="24"/>
          <w:szCs w:val="24"/>
        </w:rPr>
      </w:pPr>
      <w:r w:rsidRPr="0069631A">
        <w:rPr>
          <w:rFonts w:ascii="Arial" w:hAnsi="Arial" w:cs="Arial"/>
          <w:sz w:val="24"/>
          <w:szCs w:val="24"/>
        </w:rPr>
        <w:t>Strong CDM compliance is needed to get gateway approvals and avoid enforcement action (Mark, 2026).</w:t>
      </w:r>
    </w:p>
    <w:p w14:paraId="0DC50A27" w14:textId="156068E6" w:rsidR="00A01926" w:rsidRPr="0069631A" w:rsidRDefault="00F15315" w:rsidP="0069631A">
      <w:pPr>
        <w:pStyle w:val="Heading1"/>
        <w:spacing w:line="360" w:lineRule="auto"/>
        <w:jc w:val="both"/>
        <w:rPr>
          <w:rFonts w:ascii="Arial" w:hAnsi="Arial" w:cs="Arial"/>
          <w:sz w:val="24"/>
          <w:szCs w:val="24"/>
        </w:rPr>
      </w:pPr>
      <w:bookmarkStart w:id="19" w:name="_Toc228975605"/>
      <w:r w:rsidRPr="0069631A">
        <w:rPr>
          <w:rFonts w:ascii="Arial" w:hAnsi="Arial" w:cs="Arial"/>
          <w:sz w:val="24"/>
          <w:szCs w:val="24"/>
        </w:rPr>
        <w:t>4.2 Appointment and Qualification of Officers</w:t>
      </w:r>
      <w:bookmarkEnd w:id="19"/>
    </w:p>
    <w:p w14:paraId="1C595224" w14:textId="77777777" w:rsidR="00A01926" w:rsidRPr="0069631A" w:rsidRDefault="00A01926" w:rsidP="0069631A">
      <w:pPr>
        <w:spacing w:line="360" w:lineRule="auto"/>
        <w:jc w:val="both"/>
        <w:rPr>
          <w:rFonts w:ascii="Arial" w:hAnsi="Arial" w:cs="Arial"/>
          <w:sz w:val="24"/>
          <w:szCs w:val="24"/>
        </w:rPr>
      </w:pPr>
      <w:r w:rsidRPr="0069631A">
        <w:rPr>
          <w:rFonts w:ascii="Arial" w:hAnsi="Arial" w:cs="Arial"/>
          <w:sz w:val="24"/>
          <w:szCs w:val="24"/>
        </w:rPr>
        <w:t>CDM requires:</w:t>
      </w:r>
    </w:p>
    <w:p w14:paraId="1CFF9C60" w14:textId="77777777" w:rsidR="00A01926" w:rsidRPr="0069631A" w:rsidRDefault="00A01926" w:rsidP="0069631A">
      <w:pPr>
        <w:pStyle w:val="ListParagraph"/>
        <w:numPr>
          <w:ilvl w:val="0"/>
          <w:numId w:val="87"/>
        </w:numPr>
        <w:spacing w:line="360" w:lineRule="auto"/>
        <w:jc w:val="both"/>
        <w:rPr>
          <w:rFonts w:ascii="Arial" w:hAnsi="Arial" w:cs="Arial"/>
          <w:sz w:val="24"/>
          <w:szCs w:val="24"/>
        </w:rPr>
      </w:pPr>
      <w:r w:rsidRPr="0069631A">
        <w:rPr>
          <w:rFonts w:ascii="Arial" w:hAnsi="Arial" w:cs="Arial"/>
          <w:sz w:val="24"/>
          <w:szCs w:val="24"/>
        </w:rPr>
        <w:t>Written appointments of Client, Principal Designer, Principal Contractor and contractors.</w:t>
      </w:r>
    </w:p>
    <w:p w14:paraId="585E704C" w14:textId="77777777" w:rsidR="00A01926" w:rsidRPr="0069631A" w:rsidRDefault="00A01926" w:rsidP="0069631A">
      <w:pPr>
        <w:pStyle w:val="ListParagraph"/>
        <w:numPr>
          <w:ilvl w:val="0"/>
          <w:numId w:val="87"/>
        </w:numPr>
        <w:spacing w:line="360" w:lineRule="auto"/>
        <w:jc w:val="both"/>
        <w:rPr>
          <w:rFonts w:ascii="Arial" w:hAnsi="Arial" w:cs="Arial"/>
          <w:sz w:val="24"/>
          <w:szCs w:val="24"/>
        </w:rPr>
      </w:pPr>
      <w:r w:rsidRPr="0069631A">
        <w:rPr>
          <w:rFonts w:ascii="Arial" w:hAnsi="Arial" w:cs="Arial"/>
          <w:sz w:val="24"/>
          <w:szCs w:val="24"/>
        </w:rPr>
        <w:t>Demonstrating organisational capacity, skills, knowledge, experience.</w:t>
      </w:r>
    </w:p>
    <w:p w14:paraId="71A04D55" w14:textId="6CDF94DA" w:rsidR="00A01926" w:rsidRPr="0069631A" w:rsidRDefault="00A01926" w:rsidP="0069631A">
      <w:pPr>
        <w:spacing w:line="360" w:lineRule="auto"/>
        <w:jc w:val="both"/>
        <w:rPr>
          <w:rFonts w:ascii="Arial" w:hAnsi="Arial" w:cs="Arial"/>
          <w:sz w:val="24"/>
          <w:szCs w:val="24"/>
        </w:rPr>
      </w:pPr>
      <w:r w:rsidRPr="0069631A">
        <w:rPr>
          <w:rFonts w:ascii="Arial" w:hAnsi="Arial" w:cs="Arial"/>
          <w:sz w:val="24"/>
          <w:szCs w:val="24"/>
        </w:rPr>
        <w:t xml:space="preserve">The increased risk of fire, height and resident exposure means clear accountability is essential (SteveWalsh@ansteyhorne.co. </w:t>
      </w:r>
      <w:proofErr w:type="spellStart"/>
      <w:r w:rsidRPr="0069631A">
        <w:rPr>
          <w:rFonts w:ascii="Arial" w:hAnsi="Arial" w:cs="Arial"/>
          <w:sz w:val="24"/>
          <w:szCs w:val="24"/>
        </w:rPr>
        <w:t>uk</w:t>
      </w:r>
      <w:proofErr w:type="spellEnd"/>
      <w:r w:rsidRPr="0069631A">
        <w:rPr>
          <w:rFonts w:ascii="Arial" w:hAnsi="Arial" w:cs="Arial"/>
          <w:sz w:val="24"/>
          <w:szCs w:val="24"/>
        </w:rPr>
        <w:t>, 2025).</w:t>
      </w:r>
    </w:p>
    <w:p w14:paraId="21796533" w14:textId="76F79BE4" w:rsidR="009F5148" w:rsidRPr="0069631A" w:rsidRDefault="00F15315" w:rsidP="0069631A">
      <w:pPr>
        <w:pStyle w:val="Heading1"/>
        <w:spacing w:line="360" w:lineRule="auto"/>
        <w:jc w:val="both"/>
        <w:rPr>
          <w:rFonts w:ascii="Arial" w:hAnsi="Arial" w:cs="Arial"/>
          <w:sz w:val="24"/>
          <w:szCs w:val="24"/>
        </w:rPr>
      </w:pPr>
      <w:bookmarkStart w:id="20" w:name="_Toc228975606"/>
      <w:r w:rsidRPr="0069631A">
        <w:rPr>
          <w:rFonts w:ascii="Arial" w:hAnsi="Arial" w:cs="Arial"/>
          <w:sz w:val="24"/>
          <w:szCs w:val="24"/>
        </w:rPr>
        <w:lastRenderedPageBreak/>
        <w:t>4.3 Construction Phase Plan</w:t>
      </w:r>
      <w:bookmarkEnd w:id="20"/>
      <w:r w:rsidRPr="0069631A">
        <w:rPr>
          <w:rFonts w:ascii="Arial" w:hAnsi="Arial" w:cs="Arial"/>
          <w:sz w:val="24"/>
          <w:szCs w:val="24"/>
        </w:rPr>
        <w:t xml:space="preserve"> </w:t>
      </w:r>
    </w:p>
    <w:p w14:paraId="1311AAD9" w14:textId="3E0ED071" w:rsidR="009F5148" w:rsidRPr="0069631A" w:rsidRDefault="009F5148" w:rsidP="0069631A">
      <w:pPr>
        <w:spacing w:line="360" w:lineRule="auto"/>
        <w:jc w:val="both"/>
        <w:rPr>
          <w:rFonts w:ascii="Arial" w:hAnsi="Arial" w:cs="Arial"/>
          <w:sz w:val="24"/>
          <w:szCs w:val="24"/>
        </w:rPr>
      </w:pPr>
      <w:r w:rsidRPr="0069631A">
        <w:rPr>
          <w:rFonts w:ascii="Arial" w:hAnsi="Arial" w:cs="Arial"/>
          <w:sz w:val="24"/>
          <w:szCs w:val="24"/>
        </w:rPr>
        <w:t>A site-specific Construction Phase Plan must be prepared before works commence. It is,</w:t>
      </w:r>
    </w:p>
    <w:p w14:paraId="470967AC" w14:textId="77777777" w:rsidR="009F5148" w:rsidRPr="0069631A" w:rsidRDefault="009F5148" w:rsidP="0069631A">
      <w:pPr>
        <w:pStyle w:val="ListParagraph"/>
        <w:numPr>
          <w:ilvl w:val="0"/>
          <w:numId w:val="88"/>
        </w:numPr>
        <w:spacing w:line="360" w:lineRule="auto"/>
        <w:jc w:val="both"/>
        <w:rPr>
          <w:rFonts w:ascii="Arial" w:hAnsi="Arial" w:cs="Arial"/>
          <w:sz w:val="24"/>
          <w:szCs w:val="24"/>
        </w:rPr>
      </w:pPr>
      <w:r w:rsidRPr="0069631A">
        <w:rPr>
          <w:rFonts w:ascii="Arial" w:hAnsi="Arial" w:cs="Arial"/>
          <w:sz w:val="24"/>
          <w:szCs w:val="24"/>
        </w:rPr>
        <w:t>Talk about working at height, fire safety, noise, dust and resident protection.</w:t>
      </w:r>
    </w:p>
    <w:p w14:paraId="22AC65A2" w14:textId="77777777" w:rsidR="009F5148" w:rsidRPr="0069631A" w:rsidRDefault="009F5148" w:rsidP="0069631A">
      <w:pPr>
        <w:pStyle w:val="ListParagraph"/>
        <w:numPr>
          <w:ilvl w:val="0"/>
          <w:numId w:val="88"/>
        </w:numPr>
        <w:spacing w:line="360" w:lineRule="auto"/>
        <w:jc w:val="both"/>
        <w:rPr>
          <w:rFonts w:ascii="Arial" w:hAnsi="Arial" w:cs="Arial"/>
          <w:sz w:val="24"/>
          <w:szCs w:val="24"/>
        </w:rPr>
      </w:pPr>
      <w:r w:rsidRPr="0069631A">
        <w:rPr>
          <w:rFonts w:ascii="Arial" w:hAnsi="Arial" w:cs="Arial"/>
          <w:sz w:val="24"/>
          <w:szCs w:val="24"/>
        </w:rPr>
        <w:t>Avoid generic documentation.</w:t>
      </w:r>
    </w:p>
    <w:p w14:paraId="66A5F202" w14:textId="77777777" w:rsidR="009F5148" w:rsidRPr="0069631A" w:rsidRDefault="009F5148" w:rsidP="0069631A">
      <w:pPr>
        <w:pStyle w:val="ListParagraph"/>
        <w:numPr>
          <w:ilvl w:val="0"/>
          <w:numId w:val="88"/>
        </w:numPr>
        <w:spacing w:line="360" w:lineRule="auto"/>
        <w:jc w:val="both"/>
        <w:rPr>
          <w:rFonts w:ascii="Arial" w:hAnsi="Arial" w:cs="Arial"/>
          <w:sz w:val="24"/>
          <w:szCs w:val="24"/>
        </w:rPr>
      </w:pPr>
      <w:r w:rsidRPr="0069631A">
        <w:rPr>
          <w:rFonts w:ascii="Arial" w:hAnsi="Arial" w:cs="Arial"/>
          <w:sz w:val="24"/>
          <w:szCs w:val="24"/>
        </w:rPr>
        <w:t>Survive and adapt to changing risks.</w:t>
      </w:r>
    </w:p>
    <w:p w14:paraId="3C7019DC" w14:textId="415B4D01" w:rsidR="009F5148" w:rsidRPr="0069631A" w:rsidRDefault="009F5148" w:rsidP="0069631A">
      <w:pPr>
        <w:spacing w:line="360" w:lineRule="auto"/>
        <w:jc w:val="both"/>
        <w:rPr>
          <w:rFonts w:ascii="Arial" w:hAnsi="Arial" w:cs="Arial"/>
          <w:sz w:val="24"/>
          <w:szCs w:val="24"/>
        </w:rPr>
      </w:pPr>
      <w:r w:rsidRPr="0069631A">
        <w:rPr>
          <w:rFonts w:ascii="Arial" w:hAnsi="Arial" w:cs="Arial"/>
          <w:sz w:val="24"/>
          <w:szCs w:val="24"/>
        </w:rPr>
        <w:t>CPP must meet CDM &amp; Gateway Two requirements (Parrott, 2025).</w:t>
      </w:r>
    </w:p>
    <w:p w14:paraId="2DC0184A" w14:textId="1DBF37B8" w:rsidR="000A1765" w:rsidRPr="0069631A" w:rsidRDefault="00F15315" w:rsidP="0069631A">
      <w:pPr>
        <w:pStyle w:val="Heading1"/>
        <w:spacing w:line="360" w:lineRule="auto"/>
        <w:jc w:val="both"/>
        <w:rPr>
          <w:rFonts w:ascii="Arial" w:hAnsi="Arial" w:cs="Arial"/>
          <w:sz w:val="24"/>
          <w:szCs w:val="24"/>
        </w:rPr>
      </w:pPr>
      <w:bookmarkStart w:id="21" w:name="_Toc228975607"/>
      <w:r w:rsidRPr="0069631A">
        <w:rPr>
          <w:rFonts w:ascii="Arial" w:hAnsi="Arial" w:cs="Arial"/>
          <w:sz w:val="24"/>
          <w:szCs w:val="24"/>
        </w:rPr>
        <w:t>4.4 Health and Safety File</w:t>
      </w:r>
      <w:bookmarkEnd w:id="21"/>
    </w:p>
    <w:p w14:paraId="31B347E6" w14:textId="072B8D51" w:rsidR="000A1765" w:rsidRPr="0069631A" w:rsidRDefault="000A1765" w:rsidP="0069631A">
      <w:pPr>
        <w:spacing w:line="360" w:lineRule="auto"/>
        <w:jc w:val="both"/>
        <w:rPr>
          <w:rFonts w:ascii="Arial" w:hAnsi="Arial" w:cs="Arial"/>
          <w:sz w:val="24"/>
          <w:szCs w:val="24"/>
        </w:rPr>
      </w:pPr>
      <w:r w:rsidRPr="0069631A">
        <w:rPr>
          <w:rFonts w:ascii="Arial" w:hAnsi="Arial" w:cs="Arial"/>
          <w:sz w:val="24"/>
          <w:szCs w:val="24"/>
        </w:rPr>
        <w:t>The Health and Safety File is to facilitate safe future occupation and maintenance and shall contain,</w:t>
      </w:r>
    </w:p>
    <w:p w14:paraId="69BCD726" w14:textId="77777777" w:rsidR="000A1765" w:rsidRPr="0069631A" w:rsidRDefault="000A1765" w:rsidP="0069631A">
      <w:pPr>
        <w:pStyle w:val="ListParagraph"/>
        <w:numPr>
          <w:ilvl w:val="0"/>
          <w:numId w:val="89"/>
        </w:numPr>
        <w:spacing w:line="360" w:lineRule="auto"/>
        <w:jc w:val="both"/>
        <w:rPr>
          <w:rFonts w:ascii="Arial" w:hAnsi="Arial" w:cs="Arial"/>
          <w:sz w:val="24"/>
          <w:szCs w:val="24"/>
        </w:rPr>
      </w:pPr>
      <w:r w:rsidRPr="0069631A">
        <w:rPr>
          <w:rFonts w:ascii="Arial" w:hAnsi="Arial" w:cs="Arial"/>
          <w:sz w:val="24"/>
          <w:szCs w:val="24"/>
        </w:rPr>
        <w:t>Residual risks and key design decisions.</w:t>
      </w:r>
    </w:p>
    <w:p w14:paraId="652D7B54" w14:textId="77777777" w:rsidR="000A1765" w:rsidRPr="0069631A" w:rsidRDefault="000A1765" w:rsidP="0069631A">
      <w:pPr>
        <w:pStyle w:val="ListParagraph"/>
        <w:numPr>
          <w:ilvl w:val="0"/>
          <w:numId w:val="89"/>
        </w:numPr>
        <w:spacing w:line="360" w:lineRule="auto"/>
        <w:jc w:val="both"/>
        <w:rPr>
          <w:rFonts w:ascii="Arial" w:hAnsi="Arial" w:cs="Arial"/>
          <w:sz w:val="24"/>
          <w:szCs w:val="24"/>
        </w:rPr>
      </w:pPr>
      <w:r w:rsidRPr="0069631A">
        <w:rPr>
          <w:rFonts w:ascii="Arial" w:hAnsi="Arial" w:cs="Arial"/>
          <w:sz w:val="24"/>
          <w:szCs w:val="24"/>
        </w:rPr>
        <w:t>Information about fire and structural safety.</w:t>
      </w:r>
    </w:p>
    <w:p w14:paraId="3FA4EF36" w14:textId="77777777" w:rsidR="000A1765" w:rsidRPr="0069631A" w:rsidRDefault="000A1765" w:rsidP="0069631A">
      <w:pPr>
        <w:pStyle w:val="ListParagraph"/>
        <w:numPr>
          <w:ilvl w:val="0"/>
          <w:numId w:val="89"/>
        </w:numPr>
        <w:spacing w:line="360" w:lineRule="auto"/>
        <w:jc w:val="both"/>
        <w:rPr>
          <w:rFonts w:ascii="Arial" w:hAnsi="Arial" w:cs="Arial"/>
          <w:sz w:val="24"/>
          <w:szCs w:val="24"/>
        </w:rPr>
      </w:pPr>
      <w:r w:rsidRPr="0069631A">
        <w:rPr>
          <w:rFonts w:ascii="Arial" w:hAnsi="Arial" w:cs="Arial"/>
          <w:sz w:val="24"/>
          <w:szCs w:val="24"/>
        </w:rPr>
        <w:t>The Building Safety Regulator controls the golden thread data.</w:t>
      </w:r>
    </w:p>
    <w:p w14:paraId="24E8FFAF" w14:textId="5FCC6754" w:rsidR="000A1765" w:rsidRPr="0069631A" w:rsidRDefault="000A1765" w:rsidP="0069631A">
      <w:pPr>
        <w:spacing w:line="360" w:lineRule="auto"/>
        <w:jc w:val="both"/>
        <w:rPr>
          <w:rFonts w:ascii="Arial" w:hAnsi="Arial" w:cs="Arial"/>
          <w:sz w:val="24"/>
          <w:szCs w:val="24"/>
        </w:rPr>
      </w:pPr>
      <w:r w:rsidRPr="0069631A">
        <w:rPr>
          <w:rFonts w:ascii="Arial" w:hAnsi="Arial" w:cs="Arial"/>
          <w:sz w:val="24"/>
          <w:szCs w:val="24"/>
        </w:rPr>
        <w:t>Effective handover enables the Accountable Person to manage safety (Mark, 2026).</w:t>
      </w:r>
    </w:p>
    <w:p w14:paraId="4365E9E3" w14:textId="52828D5C" w:rsidR="00574C6A" w:rsidRPr="0069631A" w:rsidRDefault="00F15315" w:rsidP="0069631A">
      <w:pPr>
        <w:pStyle w:val="Heading1"/>
        <w:spacing w:line="360" w:lineRule="auto"/>
        <w:jc w:val="both"/>
        <w:rPr>
          <w:rFonts w:ascii="Arial" w:hAnsi="Arial" w:cs="Arial"/>
          <w:sz w:val="24"/>
          <w:szCs w:val="24"/>
        </w:rPr>
      </w:pPr>
      <w:bookmarkStart w:id="22" w:name="_Toc228975608"/>
      <w:r w:rsidRPr="0069631A">
        <w:rPr>
          <w:rFonts w:ascii="Arial" w:hAnsi="Arial" w:cs="Arial"/>
          <w:sz w:val="24"/>
          <w:szCs w:val="24"/>
        </w:rPr>
        <w:t>4.5 Staff Engagement</w:t>
      </w:r>
      <w:bookmarkEnd w:id="22"/>
    </w:p>
    <w:p w14:paraId="42005FD7" w14:textId="77777777" w:rsidR="00574C6A" w:rsidRPr="0069631A" w:rsidRDefault="00574C6A" w:rsidP="0069631A">
      <w:pPr>
        <w:spacing w:line="360" w:lineRule="auto"/>
        <w:ind w:left="360"/>
        <w:jc w:val="both"/>
        <w:rPr>
          <w:rFonts w:ascii="Arial" w:hAnsi="Arial" w:cs="Arial"/>
          <w:sz w:val="24"/>
          <w:szCs w:val="24"/>
        </w:rPr>
      </w:pPr>
      <w:r w:rsidRPr="0069631A">
        <w:rPr>
          <w:rFonts w:ascii="Arial" w:hAnsi="Arial" w:cs="Arial"/>
          <w:sz w:val="24"/>
          <w:szCs w:val="24"/>
        </w:rPr>
        <w:t xml:space="preserve">Active engagement with workers encourages safety culture and compliance. CDM requirements: </w:t>
      </w:r>
    </w:p>
    <w:p w14:paraId="1E471A25" w14:textId="77777777" w:rsidR="00574C6A" w:rsidRPr="0069631A" w:rsidRDefault="00574C6A" w:rsidP="0069631A">
      <w:pPr>
        <w:pStyle w:val="ListParagraph"/>
        <w:numPr>
          <w:ilvl w:val="0"/>
          <w:numId w:val="90"/>
        </w:numPr>
        <w:spacing w:line="360" w:lineRule="auto"/>
        <w:jc w:val="both"/>
        <w:rPr>
          <w:rFonts w:ascii="Arial" w:hAnsi="Arial" w:cs="Arial"/>
          <w:sz w:val="24"/>
          <w:szCs w:val="24"/>
        </w:rPr>
      </w:pPr>
      <w:r w:rsidRPr="0069631A">
        <w:rPr>
          <w:rFonts w:ascii="Arial" w:hAnsi="Arial" w:cs="Arial"/>
          <w:sz w:val="24"/>
          <w:szCs w:val="24"/>
        </w:rPr>
        <w:t>Recognise hazards and controls at the work site.</w:t>
      </w:r>
    </w:p>
    <w:p w14:paraId="0EDCD5E6" w14:textId="77777777" w:rsidR="00574C6A" w:rsidRPr="0069631A" w:rsidRDefault="00574C6A" w:rsidP="0069631A">
      <w:pPr>
        <w:pStyle w:val="ListParagraph"/>
        <w:numPr>
          <w:ilvl w:val="0"/>
          <w:numId w:val="90"/>
        </w:numPr>
        <w:spacing w:line="360" w:lineRule="auto"/>
        <w:jc w:val="both"/>
        <w:rPr>
          <w:rFonts w:ascii="Arial" w:hAnsi="Arial" w:cs="Arial"/>
          <w:sz w:val="24"/>
          <w:szCs w:val="24"/>
        </w:rPr>
      </w:pPr>
      <w:r w:rsidRPr="0069631A">
        <w:rPr>
          <w:rFonts w:ascii="Arial" w:hAnsi="Arial" w:cs="Arial"/>
          <w:sz w:val="24"/>
          <w:szCs w:val="24"/>
        </w:rPr>
        <w:t>Briefings / toolbox talks</w:t>
      </w:r>
    </w:p>
    <w:p w14:paraId="2A906021" w14:textId="2CE601B9" w:rsidR="00574C6A" w:rsidRPr="0069631A" w:rsidRDefault="00574C6A" w:rsidP="0069631A">
      <w:pPr>
        <w:pStyle w:val="ListParagraph"/>
        <w:numPr>
          <w:ilvl w:val="0"/>
          <w:numId w:val="90"/>
        </w:numPr>
        <w:spacing w:line="360" w:lineRule="auto"/>
        <w:jc w:val="both"/>
        <w:rPr>
          <w:rFonts w:ascii="Arial" w:hAnsi="Arial" w:cs="Arial"/>
          <w:sz w:val="24"/>
          <w:szCs w:val="24"/>
        </w:rPr>
      </w:pPr>
      <w:r w:rsidRPr="0069631A">
        <w:rPr>
          <w:rFonts w:ascii="Arial" w:hAnsi="Arial" w:cs="Arial"/>
          <w:sz w:val="24"/>
          <w:szCs w:val="24"/>
        </w:rPr>
        <w:t>Good hazard and near-miss reporting systems (Mark, 2026).</w:t>
      </w:r>
    </w:p>
    <w:p w14:paraId="771198C1" w14:textId="18B56C48" w:rsidR="00C84833" w:rsidRPr="0069631A" w:rsidRDefault="00F15315" w:rsidP="0069631A">
      <w:pPr>
        <w:pStyle w:val="Heading1"/>
        <w:spacing w:line="360" w:lineRule="auto"/>
        <w:jc w:val="both"/>
        <w:rPr>
          <w:rFonts w:ascii="Arial" w:hAnsi="Arial" w:cs="Arial"/>
          <w:sz w:val="24"/>
          <w:szCs w:val="24"/>
        </w:rPr>
      </w:pPr>
      <w:bookmarkStart w:id="23" w:name="_Toc228975609"/>
      <w:r w:rsidRPr="0069631A">
        <w:rPr>
          <w:rFonts w:ascii="Arial" w:hAnsi="Arial" w:cs="Arial"/>
          <w:sz w:val="24"/>
          <w:szCs w:val="24"/>
        </w:rPr>
        <w:t>4.6 Coordination in an Occupied Building</w:t>
      </w:r>
      <w:bookmarkEnd w:id="23"/>
    </w:p>
    <w:p w14:paraId="116FAF8F" w14:textId="77777777" w:rsidR="00C84833" w:rsidRPr="0069631A" w:rsidRDefault="00C84833" w:rsidP="0069631A">
      <w:pPr>
        <w:spacing w:line="360" w:lineRule="auto"/>
        <w:jc w:val="both"/>
        <w:rPr>
          <w:rFonts w:ascii="Arial" w:hAnsi="Arial" w:cs="Arial"/>
          <w:sz w:val="24"/>
          <w:szCs w:val="24"/>
        </w:rPr>
      </w:pPr>
      <w:r w:rsidRPr="0069631A">
        <w:rPr>
          <w:rFonts w:ascii="Arial" w:hAnsi="Arial" w:cs="Arial"/>
          <w:sz w:val="24"/>
          <w:szCs w:val="24"/>
        </w:rPr>
        <w:t>Retrofit work in an occupied residential building is associated with the presence of additional risks. In order for coordination to be effective, it is required:</w:t>
      </w:r>
    </w:p>
    <w:p w14:paraId="018865B8" w14:textId="77777777" w:rsidR="00C84833" w:rsidRPr="0069631A" w:rsidRDefault="00C84833" w:rsidP="0069631A">
      <w:pPr>
        <w:pStyle w:val="ListParagraph"/>
        <w:numPr>
          <w:ilvl w:val="0"/>
          <w:numId w:val="91"/>
        </w:numPr>
        <w:spacing w:line="360" w:lineRule="auto"/>
        <w:jc w:val="both"/>
        <w:rPr>
          <w:rFonts w:ascii="Arial" w:hAnsi="Arial" w:cs="Arial"/>
          <w:sz w:val="24"/>
          <w:szCs w:val="24"/>
        </w:rPr>
      </w:pPr>
      <w:r w:rsidRPr="0069631A">
        <w:rPr>
          <w:rFonts w:ascii="Arial" w:hAnsi="Arial" w:cs="Arial"/>
          <w:sz w:val="24"/>
          <w:szCs w:val="24"/>
        </w:rPr>
        <w:t>Interaction with building management</w:t>
      </w:r>
    </w:p>
    <w:p w14:paraId="0BECC3FB" w14:textId="77777777" w:rsidR="00C84833" w:rsidRPr="0069631A" w:rsidRDefault="00C84833" w:rsidP="0069631A">
      <w:pPr>
        <w:pStyle w:val="ListParagraph"/>
        <w:numPr>
          <w:ilvl w:val="0"/>
          <w:numId w:val="91"/>
        </w:numPr>
        <w:spacing w:line="360" w:lineRule="auto"/>
        <w:jc w:val="both"/>
        <w:rPr>
          <w:rFonts w:ascii="Arial" w:hAnsi="Arial" w:cs="Arial"/>
          <w:sz w:val="24"/>
          <w:szCs w:val="24"/>
        </w:rPr>
      </w:pPr>
      <w:r w:rsidRPr="0069631A">
        <w:rPr>
          <w:rFonts w:ascii="Arial" w:hAnsi="Arial" w:cs="Arial"/>
          <w:sz w:val="24"/>
          <w:szCs w:val="24"/>
        </w:rPr>
        <w:t>Fire exits and emergency access routes protected</w:t>
      </w:r>
    </w:p>
    <w:p w14:paraId="12EC1A23" w14:textId="77777777" w:rsidR="00C84833" w:rsidRPr="0069631A" w:rsidRDefault="00C84833" w:rsidP="0069631A">
      <w:pPr>
        <w:pStyle w:val="ListParagraph"/>
        <w:numPr>
          <w:ilvl w:val="0"/>
          <w:numId w:val="91"/>
        </w:numPr>
        <w:spacing w:line="360" w:lineRule="auto"/>
        <w:jc w:val="both"/>
        <w:rPr>
          <w:rFonts w:ascii="Arial" w:hAnsi="Arial" w:cs="Arial"/>
          <w:sz w:val="24"/>
          <w:szCs w:val="24"/>
        </w:rPr>
      </w:pPr>
      <w:r w:rsidRPr="0069631A">
        <w:rPr>
          <w:rFonts w:ascii="Arial" w:hAnsi="Arial" w:cs="Arial"/>
          <w:sz w:val="24"/>
          <w:szCs w:val="24"/>
        </w:rPr>
        <w:t>Good resident communication to reduce complaints and risk.</w:t>
      </w:r>
    </w:p>
    <w:p w14:paraId="13D16FB2" w14:textId="1472CB40" w:rsidR="00C84833" w:rsidRPr="0069631A" w:rsidRDefault="00C84833" w:rsidP="0069631A">
      <w:pPr>
        <w:spacing w:line="360" w:lineRule="auto"/>
        <w:jc w:val="both"/>
        <w:rPr>
          <w:rFonts w:ascii="Arial" w:hAnsi="Arial" w:cs="Arial"/>
          <w:sz w:val="24"/>
          <w:szCs w:val="24"/>
        </w:rPr>
      </w:pPr>
      <w:r w:rsidRPr="0069631A">
        <w:rPr>
          <w:rFonts w:ascii="Arial" w:hAnsi="Arial" w:cs="Arial"/>
          <w:sz w:val="24"/>
          <w:szCs w:val="24"/>
        </w:rPr>
        <w:lastRenderedPageBreak/>
        <w:t>Well-coordinated planning protects residents and provides programme certainty (Mark, 2026)</w:t>
      </w:r>
    </w:p>
    <w:p w14:paraId="5CE27FC7" w14:textId="46271A50" w:rsidR="00FC655C" w:rsidRPr="0069631A" w:rsidRDefault="00F15315" w:rsidP="0069631A">
      <w:pPr>
        <w:pStyle w:val="Heading1"/>
        <w:spacing w:line="360" w:lineRule="auto"/>
        <w:jc w:val="both"/>
        <w:rPr>
          <w:rFonts w:ascii="Arial" w:hAnsi="Arial" w:cs="Arial"/>
          <w:sz w:val="24"/>
          <w:szCs w:val="24"/>
        </w:rPr>
      </w:pPr>
      <w:bookmarkStart w:id="24" w:name="_Toc228975610"/>
      <w:r w:rsidRPr="0069631A">
        <w:rPr>
          <w:rFonts w:ascii="Arial" w:hAnsi="Arial" w:cs="Arial"/>
          <w:sz w:val="24"/>
          <w:szCs w:val="24"/>
        </w:rPr>
        <w:t xml:space="preserve">5.0 </w:t>
      </w:r>
      <w:r w:rsidR="000934E1" w:rsidRPr="0069631A">
        <w:rPr>
          <w:rFonts w:ascii="Arial" w:hAnsi="Arial" w:cs="Arial"/>
          <w:sz w:val="24"/>
          <w:szCs w:val="24"/>
        </w:rPr>
        <w:t>Conclusion</w:t>
      </w:r>
      <w:bookmarkEnd w:id="24"/>
    </w:p>
    <w:p w14:paraId="4A15203F" w14:textId="4B937CFA" w:rsidR="00FC655C" w:rsidRPr="0069631A" w:rsidRDefault="00FC655C" w:rsidP="0069631A">
      <w:pPr>
        <w:spacing w:line="360" w:lineRule="auto"/>
        <w:jc w:val="both"/>
        <w:rPr>
          <w:rFonts w:ascii="Arial" w:hAnsi="Arial" w:cs="Arial"/>
          <w:sz w:val="24"/>
          <w:szCs w:val="24"/>
        </w:rPr>
      </w:pPr>
      <w:r w:rsidRPr="0069631A">
        <w:rPr>
          <w:rFonts w:ascii="Arial" w:hAnsi="Arial" w:cs="Arial"/>
          <w:sz w:val="24"/>
          <w:szCs w:val="24"/>
        </w:rPr>
        <w:t xml:space="preserve">The Croft Street Block 2 retrofit will be carried out in strict compliance with building safety, health and safety and CDM regulations. The golden thread through the project is to ensure safety, compliance and programme certainty where the successful delivery is </w:t>
      </w:r>
      <w:r w:rsidR="00A43127" w:rsidRPr="0069631A">
        <w:rPr>
          <w:rFonts w:ascii="Arial" w:hAnsi="Arial" w:cs="Arial"/>
          <w:sz w:val="24"/>
          <w:szCs w:val="24"/>
        </w:rPr>
        <w:t>relied</w:t>
      </w:r>
      <w:r w:rsidRPr="0069631A">
        <w:rPr>
          <w:rFonts w:ascii="Arial" w:hAnsi="Arial" w:cs="Arial"/>
          <w:sz w:val="24"/>
          <w:szCs w:val="24"/>
        </w:rPr>
        <w:t xml:space="preserve"> on early regulator engagement, strong risk management, competent duty holder appointments and effective co-ordination within an occupied building. UWTSD Construction will be able to complete this project safely by following these steps and in doing so meet its </w:t>
      </w:r>
      <w:r w:rsidR="00B24A09" w:rsidRPr="0069631A">
        <w:rPr>
          <w:rFonts w:ascii="Arial" w:hAnsi="Arial" w:cs="Arial"/>
          <w:sz w:val="24"/>
          <w:szCs w:val="24"/>
        </w:rPr>
        <w:t xml:space="preserve">legal </w:t>
      </w:r>
      <w:r w:rsidR="00533937" w:rsidRPr="0069631A">
        <w:rPr>
          <w:rFonts w:ascii="Arial" w:hAnsi="Arial" w:cs="Arial"/>
          <w:sz w:val="24"/>
          <w:szCs w:val="24"/>
        </w:rPr>
        <w:t>responsibilities</w:t>
      </w:r>
      <w:r w:rsidRPr="0069631A">
        <w:rPr>
          <w:rFonts w:ascii="Arial" w:hAnsi="Arial" w:cs="Arial"/>
          <w:sz w:val="24"/>
          <w:szCs w:val="24"/>
        </w:rPr>
        <w:t xml:space="preserve"> and contribute to the improvement of building safety standards in Wales.</w:t>
      </w:r>
    </w:p>
    <w:p w14:paraId="3BC8E86C" w14:textId="43AC7BD6" w:rsidR="00835F71" w:rsidRPr="0069631A" w:rsidRDefault="00630E5B" w:rsidP="0069631A">
      <w:pPr>
        <w:pStyle w:val="Heading1"/>
        <w:spacing w:line="360" w:lineRule="auto"/>
        <w:jc w:val="both"/>
        <w:rPr>
          <w:rFonts w:ascii="Arial" w:hAnsi="Arial" w:cs="Arial"/>
          <w:sz w:val="24"/>
          <w:szCs w:val="24"/>
        </w:rPr>
      </w:pPr>
      <w:bookmarkStart w:id="25" w:name="_Toc228975611"/>
      <w:r w:rsidRPr="0069631A">
        <w:rPr>
          <w:rFonts w:ascii="Arial" w:hAnsi="Arial" w:cs="Arial"/>
          <w:sz w:val="24"/>
          <w:szCs w:val="24"/>
        </w:rPr>
        <w:t xml:space="preserve">6.0. </w:t>
      </w:r>
      <w:r w:rsidR="00835F71" w:rsidRPr="0069631A">
        <w:rPr>
          <w:rFonts w:ascii="Arial" w:hAnsi="Arial" w:cs="Arial"/>
          <w:sz w:val="24"/>
          <w:szCs w:val="24"/>
        </w:rPr>
        <w:t>References</w:t>
      </w:r>
      <w:bookmarkEnd w:id="25"/>
    </w:p>
    <w:p w14:paraId="09570C4B" w14:textId="64403F35"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Financial Conduct Authority (FCA) (2015). </w:t>
      </w:r>
      <w:r w:rsidRPr="0069631A">
        <w:rPr>
          <w:rFonts w:ascii="Arial" w:hAnsi="Arial" w:cs="Arial"/>
          <w:i/>
          <w:iCs/>
          <w:sz w:val="24"/>
          <w:szCs w:val="24"/>
        </w:rPr>
        <w:t>Training and competence</w:t>
      </w:r>
      <w:r w:rsidRPr="0069631A">
        <w:rPr>
          <w:rFonts w:ascii="Arial" w:hAnsi="Arial" w:cs="Arial"/>
          <w:sz w:val="24"/>
          <w:szCs w:val="24"/>
        </w:rPr>
        <w:t xml:space="preserve">. [online] Available at: </w:t>
      </w:r>
      <w:hyperlink r:id="rId10" w:history="1">
        <w:r w:rsidR="000934E1" w:rsidRPr="0069631A">
          <w:rPr>
            <w:rStyle w:val="Hyperlink"/>
            <w:rFonts w:ascii="Arial" w:hAnsi="Arial" w:cs="Arial"/>
            <w:sz w:val="24"/>
            <w:szCs w:val="24"/>
          </w:rPr>
          <w:t>https://www.fca.org.uk/firms/training-competence</w:t>
        </w:r>
      </w:hyperlink>
      <w:r w:rsidRPr="0069631A">
        <w:rPr>
          <w:rFonts w:ascii="Arial" w:hAnsi="Arial" w:cs="Arial"/>
          <w:sz w:val="24"/>
          <w:szCs w:val="24"/>
        </w:rPr>
        <w:t>.</w:t>
      </w:r>
      <w:r w:rsidR="000934E1" w:rsidRPr="0069631A">
        <w:rPr>
          <w:rFonts w:ascii="Arial" w:hAnsi="Arial" w:cs="Arial"/>
          <w:sz w:val="24"/>
          <w:szCs w:val="24"/>
        </w:rPr>
        <w:t xml:space="preserve"> </w:t>
      </w:r>
    </w:p>
    <w:p w14:paraId="6B7F55A3" w14:textId="0255FF1B"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Frost, A. and Abuzaid, S. (2025). </w:t>
      </w:r>
      <w:r w:rsidRPr="0069631A">
        <w:rPr>
          <w:rFonts w:ascii="Arial" w:hAnsi="Arial" w:cs="Arial"/>
          <w:i/>
          <w:iCs/>
          <w:sz w:val="24"/>
          <w:szCs w:val="24"/>
        </w:rPr>
        <w:t>Building Safety in Wales</w:t>
      </w:r>
      <w:r w:rsidRPr="0069631A">
        <w:rPr>
          <w:rFonts w:ascii="Arial" w:hAnsi="Arial" w:cs="Arial"/>
          <w:sz w:val="24"/>
          <w:szCs w:val="24"/>
        </w:rPr>
        <w:t xml:space="preserve">. [online] CRS. Available at: </w:t>
      </w:r>
      <w:hyperlink r:id="rId11" w:history="1">
        <w:r w:rsidR="000934E1" w:rsidRPr="0069631A">
          <w:rPr>
            <w:rStyle w:val="Hyperlink"/>
            <w:rFonts w:ascii="Arial" w:hAnsi="Arial" w:cs="Arial"/>
            <w:sz w:val="24"/>
            <w:szCs w:val="24"/>
          </w:rPr>
          <w:t>https://www.charlesrussellspeechlys.com/en/insights/expert-insights/construction-engineering-and-projects/2025/building-safety-in-wales/</w:t>
        </w:r>
      </w:hyperlink>
      <w:r w:rsidRPr="0069631A">
        <w:rPr>
          <w:rFonts w:ascii="Arial" w:hAnsi="Arial" w:cs="Arial"/>
          <w:sz w:val="24"/>
          <w:szCs w:val="24"/>
        </w:rPr>
        <w:t>.</w:t>
      </w:r>
      <w:r w:rsidR="000934E1" w:rsidRPr="0069631A">
        <w:rPr>
          <w:rFonts w:ascii="Arial" w:hAnsi="Arial" w:cs="Arial"/>
          <w:sz w:val="24"/>
          <w:szCs w:val="24"/>
        </w:rPr>
        <w:t xml:space="preserve"> </w:t>
      </w:r>
    </w:p>
    <w:p w14:paraId="0F05377E" w14:textId="10704DD3"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Gard, R. (2025). </w:t>
      </w:r>
      <w:r w:rsidRPr="0069631A">
        <w:rPr>
          <w:rFonts w:ascii="Arial" w:hAnsi="Arial" w:cs="Arial"/>
          <w:i/>
          <w:iCs/>
          <w:sz w:val="24"/>
          <w:szCs w:val="24"/>
        </w:rPr>
        <w:t>Complete Guide to Work at Height Regulations 2005</w:t>
      </w:r>
      <w:r w:rsidRPr="0069631A">
        <w:rPr>
          <w:rFonts w:ascii="Arial" w:hAnsi="Arial" w:cs="Arial"/>
          <w:sz w:val="24"/>
          <w:szCs w:val="24"/>
        </w:rPr>
        <w:t xml:space="preserve">. [online] </w:t>
      </w:r>
      <w:proofErr w:type="spellStart"/>
      <w:r w:rsidRPr="0069631A">
        <w:rPr>
          <w:rFonts w:ascii="Arial" w:hAnsi="Arial" w:cs="Arial"/>
          <w:sz w:val="24"/>
          <w:szCs w:val="24"/>
        </w:rPr>
        <w:t>FallAngel</w:t>
      </w:r>
      <w:proofErr w:type="spellEnd"/>
      <w:r w:rsidRPr="0069631A">
        <w:rPr>
          <w:rFonts w:ascii="Arial" w:hAnsi="Arial" w:cs="Arial"/>
          <w:sz w:val="24"/>
          <w:szCs w:val="24"/>
        </w:rPr>
        <w:t xml:space="preserve">. Available at: </w:t>
      </w:r>
      <w:hyperlink r:id="rId12" w:history="1">
        <w:r w:rsidR="000934E1" w:rsidRPr="0069631A">
          <w:rPr>
            <w:rStyle w:val="Hyperlink"/>
            <w:rFonts w:ascii="Arial" w:hAnsi="Arial" w:cs="Arial"/>
            <w:sz w:val="24"/>
            <w:szCs w:val="24"/>
          </w:rPr>
          <w:t>https://fallangel.co.uk/complete-guide-to-work-at-height-regulations-2005/</w:t>
        </w:r>
      </w:hyperlink>
      <w:r w:rsidRPr="0069631A">
        <w:rPr>
          <w:rFonts w:ascii="Arial" w:hAnsi="Arial" w:cs="Arial"/>
          <w:sz w:val="24"/>
          <w:szCs w:val="24"/>
        </w:rPr>
        <w:t>.</w:t>
      </w:r>
      <w:r w:rsidR="000934E1" w:rsidRPr="0069631A">
        <w:rPr>
          <w:rFonts w:ascii="Arial" w:hAnsi="Arial" w:cs="Arial"/>
          <w:sz w:val="24"/>
          <w:szCs w:val="24"/>
        </w:rPr>
        <w:t xml:space="preserve"> </w:t>
      </w:r>
    </w:p>
    <w:p w14:paraId="562E9831" w14:textId="531166DD"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GOV.UK (2023). </w:t>
      </w:r>
      <w:r w:rsidRPr="0069631A">
        <w:rPr>
          <w:rFonts w:ascii="Arial" w:hAnsi="Arial" w:cs="Arial"/>
          <w:i/>
          <w:iCs/>
          <w:sz w:val="24"/>
          <w:szCs w:val="24"/>
        </w:rPr>
        <w:t>Understanding the golden thread – Making Buildings Safer</w:t>
      </w:r>
      <w:r w:rsidRPr="0069631A">
        <w:rPr>
          <w:rFonts w:ascii="Arial" w:hAnsi="Arial" w:cs="Arial"/>
          <w:sz w:val="24"/>
          <w:szCs w:val="24"/>
        </w:rPr>
        <w:t xml:space="preserve">. [online] Making Buildings Safer. Available at: </w:t>
      </w:r>
      <w:hyperlink r:id="rId13" w:history="1">
        <w:r w:rsidR="000934E1" w:rsidRPr="0069631A">
          <w:rPr>
            <w:rStyle w:val="Hyperlink"/>
            <w:rFonts w:ascii="Arial" w:hAnsi="Arial" w:cs="Arial"/>
            <w:sz w:val="24"/>
            <w:szCs w:val="24"/>
          </w:rPr>
          <w:t>https://buildingsafety.campaign.gov.uk/building-safety-regulator-making-buildings-safer/building-safety-regulator-news/understanding-the-golden-thread/</w:t>
        </w:r>
      </w:hyperlink>
      <w:r w:rsidRPr="0069631A">
        <w:rPr>
          <w:rFonts w:ascii="Arial" w:hAnsi="Arial" w:cs="Arial"/>
          <w:sz w:val="24"/>
          <w:szCs w:val="24"/>
        </w:rPr>
        <w:t>.</w:t>
      </w:r>
      <w:r w:rsidR="000934E1" w:rsidRPr="0069631A">
        <w:rPr>
          <w:rFonts w:ascii="Arial" w:hAnsi="Arial" w:cs="Arial"/>
          <w:sz w:val="24"/>
          <w:szCs w:val="24"/>
        </w:rPr>
        <w:t xml:space="preserve"> </w:t>
      </w:r>
    </w:p>
    <w:p w14:paraId="54916B36" w14:textId="1DB76313"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GOV.WALES (2023). </w:t>
      </w:r>
      <w:r w:rsidRPr="0069631A">
        <w:rPr>
          <w:rFonts w:ascii="Arial" w:hAnsi="Arial" w:cs="Arial"/>
          <w:i/>
          <w:iCs/>
          <w:sz w:val="24"/>
          <w:szCs w:val="24"/>
        </w:rPr>
        <w:t>Commencement of section 156 of the UK Building Safety Act 2022 in Wales</w:t>
      </w:r>
      <w:r w:rsidRPr="0069631A">
        <w:rPr>
          <w:rFonts w:ascii="Arial" w:hAnsi="Arial" w:cs="Arial"/>
          <w:sz w:val="24"/>
          <w:szCs w:val="24"/>
        </w:rPr>
        <w:t xml:space="preserve">. [online] Available at: </w:t>
      </w:r>
      <w:hyperlink r:id="rId14" w:history="1">
        <w:r w:rsidR="000934E1" w:rsidRPr="0069631A">
          <w:rPr>
            <w:rStyle w:val="Hyperlink"/>
            <w:rFonts w:ascii="Arial" w:hAnsi="Arial" w:cs="Arial"/>
            <w:sz w:val="24"/>
            <w:szCs w:val="24"/>
          </w:rPr>
          <w:t>https://www.gov.wales/commencement-section-156-uk-building-safety-act-2022-wales-html</w:t>
        </w:r>
      </w:hyperlink>
      <w:r w:rsidRPr="0069631A">
        <w:rPr>
          <w:rFonts w:ascii="Arial" w:hAnsi="Arial" w:cs="Arial"/>
          <w:sz w:val="24"/>
          <w:szCs w:val="24"/>
        </w:rPr>
        <w:t>.</w:t>
      </w:r>
      <w:r w:rsidR="000934E1" w:rsidRPr="0069631A">
        <w:rPr>
          <w:rFonts w:ascii="Arial" w:hAnsi="Arial" w:cs="Arial"/>
          <w:sz w:val="24"/>
          <w:szCs w:val="24"/>
        </w:rPr>
        <w:t xml:space="preserve"> </w:t>
      </w:r>
    </w:p>
    <w:p w14:paraId="69CAE788" w14:textId="2F1DC27B"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GOV.WALES (2025). </w:t>
      </w:r>
      <w:r w:rsidRPr="0069631A">
        <w:rPr>
          <w:rFonts w:ascii="Arial" w:hAnsi="Arial" w:cs="Arial"/>
          <w:i/>
          <w:iCs/>
          <w:sz w:val="24"/>
          <w:szCs w:val="24"/>
        </w:rPr>
        <w:t>Building Safety Programme</w:t>
      </w:r>
      <w:r w:rsidRPr="0069631A">
        <w:rPr>
          <w:rFonts w:ascii="Arial" w:hAnsi="Arial" w:cs="Arial"/>
          <w:sz w:val="24"/>
          <w:szCs w:val="24"/>
        </w:rPr>
        <w:t xml:space="preserve">. [online] Available at: </w:t>
      </w:r>
      <w:hyperlink r:id="rId15" w:history="1">
        <w:r w:rsidR="000934E1" w:rsidRPr="0069631A">
          <w:rPr>
            <w:rStyle w:val="Hyperlink"/>
            <w:rFonts w:ascii="Arial" w:hAnsi="Arial" w:cs="Arial"/>
            <w:sz w:val="24"/>
            <w:szCs w:val="24"/>
          </w:rPr>
          <w:t>https://www.gov.wales/building-safety-programme</w:t>
        </w:r>
      </w:hyperlink>
      <w:r w:rsidRPr="0069631A">
        <w:rPr>
          <w:rFonts w:ascii="Arial" w:hAnsi="Arial" w:cs="Arial"/>
          <w:sz w:val="24"/>
          <w:szCs w:val="24"/>
        </w:rPr>
        <w:t>.</w:t>
      </w:r>
      <w:r w:rsidR="000934E1" w:rsidRPr="0069631A">
        <w:rPr>
          <w:rFonts w:ascii="Arial" w:hAnsi="Arial" w:cs="Arial"/>
          <w:sz w:val="24"/>
          <w:szCs w:val="24"/>
        </w:rPr>
        <w:t xml:space="preserve"> </w:t>
      </w:r>
    </w:p>
    <w:p w14:paraId="28214258" w14:textId="48E4ABF5"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lastRenderedPageBreak/>
        <w:t xml:space="preserve">Health and Safety Executive (HSE) (2015). </w:t>
      </w:r>
      <w:r w:rsidRPr="0069631A">
        <w:rPr>
          <w:rFonts w:ascii="Arial" w:hAnsi="Arial" w:cs="Arial"/>
          <w:i/>
          <w:iCs/>
          <w:sz w:val="24"/>
          <w:szCs w:val="24"/>
        </w:rPr>
        <w:t>The Construction (Design and Management) Regulations 2015: Overview</w:t>
      </w:r>
      <w:r w:rsidRPr="0069631A">
        <w:rPr>
          <w:rFonts w:ascii="Arial" w:hAnsi="Arial" w:cs="Arial"/>
          <w:sz w:val="24"/>
          <w:szCs w:val="24"/>
        </w:rPr>
        <w:t xml:space="preserve">. [online] Available at: </w:t>
      </w:r>
      <w:hyperlink r:id="rId16" w:history="1">
        <w:r w:rsidR="000934E1" w:rsidRPr="0069631A">
          <w:rPr>
            <w:rStyle w:val="Hyperlink"/>
            <w:rFonts w:ascii="Arial" w:hAnsi="Arial" w:cs="Arial"/>
            <w:sz w:val="24"/>
            <w:szCs w:val="24"/>
          </w:rPr>
          <w:t>https://www.hse.gov.uk/construction/cdm/2015/overview.htm</w:t>
        </w:r>
      </w:hyperlink>
      <w:r w:rsidRPr="0069631A">
        <w:rPr>
          <w:rFonts w:ascii="Arial" w:hAnsi="Arial" w:cs="Arial"/>
          <w:sz w:val="24"/>
          <w:szCs w:val="24"/>
        </w:rPr>
        <w:t>.</w:t>
      </w:r>
      <w:r w:rsidR="000934E1" w:rsidRPr="0069631A">
        <w:rPr>
          <w:rFonts w:ascii="Arial" w:hAnsi="Arial" w:cs="Arial"/>
          <w:sz w:val="24"/>
          <w:szCs w:val="24"/>
        </w:rPr>
        <w:t xml:space="preserve"> </w:t>
      </w:r>
    </w:p>
    <w:p w14:paraId="1EFB0010" w14:textId="6658804B"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Health and Safety Executive (HSE) (2023). </w:t>
      </w:r>
      <w:r w:rsidRPr="0069631A">
        <w:rPr>
          <w:rFonts w:ascii="Arial" w:hAnsi="Arial" w:cs="Arial"/>
          <w:i/>
          <w:iCs/>
          <w:sz w:val="24"/>
          <w:szCs w:val="24"/>
        </w:rPr>
        <w:t>Information about health and safety at work</w:t>
      </w:r>
      <w:r w:rsidRPr="0069631A">
        <w:rPr>
          <w:rFonts w:ascii="Arial" w:hAnsi="Arial" w:cs="Arial"/>
          <w:sz w:val="24"/>
          <w:szCs w:val="24"/>
        </w:rPr>
        <w:t xml:space="preserve">. [online] Available at: </w:t>
      </w:r>
      <w:hyperlink r:id="rId17" w:history="1">
        <w:r w:rsidR="000934E1" w:rsidRPr="0069631A">
          <w:rPr>
            <w:rStyle w:val="Hyperlink"/>
            <w:rFonts w:ascii="Arial" w:hAnsi="Arial" w:cs="Arial"/>
            <w:sz w:val="24"/>
            <w:szCs w:val="24"/>
          </w:rPr>
          <w:t>https://www.hse.gov.uk/</w:t>
        </w:r>
      </w:hyperlink>
      <w:r w:rsidRPr="0069631A">
        <w:rPr>
          <w:rFonts w:ascii="Arial" w:hAnsi="Arial" w:cs="Arial"/>
          <w:sz w:val="24"/>
          <w:szCs w:val="24"/>
        </w:rPr>
        <w:t>.</w:t>
      </w:r>
      <w:r w:rsidR="000934E1" w:rsidRPr="0069631A">
        <w:rPr>
          <w:rFonts w:ascii="Arial" w:hAnsi="Arial" w:cs="Arial"/>
          <w:sz w:val="24"/>
          <w:szCs w:val="24"/>
        </w:rPr>
        <w:t xml:space="preserve"> </w:t>
      </w:r>
    </w:p>
    <w:p w14:paraId="1E3E3457" w14:textId="0AC2E60F"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Legislation.gov.uk (2022). </w:t>
      </w:r>
      <w:r w:rsidRPr="0069631A">
        <w:rPr>
          <w:rFonts w:ascii="Arial" w:hAnsi="Arial" w:cs="Arial"/>
          <w:i/>
          <w:iCs/>
          <w:sz w:val="24"/>
          <w:szCs w:val="24"/>
        </w:rPr>
        <w:t>Building Safety Act 2022</w:t>
      </w:r>
      <w:r w:rsidRPr="0069631A">
        <w:rPr>
          <w:rFonts w:ascii="Arial" w:hAnsi="Arial" w:cs="Arial"/>
          <w:sz w:val="24"/>
          <w:szCs w:val="24"/>
        </w:rPr>
        <w:t xml:space="preserve">. [online] Available at: </w:t>
      </w:r>
      <w:hyperlink r:id="rId18" w:history="1">
        <w:r w:rsidR="000934E1" w:rsidRPr="0069631A">
          <w:rPr>
            <w:rStyle w:val="Hyperlink"/>
            <w:rFonts w:ascii="Arial" w:hAnsi="Arial" w:cs="Arial"/>
            <w:sz w:val="24"/>
            <w:szCs w:val="24"/>
          </w:rPr>
          <w:t>https://www.legislation.gov.uk/ukpga/2022/30</w:t>
        </w:r>
      </w:hyperlink>
      <w:r w:rsidRPr="0069631A">
        <w:rPr>
          <w:rFonts w:ascii="Arial" w:hAnsi="Arial" w:cs="Arial"/>
          <w:sz w:val="24"/>
          <w:szCs w:val="24"/>
        </w:rPr>
        <w:t>.</w:t>
      </w:r>
      <w:r w:rsidR="000934E1" w:rsidRPr="0069631A">
        <w:rPr>
          <w:rFonts w:ascii="Arial" w:hAnsi="Arial" w:cs="Arial"/>
          <w:sz w:val="24"/>
          <w:szCs w:val="24"/>
        </w:rPr>
        <w:t xml:space="preserve"> </w:t>
      </w:r>
    </w:p>
    <w:p w14:paraId="536AAEDE" w14:textId="4FAB1E88"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Legislation.gov.uk (2025). </w:t>
      </w:r>
      <w:r w:rsidRPr="0069631A">
        <w:rPr>
          <w:rFonts w:ascii="Arial" w:hAnsi="Arial" w:cs="Arial"/>
          <w:i/>
          <w:iCs/>
          <w:sz w:val="24"/>
          <w:szCs w:val="24"/>
        </w:rPr>
        <w:t xml:space="preserve">The </w:t>
      </w:r>
      <w:proofErr w:type="gramStart"/>
      <w:r w:rsidRPr="0069631A">
        <w:rPr>
          <w:rFonts w:ascii="Arial" w:hAnsi="Arial" w:cs="Arial"/>
          <w:i/>
          <w:iCs/>
          <w:sz w:val="24"/>
          <w:szCs w:val="24"/>
        </w:rPr>
        <w:t>Building</w:t>
      </w:r>
      <w:proofErr w:type="gramEnd"/>
      <w:r w:rsidRPr="0069631A">
        <w:rPr>
          <w:rFonts w:ascii="Arial" w:hAnsi="Arial" w:cs="Arial"/>
          <w:i/>
          <w:iCs/>
          <w:sz w:val="24"/>
          <w:szCs w:val="24"/>
        </w:rPr>
        <w:t xml:space="preserve"> (Higher Risk Buildings Procedures) (Wales) Regulations 2025</w:t>
      </w:r>
      <w:r w:rsidRPr="0069631A">
        <w:rPr>
          <w:rFonts w:ascii="Arial" w:hAnsi="Arial" w:cs="Arial"/>
          <w:sz w:val="24"/>
          <w:szCs w:val="24"/>
        </w:rPr>
        <w:t xml:space="preserve">. [online] Available at: </w:t>
      </w:r>
      <w:hyperlink r:id="rId19" w:history="1">
        <w:r w:rsidR="000934E1" w:rsidRPr="0069631A">
          <w:rPr>
            <w:rStyle w:val="Hyperlink"/>
            <w:rFonts w:ascii="Arial" w:hAnsi="Arial" w:cs="Arial"/>
            <w:sz w:val="24"/>
            <w:szCs w:val="24"/>
          </w:rPr>
          <w:t>https://www.legislation.gov.uk/wsi/2025/1321/body/made</w:t>
        </w:r>
      </w:hyperlink>
      <w:r w:rsidRPr="0069631A">
        <w:rPr>
          <w:rFonts w:ascii="Arial" w:hAnsi="Arial" w:cs="Arial"/>
          <w:sz w:val="24"/>
          <w:szCs w:val="24"/>
        </w:rPr>
        <w:t>.</w:t>
      </w:r>
      <w:r w:rsidR="000934E1" w:rsidRPr="0069631A">
        <w:rPr>
          <w:rFonts w:ascii="Arial" w:hAnsi="Arial" w:cs="Arial"/>
          <w:sz w:val="24"/>
          <w:szCs w:val="24"/>
        </w:rPr>
        <w:t xml:space="preserve"> </w:t>
      </w:r>
    </w:p>
    <w:p w14:paraId="3EC35C81" w14:textId="66158570"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Mark (2026). </w:t>
      </w:r>
      <w:r w:rsidRPr="0069631A">
        <w:rPr>
          <w:rFonts w:ascii="Arial" w:hAnsi="Arial" w:cs="Arial"/>
          <w:i/>
          <w:iCs/>
          <w:sz w:val="24"/>
          <w:szCs w:val="24"/>
        </w:rPr>
        <w:t>CDM 2015 Compliance in the Post Building Safety Act Era</w:t>
      </w:r>
      <w:r w:rsidRPr="0069631A">
        <w:rPr>
          <w:rFonts w:ascii="Arial" w:hAnsi="Arial" w:cs="Arial"/>
          <w:sz w:val="24"/>
          <w:szCs w:val="24"/>
        </w:rPr>
        <w:t xml:space="preserve">. [online] The Building Safety Group. Available at: </w:t>
      </w:r>
      <w:hyperlink r:id="rId20" w:history="1">
        <w:r w:rsidR="000934E1" w:rsidRPr="0069631A">
          <w:rPr>
            <w:rStyle w:val="Hyperlink"/>
            <w:rFonts w:ascii="Arial" w:hAnsi="Arial" w:cs="Arial"/>
            <w:sz w:val="24"/>
            <w:szCs w:val="24"/>
          </w:rPr>
          <w:t>https://www.bsgltd.co.uk/news/cdm-2015-compliance-in-the-post-building-safety-act-era/</w:t>
        </w:r>
      </w:hyperlink>
      <w:r w:rsidR="000934E1" w:rsidRPr="0069631A">
        <w:rPr>
          <w:rFonts w:ascii="Arial" w:hAnsi="Arial" w:cs="Arial"/>
          <w:sz w:val="24"/>
          <w:szCs w:val="24"/>
        </w:rPr>
        <w:t xml:space="preserve"> </w:t>
      </w:r>
      <w:r w:rsidRPr="0069631A">
        <w:rPr>
          <w:rFonts w:ascii="Arial" w:hAnsi="Arial" w:cs="Arial"/>
          <w:sz w:val="24"/>
          <w:szCs w:val="24"/>
        </w:rPr>
        <w:t xml:space="preserve"> [Accessed 1 May 2026].</w:t>
      </w:r>
    </w:p>
    <w:p w14:paraId="67C0A33E" w14:textId="3F990F43"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Parrott, K. (2025). </w:t>
      </w:r>
      <w:r w:rsidRPr="0069631A">
        <w:rPr>
          <w:rFonts w:ascii="Arial" w:hAnsi="Arial" w:cs="Arial"/>
          <w:i/>
          <w:iCs/>
          <w:sz w:val="24"/>
          <w:szCs w:val="24"/>
        </w:rPr>
        <w:t xml:space="preserve">What is a Construction Phase Plan (CPP) and </w:t>
      </w:r>
      <w:proofErr w:type="gramStart"/>
      <w:r w:rsidRPr="0069631A">
        <w:rPr>
          <w:rFonts w:ascii="Arial" w:hAnsi="Arial" w:cs="Arial"/>
          <w:i/>
          <w:iCs/>
          <w:sz w:val="24"/>
          <w:szCs w:val="24"/>
        </w:rPr>
        <w:t>Why</w:t>
      </w:r>
      <w:proofErr w:type="gramEnd"/>
      <w:r w:rsidRPr="0069631A">
        <w:rPr>
          <w:rFonts w:ascii="Arial" w:hAnsi="Arial" w:cs="Arial"/>
          <w:i/>
          <w:iCs/>
          <w:sz w:val="24"/>
          <w:szCs w:val="24"/>
        </w:rPr>
        <w:t xml:space="preserve"> is it Important?</w:t>
      </w:r>
      <w:r w:rsidRPr="0069631A">
        <w:rPr>
          <w:rFonts w:ascii="Arial" w:hAnsi="Arial" w:cs="Arial"/>
          <w:sz w:val="24"/>
          <w:szCs w:val="24"/>
        </w:rPr>
        <w:t xml:space="preserve"> [online] CDM 2015 REGS. Available at: https://www.cdm2015regs.co.uk/construction-phase-plan-cdm-2015-guide/.</w:t>
      </w:r>
    </w:p>
    <w:p w14:paraId="64436E51" w14:textId="412302B5"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Planning Portal (n.d.). </w:t>
      </w:r>
      <w:r w:rsidRPr="0069631A">
        <w:rPr>
          <w:rFonts w:ascii="Arial" w:hAnsi="Arial" w:cs="Arial"/>
          <w:i/>
          <w:iCs/>
          <w:sz w:val="24"/>
          <w:szCs w:val="24"/>
        </w:rPr>
        <w:t>Purpose of Planning Gateway One</w:t>
      </w:r>
      <w:r w:rsidRPr="0069631A">
        <w:rPr>
          <w:rFonts w:ascii="Arial" w:hAnsi="Arial" w:cs="Arial"/>
          <w:sz w:val="24"/>
          <w:szCs w:val="24"/>
        </w:rPr>
        <w:t xml:space="preserve">. [online] Available at: </w:t>
      </w:r>
      <w:hyperlink r:id="rId21" w:history="1">
        <w:r w:rsidR="000934E1" w:rsidRPr="0069631A">
          <w:rPr>
            <w:rStyle w:val="Hyperlink"/>
            <w:rFonts w:ascii="Arial" w:hAnsi="Arial" w:cs="Arial"/>
            <w:sz w:val="24"/>
            <w:szCs w:val="24"/>
          </w:rPr>
          <w:t>https://www.planningportal.co.uk/planning/planning-and-fire-safety/planning-gateway-one-summary/purpose-of-planning-gateway-one</w:t>
        </w:r>
      </w:hyperlink>
      <w:r w:rsidRPr="0069631A">
        <w:rPr>
          <w:rFonts w:ascii="Arial" w:hAnsi="Arial" w:cs="Arial"/>
          <w:sz w:val="24"/>
          <w:szCs w:val="24"/>
        </w:rPr>
        <w:t>.</w:t>
      </w:r>
      <w:r w:rsidR="000934E1" w:rsidRPr="0069631A">
        <w:rPr>
          <w:rFonts w:ascii="Arial" w:hAnsi="Arial" w:cs="Arial"/>
          <w:sz w:val="24"/>
          <w:szCs w:val="24"/>
        </w:rPr>
        <w:t xml:space="preserve"> </w:t>
      </w:r>
    </w:p>
    <w:p w14:paraId="09EC0FBE" w14:textId="2B0B1E92"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Ryder, A. (2025). </w:t>
      </w:r>
      <w:r w:rsidRPr="0069631A">
        <w:rPr>
          <w:rFonts w:ascii="Arial" w:hAnsi="Arial" w:cs="Arial"/>
          <w:i/>
          <w:iCs/>
          <w:sz w:val="24"/>
          <w:szCs w:val="24"/>
        </w:rPr>
        <w:t>Health and Safety at Work Act 1974 Explained</w:t>
      </w:r>
      <w:r w:rsidRPr="0069631A">
        <w:rPr>
          <w:rFonts w:ascii="Arial" w:hAnsi="Arial" w:cs="Arial"/>
          <w:sz w:val="24"/>
          <w:szCs w:val="24"/>
        </w:rPr>
        <w:t xml:space="preserve">. [online] Constructionline. Available at: </w:t>
      </w:r>
      <w:hyperlink r:id="rId22" w:history="1">
        <w:r w:rsidR="000934E1" w:rsidRPr="0069631A">
          <w:rPr>
            <w:rStyle w:val="Hyperlink"/>
            <w:rFonts w:ascii="Arial" w:hAnsi="Arial" w:cs="Arial"/>
            <w:sz w:val="24"/>
            <w:szCs w:val="24"/>
          </w:rPr>
          <w:t>https://www.constructionline.co.uk/insights/blog/health-and-safety-at-work-act-1974-regulations-explained/</w:t>
        </w:r>
      </w:hyperlink>
      <w:r w:rsidRPr="0069631A">
        <w:rPr>
          <w:rFonts w:ascii="Arial" w:hAnsi="Arial" w:cs="Arial"/>
          <w:sz w:val="24"/>
          <w:szCs w:val="24"/>
        </w:rPr>
        <w:t>.</w:t>
      </w:r>
      <w:r w:rsidR="000934E1" w:rsidRPr="0069631A">
        <w:rPr>
          <w:rFonts w:ascii="Arial" w:hAnsi="Arial" w:cs="Arial"/>
          <w:sz w:val="24"/>
          <w:szCs w:val="24"/>
        </w:rPr>
        <w:t xml:space="preserve"> </w:t>
      </w:r>
    </w:p>
    <w:p w14:paraId="4024983B" w14:textId="5FFB426D"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Steve Walsh (Anstey Horne) (2025). </w:t>
      </w:r>
      <w:r w:rsidRPr="0069631A">
        <w:rPr>
          <w:rFonts w:ascii="Arial" w:hAnsi="Arial" w:cs="Arial"/>
          <w:i/>
          <w:iCs/>
          <w:sz w:val="24"/>
          <w:szCs w:val="24"/>
        </w:rPr>
        <w:t xml:space="preserve">Building regulations </w:t>
      </w:r>
      <w:proofErr w:type="spellStart"/>
      <w:r w:rsidRPr="0069631A">
        <w:rPr>
          <w:rFonts w:ascii="Arial" w:hAnsi="Arial" w:cs="Arial"/>
          <w:i/>
          <w:iCs/>
          <w:sz w:val="24"/>
          <w:szCs w:val="24"/>
        </w:rPr>
        <w:t>dutyholders</w:t>
      </w:r>
      <w:proofErr w:type="spellEnd"/>
      <w:r w:rsidRPr="0069631A">
        <w:rPr>
          <w:rFonts w:ascii="Arial" w:hAnsi="Arial" w:cs="Arial"/>
          <w:i/>
          <w:iCs/>
          <w:sz w:val="24"/>
          <w:szCs w:val="24"/>
        </w:rPr>
        <w:t xml:space="preserve"> explained: Who Does What?</w:t>
      </w:r>
      <w:r w:rsidRPr="0069631A">
        <w:rPr>
          <w:rFonts w:ascii="Arial" w:hAnsi="Arial" w:cs="Arial"/>
          <w:sz w:val="24"/>
          <w:szCs w:val="24"/>
        </w:rPr>
        <w:t xml:space="preserve"> [online] Available at: </w:t>
      </w:r>
      <w:hyperlink r:id="rId23" w:history="1">
        <w:r w:rsidR="000934E1" w:rsidRPr="0069631A">
          <w:rPr>
            <w:rStyle w:val="Hyperlink"/>
            <w:rFonts w:ascii="Arial" w:hAnsi="Arial" w:cs="Arial"/>
            <w:sz w:val="24"/>
            <w:szCs w:val="24"/>
          </w:rPr>
          <w:t>https://www.ansteyhorne.co.uk/news/building-regulations-dutyholders-explained</w:t>
        </w:r>
      </w:hyperlink>
      <w:r w:rsidR="000934E1" w:rsidRPr="0069631A">
        <w:rPr>
          <w:rFonts w:ascii="Arial" w:hAnsi="Arial" w:cs="Arial"/>
          <w:sz w:val="24"/>
          <w:szCs w:val="24"/>
        </w:rPr>
        <w:t xml:space="preserve"> </w:t>
      </w:r>
      <w:r w:rsidRPr="0069631A">
        <w:rPr>
          <w:rFonts w:ascii="Arial" w:hAnsi="Arial" w:cs="Arial"/>
          <w:sz w:val="24"/>
          <w:szCs w:val="24"/>
        </w:rPr>
        <w:t xml:space="preserve"> [Accessed 1 May 2026].</w:t>
      </w:r>
    </w:p>
    <w:p w14:paraId="56F0EFB7" w14:textId="67D5EB86"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Sutton, K. (2025). </w:t>
      </w:r>
      <w:r w:rsidRPr="0069631A">
        <w:rPr>
          <w:rFonts w:ascii="Arial" w:hAnsi="Arial" w:cs="Arial"/>
          <w:i/>
          <w:iCs/>
          <w:sz w:val="24"/>
          <w:szCs w:val="24"/>
        </w:rPr>
        <w:t>Gateway 2 Explained: What Architects and Contractors Need to Know</w:t>
      </w:r>
      <w:r w:rsidRPr="0069631A">
        <w:rPr>
          <w:rFonts w:ascii="Arial" w:hAnsi="Arial" w:cs="Arial"/>
          <w:sz w:val="24"/>
          <w:szCs w:val="24"/>
        </w:rPr>
        <w:t xml:space="preserve">. [online] BENX. Available at: </w:t>
      </w:r>
      <w:hyperlink r:id="rId24" w:history="1">
        <w:r w:rsidR="000934E1" w:rsidRPr="0069631A">
          <w:rPr>
            <w:rStyle w:val="Hyperlink"/>
            <w:rFonts w:ascii="Arial" w:hAnsi="Arial" w:cs="Arial"/>
            <w:sz w:val="24"/>
            <w:szCs w:val="24"/>
          </w:rPr>
          <w:t>https://benx.co.uk/gateway-2-explained-what-architects-and-contractors-need-to-know/</w:t>
        </w:r>
      </w:hyperlink>
      <w:r w:rsidRPr="0069631A">
        <w:rPr>
          <w:rFonts w:ascii="Arial" w:hAnsi="Arial" w:cs="Arial"/>
          <w:sz w:val="24"/>
          <w:szCs w:val="24"/>
        </w:rPr>
        <w:t>.</w:t>
      </w:r>
      <w:r w:rsidR="000934E1" w:rsidRPr="0069631A">
        <w:rPr>
          <w:rFonts w:ascii="Arial" w:hAnsi="Arial" w:cs="Arial"/>
          <w:sz w:val="24"/>
          <w:szCs w:val="24"/>
        </w:rPr>
        <w:t xml:space="preserve"> </w:t>
      </w:r>
    </w:p>
    <w:p w14:paraId="742928FA" w14:textId="5B879804"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lastRenderedPageBreak/>
        <w:t xml:space="preserve">Sutton, K. (2025). </w:t>
      </w:r>
      <w:r w:rsidRPr="0069631A">
        <w:rPr>
          <w:rFonts w:ascii="Arial" w:hAnsi="Arial" w:cs="Arial"/>
          <w:i/>
          <w:iCs/>
          <w:sz w:val="24"/>
          <w:szCs w:val="24"/>
        </w:rPr>
        <w:t>Understanding Gateway 3: What It Means for Your Building Project</w:t>
      </w:r>
      <w:r w:rsidRPr="0069631A">
        <w:rPr>
          <w:rFonts w:ascii="Arial" w:hAnsi="Arial" w:cs="Arial"/>
          <w:sz w:val="24"/>
          <w:szCs w:val="24"/>
        </w:rPr>
        <w:t xml:space="preserve">. [online] BENX. Available at: </w:t>
      </w:r>
      <w:hyperlink r:id="rId25" w:history="1">
        <w:r w:rsidR="000934E1" w:rsidRPr="0069631A">
          <w:rPr>
            <w:rStyle w:val="Hyperlink"/>
            <w:rFonts w:ascii="Arial" w:hAnsi="Arial" w:cs="Arial"/>
            <w:sz w:val="24"/>
            <w:szCs w:val="24"/>
          </w:rPr>
          <w:t>https://benx.co.uk/understanding-gateway-3-what-it-means-for-your-building-project/</w:t>
        </w:r>
      </w:hyperlink>
      <w:r w:rsidRPr="0069631A">
        <w:rPr>
          <w:rFonts w:ascii="Arial" w:hAnsi="Arial" w:cs="Arial"/>
          <w:sz w:val="24"/>
          <w:szCs w:val="24"/>
        </w:rPr>
        <w:t>.</w:t>
      </w:r>
      <w:r w:rsidR="000934E1" w:rsidRPr="0069631A">
        <w:rPr>
          <w:rFonts w:ascii="Arial" w:hAnsi="Arial" w:cs="Arial"/>
          <w:sz w:val="24"/>
          <w:szCs w:val="24"/>
        </w:rPr>
        <w:t xml:space="preserve"> </w:t>
      </w:r>
    </w:p>
    <w:p w14:paraId="6A15F56E" w14:textId="1A6146E9" w:rsidR="005421EC"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Team, </w:t>
      </w:r>
      <w:proofErr w:type="spellStart"/>
      <w:r w:rsidRPr="0069631A">
        <w:rPr>
          <w:rFonts w:ascii="Arial" w:hAnsi="Arial" w:cs="Arial"/>
          <w:sz w:val="24"/>
          <w:szCs w:val="24"/>
        </w:rPr>
        <w:t>swiftRAMS</w:t>
      </w:r>
      <w:proofErr w:type="spellEnd"/>
      <w:r w:rsidRPr="0069631A">
        <w:rPr>
          <w:rFonts w:ascii="Arial" w:hAnsi="Arial" w:cs="Arial"/>
          <w:sz w:val="24"/>
          <w:szCs w:val="24"/>
        </w:rPr>
        <w:t xml:space="preserve"> (2026). </w:t>
      </w:r>
      <w:r w:rsidRPr="0069631A">
        <w:rPr>
          <w:rFonts w:ascii="Arial" w:hAnsi="Arial" w:cs="Arial"/>
          <w:i/>
          <w:iCs/>
          <w:sz w:val="24"/>
          <w:szCs w:val="24"/>
        </w:rPr>
        <w:t>COSHH Regulations UK: The Complete Guide to Compliance</w:t>
      </w:r>
      <w:r w:rsidRPr="0069631A">
        <w:rPr>
          <w:rFonts w:ascii="Arial" w:hAnsi="Arial" w:cs="Arial"/>
          <w:sz w:val="24"/>
          <w:szCs w:val="24"/>
        </w:rPr>
        <w:t xml:space="preserve">. [online] Available at: </w:t>
      </w:r>
      <w:hyperlink r:id="rId26" w:history="1">
        <w:r w:rsidR="000934E1" w:rsidRPr="0069631A">
          <w:rPr>
            <w:rStyle w:val="Hyperlink"/>
            <w:rFonts w:ascii="Arial" w:hAnsi="Arial" w:cs="Arial"/>
            <w:sz w:val="24"/>
            <w:szCs w:val="24"/>
          </w:rPr>
          <w:t>https://swiftrms.co.uk/blog/coshh-regulations-uk-complete-guide</w:t>
        </w:r>
      </w:hyperlink>
      <w:r w:rsidRPr="0069631A">
        <w:rPr>
          <w:rFonts w:ascii="Arial" w:hAnsi="Arial" w:cs="Arial"/>
          <w:sz w:val="24"/>
          <w:szCs w:val="24"/>
        </w:rPr>
        <w:t>.</w:t>
      </w:r>
      <w:r w:rsidR="000934E1" w:rsidRPr="0069631A">
        <w:rPr>
          <w:rFonts w:ascii="Arial" w:hAnsi="Arial" w:cs="Arial"/>
          <w:sz w:val="24"/>
          <w:szCs w:val="24"/>
        </w:rPr>
        <w:t xml:space="preserve"> </w:t>
      </w:r>
    </w:p>
    <w:p w14:paraId="62E8608B" w14:textId="121EF007" w:rsidR="00C37D88" w:rsidRPr="0069631A" w:rsidRDefault="005421EC" w:rsidP="0069631A">
      <w:pPr>
        <w:pStyle w:val="ListParagraph"/>
        <w:numPr>
          <w:ilvl w:val="0"/>
          <w:numId w:val="69"/>
        </w:numPr>
        <w:spacing w:line="360" w:lineRule="auto"/>
        <w:jc w:val="both"/>
        <w:rPr>
          <w:rFonts w:ascii="Arial" w:hAnsi="Arial" w:cs="Arial"/>
          <w:sz w:val="24"/>
          <w:szCs w:val="24"/>
        </w:rPr>
      </w:pPr>
      <w:r w:rsidRPr="0069631A">
        <w:rPr>
          <w:rFonts w:ascii="Arial" w:hAnsi="Arial" w:cs="Arial"/>
          <w:sz w:val="24"/>
          <w:szCs w:val="24"/>
        </w:rPr>
        <w:t xml:space="preserve">Work Accident Advice Centre (n.d.). </w:t>
      </w:r>
      <w:r w:rsidRPr="0069631A">
        <w:rPr>
          <w:rFonts w:ascii="Arial" w:hAnsi="Arial" w:cs="Arial"/>
          <w:i/>
          <w:iCs/>
          <w:sz w:val="24"/>
          <w:szCs w:val="24"/>
        </w:rPr>
        <w:t>The Management of Health &amp; Safety at Work Regulations 1999</w:t>
      </w:r>
      <w:r w:rsidRPr="0069631A">
        <w:rPr>
          <w:rFonts w:ascii="Arial" w:hAnsi="Arial" w:cs="Arial"/>
          <w:sz w:val="24"/>
          <w:szCs w:val="24"/>
        </w:rPr>
        <w:t xml:space="preserve">. [online] Available at: </w:t>
      </w:r>
      <w:hyperlink r:id="rId27" w:history="1">
        <w:r w:rsidR="000934E1" w:rsidRPr="0069631A">
          <w:rPr>
            <w:rStyle w:val="Hyperlink"/>
            <w:rFonts w:ascii="Arial" w:hAnsi="Arial" w:cs="Arial"/>
            <w:sz w:val="24"/>
            <w:szCs w:val="24"/>
          </w:rPr>
          <w:t>https://www.workaccidentadvicecentre.com/the-management-of-health-safety-at-work-regulations-1999</w:t>
        </w:r>
      </w:hyperlink>
      <w:r w:rsidRPr="0069631A">
        <w:rPr>
          <w:rFonts w:ascii="Arial" w:hAnsi="Arial" w:cs="Arial"/>
          <w:sz w:val="24"/>
          <w:szCs w:val="24"/>
        </w:rPr>
        <w:t>.</w:t>
      </w:r>
      <w:r w:rsidR="000934E1" w:rsidRPr="0069631A">
        <w:rPr>
          <w:rFonts w:ascii="Arial" w:hAnsi="Arial" w:cs="Arial"/>
          <w:sz w:val="24"/>
          <w:szCs w:val="24"/>
        </w:rPr>
        <w:t xml:space="preserve"> </w:t>
      </w:r>
    </w:p>
    <w:p w14:paraId="00D3AAC5" w14:textId="07CC990E" w:rsidR="005450D2" w:rsidRPr="0069631A" w:rsidRDefault="005450D2" w:rsidP="0069631A">
      <w:pPr>
        <w:spacing w:line="360" w:lineRule="auto"/>
        <w:jc w:val="both"/>
        <w:rPr>
          <w:rFonts w:ascii="Arial" w:hAnsi="Arial" w:cs="Arial"/>
          <w:sz w:val="24"/>
          <w:szCs w:val="24"/>
        </w:rPr>
      </w:pPr>
    </w:p>
    <w:p w14:paraId="35C3A81D" w14:textId="37A8F149" w:rsidR="00343BFD" w:rsidRPr="0069631A" w:rsidRDefault="00343BFD" w:rsidP="0069631A">
      <w:pPr>
        <w:spacing w:line="360" w:lineRule="auto"/>
        <w:jc w:val="both"/>
        <w:rPr>
          <w:rFonts w:ascii="Arial" w:hAnsi="Arial" w:cs="Arial"/>
          <w:sz w:val="24"/>
          <w:szCs w:val="24"/>
        </w:rPr>
      </w:pPr>
    </w:p>
    <w:sectPr w:rsidR="00343BFD" w:rsidRPr="0069631A" w:rsidSect="004D2EA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0701C" w14:textId="77777777" w:rsidR="006D66F8" w:rsidRDefault="006D66F8" w:rsidP="00BD13F7">
      <w:pPr>
        <w:spacing w:after="0" w:line="240" w:lineRule="auto"/>
      </w:pPr>
      <w:r>
        <w:separator/>
      </w:r>
    </w:p>
  </w:endnote>
  <w:endnote w:type="continuationSeparator" w:id="0">
    <w:p w14:paraId="1D2DE8E0" w14:textId="77777777" w:rsidR="006D66F8" w:rsidRDefault="006D66F8" w:rsidP="00BD1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32134" w14:textId="77777777" w:rsidR="004D2EA7" w:rsidRDefault="004D2EA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2FD736C" w14:textId="77777777" w:rsidR="004D2EA7" w:rsidRDefault="004D2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C361C" w14:textId="77777777" w:rsidR="006D66F8" w:rsidRDefault="006D66F8" w:rsidP="00BD13F7">
      <w:pPr>
        <w:spacing w:after="0" w:line="240" w:lineRule="auto"/>
      </w:pPr>
      <w:r>
        <w:separator/>
      </w:r>
    </w:p>
  </w:footnote>
  <w:footnote w:type="continuationSeparator" w:id="0">
    <w:p w14:paraId="26C1131F" w14:textId="77777777" w:rsidR="006D66F8" w:rsidRDefault="006D66F8" w:rsidP="00BD1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446B"/>
    <w:multiLevelType w:val="multilevel"/>
    <w:tmpl w:val="E91A0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0025F"/>
    <w:multiLevelType w:val="multilevel"/>
    <w:tmpl w:val="5D58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F94444"/>
    <w:multiLevelType w:val="hybridMultilevel"/>
    <w:tmpl w:val="72627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6A1857"/>
    <w:multiLevelType w:val="hybridMultilevel"/>
    <w:tmpl w:val="D8D86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6132E2"/>
    <w:multiLevelType w:val="hybridMultilevel"/>
    <w:tmpl w:val="A3E2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2B6323"/>
    <w:multiLevelType w:val="hybridMultilevel"/>
    <w:tmpl w:val="E402D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CE6F58"/>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3E1490"/>
    <w:multiLevelType w:val="hybridMultilevel"/>
    <w:tmpl w:val="3EFE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78B01D3"/>
    <w:multiLevelType w:val="multilevel"/>
    <w:tmpl w:val="5948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39594E"/>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5172F1"/>
    <w:multiLevelType w:val="hybridMultilevel"/>
    <w:tmpl w:val="C1CC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DC5034"/>
    <w:multiLevelType w:val="hybridMultilevel"/>
    <w:tmpl w:val="3EBAE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CC35D4"/>
    <w:multiLevelType w:val="hybridMultilevel"/>
    <w:tmpl w:val="84D0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4F75FA"/>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F74C9F"/>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3205AB"/>
    <w:multiLevelType w:val="multilevel"/>
    <w:tmpl w:val="5D8E9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7E73780"/>
    <w:multiLevelType w:val="hybridMultilevel"/>
    <w:tmpl w:val="EE76B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08410C"/>
    <w:multiLevelType w:val="hybridMultilevel"/>
    <w:tmpl w:val="7050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7239BD"/>
    <w:multiLevelType w:val="hybridMultilevel"/>
    <w:tmpl w:val="84705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C920EF"/>
    <w:multiLevelType w:val="multilevel"/>
    <w:tmpl w:val="3E8C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1380BCB"/>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D3574D"/>
    <w:multiLevelType w:val="hybridMultilevel"/>
    <w:tmpl w:val="EE20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9753121"/>
    <w:multiLevelType w:val="hybridMultilevel"/>
    <w:tmpl w:val="F67222D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3" w15:restartNumberingAfterBreak="0">
    <w:nsid w:val="2B7F6F66"/>
    <w:multiLevelType w:val="multilevel"/>
    <w:tmpl w:val="CABA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B953B3B"/>
    <w:multiLevelType w:val="hybridMultilevel"/>
    <w:tmpl w:val="2D0C9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89285F"/>
    <w:multiLevelType w:val="hybridMultilevel"/>
    <w:tmpl w:val="FC142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943CBB"/>
    <w:multiLevelType w:val="multilevel"/>
    <w:tmpl w:val="3D461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DD21FC0"/>
    <w:multiLevelType w:val="hybridMultilevel"/>
    <w:tmpl w:val="26CCE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C21031"/>
    <w:multiLevelType w:val="multilevel"/>
    <w:tmpl w:val="9DD0E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3494118"/>
    <w:multiLevelType w:val="hybridMultilevel"/>
    <w:tmpl w:val="D5EE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F91688"/>
    <w:multiLevelType w:val="hybridMultilevel"/>
    <w:tmpl w:val="44CE1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B253963"/>
    <w:multiLevelType w:val="hybridMultilevel"/>
    <w:tmpl w:val="0E44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CBA685C"/>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DA3CC6"/>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EF20D3B"/>
    <w:multiLevelType w:val="hybridMultilevel"/>
    <w:tmpl w:val="6052A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EFC7F0C"/>
    <w:multiLevelType w:val="hybridMultilevel"/>
    <w:tmpl w:val="A900E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01945AC"/>
    <w:multiLevelType w:val="hybridMultilevel"/>
    <w:tmpl w:val="4956F7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40C1629C"/>
    <w:multiLevelType w:val="hybridMultilevel"/>
    <w:tmpl w:val="ABE2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16E4E8A"/>
    <w:multiLevelType w:val="multilevel"/>
    <w:tmpl w:val="945C3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17F6227"/>
    <w:multiLevelType w:val="multilevel"/>
    <w:tmpl w:val="96F82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3432EBB"/>
    <w:multiLevelType w:val="hybridMultilevel"/>
    <w:tmpl w:val="0FB29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50C0EFE"/>
    <w:multiLevelType w:val="hybridMultilevel"/>
    <w:tmpl w:val="D2D0F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62F342F"/>
    <w:multiLevelType w:val="multilevel"/>
    <w:tmpl w:val="4F40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771061F"/>
    <w:multiLevelType w:val="hybridMultilevel"/>
    <w:tmpl w:val="DDD8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836025D"/>
    <w:multiLevelType w:val="hybridMultilevel"/>
    <w:tmpl w:val="C338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9546D6E"/>
    <w:multiLevelType w:val="hybridMultilevel"/>
    <w:tmpl w:val="C31C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C9234C7"/>
    <w:multiLevelType w:val="hybridMultilevel"/>
    <w:tmpl w:val="B2E0D1F2"/>
    <w:lvl w:ilvl="0" w:tplc="4168B5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E247FFC"/>
    <w:multiLevelType w:val="multilevel"/>
    <w:tmpl w:val="5088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1D40330"/>
    <w:multiLevelType w:val="hybridMultilevel"/>
    <w:tmpl w:val="013E2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28D4321"/>
    <w:multiLevelType w:val="multilevel"/>
    <w:tmpl w:val="0916D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2BB268D"/>
    <w:multiLevelType w:val="hybridMultilevel"/>
    <w:tmpl w:val="3F643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41E3ED8"/>
    <w:multiLevelType w:val="multilevel"/>
    <w:tmpl w:val="4FDC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49E7FDD"/>
    <w:multiLevelType w:val="multilevel"/>
    <w:tmpl w:val="2214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56A17EA"/>
    <w:multiLevelType w:val="hybridMultilevel"/>
    <w:tmpl w:val="598A7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5893CCC"/>
    <w:multiLevelType w:val="hybridMultilevel"/>
    <w:tmpl w:val="4E521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7DA0D7A"/>
    <w:multiLevelType w:val="hybridMultilevel"/>
    <w:tmpl w:val="6636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84C14C9"/>
    <w:multiLevelType w:val="hybridMultilevel"/>
    <w:tmpl w:val="3126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9153424"/>
    <w:multiLevelType w:val="multilevel"/>
    <w:tmpl w:val="EDDEF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9BB17CA"/>
    <w:multiLevelType w:val="multilevel"/>
    <w:tmpl w:val="8872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AD27154"/>
    <w:multiLevelType w:val="multilevel"/>
    <w:tmpl w:val="08FE6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F254C69"/>
    <w:multiLevelType w:val="hybridMultilevel"/>
    <w:tmpl w:val="44921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22A2993"/>
    <w:multiLevelType w:val="hybridMultilevel"/>
    <w:tmpl w:val="3C74B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2523789"/>
    <w:multiLevelType w:val="multilevel"/>
    <w:tmpl w:val="71D4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629829DC"/>
    <w:multiLevelType w:val="hybridMultilevel"/>
    <w:tmpl w:val="2E086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3FC0AC5"/>
    <w:multiLevelType w:val="hybridMultilevel"/>
    <w:tmpl w:val="8EE0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68C45CD"/>
    <w:multiLevelType w:val="multilevel"/>
    <w:tmpl w:val="15162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6C42C20"/>
    <w:multiLevelType w:val="hybridMultilevel"/>
    <w:tmpl w:val="E73EE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80E375D"/>
    <w:multiLevelType w:val="multilevel"/>
    <w:tmpl w:val="5BC05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AEB1254"/>
    <w:multiLevelType w:val="multilevel"/>
    <w:tmpl w:val="CA78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C7B0596"/>
    <w:multiLevelType w:val="multilevel"/>
    <w:tmpl w:val="0986A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CD44FE0"/>
    <w:multiLevelType w:val="hybridMultilevel"/>
    <w:tmpl w:val="34B08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DB1710B"/>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E64395B"/>
    <w:multiLevelType w:val="hybridMultilevel"/>
    <w:tmpl w:val="4CD26AF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3" w15:restartNumberingAfterBreak="0">
    <w:nsid w:val="6E6857A4"/>
    <w:multiLevelType w:val="hybridMultilevel"/>
    <w:tmpl w:val="E292A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E686804"/>
    <w:multiLevelType w:val="hybridMultilevel"/>
    <w:tmpl w:val="3C2A8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F351228"/>
    <w:multiLevelType w:val="multilevel"/>
    <w:tmpl w:val="88FC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1523719"/>
    <w:multiLevelType w:val="hybridMultilevel"/>
    <w:tmpl w:val="F1C0D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17C6895"/>
    <w:multiLevelType w:val="hybridMultilevel"/>
    <w:tmpl w:val="C324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1C7340F"/>
    <w:multiLevelType w:val="hybridMultilevel"/>
    <w:tmpl w:val="E2EC1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280587B"/>
    <w:multiLevelType w:val="hybridMultilevel"/>
    <w:tmpl w:val="48847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2A0427D"/>
    <w:multiLevelType w:val="hybridMultilevel"/>
    <w:tmpl w:val="8528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5E21DF5"/>
    <w:multiLevelType w:val="hybridMultilevel"/>
    <w:tmpl w:val="D7EADF1E"/>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2" w15:restartNumberingAfterBreak="0">
    <w:nsid w:val="764621E7"/>
    <w:multiLevelType w:val="hybridMultilevel"/>
    <w:tmpl w:val="80E20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7E263CF"/>
    <w:multiLevelType w:val="multilevel"/>
    <w:tmpl w:val="B6D0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A6A79EF"/>
    <w:multiLevelType w:val="hybridMultilevel"/>
    <w:tmpl w:val="1DCC9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AF97302"/>
    <w:multiLevelType w:val="multilevel"/>
    <w:tmpl w:val="B0F0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B722064"/>
    <w:multiLevelType w:val="hybridMultilevel"/>
    <w:tmpl w:val="C0F2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D6F4CB6"/>
    <w:multiLevelType w:val="hybridMultilevel"/>
    <w:tmpl w:val="68AE5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DA45FD5"/>
    <w:multiLevelType w:val="hybridMultilevel"/>
    <w:tmpl w:val="673E32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9" w15:restartNumberingAfterBreak="0">
    <w:nsid w:val="7F7927D8"/>
    <w:multiLevelType w:val="multilevel"/>
    <w:tmpl w:val="84BA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F8735F2"/>
    <w:multiLevelType w:val="hybridMultilevel"/>
    <w:tmpl w:val="A9AE12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869755758">
    <w:abstractNumId w:val="67"/>
  </w:num>
  <w:num w:numId="2" w16cid:durableId="1034496582">
    <w:abstractNumId w:val="1"/>
  </w:num>
  <w:num w:numId="3" w16cid:durableId="1130052357">
    <w:abstractNumId w:val="83"/>
  </w:num>
  <w:num w:numId="4" w16cid:durableId="1767261999">
    <w:abstractNumId w:val="62"/>
  </w:num>
  <w:num w:numId="5" w16cid:durableId="651717711">
    <w:abstractNumId w:val="15"/>
  </w:num>
  <w:num w:numId="6" w16cid:durableId="7558979">
    <w:abstractNumId w:val="65"/>
  </w:num>
  <w:num w:numId="7" w16cid:durableId="1745301900">
    <w:abstractNumId w:val="68"/>
  </w:num>
  <w:num w:numId="8" w16cid:durableId="1614706463">
    <w:abstractNumId w:val="89"/>
  </w:num>
  <w:num w:numId="9" w16cid:durableId="698622873">
    <w:abstractNumId w:val="26"/>
  </w:num>
  <w:num w:numId="10" w16cid:durableId="479812365">
    <w:abstractNumId w:val="47"/>
  </w:num>
  <w:num w:numId="11" w16cid:durableId="171533261">
    <w:abstractNumId w:val="42"/>
  </w:num>
  <w:num w:numId="12" w16cid:durableId="1652976144">
    <w:abstractNumId w:val="69"/>
  </w:num>
  <w:num w:numId="13" w16cid:durableId="1929577996">
    <w:abstractNumId w:val="28"/>
  </w:num>
  <w:num w:numId="14" w16cid:durableId="1570267004">
    <w:abstractNumId w:val="19"/>
  </w:num>
  <w:num w:numId="15" w16cid:durableId="1676494761">
    <w:abstractNumId w:val="57"/>
  </w:num>
  <w:num w:numId="16" w16cid:durableId="205877557">
    <w:abstractNumId w:val="58"/>
  </w:num>
  <w:num w:numId="17" w16cid:durableId="1241714281">
    <w:abstractNumId w:val="38"/>
  </w:num>
  <w:num w:numId="18" w16cid:durableId="171459671">
    <w:abstractNumId w:val="8"/>
  </w:num>
  <w:num w:numId="19" w16cid:durableId="1193349248">
    <w:abstractNumId w:val="32"/>
  </w:num>
  <w:num w:numId="20" w16cid:durableId="1192764430">
    <w:abstractNumId w:val="23"/>
  </w:num>
  <w:num w:numId="21" w16cid:durableId="2065830581">
    <w:abstractNumId w:val="59"/>
  </w:num>
  <w:num w:numId="22" w16cid:durableId="1325742770">
    <w:abstractNumId w:val="49"/>
  </w:num>
  <w:num w:numId="23" w16cid:durableId="1170295272">
    <w:abstractNumId w:val="0"/>
  </w:num>
  <w:num w:numId="24" w16cid:durableId="1224024464">
    <w:abstractNumId w:val="85"/>
  </w:num>
  <w:num w:numId="25" w16cid:durableId="748766597">
    <w:abstractNumId w:val="51"/>
  </w:num>
  <w:num w:numId="26" w16cid:durableId="1008141144">
    <w:abstractNumId w:val="81"/>
  </w:num>
  <w:num w:numId="27" w16cid:durableId="709845479">
    <w:abstractNumId w:val="27"/>
  </w:num>
  <w:num w:numId="28" w16cid:durableId="933054694">
    <w:abstractNumId w:val="71"/>
  </w:num>
  <w:num w:numId="29" w16cid:durableId="2083670721">
    <w:abstractNumId w:val="20"/>
  </w:num>
  <w:num w:numId="30" w16cid:durableId="1922790340">
    <w:abstractNumId w:val="6"/>
  </w:num>
  <w:num w:numId="31" w16cid:durableId="379213129">
    <w:abstractNumId w:val="14"/>
  </w:num>
  <w:num w:numId="32" w16cid:durableId="2039774124">
    <w:abstractNumId w:val="33"/>
  </w:num>
  <w:num w:numId="33" w16cid:durableId="519322427">
    <w:abstractNumId w:val="13"/>
  </w:num>
  <w:num w:numId="34" w16cid:durableId="222764379">
    <w:abstractNumId w:val="52"/>
  </w:num>
  <w:num w:numId="35" w16cid:durableId="1403261937">
    <w:abstractNumId w:val="75"/>
  </w:num>
  <w:num w:numId="36" w16cid:durableId="701443719">
    <w:abstractNumId w:val="39"/>
  </w:num>
  <w:num w:numId="37" w16cid:durableId="1708026473">
    <w:abstractNumId w:val="9"/>
  </w:num>
  <w:num w:numId="38" w16cid:durableId="483548476">
    <w:abstractNumId w:val="46"/>
  </w:num>
  <w:num w:numId="39" w16cid:durableId="1918514412">
    <w:abstractNumId w:val="7"/>
  </w:num>
  <w:num w:numId="40" w16cid:durableId="459884482">
    <w:abstractNumId w:val="21"/>
  </w:num>
  <w:num w:numId="41" w16cid:durableId="2030913785">
    <w:abstractNumId w:val="37"/>
  </w:num>
  <w:num w:numId="42" w16cid:durableId="1460415992">
    <w:abstractNumId w:val="29"/>
  </w:num>
  <w:num w:numId="43" w16cid:durableId="575045276">
    <w:abstractNumId w:val="4"/>
  </w:num>
  <w:num w:numId="44" w16cid:durableId="1392921868">
    <w:abstractNumId w:val="2"/>
  </w:num>
  <w:num w:numId="45" w16cid:durableId="1937325025">
    <w:abstractNumId w:val="80"/>
  </w:num>
  <w:num w:numId="46" w16cid:durableId="703288464">
    <w:abstractNumId w:val="78"/>
  </w:num>
  <w:num w:numId="47" w16cid:durableId="1300039718">
    <w:abstractNumId w:val="31"/>
  </w:num>
  <w:num w:numId="48" w16cid:durableId="53743008">
    <w:abstractNumId w:val="76"/>
  </w:num>
  <w:num w:numId="49" w16cid:durableId="211771895">
    <w:abstractNumId w:val="87"/>
  </w:num>
  <w:num w:numId="50" w16cid:durableId="159977607">
    <w:abstractNumId w:val="45"/>
  </w:num>
  <w:num w:numId="51" w16cid:durableId="1878590764">
    <w:abstractNumId w:val="18"/>
  </w:num>
  <w:num w:numId="52" w16cid:durableId="1027297290">
    <w:abstractNumId w:val="43"/>
  </w:num>
  <w:num w:numId="53" w16cid:durableId="157157151">
    <w:abstractNumId w:val="77"/>
  </w:num>
  <w:num w:numId="54" w16cid:durableId="1419257236">
    <w:abstractNumId w:val="56"/>
  </w:num>
  <w:num w:numId="55" w16cid:durableId="698821063">
    <w:abstractNumId w:val="64"/>
  </w:num>
  <w:num w:numId="56" w16cid:durableId="717127264">
    <w:abstractNumId w:val="11"/>
  </w:num>
  <w:num w:numId="57" w16cid:durableId="1825315507">
    <w:abstractNumId w:val="72"/>
  </w:num>
  <w:num w:numId="58" w16cid:durableId="935596026">
    <w:abstractNumId w:val="22"/>
  </w:num>
  <w:num w:numId="59" w16cid:durableId="1229538498">
    <w:abstractNumId w:val="82"/>
  </w:num>
  <w:num w:numId="60" w16cid:durableId="519516650">
    <w:abstractNumId w:val="12"/>
  </w:num>
  <w:num w:numId="61" w16cid:durableId="759640213">
    <w:abstractNumId w:val="74"/>
  </w:num>
  <w:num w:numId="62" w16cid:durableId="424115538">
    <w:abstractNumId w:val="86"/>
  </w:num>
  <w:num w:numId="63" w16cid:durableId="111362531">
    <w:abstractNumId w:val="63"/>
  </w:num>
  <w:num w:numId="64" w16cid:durableId="87118016">
    <w:abstractNumId w:val="17"/>
  </w:num>
  <w:num w:numId="65" w16cid:durableId="690188349">
    <w:abstractNumId w:val="16"/>
  </w:num>
  <w:num w:numId="66" w16cid:durableId="1995450045">
    <w:abstractNumId w:val="53"/>
  </w:num>
  <w:num w:numId="67" w16cid:durableId="1634024972">
    <w:abstractNumId w:val="3"/>
  </w:num>
  <w:num w:numId="68" w16cid:durableId="174346174">
    <w:abstractNumId w:val="84"/>
  </w:num>
  <w:num w:numId="69" w16cid:durableId="1829322283">
    <w:abstractNumId w:val="34"/>
  </w:num>
  <w:num w:numId="70" w16cid:durableId="964387712">
    <w:abstractNumId w:val="90"/>
  </w:num>
  <w:num w:numId="71" w16cid:durableId="1902717809">
    <w:abstractNumId w:val="44"/>
  </w:num>
  <w:num w:numId="72" w16cid:durableId="555355948">
    <w:abstractNumId w:val="41"/>
  </w:num>
  <w:num w:numId="73" w16cid:durableId="298845335">
    <w:abstractNumId w:val="48"/>
  </w:num>
  <w:num w:numId="74" w16cid:durableId="1239943474">
    <w:abstractNumId w:val="5"/>
  </w:num>
  <w:num w:numId="75" w16cid:durableId="1369600606">
    <w:abstractNumId w:val="50"/>
  </w:num>
  <w:num w:numId="76" w16cid:durableId="79495215">
    <w:abstractNumId w:val="40"/>
  </w:num>
  <w:num w:numId="77" w16cid:durableId="1639140128">
    <w:abstractNumId w:val="61"/>
  </w:num>
  <w:num w:numId="78" w16cid:durableId="1548369681">
    <w:abstractNumId w:val="30"/>
  </w:num>
  <w:num w:numId="79" w16cid:durableId="175537583">
    <w:abstractNumId w:val="66"/>
  </w:num>
  <w:num w:numId="80" w16cid:durableId="350843550">
    <w:abstractNumId w:val="55"/>
  </w:num>
  <w:num w:numId="81" w16cid:durableId="980036820">
    <w:abstractNumId w:val="70"/>
  </w:num>
  <w:num w:numId="82" w16cid:durableId="1682315801">
    <w:abstractNumId w:val="73"/>
  </w:num>
  <w:num w:numId="83" w16cid:durableId="1563709459">
    <w:abstractNumId w:val="35"/>
  </w:num>
  <w:num w:numId="84" w16cid:durableId="313341916">
    <w:abstractNumId w:val="36"/>
  </w:num>
  <w:num w:numId="85" w16cid:durableId="1069578945">
    <w:abstractNumId w:val="10"/>
  </w:num>
  <w:num w:numId="86" w16cid:durableId="1847285901">
    <w:abstractNumId w:val="54"/>
  </w:num>
  <w:num w:numId="87" w16cid:durableId="2033872028">
    <w:abstractNumId w:val="79"/>
  </w:num>
  <w:num w:numId="88" w16cid:durableId="893929605">
    <w:abstractNumId w:val="60"/>
  </w:num>
  <w:num w:numId="89" w16cid:durableId="1362320294">
    <w:abstractNumId w:val="25"/>
  </w:num>
  <w:num w:numId="90" w16cid:durableId="368265317">
    <w:abstractNumId w:val="88"/>
  </w:num>
  <w:num w:numId="91" w16cid:durableId="16757689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F71"/>
    <w:rsid w:val="00002EBC"/>
    <w:rsid w:val="00027C77"/>
    <w:rsid w:val="00046832"/>
    <w:rsid w:val="000511B7"/>
    <w:rsid w:val="00052706"/>
    <w:rsid w:val="00062A7D"/>
    <w:rsid w:val="00065147"/>
    <w:rsid w:val="000733A6"/>
    <w:rsid w:val="00076FED"/>
    <w:rsid w:val="00084D99"/>
    <w:rsid w:val="00090948"/>
    <w:rsid w:val="000934E1"/>
    <w:rsid w:val="000A1765"/>
    <w:rsid w:val="000B183F"/>
    <w:rsid w:val="000B2A39"/>
    <w:rsid w:val="000D4B5F"/>
    <w:rsid w:val="000D4FFF"/>
    <w:rsid w:val="000E35D5"/>
    <w:rsid w:val="001075EE"/>
    <w:rsid w:val="00110484"/>
    <w:rsid w:val="00132BA4"/>
    <w:rsid w:val="001730EF"/>
    <w:rsid w:val="00177765"/>
    <w:rsid w:val="001804B4"/>
    <w:rsid w:val="00182929"/>
    <w:rsid w:val="001A3FA2"/>
    <w:rsid w:val="001A4253"/>
    <w:rsid w:val="001C1791"/>
    <w:rsid w:val="001E04FD"/>
    <w:rsid w:val="001E759B"/>
    <w:rsid w:val="001F259A"/>
    <w:rsid w:val="001F3568"/>
    <w:rsid w:val="00211929"/>
    <w:rsid w:val="00213781"/>
    <w:rsid w:val="00221C89"/>
    <w:rsid w:val="00234054"/>
    <w:rsid w:val="00255DC1"/>
    <w:rsid w:val="00264F43"/>
    <w:rsid w:val="00270811"/>
    <w:rsid w:val="00282ACE"/>
    <w:rsid w:val="00292899"/>
    <w:rsid w:val="00295468"/>
    <w:rsid w:val="002A07B2"/>
    <w:rsid w:val="002A0D01"/>
    <w:rsid w:val="002B66C5"/>
    <w:rsid w:val="002D0382"/>
    <w:rsid w:val="002E0B4A"/>
    <w:rsid w:val="003060AB"/>
    <w:rsid w:val="00316B32"/>
    <w:rsid w:val="003177B7"/>
    <w:rsid w:val="0033455E"/>
    <w:rsid w:val="003405B1"/>
    <w:rsid w:val="00342870"/>
    <w:rsid w:val="00343BFD"/>
    <w:rsid w:val="00373CC8"/>
    <w:rsid w:val="00384593"/>
    <w:rsid w:val="00384A01"/>
    <w:rsid w:val="003C0EF9"/>
    <w:rsid w:val="003D1F21"/>
    <w:rsid w:val="003D246A"/>
    <w:rsid w:val="003D6D04"/>
    <w:rsid w:val="003E211B"/>
    <w:rsid w:val="003F0CB8"/>
    <w:rsid w:val="004074C5"/>
    <w:rsid w:val="004561AD"/>
    <w:rsid w:val="00494E4A"/>
    <w:rsid w:val="004951D4"/>
    <w:rsid w:val="004B5EDC"/>
    <w:rsid w:val="004D2EA7"/>
    <w:rsid w:val="004D6D5B"/>
    <w:rsid w:val="004E469E"/>
    <w:rsid w:val="005109CD"/>
    <w:rsid w:val="00520DB9"/>
    <w:rsid w:val="0052374A"/>
    <w:rsid w:val="005264DE"/>
    <w:rsid w:val="00526C39"/>
    <w:rsid w:val="00533937"/>
    <w:rsid w:val="005421EC"/>
    <w:rsid w:val="005450D2"/>
    <w:rsid w:val="00574C6A"/>
    <w:rsid w:val="00583F1A"/>
    <w:rsid w:val="00585164"/>
    <w:rsid w:val="005A5FC0"/>
    <w:rsid w:val="005B462A"/>
    <w:rsid w:val="005E091F"/>
    <w:rsid w:val="0060269A"/>
    <w:rsid w:val="00610DCF"/>
    <w:rsid w:val="00623C2C"/>
    <w:rsid w:val="00630E5B"/>
    <w:rsid w:val="00640765"/>
    <w:rsid w:val="00640C55"/>
    <w:rsid w:val="00660770"/>
    <w:rsid w:val="00683BDC"/>
    <w:rsid w:val="0069631A"/>
    <w:rsid w:val="006D42F4"/>
    <w:rsid w:val="006D5CA0"/>
    <w:rsid w:val="006D66F8"/>
    <w:rsid w:val="00720121"/>
    <w:rsid w:val="00757DFA"/>
    <w:rsid w:val="0078411F"/>
    <w:rsid w:val="007A6105"/>
    <w:rsid w:val="007C7D94"/>
    <w:rsid w:val="007D4503"/>
    <w:rsid w:val="007E1A57"/>
    <w:rsid w:val="007E69E4"/>
    <w:rsid w:val="0081744B"/>
    <w:rsid w:val="00832380"/>
    <w:rsid w:val="00832F57"/>
    <w:rsid w:val="00835F71"/>
    <w:rsid w:val="008503B5"/>
    <w:rsid w:val="008777F6"/>
    <w:rsid w:val="00894C7C"/>
    <w:rsid w:val="008A1EFC"/>
    <w:rsid w:val="008A60CD"/>
    <w:rsid w:val="008B6D55"/>
    <w:rsid w:val="008C5BF7"/>
    <w:rsid w:val="008C5EE2"/>
    <w:rsid w:val="0091286D"/>
    <w:rsid w:val="009237C6"/>
    <w:rsid w:val="00923F59"/>
    <w:rsid w:val="00946BA8"/>
    <w:rsid w:val="00972F94"/>
    <w:rsid w:val="00997655"/>
    <w:rsid w:val="009A0C8B"/>
    <w:rsid w:val="009B20AA"/>
    <w:rsid w:val="009B39A9"/>
    <w:rsid w:val="009D4FBD"/>
    <w:rsid w:val="009E2279"/>
    <w:rsid w:val="009F5148"/>
    <w:rsid w:val="009F6281"/>
    <w:rsid w:val="00A00773"/>
    <w:rsid w:val="00A01926"/>
    <w:rsid w:val="00A0326D"/>
    <w:rsid w:val="00A16BB4"/>
    <w:rsid w:val="00A43127"/>
    <w:rsid w:val="00A65FE2"/>
    <w:rsid w:val="00A948EB"/>
    <w:rsid w:val="00A965EB"/>
    <w:rsid w:val="00AB06E2"/>
    <w:rsid w:val="00AE05AE"/>
    <w:rsid w:val="00B12E2B"/>
    <w:rsid w:val="00B138C4"/>
    <w:rsid w:val="00B17977"/>
    <w:rsid w:val="00B24A09"/>
    <w:rsid w:val="00B66F30"/>
    <w:rsid w:val="00BA70F4"/>
    <w:rsid w:val="00BD13F7"/>
    <w:rsid w:val="00BD5F48"/>
    <w:rsid w:val="00C06918"/>
    <w:rsid w:val="00C13E99"/>
    <w:rsid w:val="00C37C37"/>
    <w:rsid w:val="00C37D88"/>
    <w:rsid w:val="00C45CD1"/>
    <w:rsid w:val="00C515F4"/>
    <w:rsid w:val="00C5689B"/>
    <w:rsid w:val="00C84833"/>
    <w:rsid w:val="00C914B3"/>
    <w:rsid w:val="00CB2CAE"/>
    <w:rsid w:val="00CE1D48"/>
    <w:rsid w:val="00CF0D4D"/>
    <w:rsid w:val="00D03A33"/>
    <w:rsid w:val="00D3151D"/>
    <w:rsid w:val="00D5656F"/>
    <w:rsid w:val="00D56DEF"/>
    <w:rsid w:val="00D90070"/>
    <w:rsid w:val="00DA5500"/>
    <w:rsid w:val="00DB2E9D"/>
    <w:rsid w:val="00DB3657"/>
    <w:rsid w:val="00DF2F3F"/>
    <w:rsid w:val="00E14BBE"/>
    <w:rsid w:val="00E15DA9"/>
    <w:rsid w:val="00E309DA"/>
    <w:rsid w:val="00E367E1"/>
    <w:rsid w:val="00E57BCD"/>
    <w:rsid w:val="00E76239"/>
    <w:rsid w:val="00E94FD4"/>
    <w:rsid w:val="00EB197D"/>
    <w:rsid w:val="00EC0FAB"/>
    <w:rsid w:val="00EC6143"/>
    <w:rsid w:val="00EF640A"/>
    <w:rsid w:val="00F0151E"/>
    <w:rsid w:val="00F03648"/>
    <w:rsid w:val="00F15315"/>
    <w:rsid w:val="00F2277B"/>
    <w:rsid w:val="00F43663"/>
    <w:rsid w:val="00F56264"/>
    <w:rsid w:val="00F636B8"/>
    <w:rsid w:val="00F6697C"/>
    <w:rsid w:val="00F80A2C"/>
    <w:rsid w:val="00FB2797"/>
    <w:rsid w:val="00FC655C"/>
    <w:rsid w:val="00FD7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EEB96"/>
  <w15:chartTrackingRefBased/>
  <w15:docId w15:val="{96F16693-8ED0-43DB-985A-1BF5B079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8EB"/>
  </w:style>
  <w:style w:type="paragraph" w:styleId="Heading1">
    <w:name w:val="heading 1"/>
    <w:basedOn w:val="Normal"/>
    <w:next w:val="Normal"/>
    <w:link w:val="Heading1Char"/>
    <w:uiPriority w:val="9"/>
    <w:qFormat/>
    <w:rsid w:val="00835F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F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F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F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F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F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F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F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F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F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F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F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F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F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F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F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F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F71"/>
    <w:rPr>
      <w:rFonts w:eastAsiaTheme="majorEastAsia" w:cstheme="majorBidi"/>
      <w:color w:val="272727" w:themeColor="text1" w:themeTint="D8"/>
    </w:rPr>
  </w:style>
  <w:style w:type="paragraph" w:styleId="Title">
    <w:name w:val="Title"/>
    <w:basedOn w:val="Normal"/>
    <w:next w:val="Normal"/>
    <w:link w:val="TitleChar"/>
    <w:uiPriority w:val="10"/>
    <w:qFormat/>
    <w:rsid w:val="00835F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F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F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F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F71"/>
    <w:pPr>
      <w:spacing w:before="160"/>
      <w:jc w:val="center"/>
    </w:pPr>
    <w:rPr>
      <w:i/>
      <w:iCs/>
      <w:color w:val="404040" w:themeColor="text1" w:themeTint="BF"/>
    </w:rPr>
  </w:style>
  <w:style w:type="character" w:customStyle="1" w:styleId="QuoteChar">
    <w:name w:val="Quote Char"/>
    <w:basedOn w:val="DefaultParagraphFont"/>
    <w:link w:val="Quote"/>
    <w:uiPriority w:val="29"/>
    <w:rsid w:val="00835F71"/>
    <w:rPr>
      <w:i/>
      <w:iCs/>
      <w:color w:val="404040" w:themeColor="text1" w:themeTint="BF"/>
    </w:rPr>
  </w:style>
  <w:style w:type="paragraph" w:styleId="ListParagraph">
    <w:name w:val="List Paragraph"/>
    <w:basedOn w:val="Normal"/>
    <w:uiPriority w:val="34"/>
    <w:qFormat/>
    <w:rsid w:val="00835F71"/>
    <w:pPr>
      <w:ind w:left="720"/>
      <w:contextualSpacing/>
    </w:pPr>
  </w:style>
  <w:style w:type="character" w:styleId="IntenseEmphasis">
    <w:name w:val="Intense Emphasis"/>
    <w:basedOn w:val="DefaultParagraphFont"/>
    <w:uiPriority w:val="21"/>
    <w:qFormat/>
    <w:rsid w:val="00835F71"/>
    <w:rPr>
      <w:i/>
      <w:iCs/>
      <w:color w:val="0F4761" w:themeColor="accent1" w:themeShade="BF"/>
    </w:rPr>
  </w:style>
  <w:style w:type="paragraph" w:styleId="IntenseQuote">
    <w:name w:val="Intense Quote"/>
    <w:basedOn w:val="Normal"/>
    <w:next w:val="Normal"/>
    <w:link w:val="IntenseQuoteChar"/>
    <w:uiPriority w:val="30"/>
    <w:qFormat/>
    <w:rsid w:val="00835F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F71"/>
    <w:rPr>
      <w:i/>
      <w:iCs/>
      <w:color w:val="0F4761" w:themeColor="accent1" w:themeShade="BF"/>
    </w:rPr>
  </w:style>
  <w:style w:type="character" w:styleId="IntenseReference">
    <w:name w:val="Intense Reference"/>
    <w:basedOn w:val="DefaultParagraphFont"/>
    <w:uiPriority w:val="32"/>
    <w:qFormat/>
    <w:rsid w:val="00835F71"/>
    <w:rPr>
      <w:b/>
      <w:bCs/>
      <w:smallCaps/>
      <w:color w:val="0F4761" w:themeColor="accent1" w:themeShade="BF"/>
      <w:spacing w:val="5"/>
    </w:rPr>
  </w:style>
  <w:style w:type="character" w:styleId="Hyperlink">
    <w:name w:val="Hyperlink"/>
    <w:basedOn w:val="DefaultParagraphFont"/>
    <w:uiPriority w:val="99"/>
    <w:unhideWhenUsed/>
    <w:rsid w:val="00835F71"/>
    <w:rPr>
      <w:color w:val="467886" w:themeColor="hyperlink"/>
      <w:u w:val="single"/>
    </w:rPr>
  </w:style>
  <w:style w:type="character" w:styleId="UnresolvedMention">
    <w:name w:val="Unresolved Mention"/>
    <w:basedOn w:val="DefaultParagraphFont"/>
    <w:uiPriority w:val="99"/>
    <w:semiHidden/>
    <w:unhideWhenUsed/>
    <w:rsid w:val="00835F71"/>
    <w:rPr>
      <w:color w:val="605E5C"/>
      <w:shd w:val="clear" w:color="auto" w:fill="E1DFDD"/>
    </w:rPr>
  </w:style>
  <w:style w:type="character" w:styleId="FollowedHyperlink">
    <w:name w:val="FollowedHyperlink"/>
    <w:basedOn w:val="DefaultParagraphFont"/>
    <w:uiPriority w:val="99"/>
    <w:semiHidden/>
    <w:unhideWhenUsed/>
    <w:rsid w:val="00110484"/>
    <w:rPr>
      <w:color w:val="96607D" w:themeColor="followedHyperlink"/>
      <w:u w:val="single"/>
    </w:rPr>
  </w:style>
  <w:style w:type="paragraph" w:styleId="NormalWeb">
    <w:name w:val="Normal (Web)"/>
    <w:basedOn w:val="Normal"/>
    <w:uiPriority w:val="99"/>
    <w:semiHidden/>
    <w:unhideWhenUsed/>
    <w:rsid w:val="00C37D88"/>
    <w:rPr>
      <w:rFonts w:ascii="Times New Roman" w:hAnsi="Times New Roman" w:cs="Times New Roman"/>
      <w:sz w:val="24"/>
      <w:szCs w:val="24"/>
    </w:rPr>
  </w:style>
  <w:style w:type="paragraph" w:styleId="Header">
    <w:name w:val="header"/>
    <w:basedOn w:val="Normal"/>
    <w:link w:val="HeaderChar"/>
    <w:uiPriority w:val="99"/>
    <w:unhideWhenUsed/>
    <w:rsid w:val="00BD1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3F7"/>
  </w:style>
  <w:style w:type="paragraph" w:styleId="Footer">
    <w:name w:val="footer"/>
    <w:basedOn w:val="Normal"/>
    <w:link w:val="FooterChar"/>
    <w:uiPriority w:val="99"/>
    <w:unhideWhenUsed/>
    <w:rsid w:val="00BD1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3F7"/>
  </w:style>
  <w:style w:type="paragraph" w:styleId="TOCHeading">
    <w:name w:val="TOC Heading"/>
    <w:basedOn w:val="Heading1"/>
    <w:next w:val="Normal"/>
    <w:uiPriority w:val="39"/>
    <w:unhideWhenUsed/>
    <w:qFormat/>
    <w:rsid w:val="00BD13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A07B2"/>
    <w:pPr>
      <w:tabs>
        <w:tab w:val="right" w:leader="dot" w:pos="9016"/>
      </w:tabs>
      <w:spacing w:after="100" w:line="360" w:lineRule="auto"/>
    </w:pPr>
  </w:style>
  <w:style w:type="paragraph" w:styleId="NoSpacing">
    <w:name w:val="No Spacing"/>
    <w:link w:val="NoSpacingChar"/>
    <w:uiPriority w:val="1"/>
    <w:qFormat/>
    <w:rsid w:val="004B5ED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B5ED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ildingsafety.campaign.gov.uk/building-safety-regulator-making-buildings-safer/building-safety-regulator-news/understanding-the-golden-thread/" TargetMode="External"/><Relationship Id="rId18" Type="http://schemas.openxmlformats.org/officeDocument/2006/relationships/hyperlink" Target="https://www.legislation.gov.uk/ukpga/2022/30" TargetMode="External"/><Relationship Id="rId26" Type="http://schemas.openxmlformats.org/officeDocument/2006/relationships/hyperlink" Target="https://swiftrms.co.uk/blog/coshh-regulations-uk-complete-guide" TargetMode="External"/><Relationship Id="rId3" Type="http://schemas.openxmlformats.org/officeDocument/2006/relationships/styles" Target="styles.xml"/><Relationship Id="rId21" Type="http://schemas.openxmlformats.org/officeDocument/2006/relationships/hyperlink" Target="https://www.planningportal.co.uk/planning/planning-and-fire-safety/planning-gateway-one-summary/purpose-of-planning-gateway-one" TargetMode="External"/><Relationship Id="rId7" Type="http://schemas.openxmlformats.org/officeDocument/2006/relationships/endnotes" Target="endnotes.xml"/><Relationship Id="rId12" Type="http://schemas.openxmlformats.org/officeDocument/2006/relationships/hyperlink" Target="https://fallangel.co.uk/complete-guide-to-work-at-height-regulations-2005/" TargetMode="External"/><Relationship Id="rId17" Type="http://schemas.openxmlformats.org/officeDocument/2006/relationships/hyperlink" Target="https://www.hse.gov.uk/" TargetMode="External"/><Relationship Id="rId25" Type="http://schemas.openxmlformats.org/officeDocument/2006/relationships/hyperlink" Target="https://benx.co.uk/understanding-gateway-3-what-it-means-for-your-building-project/" TargetMode="External"/><Relationship Id="rId2" Type="http://schemas.openxmlformats.org/officeDocument/2006/relationships/numbering" Target="numbering.xml"/><Relationship Id="rId16" Type="http://schemas.openxmlformats.org/officeDocument/2006/relationships/hyperlink" Target="https://www.hse.gov.uk/construction/cdm/2015/overview.htm" TargetMode="External"/><Relationship Id="rId20" Type="http://schemas.openxmlformats.org/officeDocument/2006/relationships/hyperlink" Target="https://www.bsgltd.co.uk/news/cdm-2015-compliance-in-the-post-building-safety-act-er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rlesrussellspeechlys.com/en/insights/expert-insights/construction-engineering-and-projects/2025/building-safety-in-wales/" TargetMode="External"/><Relationship Id="rId24" Type="http://schemas.openxmlformats.org/officeDocument/2006/relationships/hyperlink" Target="https://benx.co.uk/gateway-2-explained-what-architects-and-contractors-need-to-know/" TargetMode="External"/><Relationship Id="rId5" Type="http://schemas.openxmlformats.org/officeDocument/2006/relationships/webSettings" Target="webSettings.xml"/><Relationship Id="rId15" Type="http://schemas.openxmlformats.org/officeDocument/2006/relationships/hyperlink" Target="https://www.gov.wales/building-safety-programme" TargetMode="External"/><Relationship Id="rId23" Type="http://schemas.openxmlformats.org/officeDocument/2006/relationships/hyperlink" Target="https://www.ansteyhorne.co.uk/news/building-regulations-dutyholders-explained" TargetMode="External"/><Relationship Id="rId28" Type="http://schemas.openxmlformats.org/officeDocument/2006/relationships/footer" Target="footer1.xml"/><Relationship Id="rId10" Type="http://schemas.openxmlformats.org/officeDocument/2006/relationships/hyperlink" Target="https://www.fca.org.uk/firms/training-competence" TargetMode="External"/><Relationship Id="rId19" Type="http://schemas.openxmlformats.org/officeDocument/2006/relationships/hyperlink" Target="https://www.legislation.gov.uk/wsi/2025/1321/body/mad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wales/commencement-section-156-uk-building-safety-act-2022-wales-html" TargetMode="External"/><Relationship Id="rId22" Type="http://schemas.openxmlformats.org/officeDocument/2006/relationships/hyperlink" Target="https://www.constructionline.co.uk/insights/blog/health-and-safety-at-work-act-1974-regulations-explained/" TargetMode="External"/><Relationship Id="rId27" Type="http://schemas.openxmlformats.org/officeDocument/2006/relationships/hyperlink" Target="https://www.workaccidentadvicecentre.com/the-management-of-health-safety-at-work-regulations-199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CE498-2880-49E5-80BD-3D4488AAD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13</Pages>
  <Words>3033</Words>
  <Characters>19567</Characters>
  <Application>Microsoft Office Word</Application>
  <DocSecurity>0</DocSecurity>
  <Lines>416</Lines>
  <Paragraphs>237</Paragraphs>
  <ScaleCrop>false</ScaleCrop>
  <Company/>
  <LinksUpToDate>false</LinksUpToDate>
  <CharactersWithSpaces>22363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Health, Safety and welfare (ACBA4023)</dc:subject>
  <dc:creator>Bibek Khatri</dc:creator>
  <cp:keywords/>
  <dc:description/>
  <cp:lastModifiedBy>Bibek Khatri</cp:lastModifiedBy>
  <cp:revision>184</cp:revision>
  <cp:lastPrinted>2026-05-06T14:09:00Z</cp:lastPrinted>
  <dcterms:created xsi:type="dcterms:W3CDTF">2026-05-01T10:02:00Z</dcterms:created>
  <dcterms:modified xsi:type="dcterms:W3CDTF">2026-05-07T08:49:00Z</dcterms:modified>
</cp:coreProperties>
</file>