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9E703" w14:textId="3A1284DC" w:rsidR="00247D26" w:rsidRDefault="00247D26" w:rsidP="00247D26">
      <w:pPr>
        <w:pStyle w:val="Header"/>
        <w:tabs>
          <w:tab w:val="left" w:pos="720"/>
        </w:tabs>
        <w:jc w:val="right"/>
        <w:rPr>
          <w:rFonts w:ascii="Arial" w:hAnsi="Arial" w:cs="Arial"/>
          <w:b/>
          <w:sz w:val="28"/>
          <w:szCs w:val="28"/>
        </w:rPr>
      </w:pPr>
      <w:r>
        <w:rPr>
          <w:noProof/>
        </w:rPr>
        <w:drawing>
          <wp:anchor distT="0" distB="0" distL="114300" distR="114300" simplePos="0" relativeHeight="251658240" behindDoc="0" locked="0" layoutInCell="1" allowOverlap="1" wp14:anchorId="03EF5C05" wp14:editId="5BF3FBDF">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GA36a</w:t>
      </w:r>
    </w:p>
    <w:p w14:paraId="61102498" w14:textId="77777777" w:rsidR="00247D26" w:rsidRDefault="00247D26" w:rsidP="00247D2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47D26" w14:paraId="427674F3" w14:textId="77777777" w:rsidTr="00247D26">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4358D880" w14:textId="77777777" w:rsidR="00247D26" w:rsidRDefault="00247D26">
            <w:pPr>
              <w:pStyle w:val="Heading4"/>
              <w:rPr>
                <w:rFonts w:ascii="Arial" w:hAnsi="Arial" w:cs="Arial"/>
                <w:b/>
                <w:lang w:eastAsia="en-US"/>
              </w:rPr>
            </w:pPr>
            <w:r>
              <w:rPr>
                <w:rFonts w:ascii="Arial" w:hAnsi="Arial" w:cs="Arial"/>
                <w:b/>
                <w:lang w:eastAsia="en-US"/>
              </w:rPr>
              <w:t xml:space="preserve">LEVEL 4 ASSESSMENT SPECIFICATION </w:t>
            </w:r>
          </w:p>
        </w:tc>
      </w:tr>
    </w:tbl>
    <w:p w14:paraId="55716EEF" w14:textId="77777777" w:rsidR="00247D26" w:rsidRDefault="00247D26" w:rsidP="00247D26">
      <w:pPr>
        <w:jc w:val="center"/>
        <w:rPr>
          <w:rFonts w:ascii="Arial" w:hAnsi="Arial" w:cs="Arial"/>
          <w:b/>
          <w:i/>
          <w:sz w:val="32"/>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603"/>
        <w:gridCol w:w="1954"/>
        <w:gridCol w:w="2266"/>
      </w:tblGrid>
      <w:tr w:rsidR="00247D26" w14:paraId="5E8D296A" w14:textId="77777777" w:rsidTr="00247D2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BB9ACCC"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Student name:</w:t>
            </w:r>
          </w:p>
        </w:tc>
        <w:tc>
          <w:tcPr>
            <w:tcW w:w="3606" w:type="dxa"/>
            <w:tcBorders>
              <w:top w:val="single" w:sz="4" w:space="0" w:color="auto"/>
              <w:left w:val="single" w:sz="4" w:space="0" w:color="auto"/>
              <w:bottom w:val="single" w:sz="4" w:space="0" w:color="auto"/>
              <w:right w:val="single" w:sz="4" w:space="0" w:color="auto"/>
            </w:tcBorders>
            <w:hideMark/>
          </w:tcPr>
          <w:p w14:paraId="1D27167B" w14:textId="5FD8019A"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fldChar w:fldCharType="begin">
                <w:ffData>
                  <w:name w:val="Text2"/>
                  <w:enabled/>
                  <w:calcOnExit w:val="0"/>
                  <w:textInput/>
                </w:ffData>
              </w:fldChar>
            </w:r>
            <w:r>
              <w:rPr>
                <w:rFonts w:ascii="Arial" w:hAnsi="Arial" w:cs="Arial"/>
                <w:b/>
                <w:sz w:val="22"/>
                <w:szCs w:val="22"/>
                <w:lang w:eastAsia="en-US"/>
              </w:rPr>
              <w:instrText xml:space="preserve"> FORMTEXT </w:instrText>
            </w:r>
            <w:r>
              <w:rPr>
                <w:rFonts w:ascii="Arial" w:hAnsi="Arial" w:cs="Arial"/>
                <w:b/>
                <w:sz w:val="22"/>
                <w:szCs w:val="22"/>
                <w:lang w:eastAsia="en-US"/>
              </w:rPr>
            </w:r>
            <w:r>
              <w:rPr>
                <w:rFonts w:ascii="Arial" w:hAnsi="Arial" w:cs="Arial"/>
                <w:b/>
                <w:sz w:val="22"/>
                <w:szCs w:val="22"/>
                <w:lang w:eastAsia="en-US"/>
              </w:rPr>
              <w:fldChar w:fldCharType="separate"/>
            </w:r>
            <w:r>
              <w:rPr>
                <w:rFonts w:ascii="Arial" w:hAnsi="Arial" w:cs="Arial"/>
                <w:b/>
                <w:noProof/>
                <w:sz w:val="22"/>
                <w:szCs w:val="22"/>
                <w:lang w:eastAsia="en-US"/>
              </w:rPr>
              <w:t> </w:t>
            </w:r>
            <w:r>
              <w:rPr>
                <w:rFonts w:ascii="Arial" w:hAnsi="Arial" w:cs="Arial"/>
                <w:b/>
                <w:noProof/>
                <w:sz w:val="22"/>
                <w:szCs w:val="22"/>
                <w:lang w:eastAsia="en-US"/>
              </w:rPr>
              <w:t> </w:t>
            </w:r>
            <w:r>
              <w:rPr>
                <w:rFonts w:ascii="Arial" w:hAnsi="Arial" w:cs="Arial"/>
                <w:b/>
                <w:noProof/>
                <w:sz w:val="22"/>
                <w:szCs w:val="22"/>
                <w:lang w:eastAsia="en-US"/>
              </w:rPr>
              <w:t> </w:t>
            </w:r>
            <w:r>
              <w:rPr>
                <w:rFonts w:ascii="Arial" w:hAnsi="Arial" w:cs="Arial"/>
                <w:b/>
                <w:noProof/>
                <w:sz w:val="22"/>
                <w:szCs w:val="22"/>
                <w:lang w:eastAsia="en-US"/>
              </w:rPr>
              <w:t> </w:t>
            </w:r>
            <w:r>
              <w:rPr>
                <w:rFonts w:ascii="Arial" w:hAnsi="Arial" w:cs="Arial"/>
                <w:b/>
                <w:noProof/>
                <w:sz w:val="22"/>
                <w:szCs w:val="22"/>
                <w:lang w:eastAsia="en-US"/>
              </w:rPr>
              <w:t> </w:t>
            </w:r>
            <w:r>
              <w:rPr>
                <w:rFonts w:ascii="Arial" w:hAnsi="Arial" w:cs="Arial"/>
                <w:b/>
                <w:sz w:val="22"/>
                <w:szCs w:val="22"/>
                <w:lang w:eastAsia="en-US"/>
              </w:rPr>
              <w:fldChar w:fldCharType="end"/>
            </w:r>
            <w:r>
              <w:rPr>
                <w:rFonts w:ascii="Arial" w:hAnsi="Arial" w:cs="Arial"/>
                <w:b/>
                <w:sz w:val="22"/>
                <w:szCs w:val="22"/>
                <w:lang w:eastAsia="en-US"/>
              </w:rPr>
              <w:t>Caitlyn Watkins</w:t>
            </w:r>
          </w:p>
        </w:tc>
        <w:tc>
          <w:tcPr>
            <w:tcW w:w="1955" w:type="dxa"/>
            <w:tcBorders>
              <w:top w:val="single" w:sz="4" w:space="0" w:color="auto"/>
              <w:left w:val="single" w:sz="4" w:space="0" w:color="auto"/>
              <w:bottom w:val="single" w:sz="4" w:space="0" w:color="auto"/>
              <w:right w:val="single" w:sz="4" w:space="0" w:color="auto"/>
            </w:tcBorders>
            <w:shd w:val="clear" w:color="auto" w:fill="D9D9D9"/>
            <w:hideMark/>
          </w:tcPr>
          <w:p w14:paraId="7F9636A2"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Student ID number:</w:t>
            </w:r>
          </w:p>
        </w:tc>
        <w:tc>
          <w:tcPr>
            <w:tcW w:w="2268" w:type="dxa"/>
            <w:tcBorders>
              <w:top w:val="single" w:sz="4" w:space="0" w:color="auto"/>
              <w:left w:val="single" w:sz="4" w:space="0" w:color="auto"/>
              <w:bottom w:val="single" w:sz="4" w:space="0" w:color="auto"/>
              <w:right w:val="single" w:sz="4" w:space="0" w:color="auto"/>
            </w:tcBorders>
          </w:tcPr>
          <w:p w14:paraId="40BAEFC5" w14:textId="18AACAD5"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1800126</w:t>
            </w:r>
          </w:p>
        </w:tc>
      </w:tr>
      <w:tr w:rsidR="00247D26" w14:paraId="5E42DF4C" w14:textId="77777777" w:rsidTr="00247D2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87AA0F8"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437E45A7"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BA (Education) with QTS</w:t>
            </w:r>
          </w:p>
        </w:tc>
      </w:tr>
      <w:tr w:rsidR="00247D26" w14:paraId="7EDF61DD" w14:textId="77777777" w:rsidTr="00247D2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67D5953"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51D8A283" w14:textId="77777777" w:rsidR="00247D26" w:rsidRDefault="00247D26">
            <w:pPr>
              <w:spacing w:before="120" w:after="120"/>
              <w:jc w:val="both"/>
              <w:rPr>
                <w:rFonts w:ascii="Arial" w:hAnsi="Arial" w:cs="Arial"/>
                <w:b/>
                <w:sz w:val="22"/>
                <w:szCs w:val="22"/>
                <w:lang w:eastAsia="en-US"/>
              </w:rPr>
            </w:pPr>
            <w:proofErr w:type="spellStart"/>
            <w:r>
              <w:rPr>
                <w:rFonts w:ascii="Arial" w:hAnsi="Arial" w:cs="Arial"/>
                <w:b/>
                <w:sz w:val="22"/>
                <w:szCs w:val="22"/>
                <w:lang w:eastAsia="en-US"/>
              </w:rPr>
              <w:t>Yr</w:t>
            </w:r>
            <w:proofErr w:type="spellEnd"/>
            <w:r>
              <w:rPr>
                <w:rFonts w:ascii="Arial" w:hAnsi="Arial" w:cs="Arial"/>
                <w:b/>
                <w:sz w:val="22"/>
                <w:szCs w:val="22"/>
                <w:lang w:eastAsia="en-US"/>
              </w:rPr>
              <w:t xml:space="preserve"> </w:t>
            </w:r>
            <w:proofErr w:type="spellStart"/>
            <w:r>
              <w:rPr>
                <w:rFonts w:ascii="Arial" w:hAnsi="Arial" w:cs="Arial"/>
                <w:b/>
                <w:sz w:val="22"/>
                <w:szCs w:val="22"/>
                <w:lang w:eastAsia="en-US"/>
              </w:rPr>
              <w:t>Iaith</w:t>
            </w:r>
            <w:proofErr w:type="spellEnd"/>
            <w:r>
              <w:rPr>
                <w:rFonts w:ascii="Arial" w:hAnsi="Arial" w:cs="Arial"/>
                <w:b/>
                <w:sz w:val="22"/>
                <w:szCs w:val="22"/>
                <w:lang w:eastAsia="en-US"/>
              </w:rPr>
              <w:t xml:space="preserve"> </w:t>
            </w:r>
            <w:proofErr w:type="spellStart"/>
            <w:r>
              <w:rPr>
                <w:rFonts w:ascii="Arial" w:hAnsi="Arial" w:cs="Arial"/>
                <w:b/>
                <w:sz w:val="22"/>
                <w:szCs w:val="22"/>
                <w:lang w:eastAsia="en-US"/>
              </w:rPr>
              <w:t>ar</w:t>
            </w:r>
            <w:proofErr w:type="spellEnd"/>
            <w:r>
              <w:rPr>
                <w:rFonts w:ascii="Arial" w:hAnsi="Arial" w:cs="Arial"/>
                <w:b/>
                <w:sz w:val="22"/>
                <w:szCs w:val="22"/>
                <w:lang w:eastAsia="en-US"/>
              </w:rPr>
              <w:t xml:space="preserve"> </w:t>
            </w:r>
            <w:proofErr w:type="spellStart"/>
            <w:r>
              <w:rPr>
                <w:rFonts w:ascii="Arial" w:hAnsi="Arial" w:cs="Arial"/>
                <w:b/>
                <w:sz w:val="22"/>
                <w:szCs w:val="22"/>
                <w:lang w:eastAsia="en-US"/>
              </w:rPr>
              <w:t>Daith</w:t>
            </w:r>
            <w:proofErr w:type="spellEnd"/>
            <w:r>
              <w:rPr>
                <w:rFonts w:ascii="Arial" w:hAnsi="Arial" w:cs="Arial"/>
                <w:b/>
                <w:sz w:val="22"/>
                <w:szCs w:val="22"/>
                <w:lang w:eastAsia="en-US"/>
              </w:rPr>
              <w:t xml:space="preserve"> 1</w:t>
            </w:r>
          </w:p>
        </w:tc>
      </w:tr>
      <w:tr w:rsidR="00247D26" w14:paraId="5EA66521" w14:textId="77777777" w:rsidTr="00247D2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ABA592A"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Module code:</w:t>
            </w:r>
          </w:p>
        </w:tc>
        <w:tc>
          <w:tcPr>
            <w:tcW w:w="3606" w:type="dxa"/>
            <w:tcBorders>
              <w:top w:val="single" w:sz="4" w:space="0" w:color="auto"/>
              <w:left w:val="single" w:sz="4" w:space="0" w:color="auto"/>
              <w:bottom w:val="single" w:sz="4" w:space="0" w:color="auto"/>
              <w:right w:val="single" w:sz="4" w:space="0" w:color="auto"/>
            </w:tcBorders>
            <w:hideMark/>
          </w:tcPr>
          <w:p w14:paraId="39FB8017"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ECAD4002C</w:t>
            </w:r>
          </w:p>
          <w:p w14:paraId="006DD869"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(Part 1)</w:t>
            </w:r>
          </w:p>
        </w:tc>
        <w:tc>
          <w:tcPr>
            <w:tcW w:w="1955" w:type="dxa"/>
            <w:tcBorders>
              <w:top w:val="single" w:sz="4" w:space="0" w:color="auto"/>
              <w:left w:val="single" w:sz="4" w:space="0" w:color="auto"/>
              <w:bottom w:val="single" w:sz="4" w:space="0" w:color="auto"/>
              <w:right w:val="single" w:sz="4" w:space="0" w:color="auto"/>
            </w:tcBorders>
            <w:shd w:val="clear" w:color="auto" w:fill="D9D9D9"/>
            <w:hideMark/>
          </w:tcPr>
          <w:p w14:paraId="1113F6C2" w14:textId="77777777" w:rsidR="00247D26" w:rsidRDefault="00247D26">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45EE3650"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40%</w:t>
            </w:r>
          </w:p>
        </w:tc>
      </w:tr>
      <w:tr w:rsidR="00247D26" w14:paraId="528C3ABD" w14:textId="77777777" w:rsidTr="00247D2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0827EDA"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Lecturer:</w:t>
            </w:r>
          </w:p>
        </w:tc>
        <w:tc>
          <w:tcPr>
            <w:tcW w:w="3606" w:type="dxa"/>
            <w:tcBorders>
              <w:top w:val="single" w:sz="4" w:space="0" w:color="auto"/>
              <w:left w:val="single" w:sz="4" w:space="0" w:color="auto"/>
              <w:bottom w:val="single" w:sz="4" w:space="0" w:color="auto"/>
              <w:right w:val="single" w:sz="4" w:space="0" w:color="auto"/>
            </w:tcBorders>
            <w:hideMark/>
          </w:tcPr>
          <w:p w14:paraId="19493F33"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Natalie Griffiths</w:t>
            </w:r>
          </w:p>
        </w:tc>
        <w:tc>
          <w:tcPr>
            <w:tcW w:w="1955" w:type="dxa"/>
            <w:tcBorders>
              <w:top w:val="single" w:sz="4" w:space="0" w:color="auto"/>
              <w:left w:val="single" w:sz="4" w:space="0" w:color="auto"/>
              <w:bottom w:val="single" w:sz="4" w:space="0" w:color="auto"/>
              <w:right w:val="single" w:sz="4" w:space="0" w:color="auto"/>
            </w:tcBorders>
            <w:shd w:val="clear" w:color="auto" w:fill="D9D9D9"/>
            <w:hideMark/>
          </w:tcPr>
          <w:p w14:paraId="2A0A3E60"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6607C137"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Natalie Griffiths</w:t>
            </w:r>
          </w:p>
        </w:tc>
      </w:tr>
      <w:tr w:rsidR="00247D26" w14:paraId="503DB907" w14:textId="77777777" w:rsidTr="00247D2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8B643BE"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Assignment Title:</w:t>
            </w:r>
          </w:p>
        </w:tc>
        <w:tc>
          <w:tcPr>
            <w:tcW w:w="3606" w:type="dxa"/>
            <w:tcBorders>
              <w:top w:val="single" w:sz="4" w:space="0" w:color="auto"/>
              <w:left w:val="single" w:sz="4" w:space="0" w:color="auto"/>
              <w:bottom w:val="single" w:sz="4" w:space="0" w:color="auto"/>
              <w:right w:val="single" w:sz="4" w:space="0" w:color="auto"/>
            </w:tcBorders>
            <w:hideMark/>
          </w:tcPr>
          <w:p w14:paraId="3351BD1F"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A response to an article that provides evidence of sound knowledge and understanding of themes related to the teaching of Welsh in the English medium sector.</w:t>
            </w:r>
          </w:p>
        </w:tc>
        <w:tc>
          <w:tcPr>
            <w:tcW w:w="1955" w:type="dxa"/>
            <w:tcBorders>
              <w:top w:val="single" w:sz="4" w:space="0" w:color="auto"/>
              <w:left w:val="single" w:sz="4" w:space="0" w:color="auto"/>
              <w:bottom w:val="single" w:sz="4" w:space="0" w:color="auto"/>
              <w:right w:val="single" w:sz="4" w:space="0" w:color="auto"/>
            </w:tcBorders>
            <w:shd w:val="pct15" w:color="auto" w:fill="auto"/>
            <w:hideMark/>
          </w:tcPr>
          <w:p w14:paraId="61D113B8"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2CEE624C"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1,200 words</w:t>
            </w:r>
          </w:p>
        </w:tc>
      </w:tr>
      <w:tr w:rsidR="00247D26" w14:paraId="50172C7F" w14:textId="77777777" w:rsidTr="00247D2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AF01CF4"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Submission deadline:</w:t>
            </w:r>
          </w:p>
        </w:tc>
        <w:tc>
          <w:tcPr>
            <w:tcW w:w="3606" w:type="dxa"/>
            <w:tcBorders>
              <w:top w:val="single" w:sz="4" w:space="0" w:color="auto"/>
              <w:left w:val="single" w:sz="4" w:space="0" w:color="auto"/>
              <w:bottom w:val="single" w:sz="4" w:space="0" w:color="auto"/>
              <w:right w:val="single" w:sz="4" w:space="0" w:color="auto"/>
            </w:tcBorders>
            <w:hideMark/>
          </w:tcPr>
          <w:p w14:paraId="1893AD8F"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7</w:t>
            </w:r>
            <w:r>
              <w:rPr>
                <w:rFonts w:ascii="Arial" w:hAnsi="Arial" w:cs="Arial"/>
                <w:b/>
                <w:sz w:val="22"/>
                <w:szCs w:val="22"/>
                <w:vertAlign w:val="superscript"/>
                <w:lang w:eastAsia="en-US"/>
              </w:rPr>
              <w:t>th</w:t>
            </w:r>
            <w:r>
              <w:rPr>
                <w:rFonts w:ascii="Arial" w:hAnsi="Arial" w:cs="Arial"/>
                <w:b/>
                <w:sz w:val="22"/>
                <w:szCs w:val="22"/>
                <w:lang w:eastAsia="en-US"/>
              </w:rPr>
              <w:t xml:space="preserve"> December 2018</w:t>
            </w:r>
          </w:p>
        </w:tc>
        <w:tc>
          <w:tcPr>
            <w:tcW w:w="1955" w:type="dxa"/>
            <w:tcBorders>
              <w:top w:val="single" w:sz="4" w:space="0" w:color="auto"/>
              <w:left w:val="single" w:sz="4" w:space="0" w:color="auto"/>
              <w:bottom w:val="single" w:sz="4" w:space="0" w:color="auto"/>
              <w:right w:val="single" w:sz="4" w:space="0" w:color="auto"/>
            </w:tcBorders>
            <w:shd w:val="pct15" w:color="auto" w:fill="auto"/>
            <w:hideMark/>
          </w:tcPr>
          <w:p w14:paraId="74761698"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714DC8A4"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15</w:t>
            </w:r>
            <w:r>
              <w:rPr>
                <w:rFonts w:ascii="Arial" w:hAnsi="Arial" w:cs="Arial"/>
                <w:b/>
                <w:sz w:val="22"/>
                <w:szCs w:val="22"/>
                <w:vertAlign w:val="superscript"/>
                <w:lang w:eastAsia="en-US"/>
              </w:rPr>
              <w:t>th</w:t>
            </w:r>
            <w:r>
              <w:rPr>
                <w:rFonts w:ascii="Arial" w:hAnsi="Arial" w:cs="Arial"/>
                <w:b/>
                <w:sz w:val="22"/>
                <w:szCs w:val="22"/>
                <w:lang w:eastAsia="en-US"/>
              </w:rPr>
              <w:t xml:space="preserve"> January 2019</w:t>
            </w:r>
          </w:p>
        </w:tc>
      </w:tr>
      <w:tr w:rsidR="00247D26" w14:paraId="51D8BF1D" w14:textId="77777777" w:rsidTr="00247D2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412D3CA"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0153A316" w14:textId="77777777" w:rsidR="00247D26" w:rsidRDefault="00247D26">
            <w:pPr>
              <w:rPr>
                <w:rFonts w:ascii="Arial" w:hAnsi="Arial" w:cs="Arial"/>
                <w:sz w:val="22"/>
                <w:szCs w:val="22"/>
                <w:lang w:eastAsia="en-US"/>
              </w:rPr>
            </w:pPr>
            <w:r>
              <w:rPr>
                <w:rFonts w:ascii="Arial" w:hAnsi="Arial" w:cs="Arial"/>
                <w:sz w:val="22"/>
                <w:szCs w:val="22"/>
                <w:lang w:eastAsia="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A42709"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 xml:space="preserve">Alternative submission method (if applicable): </w:t>
            </w:r>
          </w:p>
          <w:p w14:paraId="347A45E9" w14:textId="77777777" w:rsidR="00247D26" w:rsidRDefault="00247D26">
            <w:pPr>
              <w:spacing w:before="120" w:after="120"/>
              <w:jc w:val="both"/>
              <w:rPr>
                <w:rFonts w:ascii="Arial" w:hAnsi="Arial" w:cs="Arial"/>
                <w:b/>
                <w:sz w:val="22"/>
                <w:szCs w:val="22"/>
                <w:lang w:eastAsia="en-US"/>
              </w:rPr>
            </w:pPr>
            <w:r>
              <w:rPr>
                <w:rFonts w:ascii="Arial" w:hAnsi="Arial" w:cs="Arial"/>
                <w:b/>
                <w:sz w:val="22"/>
                <w:szCs w:val="22"/>
                <w:lang w:eastAsia="en-US"/>
              </w:rPr>
              <w:t xml:space="preserve">Late submission of the assessment will result in a late penalty mark.  </w:t>
            </w:r>
            <w:r>
              <w:rPr>
                <w:rFonts w:ascii="Arial" w:hAnsi="Arial" w:cs="Arial"/>
                <w:sz w:val="22"/>
                <w:szCs w:val="22"/>
                <w:lang w:eastAsia="en-US"/>
              </w:rPr>
              <w:t>Penalties for late submission: Up to one week late, maximum mark of 40%.  Over one week late, 0%.  Only the Extenuating Circumstances Panel may approve a change to submission dates.</w:t>
            </w:r>
          </w:p>
        </w:tc>
      </w:tr>
      <w:tr w:rsidR="00247D26" w14:paraId="447B3600" w14:textId="77777777" w:rsidTr="00247D2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328A753" w14:textId="77777777" w:rsidR="00247D26" w:rsidRDefault="00247D26">
            <w:pPr>
              <w:spacing w:before="120" w:after="120"/>
              <w:rPr>
                <w:rFonts w:ascii="Arial" w:hAnsi="Arial" w:cs="Arial"/>
                <w:b/>
                <w:sz w:val="22"/>
                <w:szCs w:val="22"/>
                <w:lang w:eastAsia="en-US"/>
              </w:rPr>
            </w:pPr>
            <w:r>
              <w:rPr>
                <w:rFonts w:ascii="Arial" w:hAnsi="Arial" w:cs="Arial"/>
                <w:b/>
                <w:sz w:val="22"/>
                <w:szCs w:val="22"/>
                <w:lang w:eastAsia="en-US"/>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49A7C69C" w14:textId="77777777" w:rsidR="00247D26" w:rsidRDefault="00247D26">
            <w:pPr>
              <w:spacing w:before="120" w:after="120"/>
              <w:jc w:val="both"/>
              <w:rPr>
                <w:rFonts w:ascii="Arial" w:hAnsi="Arial" w:cs="Arial"/>
                <w:sz w:val="22"/>
                <w:szCs w:val="22"/>
                <w:lang w:eastAsia="en-US"/>
              </w:rPr>
            </w:pPr>
            <w:r>
              <w:rPr>
                <w:rFonts w:ascii="Arial" w:hAnsi="Arial" w:cs="Arial"/>
                <w:sz w:val="22"/>
                <w:szCs w:val="22"/>
                <w:lang w:eastAsia="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5D37AFC" w14:textId="5D307850" w:rsidR="00247D26" w:rsidRDefault="00247D26" w:rsidP="00247D26">
      <w:pPr>
        <w:rPr>
          <w:rFonts w:asciiTheme="minorHAnsi" w:hAnsiTheme="minorHAnsi" w:cstheme="minorHAnsi"/>
          <w:sz w:val="22"/>
          <w:szCs w:val="22"/>
        </w:rPr>
      </w:pPr>
    </w:p>
    <w:p w14:paraId="27848D79" w14:textId="233430D4" w:rsidR="00247D26" w:rsidRDefault="00247D26" w:rsidP="00247D26">
      <w:pPr>
        <w:rPr>
          <w:rFonts w:asciiTheme="minorHAnsi" w:hAnsiTheme="minorHAnsi" w:cstheme="minorHAnsi"/>
          <w:sz w:val="22"/>
          <w:szCs w:val="22"/>
        </w:rPr>
      </w:pPr>
    </w:p>
    <w:p w14:paraId="2441EEA3" w14:textId="106CB0D8" w:rsidR="00247D26" w:rsidRDefault="00247D26" w:rsidP="00247D26">
      <w:pPr>
        <w:rPr>
          <w:rFonts w:asciiTheme="minorHAnsi" w:hAnsiTheme="minorHAnsi" w:cstheme="minorHAnsi"/>
          <w:sz w:val="22"/>
          <w:szCs w:val="22"/>
        </w:rPr>
      </w:pPr>
    </w:p>
    <w:p w14:paraId="34C908D7" w14:textId="1F64E6B1" w:rsidR="00247D26" w:rsidRDefault="00247D26" w:rsidP="00247D26">
      <w:pPr>
        <w:rPr>
          <w:rFonts w:asciiTheme="minorHAnsi" w:hAnsiTheme="minorHAnsi" w:cstheme="minorHAnsi"/>
          <w:sz w:val="22"/>
          <w:szCs w:val="22"/>
        </w:rPr>
      </w:pPr>
    </w:p>
    <w:p w14:paraId="7CF2CBD2" w14:textId="098227FC" w:rsidR="00247D26" w:rsidRDefault="00247D26" w:rsidP="00247D26">
      <w:pPr>
        <w:rPr>
          <w:rFonts w:asciiTheme="minorHAnsi" w:hAnsiTheme="minorHAnsi" w:cstheme="minorHAnsi"/>
          <w:sz w:val="22"/>
          <w:szCs w:val="22"/>
        </w:rPr>
      </w:pPr>
    </w:p>
    <w:p w14:paraId="6144A937" w14:textId="221C8570" w:rsidR="00247D26" w:rsidRDefault="00247D26" w:rsidP="00247D26">
      <w:pPr>
        <w:rPr>
          <w:rFonts w:asciiTheme="minorHAnsi" w:hAnsiTheme="minorHAnsi" w:cstheme="minorHAnsi"/>
          <w:sz w:val="22"/>
          <w:szCs w:val="22"/>
        </w:rPr>
      </w:pPr>
    </w:p>
    <w:p w14:paraId="3B37E717" w14:textId="77777777" w:rsidR="00247D26" w:rsidRPr="00247D26" w:rsidRDefault="00247D26" w:rsidP="00247D26">
      <w:pPr>
        <w:rPr>
          <w:rFonts w:asciiTheme="minorHAnsi" w:hAnsiTheme="minorHAnsi" w:cstheme="minorHAnsi"/>
          <w:sz w:val="22"/>
          <w:szCs w:val="22"/>
        </w:rPr>
      </w:pPr>
    </w:p>
    <w:p w14:paraId="4AB0778A" w14:textId="0521FB97" w:rsidR="00247D26" w:rsidRDefault="00247D26" w:rsidP="00247D26">
      <w:pPr>
        <w:rPr>
          <w:rFonts w:asciiTheme="minorHAnsi" w:hAnsiTheme="minorHAnsi" w:cstheme="minorHAnsi"/>
          <w:sz w:val="22"/>
          <w:szCs w:val="22"/>
        </w:rPr>
      </w:pPr>
      <w:r w:rsidRPr="00247D26">
        <w:rPr>
          <w:rFonts w:asciiTheme="minorHAnsi" w:hAnsiTheme="minorHAnsi" w:cstheme="minorHAnsi"/>
          <w:sz w:val="22"/>
          <w:szCs w:val="22"/>
        </w:rPr>
        <w:lastRenderedPageBreak/>
        <w:t>The author</w:t>
      </w:r>
      <w:r>
        <w:rPr>
          <w:rFonts w:asciiTheme="minorHAnsi" w:hAnsiTheme="minorHAnsi" w:cstheme="minorHAnsi"/>
          <w:sz w:val="22"/>
          <w:szCs w:val="22"/>
        </w:rPr>
        <w:t>’</w:t>
      </w:r>
      <w:r w:rsidRPr="00247D26">
        <w:rPr>
          <w:rFonts w:asciiTheme="minorHAnsi" w:hAnsiTheme="minorHAnsi" w:cstheme="minorHAnsi"/>
          <w:sz w:val="22"/>
          <w:szCs w:val="22"/>
        </w:rPr>
        <w:t xml:space="preserve">s purpose in writing this article is to inform the public and practitioners of Welsh as a second language of the ways in which the government is tackling the poor provision of Welsh language in the past in English-medium schools in Wales. This article explains the ways in which the new curriculum will improve the quality of Welsh education and raise the importance of bilingualism as a skill in the job market. The article also comments on other work around the teaching of Welsh as a second language in primary school, such as professor </w:t>
      </w:r>
      <w:proofErr w:type="spellStart"/>
      <w:r w:rsidRPr="00247D26">
        <w:rPr>
          <w:rFonts w:asciiTheme="minorHAnsi" w:hAnsiTheme="minorHAnsi" w:cstheme="minorHAnsi"/>
          <w:sz w:val="22"/>
          <w:szCs w:val="22"/>
        </w:rPr>
        <w:t>Sioned</w:t>
      </w:r>
      <w:proofErr w:type="spellEnd"/>
      <w:r w:rsidRPr="00247D26">
        <w:rPr>
          <w:rFonts w:asciiTheme="minorHAnsi" w:hAnsiTheme="minorHAnsi" w:cstheme="minorHAnsi"/>
          <w:sz w:val="22"/>
          <w:szCs w:val="22"/>
        </w:rPr>
        <w:t xml:space="preserve"> Davies’ ‘One language for all’ (Davies, 2013) and Donaldson’s ‘successful futures’ (Donaldson, 2015). Both of these articles are in </w:t>
      </w:r>
      <w:bookmarkStart w:id="0" w:name="_GoBack"/>
      <w:bookmarkEnd w:id="0"/>
      <w:r w:rsidRPr="00247D26">
        <w:rPr>
          <w:rFonts w:asciiTheme="minorHAnsi" w:hAnsiTheme="minorHAnsi" w:cstheme="minorHAnsi"/>
          <w:sz w:val="22"/>
          <w:szCs w:val="22"/>
        </w:rPr>
        <w:t>support of the government’s plan for the future of Welsh language provision in primary schools. This essay will analyse the content of the article relating to its relevance within primary schools and its concordance with other works relating on the subject.</w:t>
      </w:r>
    </w:p>
    <w:p w14:paraId="769DC304" w14:textId="77777777" w:rsidR="00247D26" w:rsidRPr="00247D26" w:rsidRDefault="00247D26" w:rsidP="00247D26">
      <w:pPr>
        <w:rPr>
          <w:rFonts w:asciiTheme="minorHAnsi" w:hAnsiTheme="minorHAnsi" w:cstheme="minorHAnsi"/>
          <w:sz w:val="22"/>
          <w:szCs w:val="22"/>
        </w:rPr>
      </w:pPr>
    </w:p>
    <w:p w14:paraId="6EE6D819" w14:textId="2177EA42" w:rsidR="00247D26" w:rsidRDefault="00247D26" w:rsidP="00247D26">
      <w:pPr>
        <w:rPr>
          <w:rFonts w:asciiTheme="minorHAnsi" w:hAnsiTheme="minorHAnsi" w:cstheme="minorHAnsi"/>
          <w:sz w:val="22"/>
          <w:szCs w:val="22"/>
        </w:rPr>
      </w:pPr>
      <w:r w:rsidRPr="00247D26">
        <w:rPr>
          <w:rFonts w:asciiTheme="minorHAnsi" w:hAnsiTheme="minorHAnsi" w:cstheme="minorHAnsi"/>
          <w:sz w:val="22"/>
          <w:szCs w:val="22"/>
        </w:rPr>
        <w:t>Lewis remarks that ‘</w:t>
      </w:r>
      <w:r w:rsidRPr="00247D26">
        <w:rPr>
          <w:rFonts w:asciiTheme="minorHAnsi" w:hAnsiTheme="minorHAnsi" w:cstheme="minorHAnsi"/>
          <w:bCs/>
          <w:sz w:val="22"/>
          <w:szCs w:val="22"/>
        </w:rPr>
        <w:t>far too many young people are leaving schools without the effective Welsh language skills they need for the world of work, life and study’ (Lewis, 2015). During my experiences of Welsh language in primary school, I have found that both teachers and pupils are using Welsh conversationally during the course of the day, cementing the language as part of their everyday lives as opposed to exclusively using the language during specified lessons. This method encourages ‘Immersion Learning’, in which the focus of the education is on ‘the content and not the form of the language’ (Baker and Wright, 2017). By focusing on the task being taught with Welsh as a secondary factor, the embedding of the language is more innate and as such is more easily learnt. I have found that when Welsh is embedded within the classroom atmosphere, students are less aware of the learning taking place and as such normalise it within their learning. If continued throughout the pupils’ school career, by the time they enter society the pupils will be using the language in their everyday lives and will have the effective skills encouraged by Lewis to promote the language as part of everyday society. This is supported by Donaldson’s ‘Successful futures’ which recommends that the focus of Welsh teaching should be to develop the language conversationally and with an emphasis on communication (Donaldson, 2015). Estyn also recognises the need for Welsh to be applied within all aspects of education to create ‘</w:t>
      </w:r>
      <w:r w:rsidRPr="00247D26">
        <w:rPr>
          <w:rFonts w:asciiTheme="minorHAnsi" w:hAnsiTheme="minorHAnsi" w:cstheme="minorHAnsi"/>
          <w:sz w:val="22"/>
          <w:szCs w:val="22"/>
        </w:rPr>
        <w:t>commercial value in the employment market and extending language skills for the workplace’, an idea in which extra value will be placed on employees in all workforces who have a thorough understanding of the Welsh Language (Estyn, 2017)</w:t>
      </w:r>
      <w:r>
        <w:rPr>
          <w:rFonts w:asciiTheme="minorHAnsi" w:hAnsiTheme="minorHAnsi" w:cstheme="minorHAnsi"/>
          <w:sz w:val="22"/>
          <w:szCs w:val="22"/>
        </w:rPr>
        <w:t>.</w:t>
      </w:r>
    </w:p>
    <w:p w14:paraId="0C11C9D0" w14:textId="77777777" w:rsidR="00247D26" w:rsidRPr="00247D26" w:rsidRDefault="00247D26" w:rsidP="00247D26">
      <w:pPr>
        <w:rPr>
          <w:rFonts w:asciiTheme="minorHAnsi" w:hAnsiTheme="minorHAnsi" w:cstheme="minorHAnsi"/>
          <w:bCs/>
          <w:sz w:val="22"/>
          <w:szCs w:val="22"/>
        </w:rPr>
      </w:pPr>
    </w:p>
    <w:p w14:paraId="28FD37A9" w14:textId="1062BA93" w:rsidR="00247D26" w:rsidRDefault="00247D26" w:rsidP="00247D26">
      <w:pPr>
        <w:rPr>
          <w:rFonts w:asciiTheme="minorHAnsi" w:hAnsiTheme="minorHAnsi" w:cstheme="minorHAnsi"/>
          <w:bCs/>
          <w:sz w:val="22"/>
          <w:szCs w:val="22"/>
        </w:rPr>
      </w:pPr>
      <w:r w:rsidRPr="00247D26">
        <w:rPr>
          <w:rFonts w:asciiTheme="minorHAnsi" w:hAnsiTheme="minorHAnsi" w:cstheme="minorHAnsi"/>
          <w:bCs/>
          <w:sz w:val="22"/>
          <w:szCs w:val="22"/>
        </w:rPr>
        <w:t>Davies’ ‘One Language for All’ demonstrates that in the past, young people have left education with a limited knowledge of the Welsh language, in accordance with Lewis’ remarks. These statistics reveal that in 2012, twenty one percent of GCSE level students were not entered for the Welsh language GCSE. The majority of pupils (thirty five percent) were entered for the short course GCSE (Davies, 2013). This equips them with less knowledge of the language than the full course and could lead to them not having the necessary skills to use the language in their everyday lives. I have spoken to students who describe that in their experience of GCSE Welsh, the content was focused on passing the exam rather than learning Welsh that can be used within society. This methodology needs to change if students are to be correctly equipped to use Welsh throughout their lives.</w:t>
      </w:r>
    </w:p>
    <w:p w14:paraId="4C5B547D" w14:textId="77777777" w:rsidR="00247D26" w:rsidRPr="00247D26" w:rsidRDefault="00247D26" w:rsidP="00247D26">
      <w:pPr>
        <w:rPr>
          <w:rFonts w:asciiTheme="minorHAnsi" w:hAnsiTheme="minorHAnsi" w:cstheme="minorHAnsi"/>
          <w:bCs/>
          <w:sz w:val="22"/>
          <w:szCs w:val="22"/>
        </w:rPr>
      </w:pPr>
    </w:p>
    <w:p w14:paraId="154D1C8C" w14:textId="0D3A08D9" w:rsidR="00247D26" w:rsidRDefault="00247D26" w:rsidP="00247D26">
      <w:pPr>
        <w:rPr>
          <w:rFonts w:asciiTheme="minorHAnsi" w:hAnsiTheme="minorHAnsi" w:cstheme="minorHAnsi"/>
          <w:sz w:val="22"/>
          <w:szCs w:val="22"/>
        </w:rPr>
      </w:pPr>
      <w:r w:rsidRPr="00247D26">
        <w:rPr>
          <w:rFonts w:asciiTheme="minorHAnsi" w:hAnsiTheme="minorHAnsi" w:cstheme="minorHAnsi"/>
          <w:bCs/>
          <w:sz w:val="22"/>
          <w:szCs w:val="22"/>
        </w:rPr>
        <w:t xml:space="preserve">The teaching of Welsh cannot be effective if the teacher’s initial knowledge of the language is not at a competent level. The Government recognise this, and currently run a Sabbatical Scheme wherein teachers can take time from their jobs to develop their professional knowledge of the language in order to be as effective in their teaching as possible. This programme is effective, however, there are concerns and issues, such as the unwillingness of schools to release teachers for an extended period (five or twelve weeks) as well as the location of the courses being a concern to attendees (Davies, 2013). In my experience, I have found that some teachers have had to research the queries of students in Welsh as their own knowledge is not extensive enough to answer the question. Lewis recognises that ‘we also need to equip our teaching profession with better skills’ (Lewis, 2015). The government will </w:t>
      </w:r>
      <w:proofErr w:type="gramStart"/>
      <w:r w:rsidRPr="00247D26">
        <w:rPr>
          <w:rFonts w:asciiTheme="minorHAnsi" w:hAnsiTheme="minorHAnsi" w:cstheme="minorHAnsi"/>
          <w:bCs/>
          <w:sz w:val="22"/>
          <w:szCs w:val="22"/>
        </w:rPr>
        <w:t>conduct an investigation into</w:t>
      </w:r>
      <w:proofErr w:type="gramEnd"/>
      <w:r w:rsidRPr="00247D26">
        <w:rPr>
          <w:rFonts w:asciiTheme="minorHAnsi" w:hAnsiTheme="minorHAnsi" w:cstheme="minorHAnsi"/>
          <w:bCs/>
          <w:sz w:val="22"/>
          <w:szCs w:val="22"/>
        </w:rPr>
        <w:t xml:space="preserve"> the current level of competency among Welsh language practitioners to determine the level of support needed for the standards of education. Donaldson makes a recommendation in his report that the industry has ‘</w:t>
      </w:r>
      <w:r w:rsidRPr="00247D26">
        <w:rPr>
          <w:rFonts w:asciiTheme="minorHAnsi" w:hAnsiTheme="minorHAnsi" w:cstheme="minorHAnsi"/>
          <w:sz w:val="22"/>
          <w:szCs w:val="22"/>
        </w:rPr>
        <w:t xml:space="preserve">the need to extend teachers’ abilities in Welsh language’ in order to deliver the new curriculum (Donaldson, 2015). If this is correctly applied, the new curriculum will </w:t>
      </w:r>
      <w:r>
        <w:rPr>
          <w:rFonts w:asciiTheme="minorHAnsi" w:hAnsiTheme="minorHAnsi" w:cstheme="minorHAnsi"/>
          <w:sz w:val="22"/>
          <w:szCs w:val="22"/>
        </w:rPr>
        <w:t>h</w:t>
      </w:r>
      <w:r w:rsidRPr="00247D26">
        <w:rPr>
          <w:rFonts w:asciiTheme="minorHAnsi" w:hAnsiTheme="minorHAnsi" w:cstheme="minorHAnsi"/>
          <w:sz w:val="22"/>
          <w:szCs w:val="22"/>
        </w:rPr>
        <w:t>ave teachers who are comfortable enough with the language to use it within their everyday teaching.</w:t>
      </w:r>
    </w:p>
    <w:p w14:paraId="06721FF0" w14:textId="77777777" w:rsidR="00247D26" w:rsidRPr="00247D26" w:rsidRDefault="00247D26" w:rsidP="00247D26">
      <w:pPr>
        <w:rPr>
          <w:rFonts w:asciiTheme="minorHAnsi" w:hAnsiTheme="minorHAnsi" w:cstheme="minorHAnsi"/>
          <w:sz w:val="22"/>
          <w:szCs w:val="22"/>
        </w:rPr>
      </w:pPr>
    </w:p>
    <w:p w14:paraId="4A4CEBA5" w14:textId="633FE904" w:rsidR="00247D26" w:rsidRDefault="00247D26" w:rsidP="00247D26">
      <w:pPr>
        <w:rPr>
          <w:rFonts w:asciiTheme="minorHAnsi" w:hAnsiTheme="minorHAnsi" w:cstheme="minorHAnsi"/>
          <w:sz w:val="22"/>
          <w:szCs w:val="22"/>
        </w:rPr>
      </w:pPr>
      <w:r w:rsidRPr="00247D26">
        <w:rPr>
          <w:rFonts w:asciiTheme="minorHAnsi" w:hAnsiTheme="minorHAnsi" w:cstheme="minorHAnsi"/>
          <w:sz w:val="22"/>
          <w:szCs w:val="22"/>
        </w:rPr>
        <w:t xml:space="preserve">In the current curriculum, Welsh is not given as much time as is necessary to develop bilingualism. As I did not attend school in Wales, I have heard from the experiences of a fellow student that the amount of time available for Welsh provision in secondary school can be as little as an hour every two weeks. In my opinion, the learning is not happening frequently enough to establish the use of Welsh within an everyday setting. Although Lewis states that the learning of Welsh in the new curriculum will be ‘a meaningful continuum of learning from 3-16 for each child and young person’, if the teaching of Welsh is not more frequent as it is presently, this continuum may not be as effective as it is planned to be. Donaldson acknowledges that in order to have a maximum of job prospects, school </w:t>
      </w:r>
      <w:r w:rsidRPr="00247D26">
        <w:rPr>
          <w:rFonts w:asciiTheme="minorHAnsi" w:hAnsiTheme="minorHAnsi" w:cstheme="minorHAnsi"/>
          <w:sz w:val="22"/>
          <w:szCs w:val="22"/>
        </w:rPr>
        <w:lastRenderedPageBreak/>
        <w:t>leavers must be able to ‘hold everyday conversations in Welsh with the patients and clients with whom they come into contact.’ (Donaldson, 2015). For this to become a reality, the amount of time allotted to Welsh must be upped. Davies states that ‘The future of Welsh and Welsh culture is wholly dependent on transmitting the language to our young people’. If this is the case, and I believe it is, then the amount of Welsh spoken and accordingly the amount of Welsh lessons taken by young people is integral to the future of Wales and its unique culture.</w:t>
      </w:r>
    </w:p>
    <w:p w14:paraId="25DB2C73" w14:textId="77777777" w:rsidR="00247D26" w:rsidRPr="00247D26" w:rsidRDefault="00247D26" w:rsidP="00247D26">
      <w:pPr>
        <w:rPr>
          <w:rFonts w:asciiTheme="minorHAnsi" w:hAnsiTheme="minorHAnsi" w:cstheme="minorHAnsi"/>
          <w:sz w:val="22"/>
          <w:szCs w:val="22"/>
        </w:rPr>
      </w:pPr>
    </w:p>
    <w:p w14:paraId="03F8E90B" w14:textId="77777777" w:rsidR="00247D26" w:rsidRPr="00247D26" w:rsidRDefault="00247D26" w:rsidP="00247D26">
      <w:pPr>
        <w:rPr>
          <w:rFonts w:asciiTheme="minorHAnsi" w:hAnsiTheme="minorHAnsi" w:cstheme="minorHAnsi"/>
          <w:sz w:val="22"/>
          <w:szCs w:val="22"/>
        </w:rPr>
      </w:pPr>
      <w:r w:rsidRPr="00247D26">
        <w:rPr>
          <w:rFonts w:asciiTheme="minorHAnsi" w:hAnsiTheme="minorHAnsi" w:cstheme="minorHAnsi"/>
          <w:sz w:val="22"/>
          <w:szCs w:val="22"/>
        </w:rPr>
        <w:t>In conclusion, in order to further develop the education of Welsh as a second language within the new curriculum, education practitioners must ensure that Welsh is used daily conversationally within education settings, in order to cement an appreciation of the language within the pupils. Teachers must have a thorough understanding of the language themselves in order to impart their knowledge correctly to the pupils. This could be through the current Sabbatical programme or through new measures introduced in the new curriculum. Finally, the amount of time given by the curriculum for the teaching of Welsh must increase, in order to develop the continuum of Welsh education envisioned by Donaldson.</w:t>
      </w:r>
    </w:p>
    <w:p w14:paraId="7F110523" w14:textId="77777777" w:rsidR="00247D26" w:rsidRPr="00247D26" w:rsidRDefault="00247D26" w:rsidP="00247D26">
      <w:pPr>
        <w:rPr>
          <w:rFonts w:asciiTheme="minorHAnsi" w:hAnsiTheme="minorHAnsi" w:cstheme="minorHAnsi"/>
          <w:sz w:val="22"/>
          <w:szCs w:val="22"/>
        </w:rPr>
      </w:pPr>
    </w:p>
    <w:p w14:paraId="4AFF0E1E" w14:textId="77777777" w:rsidR="00247D26" w:rsidRPr="00247D26" w:rsidRDefault="00247D26" w:rsidP="00247D26">
      <w:pPr>
        <w:rPr>
          <w:rFonts w:asciiTheme="minorHAnsi" w:hAnsiTheme="minorHAnsi" w:cstheme="minorHAnsi"/>
          <w:sz w:val="22"/>
          <w:szCs w:val="22"/>
        </w:rPr>
      </w:pPr>
    </w:p>
    <w:p w14:paraId="35CD7F39" w14:textId="77777777" w:rsidR="00247D26" w:rsidRPr="00247D26" w:rsidRDefault="00247D26" w:rsidP="00247D26">
      <w:pPr>
        <w:rPr>
          <w:rFonts w:asciiTheme="minorHAnsi" w:hAnsiTheme="minorHAnsi" w:cstheme="minorHAnsi"/>
          <w:sz w:val="22"/>
          <w:szCs w:val="22"/>
          <w:u w:val="single"/>
        </w:rPr>
      </w:pPr>
      <w:r w:rsidRPr="00247D26">
        <w:rPr>
          <w:rFonts w:asciiTheme="minorHAnsi" w:hAnsiTheme="minorHAnsi" w:cstheme="minorHAnsi"/>
          <w:sz w:val="22"/>
          <w:szCs w:val="22"/>
          <w:u w:val="single"/>
        </w:rPr>
        <w:t xml:space="preserve">References  </w:t>
      </w:r>
    </w:p>
    <w:p w14:paraId="27967DE2" w14:textId="64450421" w:rsidR="00247D26" w:rsidRDefault="00247D26" w:rsidP="00247D26">
      <w:pPr>
        <w:rPr>
          <w:rFonts w:asciiTheme="minorHAnsi" w:hAnsiTheme="minorHAnsi" w:cstheme="minorHAnsi"/>
          <w:sz w:val="22"/>
          <w:szCs w:val="22"/>
        </w:rPr>
      </w:pPr>
      <w:r w:rsidRPr="00247D26">
        <w:rPr>
          <w:rFonts w:asciiTheme="minorHAnsi" w:hAnsiTheme="minorHAnsi" w:cstheme="minorHAnsi"/>
          <w:sz w:val="22"/>
          <w:szCs w:val="22"/>
        </w:rPr>
        <w:t>Baker, C and Wright, W (2017), “</w:t>
      </w:r>
      <w:r w:rsidRPr="00247D26">
        <w:rPr>
          <w:rFonts w:asciiTheme="minorHAnsi" w:hAnsiTheme="minorHAnsi" w:cstheme="minorHAnsi"/>
          <w:i/>
          <w:sz w:val="22"/>
          <w:szCs w:val="22"/>
        </w:rPr>
        <w:t xml:space="preserve">Foundations of Bilingual Education and Bilingualism” </w:t>
      </w:r>
      <w:r w:rsidRPr="00247D26">
        <w:rPr>
          <w:rFonts w:asciiTheme="minorHAnsi" w:hAnsiTheme="minorHAnsi" w:cstheme="minorHAnsi"/>
          <w:sz w:val="22"/>
          <w:szCs w:val="22"/>
        </w:rPr>
        <w:t xml:space="preserve">pg. 293 </w:t>
      </w:r>
      <w:r w:rsidRPr="00247D26">
        <w:rPr>
          <w:rFonts w:asciiTheme="minorHAnsi" w:hAnsiTheme="minorHAnsi" w:cstheme="minorHAnsi"/>
          <w:i/>
          <w:sz w:val="22"/>
          <w:szCs w:val="22"/>
        </w:rPr>
        <w:t>6</w:t>
      </w:r>
      <w:r w:rsidRPr="00247D26">
        <w:rPr>
          <w:rFonts w:asciiTheme="minorHAnsi" w:hAnsiTheme="minorHAnsi" w:cstheme="minorHAnsi"/>
          <w:sz w:val="22"/>
          <w:szCs w:val="22"/>
          <w:vertAlign w:val="superscript"/>
        </w:rPr>
        <w:t>th</w:t>
      </w:r>
      <w:r w:rsidRPr="00247D26">
        <w:rPr>
          <w:rFonts w:asciiTheme="minorHAnsi" w:hAnsiTheme="minorHAnsi" w:cstheme="minorHAnsi"/>
          <w:sz w:val="22"/>
          <w:szCs w:val="22"/>
        </w:rPr>
        <w:t xml:space="preserve"> Edition Bristol: Multilingual Matters</w:t>
      </w:r>
    </w:p>
    <w:p w14:paraId="46BC4359" w14:textId="77777777" w:rsidR="00247D26" w:rsidRPr="00247D26" w:rsidRDefault="00247D26" w:rsidP="00247D26">
      <w:pPr>
        <w:rPr>
          <w:rFonts w:asciiTheme="minorHAnsi" w:hAnsiTheme="minorHAnsi" w:cstheme="minorHAnsi"/>
          <w:sz w:val="22"/>
          <w:szCs w:val="22"/>
        </w:rPr>
      </w:pPr>
    </w:p>
    <w:p w14:paraId="53680837" w14:textId="3F70939C" w:rsidR="00247D26" w:rsidRDefault="00247D26" w:rsidP="00247D26">
      <w:pPr>
        <w:rPr>
          <w:rFonts w:asciiTheme="minorHAnsi" w:hAnsiTheme="minorHAnsi" w:cstheme="minorHAnsi"/>
          <w:sz w:val="22"/>
          <w:szCs w:val="22"/>
        </w:rPr>
      </w:pPr>
      <w:r w:rsidRPr="00247D26">
        <w:rPr>
          <w:rFonts w:asciiTheme="minorHAnsi" w:hAnsiTheme="minorHAnsi" w:cstheme="minorHAnsi"/>
          <w:sz w:val="22"/>
          <w:szCs w:val="22"/>
        </w:rPr>
        <w:t xml:space="preserve">Davies (2013), </w:t>
      </w:r>
      <w:r w:rsidRPr="00247D26">
        <w:rPr>
          <w:rFonts w:asciiTheme="minorHAnsi" w:hAnsiTheme="minorHAnsi" w:cstheme="minorHAnsi"/>
          <w:i/>
          <w:sz w:val="22"/>
          <w:szCs w:val="22"/>
        </w:rPr>
        <w:t>“One Language for All”</w:t>
      </w:r>
      <w:r w:rsidRPr="00247D26">
        <w:rPr>
          <w:rFonts w:asciiTheme="minorHAnsi" w:hAnsiTheme="minorHAnsi" w:cstheme="minorHAnsi"/>
          <w:sz w:val="22"/>
          <w:szCs w:val="22"/>
        </w:rPr>
        <w:t xml:space="preserve"> pg. 4 Available at: T</w:t>
      </w:r>
      <w:hyperlink r:id="rId6" w:history="1">
        <w:r w:rsidRPr="00247D26">
          <w:rPr>
            <w:rStyle w:val="Hyperlink"/>
            <w:rFonts w:asciiTheme="minorHAnsi" w:hAnsiTheme="minorHAnsi" w:cstheme="minorHAnsi"/>
            <w:sz w:val="22"/>
            <w:szCs w:val="22"/>
          </w:rPr>
          <w:t>https://moodle.uwtsd.ac.uk/pluginfile.php/218524/mod_resource/content/0/One%20Language%20For%20All.pdf</w:t>
        </w:r>
      </w:hyperlink>
      <w:r w:rsidRPr="00247D26">
        <w:rPr>
          <w:rFonts w:asciiTheme="minorHAnsi" w:hAnsiTheme="minorHAnsi" w:cstheme="minorHAnsi"/>
          <w:sz w:val="22"/>
          <w:szCs w:val="22"/>
        </w:rPr>
        <w:t xml:space="preserve">  Accessed December 5, 2018</w:t>
      </w:r>
    </w:p>
    <w:p w14:paraId="5CDB9F30" w14:textId="77777777" w:rsidR="00247D26" w:rsidRPr="00247D26" w:rsidRDefault="00247D26" w:rsidP="00247D26">
      <w:pPr>
        <w:rPr>
          <w:rFonts w:asciiTheme="minorHAnsi" w:hAnsiTheme="minorHAnsi" w:cstheme="minorHAnsi"/>
          <w:sz w:val="22"/>
          <w:szCs w:val="22"/>
        </w:rPr>
      </w:pPr>
    </w:p>
    <w:p w14:paraId="590FF9E6" w14:textId="7076D445" w:rsidR="00247D26" w:rsidRDefault="00247D26" w:rsidP="00247D26">
      <w:pPr>
        <w:rPr>
          <w:rFonts w:asciiTheme="minorHAnsi" w:hAnsiTheme="minorHAnsi" w:cstheme="minorHAnsi"/>
          <w:sz w:val="22"/>
          <w:szCs w:val="22"/>
        </w:rPr>
      </w:pPr>
      <w:r w:rsidRPr="00247D26">
        <w:rPr>
          <w:rFonts w:asciiTheme="minorHAnsi" w:hAnsiTheme="minorHAnsi" w:cstheme="minorHAnsi"/>
          <w:sz w:val="22"/>
          <w:szCs w:val="22"/>
        </w:rPr>
        <w:t xml:space="preserve">Donaldson (2015), </w:t>
      </w:r>
      <w:r w:rsidRPr="00247D26">
        <w:rPr>
          <w:rFonts w:asciiTheme="minorHAnsi" w:hAnsiTheme="minorHAnsi" w:cstheme="minorHAnsi"/>
          <w:i/>
          <w:sz w:val="22"/>
          <w:szCs w:val="22"/>
        </w:rPr>
        <w:t xml:space="preserve">“Successful Futures” </w:t>
      </w:r>
      <w:r w:rsidRPr="00247D26">
        <w:rPr>
          <w:rFonts w:asciiTheme="minorHAnsi" w:hAnsiTheme="minorHAnsi" w:cstheme="minorHAnsi"/>
          <w:sz w:val="22"/>
          <w:szCs w:val="22"/>
        </w:rPr>
        <w:t xml:space="preserve">pg. 7 Available at: </w:t>
      </w:r>
      <w:hyperlink r:id="rId7" w:history="1">
        <w:r w:rsidRPr="00247D26">
          <w:rPr>
            <w:rStyle w:val="Hyperlink"/>
            <w:rFonts w:asciiTheme="minorHAnsi" w:hAnsiTheme="minorHAnsi" w:cstheme="minorHAnsi"/>
            <w:sz w:val="22"/>
            <w:szCs w:val="22"/>
          </w:rPr>
          <w:t>https://beta.gov.wales/sites/default/files/publications/2018-03/succesful-futures-a-summary-of-professor-graham-donaldsons-report.pdf  Accessed December 5</w:t>
        </w:r>
      </w:hyperlink>
      <w:r w:rsidRPr="00247D26">
        <w:rPr>
          <w:rFonts w:asciiTheme="minorHAnsi" w:hAnsiTheme="minorHAnsi" w:cstheme="minorHAnsi"/>
          <w:sz w:val="22"/>
          <w:szCs w:val="22"/>
        </w:rPr>
        <w:t>, 2018</w:t>
      </w:r>
    </w:p>
    <w:p w14:paraId="19BA411F" w14:textId="77777777" w:rsidR="00247D26" w:rsidRPr="00247D26" w:rsidRDefault="00247D26" w:rsidP="00247D26">
      <w:pPr>
        <w:rPr>
          <w:rFonts w:asciiTheme="minorHAnsi" w:hAnsiTheme="minorHAnsi" w:cstheme="minorHAnsi"/>
          <w:sz w:val="22"/>
          <w:szCs w:val="22"/>
        </w:rPr>
      </w:pPr>
    </w:p>
    <w:p w14:paraId="54F2D72D" w14:textId="77777777" w:rsidR="00247D26" w:rsidRPr="00247D26" w:rsidRDefault="00247D26" w:rsidP="00247D26">
      <w:pPr>
        <w:rPr>
          <w:rFonts w:asciiTheme="minorHAnsi" w:hAnsiTheme="minorHAnsi" w:cstheme="minorHAnsi"/>
          <w:sz w:val="22"/>
          <w:szCs w:val="22"/>
        </w:rPr>
      </w:pPr>
      <w:r w:rsidRPr="00247D26">
        <w:rPr>
          <w:rFonts w:asciiTheme="minorHAnsi" w:hAnsiTheme="minorHAnsi" w:cstheme="minorHAnsi"/>
          <w:sz w:val="22"/>
          <w:szCs w:val="22"/>
        </w:rPr>
        <w:t>Estyn (2017), “</w:t>
      </w:r>
      <w:r w:rsidRPr="00247D26">
        <w:rPr>
          <w:rFonts w:asciiTheme="minorHAnsi" w:hAnsiTheme="minorHAnsi" w:cstheme="minorHAnsi"/>
          <w:i/>
          <w:sz w:val="22"/>
          <w:szCs w:val="22"/>
        </w:rPr>
        <w:t xml:space="preserve">Supplementary guidance: Welsh” </w:t>
      </w:r>
      <w:r w:rsidRPr="00247D26">
        <w:rPr>
          <w:rFonts w:asciiTheme="minorHAnsi" w:hAnsiTheme="minorHAnsi" w:cstheme="minorHAnsi"/>
          <w:sz w:val="22"/>
          <w:szCs w:val="22"/>
        </w:rPr>
        <w:t xml:space="preserve">Available at: </w:t>
      </w:r>
      <w:hyperlink r:id="rId8" w:history="1">
        <w:r w:rsidRPr="00247D26">
          <w:rPr>
            <w:rStyle w:val="Hyperlink"/>
            <w:rFonts w:asciiTheme="minorHAnsi" w:hAnsiTheme="minorHAnsi" w:cstheme="minorHAnsi"/>
            <w:sz w:val="22"/>
            <w:szCs w:val="22"/>
          </w:rPr>
          <w:t>https://moodle.uwtsd.ac.uk/pluginfile.php/102185/mod_resource/content/0/Supplementary%20guidance%20-%20Welsh%20en.pdf</w:t>
        </w:r>
      </w:hyperlink>
      <w:r w:rsidRPr="00247D26">
        <w:rPr>
          <w:rFonts w:asciiTheme="minorHAnsi" w:hAnsiTheme="minorHAnsi" w:cstheme="minorHAnsi"/>
          <w:sz w:val="22"/>
          <w:szCs w:val="22"/>
        </w:rPr>
        <w:t xml:space="preserve"> Accessed December 5, 2018</w:t>
      </w:r>
    </w:p>
    <w:p w14:paraId="0335C566" w14:textId="77777777" w:rsidR="00247D26" w:rsidRPr="00247D26" w:rsidRDefault="00247D26" w:rsidP="00247D26">
      <w:pPr>
        <w:spacing w:before="120"/>
        <w:rPr>
          <w:rFonts w:asciiTheme="minorHAnsi" w:hAnsiTheme="minorHAnsi" w:cstheme="minorHAnsi"/>
          <w:sz w:val="22"/>
          <w:szCs w:val="22"/>
          <w:lang w:val="en-US"/>
        </w:rPr>
      </w:pPr>
      <w:r w:rsidRPr="00247D26">
        <w:rPr>
          <w:rFonts w:asciiTheme="minorHAnsi" w:hAnsiTheme="minorHAnsi" w:cstheme="minorHAnsi"/>
          <w:sz w:val="22"/>
          <w:szCs w:val="22"/>
        </w:rPr>
        <w:t>Lewis (2015), “</w:t>
      </w:r>
      <w:r w:rsidRPr="00247D26">
        <w:rPr>
          <w:rFonts w:asciiTheme="minorHAnsi" w:hAnsiTheme="minorHAnsi" w:cstheme="minorHAnsi"/>
          <w:i/>
          <w:sz w:val="22"/>
          <w:szCs w:val="22"/>
          <w:lang w:val="en-US"/>
        </w:rPr>
        <w:t xml:space="preserve">Welsh Second Language within our new curriculum”  </w:t>
      </w:r>
      <w:r w:rsidRPr="00247D26">
        <w:rPr>
          <w:rFonts w:asciiTheme="minorHAnsi" w:hAnsiTheme="minorHAnsi" w:cstheme="minorHAnsi"/>
          <w:sz w:val="22"/>
          <w:szCs w:val="22"/>
          <w:lang w:val="en-US"/>
        </w:rPr>
        <w:t xml:space="preserve">Available at: </w:t>
      </w:r>
      <w:hyperlink r:id="rId9" w:history="1">
        <w:r w:rsidRPr="00247D26">
          <w:rPr>
            <w:rStyle w:val="Hyperlink"/>
            <w:rFonts w:asciiTheme="minorHAnsi" w:hAnsiTheme="minorHAnsi" w:cstheme="minorHAnsi"/>
            <w:sz w:val="22"/>
            <w:szCs w:val="22"/>
            <w:lang w:val="en-US"/>
          </w:rPr>
          <w:t>http://www.assembly.wales/Ministerial%20Statements%20Documents/Welsh-Second-Language/151015Welshsecondlangen.doc</w:t>
        </w:r>
      </w:hyperlink>
      <w:r w:rsidRPr="00247D26">
        <w:rPr>
          <w:rFonts w:asciiTheme="minorHAnsi" w:hAnsiTheme="minorHAnsi" w:cstheme="minorHAnsi"/>
          <w:sz w:val="22"/>
          <w:szCs w:val="22"/>
          <w:lang w:val="en-US"/>
        </w:rPr>
        <w:t xml:space="preserve"> Accessed  December 5, 2018</w:t>
      </w:r>
    </w:p>
    <w:p w14:paraId="40E28AAF" w14:textId="77777777" w:rsidR="00247D26" w:rsidRPr="007930F3" w:rsidRDefault="00247D26" w:rsidP="00247D26">
      <w:pPr>
        <w:spacing w:before="120"/>
        <w:rPr>
          <w:rFonts w:cstheme="minorHAnsi"/>
          <w:bCs/>
          <w:szCs w:val="24"/>
        </w:rPr>
      </w:pPr>
    </w:p>
    <w:p w14:paraId="2CA5EACB" w14:textId="77777777" w:rsidR="00247D26" w:rsidRDefault="00247D26"/>
    <w:sectPr w:rsidR="00247D26" w:rsidSect="00247D2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D26"/>
    <w:rsid w:val="00247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4D5DD0F"/>
  <w15:chartTrackingRefBased/>
  <w15:docId w15:val="{7A5929C6-6B13-49EF-8367-552DD7090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7D26"/>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semiHidden/>
    <w:unhideWhenUsed/>
    <w:qFormat/>
    <w:rsid w:val="00247D26"/>
    <w:pPr>
      <w:keepNext/>
      <w:jc w:val="both"/>
      <w:outlineLvl w:val="1"/>
    </w:pPr>
    <w:rPr>
      <w:b/>
      <w:sz w:val="24"/>
    </w:rPr>
  </w:style>
  <w:style w:type="paragraph" w:styleId="Heading4">
    <w:name w:val="heading 4"/>
    <w:basedOn w:val="Normal"/>
    <w:next w:val="Normal"/>
    <w:link w:val="Heading4Char"/>
    <w:semiHidden/>
    <w:unhideWhenUsed/>
    <w:qFormat/>
    <w:rsid w:val="00247D26"/>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247D26"/>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247D26"/>
    <w:rPr>
      <w:rFonts w:ascii="Times New Roman" w:eastAsia="Times New Roman" w:hAnsi="Times New Roman" w:cs="Times New Roman"/>
      <w:sz w:val="40"/>
      <w:szCs w:val="20"/>
      <w:lang w:eastAsia="en-GB"/>
    </w:rPr>
  </w:style>
  <w:style w:type="paragraph" w:styleId="Header">
    <w:name w:val="header"/>
    <w:basedOn w:val="Normal"/>
    <w:link w:val="HeaderChar"/>
    <w:semiHidden/>
    <w:unhideWhenUsed/>
    <w:rsid w:val="00247D26"/>
    <w:pPr>
      <w:tabs>
        <w:tab w:val="center" w:pos="4153"/>
        <w:tab w:val="right" w:pos="8306"/>
      </w:tabs>
    </w:pPr>
  </w:style>
  <w:style w:type="character" w:customStyle="1" w:styleId="HeaderChar">
    <w:name w:val="Header Char"/>
    <w:basedOn w:val="DefaultParagraphFont"/>
    <w:link w:val="Header"/>
    <w:semiHidden/>
    <w:rsid w:val="00247D26"/>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247D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33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102185/mod_resource/content/0/Supplementary%20guidance%20-%20Welsh%20en.pdf" TargetMode="External"/><Relationship Id="rId3" Type="http://schemas.openxmlformats.org/officeDocument/2006/relationships/webSettings" Target="webSettings.xml"/><Relationship Id="rId7" Type="http://schemas.openxmlformats.org/officeDocument/2006/relationships/hyperlink" Target="https://beta.gov.wales/sites/default/files/publications/2018-03/succesful-futures-a-summary-of-professor-graham-donaldsons-report.pdf%20%20Accessed%20December%20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pluginfile.php/218524/mod_resource/content/0/One%20Language%20For%20All.pdf" TargetMode="External"/><Relationship Id="rId11" Type="http://schemas.openxmlformats.org/officeDocument/2006/relationships/theme" Target="theme/theme1.xml"/><Relationship Id="rId5" Type="http://schemas.openxmlformats.org/officeDocument/2006/relationships/image" Target="cid:image001.png@01D0EA4A.2BD679A0"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www.assembly.wales/Ministerial%20Statements%20Documents/Welsh-Second-Language/151015welshsecondlangen.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1523</Words>
  <Characters>8685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Watkins (1800126)</dc:creator>
  <cp:keywords/>
  <dc:description/>
  <cp:lastModifiedBy>Caitlyn Watkins</cp:lastModifiedBy>
  <cp:revision>2</cp:revision>
  <dcterms:created xsi:type="dcterms:W3CDTF">2018-12-05T18:30:00Z</dcterms:created>
  <dcterms:modified xsi:type="dcterms:W3CDTF">2018-12-05T18:30:00Z</dcterms:modified>
</cp:coreProperties>
</file>