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B1377B" w14:textId="021E8DB4" w:rsidR="00F9549A" w:rsidRDefault="00F9549A"/>
    <w:p w14:paraId="09098486" w14:textId="66FECAB3" w:rsidR="0007610C" w:rsidRDefault="0007610C" w:rsidP="00CC0BCE">
      <w:pPr>
        <w:spacing w:line="360" w:lineRule="auto"/>
      </w:pPr>
    </w:p>
    <w:p w14:paraId="318C01DD" w14:textId="77777777" w:rsidR="00EF5187" w:rsidRDefault="00EF5187" w:rsidP="00CC0BCE">
      <w:pPr>
        <w:spacing w:line="360" w:lineRule="auto"/>
        <w:rPr>
          <w:rFonts w:ascii="Arial" w:hAnsi="Arial" w:cs="Arial"/>
          <w:sz w:val="22"/>
          <w:szCs w:val="22"/>
        </w:rPr>
      </w:pPr>
    </w:p>
    <w:p w14:paraId="4E97F14F" w14:textId="77777777" w:rsidR="00EF5187" w:rsidRDefault="00EF5187" w:rsidP="00CC0BCE">
      <w:pPr>
        <w:spacing w:line="360" w:lineRule="auto"/>
        <w:rPr>
          <w:rFonts w:ascii="Arial" w:hAnsi="Arial" w:cs="Arial"/>
          <w:sz w:val="22"/>
          <w:szCs w:val="22"/>
        </w:rPr>
      </w:pPr>
    </w:p>
    <w:p w14:paraId="4D2DD76B" w14:textId="77777777" w:rsidR="00EF5187" w:rsidRDefault="00EF5187" w:rsidP="00CC0BCE">
      <w:pPr>
        <w:spacing w:line="360" w:lineRule="auto"/>
        <w:rPr>
          <w:rFonts w:ascii="Arial" w:hAnsi="Arial" w:cs="Arial"/>
          <w:sz w:val="22"/>
          <w:szCs w:val="22"/>
        </w:rPr>
      </w:pPr>
    </w:p>
    <w:p w14:paraId="18A5D863" w14:textId="56879AAF" w:rsidR="00EF5187" w:rsidRDefault="00EF5187" w:rsidP="00CC0BCE">
      <w:pPr>
        <w:spacing w:line="360" w:lineRule="auto"/>
        <w:rPr>
          <w:rFonts w:ascii="Arial" w:hAnsi="Arial" w:cs="Arial"/>
          <w:sz w:val="22"/>
          <w:szCs w:val="22"/>
        </w:rPr>
      </w:pPr>
    </w:p>
    <w:p w14:paraId="7D2E9D34" w14:textId="0CCE161A" w:rsidR="00EF5187" w:rsidRDefault="00EF5187" w:rsidP="00CC0BCE">
      <w:pPr>
        <w:spacing w:line="360" w:lineRule="auto"/>
        <w:rPr>
          <w:rFonts w:ascii="Arial" w:hAnsi="Arial" w:cs="Arial"/>
          <w:sz w:val="22"/>
          <w:szCs w:val="22"/>
        </w:rPr>
      </w:pPr>
    </w:p>
    <w:p w14:paraId="13ECB96A" w14:textId="77777777" w:rsidR="00667AD7" w:rsidRPr="00667AD7" w:rsidRDefault="00667AD7" w:rsidP="00667AD7">
      <w:pPr>
        <w:spacing w:line="360" w:lineRule="auto"/>
        <w:rPr>
          <w:rFonts w:ascii="Arial" w:hAnsi="Arial" w:cs="Arial"/>
          <w:b/>
          <w:bCs/>
          <w:sz w:val="22"/>
          <w:szCs w:val="22"/>
          <w:u w:val="single"/>
        </w:rPr>
      </w:pPr>
    </w:p>
    <w:p w14:paraId="7B91CB0E" w14:textId="040AE70E" w:rsidR="00667AD7" w:rsidRPr="00667AD7" w:rsidRDefault="00667AD7" w:rsidP="00667AD7">
      <w:pPr>
        <w:spacing w:line="360" w:lineRule="auto"/>
        <w:rPr>
          <w:rFonts w:ascii="Arial" w:hAnsi="Arial" w:cs="Arial"/>
          <w:b/>
          <w:bCs/>
          <w:sz w:val="22"/>
          <w:szCs w:val="22"/>
          <w:u w:val="single"/>
        </w:rPr>
      </w:pPr>
      <w:r w:rsidRPr="00667AD7">
        <w:rPr>
          <w:rFonts w:ascii="Arial" w:hAnsi="Arial" w:cs="Arial"/>
          <w:b/>
          <w:bCs/>
          <w:sz w:val="22"/>
          <w:szCs w:val="22"/>
          <w:u w:val="single"/>
        </w:rPr>
        <w:t>(BMHP5014_BIRM</w:t>
      </w:r>
      <w:r w:rsidR="004569DC">
        <w:rPr>
          <w:rFonts w:ascii="Arial" w:hAnsi="Arial" w:cs="Arial"/>
          <w:b/>
          <w:bCs/>
          <w:sz w:val="22"/>
          <w:szCs w:val="22"/>
          <w:u w:val="single"/>
        </w:rPr>
        <w:t>)</w:t>
      </w:r>
      <w:r w:rsidR="00916AB9">
        <w:rPr>
          <w:rFonts w:ascii="Arial" w:hAnsi="Arial" w:cs="Arial"/>
          <w:b/>
          <w:bCs/>
          <w:sz w:val="22"/>
          <w:szCs w:val="22"/>
          <w:u w:val="single"/>
        </w:rPr>
        <w:t xml:space="preserve"> Changemakers: Creativity and Value Creation</w:t>
      </w:r>
    </w:p>
    <w:p w14:paraId="2327D717" w14:textId="77777777" w:rsidR="00667AD7" w:rsidRPr="00667AD7" w:rsidRDefault="00667AD7" w:rsidP="00667AD7">
      <w:pPr>
        <w:spacing w:line="360" w:lineRule="auto"/>
        <w:rPr>
          <w:rFonts w:ascii="Arial" w:hAnsi="Arial" w:cs="Arial"/>
          <w:b/>
          <w:bCs/>
          <w:sz w:val="22"/>
          <w:szCs w:val="22"/>
          <w:u w:val="single"/>
        </w:rPr>
      </w:pPr>
      <w:r w:rsidRPr="00667AD7">
        <w:rPr>
          <w:rFonts w:ascii="Arial" w:hAnsi="Arial" w:cs="Arial"/>
          <w:b/>
          <w:bCs/>
          <w:sz w:val="22"/>
          <w:szCs w:val="22"/>
          <w:u w:val="single"/>
        </w:rPr>
        <w:t>Student Number: 2328226</w:t>
      </w:r>
    </w:p>
    <w:p w14:paraId="4A7362B3" w14:textId="77777777" w:rsidR="00667AD7" w:rsidRPr="00667AD7" w:rsidRDefault="00667AD7" w:rsidP="00667AD7">
      <w:pPr>
        <w:spacing w:line="360" w:lineRule="auto"/>
        <w:rPr>
          <w:rFonts w:ascii="Arial" w:hAnsi="Arial" w:cs="Arial"/>
          <w:b/>
          <w:bCs/>
          <w:sz w:val="22"/>
          <w:szCs w:val="22"/>
          <w:u w:val="single"/>
        </w:rPr>
      </w:pPr>
      <w:r w:rsidRPr="00667AD7">
        <w:rPr>
          <w:rFonts w:ascii="Arial" w:hAnsi="Arial" w:cs="Arial"/>
          <w:b/>
          <w:bCs/>
          <w:sz w:val="22"/>
          <w:szCs w:val="22"/>
          <w:u w:val="single"/>
        </w:rPr>
        <w:t>Student Name: Cherelle Moran</w:t>
      </w:r>
    </w:p>
    <w:p w14:paraId="479E4298" w14:textId="77777777" w:rsidR="00667AD7" w:rsidRPr="00667AD7" w:rsidRDefault="00667AD7" w:rsidP="00667AD7">
      <w:pPr>
        <w:spacing w:line="360" w:lineRule="auto"/>
        <w:rPr>
          <w:rFonts w:ascii="Arial" w:hAnsi="Arial" w:cs="Arial"/>
          <w:b/>
          <w:bCs/>
          <w:sz w:val="22"/>
          <w:szCs w:val="22"/>
          <w:u w:val="single"/>
        </w:rPr>
      </w:pPr>
      <w:r w:rsidRPr="00667AD7">
        <w:rPr>
          <w:rFonts w:ascii="Arial" w:hAnsi="Arial" w:cs="Arial"/>
          <w:b/>
          <w:bCs/>
          <w:sz w:val="22"/>
          <w:szCs w:val="22"/>
          <w:u w:val="single"/>
        </w:rPr>
        <w:t>Tutor Details: Alice Clayton</w:t>
      </w:r>
    </w:p>
    <w:p w14:paraId="6878D465" w14:textId="77777777" w:rsidR="00261A43" w:rsidRPr="00667AD7" w:rsidRDefault="00667AD7" w:rsidP="00471B58">
      <w:pPr>
        <w:tabs>
          <w:tab w:val="left" w:pos="5655"/>
        </w:tabs>
        <w:spacing w:line="360" w:lineRule="auto"/>
        <w:rPr>
          <w:rFonts w:ascii="Arial" w:hAnsi="Arial" w:cs="Arial"/>
          <w:b/>
          <w:bCs/>
          <w:sz w:val="22"/>
          <w:szCs w:val="22"/>
          <w:u w:val="single"/>
        </w:rPr>
      </w:pPr>
      <w:r w:rsidRPr="00667AD7">
        <w:rPr>
          <w:rFonts w:ascii="Arial" w:hAnsi="Arial" w:cs="Arial"/>
          <w:b/>
          <w:bCs/>
          <w:sz w:val="22"/>
          <w:szCs w:val="22"/>
          <w:u w:val="single"/>
        </w:rPr>
        <w:t xml:space="preserve">Submission Date: </w:t>
      </w:r>
      <w:r w:rsidR="00916AB9">
        <w:rPr>
          <w:rFonts w:ascii="Arial" w:hAnsi="Arial" w:cs="Arial"/>
          <w:b/>
          <w:bCs/>
          <w:sz w:val="22"/>
          <w:szCs w:val="22"/>
          <w:u w:val="single"/>
        </w:rPr>
        <w:t>24</w:t>
      </w:r>
      <w:r w:rsidRPr="00667AD7">
        <w:rPr>
          <w:rFonts w:ascii="Arial" w:hAnsi="Arial" w:cs="Arial"/>
          <w:b/>
          <w:bCs/>
          <w:sz w:val="22"/>
          <w:szCs w:val="22"/>
          <w:u w:val="single"/>
        </w:rPr>
        <w:t>th November 2025</w:t>
      </w:r>
    </w:p>
    <w:p w14:paraId="1D6DABB2" w14:textId="00B630C0" w:rsidR="00667AD7" w:rsidRPr="00667AD7" w:rsidRDefault="00667AD7" w:rsidP="00471B58">
      <w:pPr>
        <w:tabs>
          <w:tab w:val="left" w:pos="5655"/>
        </w:tabs>
        <w:spacing w:line="360" w:lineRule="auto"/>
        <w:rPr>
          <w:rFonts w:ascii="Arial" w:hAnsi="Arial" w:cs="Arial"/>
          <w:b/>
          <w:bCs/>
          <w:sz w:val="22"/>
          <w:szCs w:val="22"/>
          <w:u w:val="single"/>
        </w:rPr>
      </w:pPr>
    </w:p>
    <w:p w14:paraId="1360836A" w14:textId="77777777" w:rsidR="00667AD7" w:rsidRPr="00667AD7" w:rsidRDefault="00667AD7" w:rsidP="00667AD7">
      <w:pPr>
        <w:spacing w:line="360" w:lineRule="auto"/>
        <w:rPr>
          <w:rFonts w:ascii="Arial" w:hAnsi="Arial" w:cs="Arial"/>
          <w:b/>
          <w:bCs/>
          <w:sz w:val="22"/>
          <w:szCs w:val="22"/>
          <w:u w:val="single"/>
        </w:rPr>
      </w:pPr>
    </w:p>
    <w:p w14:paraId="5BB8CBB1" w14:textId="6021FA14" w:rsidR="00EF5187" w:rsidRDefault="00EF5187" w:rsidP="00CC0BCE">
      <w:pPr>
        <w:spacing w:line="360" w:lineRule="auto"/>
        <w:rPr>
          <w:rFonts w:ascii="Arial" w:hAnsi="Arial" w:cs="Arial"/>
          <w:sz w:val="22"/>
          <w:szCs w:val="22"/>
        </w:rPr>
      </w:pPr>
    </w:p>
    <w:p w14:paraId="3A28CA85" w14:textId="4B43E788" w:rsidR="00EF5187" w:rsidRDefault="00EF5187" w:rsidP="00CC0BCE">
      <w:pPr>
        <w:spacing w:line="360" w:lineRule="auto"/>
        <w:rPr>
          <w:rFonts w:ascii="Arial" w:hAnsi="Arial" w:cs="Arial"/>
          <w:sz w:val="22"/>
          <w:szCs w:val="22"/>
        </w:rPr>
      </w:pPr>
    </w:p>
    <w:p w14:paraId="525820BE" w14:textId="0111C38E" w:rsidR="00EF5187" w:rsidRDefault="00EF5187" w:rsidP="00CC0BCE">
      <w:pPr>
        <w:spacing w:line="360" w:lineRule="auto"/>
        <w:rPr>
          <w:rFonts w:ascii="Arial" w:hAnsi="Arial" w:cs="Arial"/>
          <w:sz w:val="22"/>
          <w:szCs w:val="22"/>
        </w:rPr>
      </w:pPr>
    </w:p>
    <w:p w14:paraId="34F999C1" w14:textId="6E34491D" w:rsidR="00EF5187" w:rsidRDefault="00EF5187" w:rsidP="00CC0BCE">
      <w:pPr>
        <w:spacing w:line="360" w:lineRule="auto"/>
        <w:rPr>
          <w:rFonts w:ascii="Arial" w:hAnsi="Arial" w:cs="Arial"/>
          <w:sz w:val="22"/>
          <w:szCs w:val="22"/>
        </w:rPr>
      </w:pPr>
    </w:p>
    <w:p w14:paraId="32EBA468" w14:textId="610F0AF0" w:rsidR="00EF5187" w:rsidRDefault="00EF5187" w:rsidP="00CC0BCE">
      <w:pPr>
        <w:spacing w:line="360" w:lineRule="auto"/>
        <w:rPr>
          <w:rFonts w:ascii="Arial" w:hAnsi="Arial" w:cs="Arial"/>
          <w:sz w:val="22"/>
          <w:szCs w:val="22"/>
        </w:rPr>
      </w:pPr>
    </w:p>
    <w:p w14:paraId="7AC02B4E" w14:textId="3E4207A1" w:rsidR="00EF5187" w:rsidRDefault="00EF5187" w:rsidP="00CC0BCE">
      <w:pPr>
        <w:spacing w:line="360" w:lineRule="auto"/>
        <w:rPr>
          <w:rFonts w:ascii="Arial" w:hAnsi="Arial" w:cs="Arial"/>
          <w:sz w:val="22"/>
          <w:szCs w:val="22"/>
        </w:rPr>
      </w:pPr>
    </w:p>
    <w:p w14:paraId="6F117E89" w14:textId="19278F06" w:rsidR="00EF5187" w:rsidRDefault="00EF5187" w:rsidP="00CC0BCE">
      <w:pPr>
        <w:spacing w:line="360" w:lineRule="auto"/>
        <w:rPr>
          <w:rFonts w:ascii="Arial" w:hAnsi="Arial" w:cs="Arial"/>
          <w:sz w:val="22"/>
          <w:szCs w:val="22"/>
        </w:rPr>
      </w:pPr>
    </w:p>
    <w:p w14:paraId="0E99D8E6" w14:textId="5DD12473" w:rsidR="00EF5187" w:rsidRDefault="00EF5187" w:rsidP="00CC0BCE">
      <w:pPr>
        <w:spacing w:line="360" w:lineRule="auto"/>
        <w:rPr>
          <w:rFonts w:ascii="Arial" w:hAnsi="Arial" w:cs="Arial"/>
          <w:sz w:val="22"/>
          <w:szCs w:val="22"/>
        </w:rPr>
      </w:pPr>
    </w:p>
    <w:p w14:paraId="2E8D5ED0" w14:textId="443D8004" w:rsidR="00EF5187" w:rsidRDefault="00EF5187" w:rsidP="00CC0BCE">
      <w:pPr>
        <w:spacing w:line="360" w:lineRule="auto"/>
        <w:rPr>
          <w:rFonts w:ascii="Arial" w:hAnsi="Arial" w:cs="Arial"/>
          <w:sz w:val="22"/>
          <w:szCs w:val="22"/>
        </w:rPr>
      </w:pPr>
    </w:p>
    <w:p w14:paraId="0E5CD5B1" w14:textId="78D0305B" w:rsidR="00EF5187" w:rsidRDefault="00EF5187" w:rsidP="00CC0BCE">
      <w:pPr>
        <w:spacing w:line="360" w:lineRule="auto"/>
        <w:rPr>
          <w:rFonts w:ascii="Arial" w:hAnsi="Arial" w:cs="Arial"/>
          <w:sz w:val="22"/>
          <w:szCs w:val="22"/>
        </w:rPr>
      </w:pPr>
    </w:p>
    <w:p w14:paraId="059A4641" w14:textId="1B166421" w:rsidR="00EF5187" w:rsidRDefault="00EF5187" w:rsidP="00CC0BCE">
      <w:pPr>
        <w:spacing w:line="360" w:lineRule="auto"/>
        <w:rPr>
          <w:rFonts w:ascii="Arial" w:hAnsi="Arial" w:cs="Arial"/>
          <w:sz w:val="22"/>
          <w:szCs w:val="22"/>
        </w:rPr>
      </w:pPr>
    </w:p>
    <w:tbl>
      <w:tblPr>
        <w:tblStyle w:val="TableGrid"/>
        <w:tblpPr w:leftFromText="180" w:rightFromText="180" w:vertAnchor="text" w:horzAnchor="margin" w:tblpY="1113"/>
        <w:tblW w:w="0" w:type="auto"/>
        <w:tblLook w:val="04A0" w:firstRow="1" w:lastRow="0" w:firstColumn="1" w:lastColumn="0" w:noHBand="0" w:noVBand="1"/>
      </w:tblPr>
      <w:tblGrid>
        <w:gridCol w:w="7508"/>
        <w:gridCol w:w="1508"/>
      </w:tblGrid>
      <w:tr w:rsidR="000F4FBE" w14:paraId="4833399F" w14:textId="77777777" w:rsidTr="000F4FBE">
        <w:tc>
          <w:tcPr>
            <w:tcW w:w="7508" w:type="dxa"/>
          </w:tcPr>
          <w:p w14:paraId="5D0F6576" w14:textId="5EEF6EBF" w:rsidR="000F4FBE" w:rsidRDefault="00A9474F" w:rsidP="000F4FBE">
            <w:pPr>
              <w:tabs>
                <w:tab w:val="left" w:pos="5655"/>
              </w:tabs>
              <w:spacing w:line="360" w:lineRule="auto"/>
              <w:rPr>
                <w:rFonts w:ascii="Arial" w:hAnsi="Arial" w:cs="Arial"/>
                <w:b/>
                <w:bCs/>
                <w:sz w:val="22"/>
                <w:szCs w:val="22"/>
                <w:u w:val="single"/>
              </w:rPr>
            </w:pPr>
            <w:r>
              <w:rPr>
                <w:rFonts w:ascii="Arial" w:hAnsi="Arial" w:cs="Arial"/>
                <w:b/>
                <w:bCs/>
                <w:sz w:val="22"/>
                <w:szCs w:val="22"/>
                <w:u w:val="single"/>
              </w:rPr>
              <w:lastRenderedPageBreak/>
              <w:t>Poster</w:t>
            </w:r>
          </w:p>
        </w:tc>
        <w:tc>
          <w:tcPr>
            <w:tcW w:w="1508" w:type="dxa"/>
          </w:tcPr>
          <w:p w14:paraId="32B44120" w14:textId="24F76F13" w:rsidR="000F4FBE" w:rsidRDefault="00A9474F" w:rsidP="000F4FBE">
            <w:pPr>
              <w:tabs>
                <w:tab w:val="left" w:pos="5655"/>
              </w:tabs>
              <w:spacing w:line="360" w:lineRule="auto"/>
              <w:rPr>
                <w:rFonts w:ascii="Arial" w:hAnsi="Arial" w:cs="Arial"/>
                <w:b/>
                <w:bCs/>
                <w:sz w:val="22"/>
                <w:szCs w:val="22"/>
                <w:u w:val="single"/>
              </w:rPr>
            </w:pPr>
            <w:r>
              <w:rPr>
                <w:rFonts w:ascii="Arial" w:hAnsi="Arial" w:cs="Arial"/>
                <w:b/>
                <w:bCs/>
                <w:sz w:val="22"/>
                <w:szCs w:val="22"/>
                <w:u w:val="single"/>
              </w:rPr>
              <w:t>Page 3</w:t>
            </w:r>
          </w:p>
        </w:tc>
      </w:tr>
      <w:tr w:rsidR="000F4FBE" w14:paraId="22028813" w14:textId="77777777" w:rsidTr="000F4FBE">
        <w:tc>
          <w:tcPr>
            <w:tcW w:w="7508" w:type="dxa"/>
          </w:tcPr>
          <w:p w14:paraId="70367029" w14:textId="4BDED5C6" w:rsidR="000F4FBE" w:rsidRDefault="00A9474F" w:rsidP="000F4FBE">
            <w:pPr>
              <w:tabs>
                <w:tab w:val="left" w:pos="5655"/>
              </w:tabs>
              <w:spacing w:line="360" w:lineRule="auto"/>
              <w:rPr>
                <w:rFonts w:ascii="Arial" w:hAnsi="Arial" w:cs="Arial"/>
                <w:b/>
                <w:bCs/>
                <w:sz w:val="22"/>
                <w:szCs w:val="22"/>
                <w:u w:val="single"/>
              </w:rPr>
            </w:pPr>
            <w:r>
              <w:rPr>
                <w:rFonts w:ascii="Arial" w:hAnsi="Arial" w:cs="Arial"/>
                <w:b/>
                <w:bCs/>
                <w:sz w:val="22"/>
                <w:szCs w:val="22"/>
                <w:u w:val="single"/>
              </w:rPr>
              <w:t>Pitch</w:t>
            </w:r>
          </w:p>
        </w:tc>
        <w:tc>
          <w:tcPr>
            <w:tcW w:w="1508" w:type="dxa"/>
          </w:tcPr>
          <w:p w14:paraId="7379C835" w14:textId="3B865EC9" w:rsidR="000F4FBE" w:rsidRDefault="00A9474F" w:rsidP="000F4FBE">
            <w:pPr>
              <w:tabs>
                <w:tab w:val="left" w:pos="5655"/>
              </w:tabs>
              <w:spacing w:line="360" w:lineRule="auto"/>
              <w:rPr>
                <w:rFonts w:ascii="Arial" w:hAnsi="Arial" w:cs="Arial"/>
                <w:b/>
                <w:bCs/>
                <w:sz w:val="22"/>
                <w:szCs w:val="22"/>
                <w:u w:val="single"/>
              </w:rPr>
            </w:pPr>
            <w:r>
              <w:rPr>
                <w:rFonts w:ascii="Arial" w:hAnsi="Arial" w:cs="Arial"/>
                <w:b/>
                <w:bCs/>
                <w:sz w:val="22"/>
                <w:szCs w:val="22"/>
                <w:u w:val="single"/>
              </w:rPr>
              <w:t>Page 4</w:t>
            </w:r>
          </w:p>
        </w:tc>
      </w:tr>
      <w:tr w:rsidR="000F4FBE" w14:paraId="70AA5DBB" w14:textId="77777777" w:rsidTr="000F4FBE">
        <w:tc>
          <w:tcPr>
            <w:tcW w:w="7508" w:type="dxa"/>
          </w:tcPr>
          <w:p w14:paraId="562B0D41" w14:textId="6950EFE5" w:rsidR="000F4FBE" w:rsidRDefault="00A9474F" w:rsidP="000F4FBE">
            <w:pPr>
              <w:tabs>
                <w:tab w:val="left" w:pos="5655"/>
              </w:tabs>
              <w:spacing w:line="360" w:lineRule="auto"/>
              <w:rPr>
                <w:rFonts w:ascii="Arial" w:hAnsi="Arial" w:cs="Arial"/>
                <w:b/>
                <w:bCs/>
                <w:sz w:val="22"/>
                <w:szCs w:val="22"/>
                <w:u w:val="single"/>
              </w:rPr>
            </w:pPr>
            <w:r>
              <w:rPr>
                <w:rFonts w:ascii="Arial" w:hAnsi="Arial" w:cs="Arial"/>
                <w:b/>
                <w:bCs/>
                <w:sz w:val="22"/>
                <w:szCs w:val="22"/>
                <w:u w:val="single"/>
              </w:rPr>
              <w:t>References</w:t>
            </w:r>
          </w:p>
        </w:tc>
        <w:tc>
          <w:tcPr>
            <w:tcW w:w="1508" w:type="dxa"/>
          </w:tcPr>
          <w:p w14:paraId="4CA853F9" w14:textId="1954F429" w:rsidR="000F4FBE" w:rsidRDefault="00A9474F" w:rsidP="000F4FBE">
            <w:pPr>
              <w:tabs>
                <w:tab w:val="left" w:pos="5655"/>
              </w:tabs>
              <w:spacing w:line="360" w:lineRule="auto"/>
              <w:rPr>
                <w:rFonts w:ascii="Arial" w:hAnsi="Arial" w:cs="Arial"/>
                <w:b/>
                <w:bCs/>
                <w:sz w:val="22"/>
                <w:szCs w:val="22"/>
                <w:u w:val="single"/>
              </w:rPr>
            </w:pPr>
            <w:r>
              <w:rPr>
                <w:rFonts w:ascii="Arial" w:hAnsi="Arial" w:cs="Arial"/>
                <w:b/>
                <w:bCs/>
                <w:sz w:val="22"/>
                <w:szCs w:val="22"/>
                <w:u w:val="single"/>
              </w:rPr>
              <w:t xml:space="preserve">Page </w:t>
            </w:r>
            <w:r w:rsidR="00A73D01">
              <w:rPr>
                <w:rFonts w:ascii="Arial" w:hAnsi="Arial" w:cs="Arial"/>
                <w:b/>
                <w:bCs/>
                <w:sz w:val="22"/>
                <w:szCs w:val="22"/>
                <w:u w:val="single"/>
              </w:rPr>
              <w:t>7</w:t>
            </w:r>
          </w:p>
        </w:tc>
      </w:tr>
    </w:tbl>
    <w:p w14:paraId="4EC7A033" w14:textId="4F22F6A3" w:rsidR="00EF5187" w:rsidRPr="000F4FBE" w:rsidRDefault="000F4FBE" w:rsidP="00CC0BCE">
      <w:pPr>
        <w:spacing w:line="360" w:lineRule="auto"/>
        <w:rPr>
          <w:rFonts w:ascii="Arial" w:hAnsi="Arial" w:cs="Arial"/>
          <w:b/>
          <w:bCs/>
          <w:sz w:val="22"/>
          <w:szCs w:val="22"/>
          <w:u w:val="single"/>
        </w:rPr>
      </w:pPr>
      <w:r w:rsidRPr="000F4FBE">
        <w:rPr>
          <w:rFonts w:ascii="Arial" w:hAnsi="Arial" w:cs="Arial"/>
          <w:b/>
          <w:bCs/>
          <w:sz w:val="22"/>
          <w:szCs w:val="22"/>
          <w:u w:val="single"/>
        </w:rPr>
        <w:t>Contents Page</w:t>
      </w:r>
    </w:p>
    <w:p w14:paraId="1B26DACE" w14:textId="3FA0637F" w:rsidR="00EF5187" w:rsidRDefault="00EF5187" w:rsidP="00CC0BCE">
      <w:pPr>
        <w:spacing w:line="360" w:lineRule="auto"/>
        <w:rPr>
          <w:rFonts w:ascii="Arial" w:hAnsi="Arial" w:cs="Arial"/>
          <w:sz w:val="22"/>
          <w:szCs w:val="22"/>
        </w:rPr>
      </w:pPr>
    </w:p>
    <w:p w14:paraId="17204D58" w14:textId="5A7769CB" w:rsidR="00EF5187" w:rsidRDefault="00EF5187" w:rsidP="00CC0BCE">
      <w:pPr>
        <w:spacing w:line="360" w:lineRule="auto"/>
        <w:rPr>
          <w:rFonts w:ascii="Arial" w:hAnsi="Arial" w:cs="Arial"/>
          <w:sz w:val="22"/>
          <w:szCs w:val="22"/>
        </w:rPr>
      </w:pPr>
    </w:p>
    <w:p w14:paraId="3E41E089" w14:textId="587BB33B" w:rsidR="00EF5187" w:rsidRDefault="00EF5187" w:rsidP="00CC0BCE">
      <w:pPr>
        <w:spacing w:line="360" w:lineRule="auto"/>
        <w:rPr>
          <w:rFonts w:ascii="Arial" w:hAnsi="Arial" w:cs="Arial"/>
          <w:sz w:val="22"/>
          <w:szCs w:val="22"/>
        </w:rPr>
      </w:pPr>
    </w:p>
    <w:p w14:paraId="0FAF04BE" w14:textId="0D32F313" w:rsidR="00EF5187" w:rsidRDefault="00EF5187" w:rsidP="00CC0BCE">
      <w:pPr>
        <w:spacing w:line="360" w:lineRule="auto"/>
        <w:rPr>
          <w:rFonts w:ascii="Arial" w:hAnsi="Arial" w:cs="Arial"/>
          <w:sz w:val="22"/>
          <w:szCs w:val="22"/>
        </w:rPr>
      </w:pPr>
    </w:p>
    <w:p w14:paraId="1903A2A5" w14:textId="6161F79B" w:rsidR="00EF5187" w:rsidRDefault="00EF5187" w:rsidP="00CC0BCE">
      <w:pPr>
        <w:spacing w:line="360" w:lineRule="auto"/>
        <w:rPr>
          <w:rFonts w:ascii="Arial" w:hAnsi="Arial" w:cs="Arial"/>
          <w:sz w:val="22"/>
          <w:szCs w:val="22"/>
        </w:rPr>
      </w:pPr>
    </w:p>
    <w:p w14:paraId="3768B942" w14:textId="50121462" w:rsidR="00EF5187" w:rsidRDefault="00EF5187" w:rsidP="00CC0BCE">
      <w:pPr>
        <w:spacing w:line="360" w:lineRule="auto"/>
        <w:rPr>
          <w:rFonts w:ascii="Arial" w:hAnsi="Arial" w:cs="Arial"/>
          <w:sz w:val="22"/>
          <w:szCs w:val="22"/>
        </w:rPr>
      </w:pPr>
    </w:p>
    <w:p w14:paraId="2A0BFBF4" w14:textId="3CABDFB1" w:rsidR="00EF5187" w:rsidRDefault="00EF5187" w:rsidP="00CC0BCE">
      <w:pPr>
        <w:spacing w:line="360" w:lineRule="auto"/>
        <w:rPr>
          <w:rFonts w:ascii="Arial" w:hAnsi="Arial" w:cs="Arial"/>
          <w:sz w:val="22"/>
          <w:szCs w:val="22"/>
        </w:rPr>
      </w:pPr>
    </w:p>
    <w:p w14:paraId="72047B2C" w14:textId="0D403CEE" w:rsidR="00EF5187" w:rsidRDefault="00EF5187" w:rsidP="00CC0BCE">
      <w:pPr>
        <w:spacing w:line="360" w:lineRule="auto"/>
        <w:rPr>
          <w:rFonts w:ascii="Arial" w:hAnsi="Arial" w:cs="Arial"/>
          <w:sz w:val="22"/>
          <w:szCs w:val="22"/>
        </w:rPr>
      </w:pPr>
    </w:p>
    <w:p w14:paraId="721039E0" w14:textId="77777777" w:rsidR="00EF5187" w:rsidRDefault="00EF5187" w:rsidP="00CC0BCE">
      <w:pPr>
        <w:spacing w:line="360" w:lineRule="auto"/>
        <w:rPr>
          <w:rFonts w:ascii="Arial" w:hAnsi="Arial" w:cs="Arial"/>
          <w:sz w:val="22"/>
          <w:szCs w:val="22"/>
        </w:rPr>
      </w:pPr>
    </w:p>
    <w:p w14:paraId="73099D3C" w14:textId="77777777" w:rsidR="00EF5187" w:rsidRDefault="00EF5187" w:rsidP="00CC0BCE">
      <w:pPr>
        <w:spacing w:line="360" w:lineRule="auto"/>
        <w:rPr>
          <w:rFonts w:ascii="Arial" w:hAnsi="Arial" w:cs="Arial"/>
          <w:sz w:val="22"/>
          <w:szCs w:val="22"/>
        </w:rPr>
      </w:pPr>
    </w:p>
    <w:p w14:paraId="407907AF" w14:textId="77777777" w:rsidR="00EF5187" w:rsidRDefault="00EF5187" w:rsidP="00CC0BCE">
      <w:pPr>
        <w:spacing w:line="360" w:lineRule="auto"/>
        <w:rPr>
          <w:rFonts w:ascii="Arial" w:hAnsi="Arial" w:cs="Arial"/>
          <w:sz w:val="22"/>
          <w:szCs w:val="22"/>
        </w:rPr>
      </w:pPr>
    </w:p>
    <w:p w14:paraId="765DC52B" w14:textId="77777777" w:rsidR="00EF5187" w:rsidRDefault="00EF5187" w:rsidP="00CC0BCE">
      <w:pPr>
        <w:spacing w:line="360" w:lineRule="auto"/>
        <w:rPr>
          <w:rFonts w:ascii="Arial" w:hAnsi="Arial" w:cs="Arial"/>
          <w:sz w:val="22"/>
          <w:szCs w:val="22"/>
        </w:rPr>
      </w:pPr>
    </w:p>
    <w:p w14:paraId="79C56261" w14:textId="77777777" w:rsidR="00EF5187" w:rsidRDefault="00EF5187" w:rsidP="00CC0BCE">
      <w:pPr>
        <w:spacing w:line="360" w:lineRule="auto"/>
        <w:rPr>
          <w:rFonts w:ascii="Arial" w:hAnsi="Arial" w:cs="Arial"/>
          <w:sz w:val="22"/>
          <w:szCs w:val="22"/>
        </w:rPr>
      </w:pPr>
    </w:p>
    <w:p w14:paraId="7AF6F82E" w14:textId="77777777" w:rsidR="00EF5187" w:rsidRDefault="00EF5187" w:rsidP="00CC0BCE">
      <w:pPr>
        <w:spacing w:line="360" w:lineRule="auto"/>
        <w:rPr>
          <w:rFonts w:ascii="Arial" w:hAnsi="Arial" w:cs="Arial"/>
          <w:sz w:val="22"/>
          <w:szCs w:val="22"/>
        </w:rPr>
      </w:pPr>
    </w:p>
    <w:p w14:paraId="4DFA9210" w14:textId="77777777" w:rsidR="00EF5187" w:rsidRDefault="00EF5187" w:rsidP="00CC0BCE">
      <w:pPr>
        <w:spacing w:line="360" w:lineRule="auto"/>
        <w:rPr>
          <w:rFonts w:ascii="Arial" w:hAnsi="Arial" w:cs="Arial"/>
          <w:sz w:val="22"/>
          <w:szCs w:val="22"/>
        </w:rPr>
      </w:pPr>
    </w:p>
    <w:p w14:paraId="58C9DAC1" w14:textId="77777777" w:rsidR="00EF5187" w:rsidRDefault="00EF5187" w:rsidP="00CC0BCE">
      <w:pPr>
        <w:spacing w:line="360" w:lineRule="auto"/>
        <w:rPr>
          <w:rFonts w:ascii="Arial" w:hAnsi="Arial" w:cs="Arial"/>
          <w:sz w:val="22"/>
          <w:szCs w:val="22"/>
        </w:rPr>
      </w:pPr>
    </w:p>
    <w:p w14:paraId="0E1E67EC" w14:textId="77777777" w:rsidR="00EF5187" w:rsidRDefault="00EF5187" w:rsidP="00CC0BCE">
      <w:pPr>
        <w:spacing w:line="360" w:lineRule="auto"/>
        <w:rPr>
          <w:rFonts w:ascii="Arial" w:hAnsi="Arial" w:cs="Arial"/>
          <w:sz w:val="22"/>
          <w:szCs w:val="22"/>
        </w:rPr>
      </w:pPr>
    </w:p>
    <w:p w14:paraId="7DD002BC" w14:textId="77777777" w:rsidR="00EF5187" w:rsidRDefault="00EF5187" w:rsidP="00CC0BCE">
      <w:pPr>
        <w:spacing w:line="360" w:lineRule="auto"/>
        <w:rPr>
          <w:rFonts w:ascii="Arial" w:hAnsi="Arial" w:cs="Arial"/>
          <w:sz w:val="22"/>
          <w:szCs w:val="22"/>
        </w:rPr>
      </w:pPr>
    </w:p>
    <w:p w14:paraId="658B298B" w14:textId="77777777" w:rsidR="00287B6A" w:rsidRDefault="00287B6A" w:rsidP="00CC0BCE">
      <w:pPr>
        <w:spacing w:line="360" w:lineRule="auto"/>
        <w:rPr>
          <w:rFonts w:ascii="Arial" w:hAnsi="Arial" w:cs="Arial"/>
          <w:sz w:val="22"/>
          <w:szCs w:val="22"/>
        </w:rPr>
      </w:pPr>
    </w:p>
    <w:p w14:paraId="061C4B9F" w14:textId="77777777" w:rsidR="00287B6A" w:rsidRDefault="00287B6A" w:rsidP="00CC0BCE">
      <w:pPr>
        <w:spacing w:line="360" w:lineRule="auto"/>
        <w:rPr>
          <w:rFonts w:ascii="Arial" w:hAnsi="Arial" w:cs="Arial"/>
          <w:sz w:val="22"/>
          <w:szCs w:val="22"/>
        </w:rPr>
      </w:pPr>
    </w:p>
    <w:p w14:paraId="0A95C5D5" w14:textId="77777777" w:rsidR="00287B6A" w:rsidRDefault="00287B6A" w:rsidP="00CC0BCE">
      <w:pPr>
        <w:spacing w:line="360" w:lineRule="auto"/>
        <w:rPr>
          <w:rFonts w:ascii="Arial" w:hAnsi="Arial" w:cs="Arial"/>
          <w:sz w:val="22"/>
          <w:szCs w:val="22"/>
        </w:rPr>
      </w:pPr>
    </w:p>
    <w:p w14:paraId="32D5ADAA" w14:textId="77777777" w:rsidR="00A73D01" w:rsidRDefault="00A73D01" w:rsidP="00CC0BCE">
      <w:pPr>
        <w:spacing w:line="360" w:lineRule="auto"/>
        <w:rPr>
          <w:rFonts w:ascii="Arial" w:hAnsi="Arial" w:cs="Arial"/>
          <w:sz w:val="22"/>
          <w:szCs w:val="22"/>
        </w:rPr>
      </w:pPr>
    </w:p>
    <w:p w14:paraId="77814C59" w14:textId="77777777" w:rsidR="00A73D01" w:rsidRDefault="00A73D01" w:rsidP="00CC0BCE">
      <w:pPr>
        <w:spacing w:line="360" w:lineRule="auto"/>
        <w:rPr>
          <w:rFonts w:ascii="Arial" w:hAnsi="Arial" w:cs="Arial"/>
          <w:sz w:val="22"/>
          <w:szCs w:val="22"/>
        </w:rPr>
      </w:pPr>
    </w:p>
    <w:p w14:paraId="580C1B0D" w14:textId="77777777" w:rsidR="00A73D01" w:rsidRDefault="00A73D01" w:rsidP="00CC0BCE">
      <w:pPr>
        <w:spacing w:line="360" w:lineRule="auto"/>
        <w:rPr>
          <w:rFonts w:ascii="Arial" w:hAnsi="Arial" w:cs="Arial"/>
          <w:sz w:val="22"/>
          <w:szCs w:val="22"/>
        </w:rPr>
      </w:pPr>
    </w:p>
    <w:p w14:paraId="5C5F6543" w14:textId="77777777" w:rsidR="00A73D01" w:rsidRDefault="00A73D01" w:rsidP="00CC0BCE">
      <w:pPr>
        <w:spacing w:line="360" w:lineRule="auto"/>
        <w:rPr>
          <w:rFonts w:ascii="Arial" w:hAnsi="Arial" w:cs="Arial"/>
          <w:sz w:val="22"/>
          <w:szCs w:val="22"/>
        </w:rPr>
      </w:pPr>
    </w:p>
    <w:p w14:paraId="29B6603C" w14:textId="23B7F7AA" w:rsidR="00A73D01" w:rsidRDefault="00A73D01" w:rsidP="00CC0BCE">
      <w:pPr>
        <w:spacing w:line="360" w:lineRule="auto"/>
        <w:rPr>
          <w:rFonts w:ascii="Arial" w:hAnsi="Arial" w:cs="Arial"/>
          <w:sz w:val="22"/>
          <w:szCs w:val="22"/>
        </w:rPr>
      </w:pPr>
      <w:r>
        <w:rPr>
          <w:rFonts w:ascii="Arial" w:hAnsi="Arial" w:cs="Arial"/>
          <w:noProof/>
          <w:sz w:val="22"/>
          <w:szCs w:val="22"/>
        </w:rPr>
        <w:drawing>
          <wp:inline distT="0" distB="0" distL="0" distR="0" wp14:anchorId="63A4FB57" wp14:editId="49AC4AA4">
            <wp:extent cx="5731510" cy="8107680"/>
            <wp:effectExtent l="0" t="0" r="2540" b="7620"/>
            <wp:docPr id="1866154716" name="Picture 2" descr="A poster of a person giving a child a mass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154716" name="Picture 2" descr="A poster of a person giving a child a massag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8107680"/>
                    </a:xfrm>
                    <a:prstGeom prst="rect">
                      <a:avLst/>
                    </a:prstGeom>
                  </pic:spPr>
                </pic:pic>
              </a:graphicData>
            </a:graphic>
          </wp:inline>
        </w:drawing>
      </w:r>
    </w:p>
    <w:p w14:paraId="33AE29CB" w14:textId="77777777" w:rsidR="00A73D01" w:rsidRDefault="00A73D01" w:rsidP="00CC0BCE">
      <w:pPr>
        <w:spacing w:line="360" w:lineRule="auto"/>
        <w:rPr>
          <w:rFonts w:ascii="Arial" w:hAnsi="Arial" w:cs="Arial"/>
          <w:sz w:val="22"/>
          <w:szCs w:val="22"/>
        </w:rPr>
      </w:pPr>
    </w:p>
    <w:p w14:paraId="367838AF" w14:textId="77777777" w:rsidR="004569DC" w:rsidRPr="004569DC" w:rsidRDefault="004569DC" w:rsidP="00CC0BCE">
      <w:pPr>
        <w:spacing w:line="360" w:lineRule="auto"/>
        <w:rPr>
          <w:rFonts w:ascii="Arial" w:hAnsi="Arial" w:cs="Arial"/>
          <w:b/>
          <w:bCs/>
          <w:sz w:val="22"/>
          <w:szCs w:val="22"/>
          <w:u w:val="single"/>
        </w:rPr>
      </w:pPr>
      <w:r w:rsidRPr="004569DC">
        <w:rPr>
          <w:rFonts w:ascii="Arial" w:hAnsi="Arial" w:cs="Arial"/>
          <w:b/>
          <w:bCs/>
          <w:sz w:val="22"/>
          <w:szCs w:val="22"/>
          <w:u w:val="single"/>
        </w:rPr>
        <w:t>Pitch</w:t>
      </w:r>
    </w:p>
    <w:p w14:paraId="553EB479" w14:textId="26D0E1EE" w:rsidR="008D71A7" w:rsidRPr="00A23E66" w:rsidRDefault="00C95041" w:rsidP="00CC0BCE">
      <w:pPr>
        <w:spacing w:line="360" w:lineRule="auto"/>
        <w:rPr>
          <w:rFonts w:ascii="Arial" w:hAnsi="Arial" w:cs="Arial"/>
          <w:sz w:val="22"/>
          <w:szCs w:val="22"/>
        </w:rPr>
      </w:pPr>
      <w:r w:rsidRPr="00A23E66">
        <w:rPr>
          <w:rFonts w:ascii="Arial" w:hAnsi="Arial" w:cs="Arial"/>
          <w:sz w:val="22"/>
          <w:szCs w:val="22"/>
        </w:rPr>
        <w:t xml:space="preserve">According to </w:t>
      </w:r>
      <w:r w:rsidR="00EE720D" w:rsidRPr="00A23E66">
        <w:rPr>
          <w:rFonts w:ascii="Arial" w:hAnsi="Arial" w:cs="Arial"/>
          <w:sz w:val="22"/>
          <w:szCs w:val="22"/>
        </w:rPr>
        <w:t>NHS England (2023)</w:t>
      </w:r>
      <w:r w:rsidR="00D20BDE" w:rsidRPr="00A23E66">
        <w:rPr>
          <w:rFonts w:ascii="Arial" w:hAnsi="Arial" w:cs="Arial"/>
          <w:sz w:val="22"/>
          <w:szCs w:val="22"/>
        </w:rPr>
        <w:t xml:space="preserve">, </w:t>
      </w:r>
      <w:r w:rsidR="00EE720D" w:rsidRPr="00A23E66">
        <w:rPr>
          <w:rFonts w:ascii="Arial" w:hAnsi="Arial" w:cs="Arial"/>
          <w:sz w:val="22"/>
          <w:szCs w:val="22"/>
        </w:rPr>
        <w:t>“</w:t>
      </w:r>
      <w:r w:rsidR="00D20BDE" w:rsidRPr="00A23E66">
        <w:rPr>
          <w:rFonts w:ascii="Arial" w:hAnsi="Arial" w:cs="Arial"/>
          <w:sz w:val="22"/>
          <w:szCs w:val="22"/>
        </w:rPr>
        <w:t>one in five children and young people in England</w:t>
      </w:r>
      <w:r w:rsidR="003F50A6" w:rsidRPr="00A23E66">
        <w:rPr>
          <w:rFonts w:ascii="Arial" w:hAnsi="Arial" w:cs="Arial"/>
          <w:sz w:val="22"/>
          <w:szCs w:val="22"/>
        </w:rPr>
        <w:t xml:space="preserve"> aged eight to 25 had a probable mental disorder in 2023</w:t>
      </w:r>
      <w:r w:rsidR="007E7469">
        <w:rPr>
          <w:rFonts w:ascii="Arial" w:hAnsi="Arial" w:cs="Arial"/>
          <w:sz w:val="22"/>
          <w:szCs w:val="22"/>
        </w:rPr>
        <w:t>”.</w:t>
      </w:r>
      <w:r w:rsidR="00CD620E" w:rsidRPr="00A23E66">
        <w:rPr>
          <w:rFonts w:ascii="Arial" w:hAnsi="Arial" w:cs="Arial"/>
          <w:sz w:val="22"/>
          <w:szCs w:val="22"/>
        </w:rPr>
        <w:t xml:space="preserve"> </w:t>
      </w:r>
      <w:r w:rsidR="008D71A7" w:rsidRPr="00A23E66">
        <w:rPr>
          <w:rFonts w:ascii="Arial" w:hAnsi="Arial" w:cs="Arial"/>
          <w:sz w:val="22"/>
          <w:szCs w:val="22"/>
        </w:rPr>
        <w:t>The current crisis in child and adolescent mental health is often mistakenly treated as a problem inherent to the child. We fail to recognise that the most significant determinant of a child’s emotional resilience is the emotional landscape created by the primary caregiver</w:t>
      </w:r>
      <w:r w:rsidR="00BE754D" w:rsidRPr="00A23E66">
        <w:rPr>
          <w:rFonts w:ascii="Arial" w:hAnsi="Arial" w:cs="Arial"/>
          <w:sz w:val="22"/>
          <w:szCs w:val="22"/>
        </w:rPr>
        <w:t xml:space="preserve"> (Coles and Cage, 2022)</w:t>
      </w:r>
      <w:r w:rsidR="008D71A7" w:rsidRPr="00A23E66">
        <w:rPr>
          <w:rFonts w:ascii="Arial" w:hAnsi="Arial" w:cs="Arial"/>
          <w:sz w:val="22"/>
          <w:szCs w:val="22"/>
        </w:rPr>
        <w:t>. Mothers, burdened by the silent expectation to "do it all" while navigating hormonal fluctuations and personal stress, frequently lack the awareness of how their own emotional state impacts the home.</w:t>
      </w:r>
    </w:p>
    <w:p w14:paraId="42955AFB" w14:textId="45F85210" w:rsidR="00F9549A" w:rsidRPr="00A23E66" w:rsidRDefault="00B80286" w:rsidP="00CC0BCE">
      <w:pPr>
        <w:spacing w:line="360" w:lineRule="auto"/>
        <w:rPr>
          <w:rFonts w:ascii="Arial" w:hAnsi="Arial" w:cs="Arial"/>
          <w:sz w:val="22"/>
          <w:szCs w:val="22"/>
        </w:rPr>
      </w:pPr>
      <w:r w:rsidRPr="00B80286">
        <w:rPr>
          <w:rFonts w:ascii="Arial" w:hAnsi="Arial" w:cs="Arial"/>
          <w:sz w:val="22"/>
          <w:szCs w:val="22"/>
        </w:rPr>
        <w:t xml:space="preserve">The vulnerability of the developing child ensures that maternal emotional dysregulation acts as a significant risk factor, impacting the trajectory of the child's emotional health and predicting </w:t>
      </w:r>
      <w:r>
        <w:rPr>
          <w:rFonts w:ascii="Arial" w:hAnsi="Arial" w:cs="Arial"/>
          <w:sz w:val="22"/>
          <w:szCs w:val="22"/>
        </w:rPr>
        <w:t>internalising</w:t>
      </w:r>
      <w:r w:rsidRPr="00B80286">
        <w:rPr>
          <w:rFonts w:ascii="Arial" w:hAnsi="Arial" w:cs="Arial"/>
          <w:sz w:val="22"/>
          <w:szCs w:val="22"/>
        </w:rPr>
        <w:t xml:space="preserve"> and </w:t>
      </w:r>
      <w:r>
        <w:rPr>
          <w:rFonts w:ascii="Arial" w:hAnsi="Arial" w:cs="Arial"/>
          <w:sz w:val="22"/>
          <w:szCs w:val="22"/>
        </w:rPr>
        <w:t>externalising</w:t>
      </w:r>
      <w:r w:rsidRPr="00B80286">
        <w:rPr>
          <w:rFonts w:ascii="Arial" w:hAnsi="Arial" w:cs="Arial"/>
          <w:sz w:val="22"/>
          <w:szCs w:val="22"/>
        </w:rPr>
        <w:t xml:space="preserve"> symptoms in adolescence (Nilsen et al., 2013).</w:t>
      </w:r>
      <w:r w:rsidR="00B758D7">
        <w:rPr>
          <w:rFonts w:ascii="Arial" w:hAnsi="Arial" w:cs="Arial"/>
          <w:sz w:val="22"/>
          <w:szCs w:val="22"/>
        </w:rPr>
        <w:t xml:space="preserve"> </w:t>
      </w:r>
      <w:r w:rsidR="008D71A7" w:rsidRPr="00A23E66">
        <w:rPr>
          <w:rFonts w:ascii="Arial" w:hAnsi="Arial" w:cs="Arial"/>
          <w:sz w:val="22"/>
          <w:szCs w:val="22"/>
        </w:rPr>
        <w:t xml:space="preserve">This </w:t>
      </w:r>
      <w:r w:rsidR="005E5B24" w:rsidRPr="00A23E66">
        <w:rPr>
          <w:rFonts w:ascii="Arial" w:hAnsi="Arial" w:cs="Arial"/>
          <w:sz w:val="22"/>
          <w:szCs w:val="22"/>
        </w:rPr>
        <w:t xml:space="preserve">can </w:t>
      </w:r>
      <w:r w:rsidR="008D71A7" w:rsidRPr="00A23E66">
        <w:rPr>
          <w:rFonts w:ascii="Arial" w:hAnsi="Arial" w:cs="Arial"/>
          <w:sz w:val="22"/>
          <w:szCs w:val="22"/>
        </w:rPr>
        <w:t xml:space="preserve">manifest either internally, through debilitating anxiety and self-harming behaviours, or externally, through aggression and conflict. </w:t>
      </w:r>
      <w:r w:rsidR="005B68A9" w:rsidRPr="005B68A9">
        <w:rPr>
          <w:rFonts w:ascii="Arial" w:hAnsi="Arial" w:cs="Arial"/>
          <w:sz w:val="22"/>
          <w:szCs w:val="22"/>
        </w:rPr>
        <w:t>The current diagnostic tendency often focuses on the child's presenting symptoms, unfortunately resulting in the oversight of the primary etiological factor: the mother's deficit in Maternal Emotional and Behavioural Regulation (MEBR), which is the true root cause (</w:t>
      </w:r>
      <w:r w:rsidR="00DB7F78">
        <w:rPr>
          <w:rFonts w:ascii="Arial" w:hAnsi="Arial" w:cs="Arial"/>
          <w:sz w:val="22"/>
          <w:szCs w:val="22"/>
        </w:rPr>
        <w:t>Lotto et al</w:t>
      </w:r>
      <w:r w:rsidR="00DC5714">
        <w:rPr>
          <w:rFonts w:ascii="Arial" w:hAnsi="Arial" w:cs="Arial"/>
          <w:sz w:val="22"/>
          <w:szCs w:val="22"/>
        </w:rPr>
        <w:t xml:space="preserve">., 2024; </w:t>
      </w:r>
      <w:r w:rsidR="005B68A9" w:rsidRPr="005B68A9">
        <w:rPr>
          <w:rFonts w:ascii="Arial" w:hAnsi="Arial" w:cs="Arial"/>
          <w:sz w:val="22"/>
          <w:szCs w:val="22"/>
        </w:rPr>
        <w:t>Reigstad et al., 2022).</w:t>
      </w:r>
      <w:r w:rsidR="008D71A7" w:rsidRPr="00A23E66">
        <w:rPr>
          <w:rFonts w:ascii="Arial" w:hAnsi="Arial" w:cs="Arial"/>
          <w:sz w:val="22"/>
          <w:szCs w:val="22"/>
        </w:rPr>
        <w:t xml:space="preserve"> This problem persists because</w:t>
      </w:r>
      <w:r w:rsidR="00D512CE">
        <w:rPr>
          <w:rFonts w:ascii="Arial" w:hAnsi="Arial" w:cs="Arial"/>
          <w:sz w:val="22"/>
          <w:szCs w:val="22"/>
        </w:rPr>
        <w:t xml:space="preserve"> for many,</w:t>
      </w:r>
      <w:r w:rsidR="008D71A7" w:rsidRPr="00A23E66">
        <w:rPr>
          <w:rFonts w:ascii="Arial" w:hAnsi="Arial" w:cs="Arial"/>
          <w:sz w:val="22"/>
          <w:szCs w:val="22"/>
        </w:rPr>
        <w:t xml:space="preserve"> emotional regulation is not instinctual; it requires conscious, consistent practice</w:t>
      </w:r>
      <w:r w:rsidR="00AB5D4A">
        <w:rPr>
          <w:rFonts w:ascii="Arial" w:hAnsi="Arial" w:cs="Arial"/>
          <w:sz w:val="22"/>
          <w:szCs w:val="22"/>
        </w:rPr>
        <w:t xml:space="preserve"> (Barros</w:t>
      </w:r>
      <w:r w:rsidR="0039577A">
        <w:rPr>
          <w:rFonts w:ascii="Arial" w:hAnsi="Arial" w:cs="Arial"/>
          <w:sz w:val="22"/>
          <w:szCs w:val="22"/>
        </w:rPr>
        <w:t>, Goes and Pereira</w:t>
      </w:r>
      <w:r w:rsidR="00225DC1">
        <w:rPr>
          <w:rFonts w:ascii="Arial" w:hAnsi="Arial" w:cs="Arial"/>
          <w:sz w:val="22"/>
          <w:szCs w:val="22"/>
        </w:rPr>
        <w:t xml:space="preserve">, </w:t>
      </w:r>
      <w:r w:rsidR="006D3B0D">
        <w:rPr>
          <w:rFonts w:ascii="Arial" w:hAnsi="Arial" w:cs="Arial"/>
          <w:sz w:val="22"/>
          <w:szCs w:val="22"/>
        </w:rPr>
        <w:t>2015)</w:t>
      </w:r>
      <w:r w:rsidR="008D71A7" w:rsidRPr="00A23E66">
        <w:rPr>
          <w:rFonts w:ascii="Arial" w:hAnsi="Arial" w:cs="Arial"/>
          <w:sz w:val="22"/>
          <w:szCs w:val="22"/>
        </w:rPr>
        <w:t xml:space="preserve">. The </w:t>
      </w:r>
      <w:r w:rsidR="001105EB">
        <w:rPr>
          <w:rFonts w:ascii="Arial" w:hAnsi="Arial" w:cs="Arial"/>
          <w:sz w:val="22"/>
          <w:szCs w:val="22"/>
        </w:rPr>
        <w:t>‘</w:t>
      </w:r>
      <w:r w:rsidR="008D71A7" w:rsidRPr="00A23E66">
        <w:rPr>
          <w:rFonts w:ascii="Arial" w:hAnsi="Arial" w:cs="Arial"/>
          <w:sz w:val="22"/>
          <w:szCs w:val="22"/>
        </w:rPr>
        <w:t xml:space="preserve">From Surviving </w:t>
      </w:r>
      <w:proofErr w:type="gramStart"/>
      <w:r w:rsidR="008D71A7" w:rsidRPr="00A23E66">
        <w:rPr>
          <w:rFonts w:ascii="Arial" w:hAnsi="Arial" w:cs="Arial"/>
          <w:sz w:val="22"/>
          <w:szCs w:val="22"/>
        </w:rPr>
        <w:t>To</w:t>
      </w:r>
      <w:proofErr w:type="gramEnd"/>
      <w:r w:rsidR="008D71A7" w:rsidRPr="00A23E66">
        <w:rPr>
          <w:rFonts w:ascii="Arial" w:hAnsi="Arial" w:cs="Arial"/>
          <w:sz w:val="22"/>
          <w:szCs w:val="22"/>
        </w:rPr>
        <w:t xml:space="preserve"> Thriving</w:t>
      </w:r>
      <w:r w:rsidR="001105EB">
        <w:rPr>
          <w:rFonts w:ascii="Arial" w:hAnsi="Arial" w:cs="Arial"/>
          <w:sz w:val="22"/>
          <w:szCs w:val="22"/>
        </w:rPr>
        <w:t>’</w:t>
      </w:r>
      <w:r w:rsidR="008D71A7" w:rsidRPr="00A23E66">
        <w:rPr>
          <w:rFonts w:ascii="Arial" w:hAnsi="Arial" w:cs="Arial"/>
          <w:sz w:val="22"/>
          <w:szCs w:val="22"/>
        </w:rPr>
        <w:t xml:space="preserve"> digital</w:t>
      </w:r>
      <w:r w:rsidR="00691024" w:rsidRPr="00A23E66">
        <w:rPr>
          <w:rFonts w:ascii="Arial" w:hAnsi="Arial" w:cs="Arial"/>
          <w:sz w:val="22"/>
          <w:szCs w:val="22"/>
        </w:rPr>
        <w:t xml:space="preserve"> journal is structured around a 30-day practice timeline, based on the established principle that forming new habits requires sustained effort to create new neural pathways. This approach is scientifically validated by research into structural plasticity (</w:t>
      </w:r>
      <w:proofErr w:type="spellStart"/>
      <w:r w:rsidR="00691024" w:rsidRPr="00A23E66">
        <w:rPr>
          <w:rFonts w:ascii="Arial" w:hAnsi="Arial" w:cs="Arial"/>
          <w:sz w:val="22"/>
          <w:szCs w:val="22"/>
        </w:rPr>
        <w:t>Tiddia</w:t>
      </w:r>
      <w:proofErr w:type="spellEnd"/>
      <w:r w:rsidR="00691024" w:rsidRPr="00A23E66">
        <w:rPr>
          <w:rFonts w:ascii="Arial" w:hAnsi="Arial" w:cs="Arial"/>
          <w:sz w:val="22"/>
          <w:szCs w:val="22"/>
        </w:rPr>
        <w:t xml:space="preserve">, Sergi, &amp; </w:t>
      </w:r>
      <w:proofErr w:type="spellStart"/>
      <w:r w:rsidR="00691024" w:rsidRPr="00A23E66">
        <w:rPr>
          <w:rFonts w:ascii="Arial" w:hAnsi="Arial" w:cs="Arial"/>
          <w:sz w:val="22"/>
          <w:szCs w:val="22"/>
        </w:rPr>
        <w:t>Golosio</w:t>
      </w:r>
      <w:proofErr w:type="spellEnd"/>
      <w:r w:rsidR="00691024" w:rsidRPr="00A23E66">
        <w:rPr>
          <w:rFonts w:ascii="Arial" w:hAnsi="Arial" w:cs="Arial"/>
          <w:sz w:val="22"/>
          <w:szCs w:val="22"/>
        </w:rPr>
        <w:t>, 2024), which demonstrates that learning depends on the physical reorganisation of synaptic connections in the brain.</w:t>
      </w:r>
    </w:p>
    <w:p w14:paraId="64344CC0" w14:textId="5F45969E" w:rsidR="00835A11" w:rsidRPr="00A23E66" w:rsidRDefault="00835A11" w:rsidP="00CC0BCE">
      <w:pPr>
        <w:spacing w:line="360" w:lineRule="auto"/>
        <w:rPr>
          <w:rFonts w:ascii="Arial" w:hAnsi="Arial" w:cs="Arial"/>
          <w:sz w:val="22"/>
          <w:szCs w:val="22"/>
        </w:rPr>
      </w:pPr>
      <w:r w:rsidRPr="00A23E66">
        <w:rPr>
          <w:rFonts w:ascii="Arial" w:hAnsi="Arial" w:cs="Arial"/>
          <w:sz w:val="22"/>
          <w:szCs w:val="22"/>
        </w:rPr>
        <w:t xml:space="preserve">The Maternal Emotional and </w:t>
      </w:r>
      <w:r w:rsidR="004C039A" w:rsidRPr="00A23E66">
        <w:rPr>
          <w:rFonts w:ascii="Arial" w:hAnsi="Arial" w:cs="Arial"/>
          <w:sz w:val="22"/>
          <w:szCs w:val="22"/>
        </w:rPr>
        <w:t>Behavioural</w:t>
      </w:r>
      <w:r w:rsidRPr="00A23E66">
        <w:rPr>
          <w:rFonts w:ascii="Arial" w:hAnsi="Arial" w:cs="Arial"/>
          <w:sz w:val="22"/>
          <w:szCs w:val="22"/>
        </w:rPr>
        <w:t xml:space="preserve"> Regulation (MEBR) skill is the only intervention capable of breaking the intergenerational cycle</w:t>
      </w:r>
      <w:r w:rsidR="00E0035D">
        <w:rPr>
          <w:rFonts w:ascii="Arial" w:hAnsi="Arial" w:cs="Arial"/>
          <w:sz w:val="22"/>
          <w:szCs w:val="22"/>
        </w:rPr>
        <w:t>, as children learn by observation, not instruction (Lotto et al.</w:t>
      </w:r>
      <w:r w:rsidR="0075309C">
        <w:rPr>
          <w:rFonts w:ascii="Arial" w:hAnsi="Arial" w:cs="Arial"/>
          <w:sz w:val="22"/>
          <w:szCs w:val="22"/>
        </w:rPr>
        <w:t>, 2024)</w:t>
      </w:r>
      <w:r w:rsidR="00A1411E" w:rsidRPr="00A23E66">
        <w:rPr>
          <w:rFonts w:ascii="Arial" w:hAnsi="Arial" w:cs="Arial"/>
          <w:sz w:val="22"/>
          <w:szCs w:val="22"/>
        </w:rPr>
        <w:t>. T</w:t>
      </w:r>
      <w:r w:rsidRPr="00A23E66">
        <w:rPr>
          <w:rFonts w:ascii="Arial" w:hAnsi="Arial" w:cs="Arial"/>
          <w:sz w:val="22"/>
          <w:szCs w:val="22"/>
        </w:rPr>
        <w:t>hey watch how the parent shows up rather than listening to what the parent says. When a mother cannot identify or manage her own feelings, she is fundamentally unable to teach her child empathy or healthy emotional literacy</w:t>
      </w:r>
      <w:r w:rsidR="00517D20">
        <w:rPr>
          <w:rFonts w:ascii="Arial" w:hAnsi="Arial" w:cs="Arial"/>
          <w:sz w:val="22"/>
          <w:szCs w:val="22"/>
        </w:rPr>
        <w:t xml:space="preserve"> (</w:t>
      </w:r>
      <w:r w:rsidR="00F53F36">
        <w:rPr>
          <w:rFonts w:ascii="Arial" w:hAnsi="Arial" w:cs="Arial"/>
          <w:sz w:val="22"/>
          <w:szCs w:val="22"/>
        </w:rPr>
        <w:t>Zimmer-</w:t>
      </w:r>
      <w:proofErr w:type="spellStart"/>
      <w:r w:rsidR="00F53F36">
        <w:rPr>
          <w:rFonts w:ascii="Arial" w:hAnsi="Arial" w:cs="Arial"/>
          <w:sz w:val="22"/>
          <w:szCs w:val="22"/>
        </w:rPr>
        <w:t>Gembeck</w:t>
      </w:r>
      <w:proofErr w:type="spellEnd"/>
      <w:r w:rsidR="00D823D4">
        <w:rPr>
          <w:rFonts w:ascii="Arial" w:hAnsi="Arial" w:cs="Arial"/>
          <w:sz w:val="22"/>
          <w:szCs w:val="22"/>
        </w:rPr>
        <w:t xml:space="preserve"> et al, 2021).</w:t>
      </w:r>
      <w:r w:rsidRPr="00A23E66">
        <w:rPr>
          <w:rFonts w:ascii="Arial" w:hAnsi="Arial" w:cs="Arial"/>
          <w:sz w:val="22"/>
          <w:szCs w:val="22"/>
        </w:rPr>
        <w:t xml:space="preserve"> The journal is built upon the premise that genuine healing must be </w:t>
      </w:r>
      <w:r w:rsidR="008D2603" w:rsidRPr="00A23E66">
        <w:rPr>
          <w:rFonts w:ascii="Arial" w:hAnsi="Arial" w:cs="Arial"/>
          <w:sz w:val="22"/>
          <w:szCs w:val="22"/>
        </w:rPr>
        <w:t>practised</w:t>
      </w:r>
      <w:r w:rsidRPr="00A23E66">
        <w:rPr>
          <w:rFonts w:ascii="Arial" w:hAnsi="Arial" w:cs="Arial"/>
          <w:sz w:val="22"/>
          <w:szCs w:val="22"/>
        </w:rPr>
        <w:t>, not just learned, giving mothers the 30 days needed to build new neural pathways.</w:t>
      </w:r>
    </w:p>
    <w:p w14:paraId="2851F020" w14:textId="4735EC7E" w:rsidR="00835A11" w:rsidRPr="00A23E66" w:rsidRDefault="00835A11" w:rsidP="00CC0BCE">
      <w:pPr>
        <w:spacing w:line="360" w:lineRule="auto"/>
        <w:rPr>
          <w:rFonts w:ascii="Arial" w:hAnsi="Arial" w:cs="Arial"/>
          <w:sz w:val="22"/>
          <w:szCs w:val="22"/>
        </w:rPr>
      </w:pPr>
      <w:r w:rsidRPr="00A23E66">
        <w:rPr>
          <w:rFonts w:ascii="Arial" w:hAnsi="Arial" w:cs="Arial"/>
          <w:sz w:val="22"/>
          <w:szCs w:val="22"/>
        </w:rPr>
        <w:t>The journal’s focus on the Physical, Emotional, Parenting, and Identity domains directly counters the "Disrupted Parenting Processes" cited by Reigstad et al. (2022). By guiding the mother to attune to her body’s needs (rest, nourishment</w:t>
      </w:r>
      <w:r w:rsidR="000A473B">
        <w:rPr>
          <w:rFonts w:ascii="Arial" w:hAnsi="Arial" w:cs="Arial"/>
          <w:sz w:val="22"/>
          <w:szCs w:val="22"/>
        </w:rPr>
        <w:t>, exercise</w:t>
      </w:r>
      <w:r w:rsidRPr="00A23E66">
        <w:rPr>
          <w:rFonts w:ascii="Arial" w:hAnsi="Arial" w:cs="Arial"/>
          <w:sz w:val="22"/>
          <w:szCs w:val="22"/>
        </w:rPr>
        <w:t xml:space="preserve">), she addresses her </w:t>
      </w:r>
      <w:r w:rsidRPr="00A23E66">
        <w:rPr>
          <w:rFonts w:ascii="Arial" w:hAnsi="Arial" w:cs="Arial"/>
          <w:sz w:val="22"/>
          <w:szCs w:val="22"/>
        </w:rPr>
        <w:lastRenderedPageBreak/>
        <w:t xml:space="preserve">physical health, which is the foundation of emotional capacity. The emotional modules then teach her to name, understand, and feel compassion for her internal state. This practice of self-compassion is </w:t>
      </w:r>
      <w:r w:rsidR="005F7385">
        <w:rPr>
          <w:rFonts w:ascii="Arial" w:hAnsi="Arial" w:cs="Arial"/>
          <w:sz w:val="22"/>
          <w:szCs w:val="22"/>
        </w:rPr>
        <w:t>gradually</w:t>
      </w:r>
      <w:r w:rsidRPr="00A23E66">
        <w:rPr>
          <w:rFonts w:ascii="Arial" w:hAnsi="Arial" w:cs="Arial"/>
          <w:sz w:val="22"/>
          <w:szCs w:val="22"/>
        </w:rPr>
        <w:t xml:space="preserve"> mirrored in her interactions with her child, allowing her to show up with empathy and patience even when frustrated.</w:t>
      </w:r>
    </w:p>
    <w:p w14:paraId="378CA2D2" w14:textId="56D2F4F0" w:rsidR="006579DF" w:rsidRPr="00A23E66" w:rsidRDefault="00835A11" w:rsidP="00CC0BCE">
      <w:pPr>
        <w:spacing w:line="360" w:lineRule="auto"/>
        <w:rPr>
          <w:rFonts w:ascii="Arial" w:hAnsi="Arial" w:cs="Arial"/>
          <w:sz w:val="22"/>
          <w:szCs w:val="22"/>
        </w:rPr>
      </w:pPr>
      <w:r w:rsidRPr="00A23E66">
        <w:rPr>
          <w:rFonts w:ascii="Arial" w:hAnsi="Arial" w:cs="Arial"/>
          <w:sz w:val="22"/>
          <w:szCs w:val="22"/>
        </w:rPr>
        <w:t>Furthermore, the journal tackles the insidious and often unconscious negative parenting behaviours inherited from the mother’s own childhood. It provides the conscious awareness necessary to identify and dismantle negative self-talk and unhealthy boundaries. By teaching the mother what a healthy mother-child relationship looks like</w:t>
      </w:r>
      <w:r w:rsidR="003C7EDC" w:rsidRPr="00A23E66">
        <w:rPr>
          <w:rFonts w:ascii="Arial" w:hAnsi="Arial" w:cs="Arial"/>
          <w:sz w:val="22"/>
          <w:szCs w:val="22"/>
        </w:rPr>
        <w:t xml:space="preserve"> (</w:t>
      </w:r>
      <w:r w:rsidRPr="00A23E66">
        <w:rPr>
          <w:rFonts w:ascii="Arial" w:hAnsi="Arial" w:cs="Arial"/>
          <w:sz w:val="22"/>
          <w:szCs w:val="22"/>
        </w:rPr>
        <w:t>one based on mutual respect and distinct</w:t>
      </w:r>
      <w:r w:rsidR="00FC2D7C">
        <w:rPr>
          <w:rFonts w:ascii="Arial" w:hAnsi="Arial" w:cs="Arial"/>
          <w:sz w:val="22"/>
          <w:szCs w:val="22"/>
        </w:rPr>
        <w:t>, fair</w:t>
      </w:r>
      <w:r w:rsidRPr="00A23E66">
        <w:rPr>
          <w:rFonts w:ascii="Arial" w:hAnsi="Arial" w:cs="Arial"/>
          <w:sz w:val="22"/>
          <w:szCs w:val="22"/>
        </w:rPr>
        <w:t xml:space="preserve"> boundaries</w:t>
      </w:r>
      <w:r w:rsidR="003C7EDC" w:rsidRPr="00A23E66">
        <w:rPr>
          <w:rFonts w:ascii="Arial" w:hAnsi="Arial" w:cs="Arial"/>
          <w:sz w:val="22"/>
          <w:szCs w:val="22"/>
        </w:rPr>
        <w:t xml:space="preserve">) </w:t>
      </w:r>
      <w:r w:rsidRPr="00A23E66">
        <w:rPr>
          <w:rFonts w:ascii="Arial" w:hAnsi="Arial" w:cs="Arial"/>
          <w:sz w:val="22"/>
          <w:szCs w:val="22"/>
        </w:rPr>
        <w:t>the innovation directly addresses the root cause: the trauma passed down from one struggling generation to the next</w:t>
      </w:r>
      <w:r w:rsidR="00463106">
        <w:rPr>
          <w:rFonts w:ascii="Arial" w:hAnsi="Arial" w:cs="Arial"/>
          <w:sz w:val="22"/>
          <w:szCs w:val="22"/>
        </w:rPr>
        <w:t xml:space="preserve"> (Isobel</w:t>
      </w:r>
      <w:r w:rsidR="000B311B">
        <w:rPr>
          <w:rFonts w:ascii="Arial" w:hAnsi="Arial" w:cs="Arial"/>
          <w:sz w:val="22"/>
          <w:szCs w:val="22"/>
        </w:rPr>
        <w:t xml:space="preserve"> et al, 2018)</w:t>
      </w:r>
      <w:r w:rsidRPr="00A23E66">
        <w:rPr>
          <w:rFonts w:ascii="Arial" w:hAnsi="Arial" w:cs="Arial"/>
          <w:sz w:val="22"/>
          <w:szCs w:val="22"/>
        </w:rPr>
        <w:t>.</w:t>
      </w:r>
    </w:p>
    <w:p w14:paraId="4A7EDB2C" w14:textId="1E6F6AB9" w:rsidR="0082211E" w:rsidRPr="00A23E66" w:rsidRDefault="0082211E" w:rsidP="00CC0BCE">
      <w:pPr>
        <w:spacing w:line="360" w:lineRule="auto"/>
        <w:rPr>
          <w:rFonts w:ascii="Arial" w:hAnsi="Arial" w:cs="Arial"/>
          <w:sz w:val="22"/>
          <w:szCs w:val="22"/>
        </w:rPr>
      </w:pPr>
      <w:r w:rsidRPr="00A23E66">
        <w:rPr>
          <w:rFonts w:ascii="Arial" w:hAnsi="Arial" w:cs="Arial"/>
          <w:sz w:val="22"/>
          <w:szCs w:val="22"/>
        </w:rPr>
        <w:t xml:space="preserve">The adoption of </w:t>
      </w:r>
      <w:r w:rsidR="00BC6DC2">
        <w:rPr>
          <w:rFonts w:ascii="Arial" w:hAnsi="Arial" w:cs="Arial"/>
          <w:sz w:val="22"/>
          <w:szCs w:val="22"/>
        </w:rPr>
        <w:t>‘</w:t>
      </w:r>
      <w:r w:rsidRPr="00A23E66">
        <w:rPr>
          <w:rFonts w:ascii="Arial" w:hAnsi="Arial" w:cs="Arial"/>
          <w:sz w:val="22"/>
          <w:szCs w:val="22"/>
        </w:rPr>
        <w:t xml:space="preserve">From Surviving </w:t>
      </w:r>
      <w:proofErr w:type="gramStart"/>
      <w:r w:rsidRPr="00A23E66">
        <w:rPr>
          <w:rFonts w:ascii="Arial" w:hAnsi="Arial" w:cs="Arial"/>
          <w:sz w:val="22"/>
          <w:szCs w:val="22"/>
        </w:rPr>
        <w:t>To</w:t>
      </w:r>
      <w:proofErr w:type="gramEnd"/>
      <w:r w:rsidRPr="00A23E66">
        <w:rPr>
          <w:rFonts w:ascii="Arial" w:hAnsi="Arial" w:cs="Arial"/>
          <w:sz w:val="22"/>
          <w:szCs w:val="22"/>
        </w:rPr>
        <w:t xml:space="preserve"> Thriving</w:t>
      </w:r>
      <w:r w:rsidR="00BC6DC2">
        <w:rPr>
          <w:rFonts w:ascii="Arial" w:hAnsi="Arial" w:cs="Arial"/>
          <w:sz w:val="22"/>
          <w:szCs w:val="22"/>
        </w:rPr>
        <w:t>’</w:t>
      </w:r>
      <w:r w:rsidRPr="00A23E66">
        <w:rPr>
          <w:rFonts w:ascii="Arial" w:hAnsi="Arial" w:cs="Arial"/>
          <w:sz w:val="22"/>
          <w:szCs w:val="22"/>
        </w:rPr>
        <w:t xml:space="preserve"> is supported by a clear path for implementation and aligns with current UK health policies aimed at preventative mental health. We target GPs (General Practitioners), Health Visitors, and CAMHS as the primary referral gatekeepers. For example, Health Visitors and GPs are perfectly positioned to recommend this preventative tool during routine checks or when mild stress is identified, reducing the need for expensive interventions down the line. The innovation supports national strategies promoting early intervention and community-based support, effectively reducing the burden on specialist services like CAMHS</w:t>
      </w:r>
      <w:r w:rsidR="009F77A5">
        <w:rPr>
          <w:rFonts w:ascii="Arial" w:hAnsi="Arial" w:cs="Arial"/>
          <w:sz w:val="22"/>
          <w:szCs w:val="22"/>
        </w:rPr>
        <w:t>.</w:t>
      </w:r>
      <w:r w:rsidR="00034CB8">
        <w:rPr>
          <w:rFonts w:ascii="Arial" w:hAnsi="Arial" w:cs="Arial"/>
          <w:sz w:val="22"/>
          <w:szCs w:val="22"/>
        </w:rPr>
        <w:t xml:space="preserve"> </w:t>
      </w:r>
      <w:r w:rsidR="00D732CA">
        <w:rPr>
          <w:rFonts w:ascii="Arial" w:hAnsi="Arial" w:cs="Arial"/>
          <w:sz w:val="22"/>
          <w:szCs w:val="22"/>
        </w:rPr>
        <w:t>(Working Together to Safeguard Children, 2023)</w:t>
      </w:r>
    </w:p>
    <w:p w14:paraId="13377B0E" w14:textId="4C00FF1C" w:rsidR="0082211E" w:rsidRPr="00A23E66" w:rsidRDefault="0082211E" w:rsidP="00CC0BCE">
      <w:pPr>
        <w:spacing w:line="360" w:lineRule="auto"/>
        <w:rPr>
          <w:rFonts w:ascii="Arial" w:hAnsi="Arial" w:cs="Arial"/>
          <w:sz w:val="22"/>
          <w:szCs w:val="22"/>
        </w:rPr>
      </w:pPr>
      <w:r w:rsidRPr="00A23E66">
        <w:rPr>
          <w:rFonts w:ascii="Arial" w:hAnsi="Arial" w:cs="Arial"/>
          <w:sz w:val="22"/>
          <w:szCs w:val="22"/>
        </w:rPr>
        <w:t>The choice of an interactive, downloadable PDF file is a strategic decision tailored to the vulnerable user demographic and ensures compliance with regulations. The simple format is highly accessible, requiring only a working email address and minimal internet bandwidth, making it ideal for mothers in resource-scarce environments who may be dealing with data poverty or app fatigue. Crucially, the design allows the journal to be sent directly to the user's email, meaning the innovation does not host or process any user data. This approach to privacy ensures compliance with stringent GDPR (General Data Protection Regulation) requirements and immediately builds trust with a sensitive audience</w:t>
      </w:r>
      <w:r w:rsidR="001F7D5A">
        <w:rPr>
          <w:rFonts w:ascii="Arial" w:hAnsi="Arial" w:cs="Arial"/>
          <w:sz w:val="22"/>
          <w:szCs w:val="22"/>
        </w:rPr>
        <w:t xml:space="preserve"> (Wolford, N.D</w:t>
      </w:r>
      <w:r w:rsidR="00042EA6">
        <w:rPr>
          <w:rFonts w:ascii="Arial" w:hAnsi="Arial" w:cs="Arial"/>
          <w:sz w:val="22"/>
          <w:szCs w:val="22"/>
        </w:rPr>
        <w:t>)</w:t>
      </w:r>
      <w:r w:rsidRPr="00A23E66">
        <w:rPr>
          <w:rFonts w:ascii="Arial" w:hAnsi="Arial" w:cs="Arial"/>
          <w:sz w:val="22"/>
          <w:szCs w:val="22"/>
        </w:rPr>
        <w:t>. While users have the option to share their completed file with a professional (e.g., a therapist or GP) to inform treatment, this sharing is entirely voluntary and decentrali</w:t>
      </w:r>
      <w:r w:rsidR="00781404" w:rsidRPr="00A23E66">
        <w:rPr>
          <w:rFonts w:ascii="Arial" w:hAnsi="Arial" w:cs="Arial"/>
          <w:sz w:val="22"/>
          <w:szCs w:val="22"/>
        </w:rPr>
        <w:t>s</w:t>
      </w:r>
      <w:r w:rsidRPr="00A23E66">
        <w:rPr>
          <w:rFonts w:ascii="Arial" w:hAnsi="Arial" w:cs="Arial"/>
          <w:sz w:val="22"/>
          <w:szCs w:val="22"/>
        </w:rPr>
        <w:t>ed, removing any liability from the host organi</w:t>
      </w:r>
      <w:r w:rsidR="00781404" w:rsidRPr="00A23E66">
        <w:rPr>
          <w:rFonts w:ascii="Arial" w:hAnsi="Arial" w:cs="Arial"/>
          <w:sz w:val="22"/>
          <w:szCs w:val="22"/>
        </w:rPr>
        <w:t>s</w:t>
      </w:r>
      <w:r w:rsidRPr="00A23E66">
        <w:rPr>
          <w:rFonts w:ascii="Arial" w:hAnsi="Arial" w:cs="Arial"/>
          <w:sz w:val="22"/>
          <w:szCs w:val="22"/>
        </w:rPr>
        <w:t>ation. This ensures the innovation is not only effective but also ethical and legally compliant.</w:t>
      </w:r>
    </w:p>
    <w:p w14:paraId="2DE54AAE" w14:textId="3AE20373" w:rsidR="00D773DA" w:rsidRPr="00A23E66" w:rsidRDefault="00D773DA" w:rsidP="00CC0BCE">
      <w:pPr>
        <w:spacing w:line="360" w:lineRule="auto"/>
        <w:rPr>
          <w:rFonts w:ascii="Arial" w:hAnsi="Arial" w:cs="Arial"/>
          <w:sz w:val="22"/>
          <w:szCs w:val="22"/>
        </w:rPr>
      </w:pPr>
      <w:r w:rsidRPr="00A23E66">
        <w:rPr>
          <w:rFonts w:ascii="Arial" w:hAnsi="Arial" w:cs="Arial"/>
          <w:sz w:val="22"/>
          <w:szCs w:val="22"/>
        </w:rPr>
        <w:t xml:space="preserve">The target audience is the vast community of mothers and primary caregivers who feel overwhelmed and are at risk of emotional dysregulation. We must reach them with a non-judgmental message of empowerment. The core campaign message is: "The Way </w:t>
      </w:r>
      <w:proofErr w:type="gramStart"/>
      <w:r w:rsidRPr="00A23E66">
        <w:rPr>
          <w:rFonts w:ascii="Arial" w:hAnsi="Arial" w:cs="Arial"/>
          <w:sz w:val="22"/>
          <w:szCs w:val="22"/>
        </w:rPr>
        <w:t>To</w:t>
      </w:r>
      <w:proofErr w:type="gramEnd"/>
      <w:r w:rsidRPr="00A23E66">
        <w:rPr>
          <w:rFonts w:ascii="Arial" w:hAnsi="Arial" w:cs="Arial"/>
          <w:sz w:val="22"/>
          <w:szCs w:val="22"/>
        </w:rPr>
        <w:t xml:space="preserve"> Help Your Child Is </w:t>
      </w:r>
      <w:proofErr w:type="gramStart"/>
      <w:r w:rsidRPr="00A23E66">
        <w:rPr>
          <w:rFonts w:ascii="Arial" w:hAnsi="Arial" w:cs="Arial"/>
          <w:sz w:val="22"/>
          <w:szCs w:val="22"/>
        </w:rPr>
        <w:t>To</w:t>
      </w:r>
      <w:proofErr w:type="gramEnd"/>
      <w:r w:rsidRPr="00A23E66">
        <w:rPr>
          <w:rFonts w:ascii="Arial" w:hAnsi="Arial" w:cs="Arial"/>
          <w:sz w:val="22"/>
          <w:szCs w:val="22"/>
        </w:rPr>
        <w:t xml:space="preserve"> First Help Yourself." This </w:t>
      </w:r>
      <w:r w:rsidR="00AC5944">
        <w:rPr>
          <w:rFonts w:ascii="Arial" w:hAnsi="Arial" w:cs="Arial"/>
          <w:sz w:val="22"/>
          <w:szCs w:val="22"/>
        </w:rPr>
        <w:t>reframes</w:t>
      </w:r>
      <w:r w:rsidRPr="00A23E66">
        <w:rPr>
          <w:rFonts w:ascii="Arial" w:hAnsi="Arial" w:cs="Arial"/>
          <w:sz w:val="22"/>
          <w:szCs w:val="22"/>
        </w:rPr>
        <w:t xml:space="preserve"> self-care not as a luxury or a selfish act, but as the fundamental responsibility of good parenting.</w:t>
      </w:r>
    </w:p>
    <w:p w14:paraId="45DBF977" w14:textId="1BBAD459" w:rsidR="00D773DA" w:rsidRPr="00A23E66" w:rsidRDefault="00D773DA" w:rsidP="00CC0BCE">
      <w:pPr>
        <w:spacing w:line="360" w:lineRule="auto"/>
        <w:rPr>
          <w:rFonts w:ascii="Arial" w:hAnsi="Arial" w:cs="Arial"/>
          <w:sz w:val="22"/>
          <w:szCs w:val="22"/>
        </w:rPr>
      </w:pPr>
      <w:r w:rsidRPr="00A23E66">
        <w:rPr>
          <w:rFonts w:ascii="Arial" w:hAnsi="Arial" w:cs="Arial"/>
          <w:sz w:val="22"/>
          <w:szCs w:val="22"/>
        </w:rPr>
        <w:lastRenderedPageBreak/>
        <w:t>We will encourage community involvement by emphasi</w:t>
      </w:r>
      <w:r w:rsidR="008810B0" w:rsidRPr="00A23E66">
        <w:rPr>
          <w:rFonts w:ascii="Arial" w:hAnsi="Arial" w:cs="Arial"/>
          <w:sz w:val="22"/>
          <w:szCs w:val="22"/>
        </w:rPr>
        <w:t>s</w:t>
      </w:r>
      <w:r w:rsidRPr="00A23E66">
        <w:rPr>
          <w:rFonts w:ascii="Arial" w:hAnsi="Arial" w:cs="Arial"/>
          <w:sz w:val="22"/>
          <w:szCs w:val="22"/>
        </w:rPr>
        <w:t>ing that a mother's healing has a ripple effect: once she models self-compassion, she is better able to extend that compassion and support to friends and family who are also struggling. This encourages peer-to-peer recommendation and grassroots adoption, reinforcing the social fabric of the community.</w:t>
      </w:r>
    </w:p>
    <w:p w14:paraId="4B81712E" w14:textId="4A60494C" w:rsidR="00B8048D" w:rsidRPr="00A23E66" w:rsidRDefault="00D773DA" w:rsidP="00CC0BCE">
      <w:pPr>
        <w:spacing w:line="360" w:lineRule="auto"/>
        <w:rPr>
          <w:rFonts w:ascii="Arial" w:hAnsi="Arial" w:cs="Arial"/>
          <w:sz w:val="22"/>
          <w:szCs w:val="22"/>
        </w:rPr>
      </w:pPr>
      <w:r w:rsidRPr="00A23E66">
        <w:rPr>
          <w:rFonts w:ascii="Arial" w:hAnsi="Arial" w:cs="Arial"/>
          <w:sz w:val="22"/>
          <w:szCs w:val="22"/>
        </w:rPr>
        <w:t xml:space="preserve">For Dissemination, the journal will be made easily accessible via multiple high-traffic, low-barrier channels. It will be promoted on websites used by the target demographic, such as parenting forums (like </w:t>
      </w:r>
      <w:proofErr w:type="spellStart"/>
      <w:r w:rsidRPr="00A23E66">
        <w:rPr>
          <w:rFonts w:ascii="Arial" w:hAnsi="Arial" w:cs="Arial"/>
          <w:sz w:val="22"/>
          <w:szCs w:val="22"/>
        </w:rPr>
        <w:t>Netmums</w:t>
      </w:r>
      <w:proofErr w:type="spellEnd"/>
      <w:r w:rsidRPr="00A23E66">
        <w:rPr>
          <w:rFonts w:ascii="Arial" w:hAnsi="Arial" w:cs="Arial"/>
          <w:sz w:val="22"/>
          <w:szCs w:val="22"/>
        </w:rPr>
        <w:t xml:space="preserve">), mommy blogs, and established online support communities. Crucially, the innovation needs credibility within the health system. Therefore, the primary gatekeeper is the Health Visitor (HV). HVs will receive a brief, evidence-based training module on the journal's mechanics, equipping them to recommend it confidently as </w:t>
      </w:r>
      <w:r w:rsidR="003D1D5A" w:rsidRPr="00A23E66">
        <w:rPr>
          <w:rFonts w:ascii="Arial" w:hAnsi="Arial" w:cs="Arial"/>
          <w:sz w:val="22"/>
          <w:szCs w:val="22"/>
        </w:rPr>
        <w:t xml:space="preserve">an inexpensive, </w:t>
      </w:r>
      <w:r w:rsidRPr="00A23E66">
        <w:rPr>
          <w:rFonts w:ascii="Arial" w:hAnsi="Arial" w:cs="Arial"/>
          <w:sz w:val="22"/>
          <w:szCs w:val="22"/>
        </w:rPr>
        <w:t>preventative tool during their universal checks with new parents. This dual approach</w:t>
      </w:r>
      <w:r w:rsidR="003D1D5A" w:rsidRPr="00A23E66">
        <w:rPr>
          <w:rFonts w:ascii="Arial" w:hAnsi="Arial" w:cs="Arial"/>
          <w:sz w:val="22"/>
          <w:szCs w:val="22"/>
        </w:rPr>
        <w:t xml:space="preserve"> (</w:t>
      </w:r>
      <w:r w:rsidRPr="00A23E66">
        <w:rPr>
          <w:rFonts w:ascii="Arial" w:hAnsi="Arial" w:cs="Arial"/>
          <w:sz w:val="22"/>
          <w:szCs w:val="22"/>
        </w:rPr>
        <w:t>professional endorsement and public accessibility</w:t>
      </w:r>
      <w:r w:rsidR="003D1D5A" w:rsidRPr="00A23E66">
        <w:rPr>
          <w:rFonts w:ascii="Arial" w:hAnsi="Arial" w:cs="Arial"/>
          <w:sz w:val="22"/>
          <w:szCs w:val="22"/>
        </w:rPr>
        <w:t xml:space="preserve">) </w:t>
      </w:r>
      <w:r w:rsidRPr="00A23E66">
        <w:rPr>
          <w:rFonts w:ascii="Arial" w:hAnsi="Arial" w:cs="Arial"/>
          <w:sz w:val="22"/>
          <w:szCs w:val="22"/>
        </w:rPr>
        <w:t>will ensure maximum reach.</w:t>
      </w:r>
    </w:p>
    <w:p w14:paraId="6E501E2B" w14:textId="26501671" w:rsidR="00A23E66" w:rsidRPr="00A23E66" w:rsidRDefault="00617557" w:rsidP="00CC0BCE">
      <w:pPr>
        <w:spacing w:line="360" w:lineRule="auto"/>
        <w:rPr>
          <w:rFonts w:ascii="Arial" w:hAnsi="Arial" w:cs="Arial"/>
          <w:sz w:val="22"/>
          <w:szCs w:val="22"/>
        </w:rPr>
      </w:pPr>
      <w:r w:rsidRPr="00A23E66">
        <w:rPr>
          <w:rFonts w:ascii="Arial" w:hAnsi="Arial" w:cs="Arial"/>
          <w:sz w:val="22"/>
          <w:szCs w:val="22"/>
        </w:rPr>
        <w:t xml:space="preserve">The adoption of the </w:t>
      </w:r>
      <w:r w:rsidR="009B394A">
        <w:rPr>
          <w:rFonts w:ascii="Arial" w:hAnsi="Arial" w:cs="Arial"/>
          <w:sz w:val="22"/>
          <w:szCs w:val="22"/>
        </w:rPr>
        <w:t>‘</w:t>
      </w:r>
      <w:r w:rsidRPr="00A23E66">
        <w:rPr>
          <w:rFonts w:ascii="Arial" w:hAnsi="Arial" w:cs="Arial"/>
          <w:sz w:val="22"/>
          <w:szCs w:val="22"/>
        </w:rPr>
        <w:t xml:space="preserve">From Surviving </w:t>
      </w:r>
      <w:proofErr w:type="gramStart"/>
      <w:r w:rsidRPr="00A23E66">
        <w:rPr>
          <w:rFonts w:ascii="Arial" w:hAnsi="Arial" w:cs="Arial"/>
          <w:sz w:val="22"/>
          <w:szCs w:val="22"/>
        </w:rPr>
        <w:t>To</w:t>
      </w:r>
      <w:proofErr w:type="gramEnd"/>
      <w:r w:rsidRPr="00A23E66">
        <w:rPr>
          <w:rFonts w:ascii="Arial" w:hAnsi="Arial" w:cs="Arial"/>
          <w:sz w:val="22"/>
          <w:szCs w:val="22"/>
        </w:rPr>
        <w:t xml:space="preserve"> Thriving</w:t>
      </w:r>
      <w:r w:rsidR="009B394A">
        <w:rPr>
          <w:rFonts w:ascii="Arial" w:hAnsi="Arial" w:cs="Arial"/>
          <w:sz w:val="22"/>
          <w:szCs w:val="22"/>
        </w:rPr>
        <w:t>’</w:t>
      </w:r>
      <w:r w:rsidRPr="00A23E66">
        <w:rPr>
          <w:rFonts w:ascii="Arial" w:hAnsi="Arial" w:cs="Arial"/>
          <w:sz w:val="22"/>
          <w:szCs w:val="22"/>
        </w:rPr>
        <w:t xml:space="preserve"> journal is more than a wellness initiative; it is a critical public health investment. By targeting </w:t>
      </w:r>
      <w:r w:rsidR="009B394A">
        <w:rPr>
          <w:rFonts w:ascii="Arial" w:hAnsi="Arial" w:cs="Arial"/>
          <w:sz w:val="22"/>
          <w:szCs w:val="22"/>
        </w:rPr>
        <w:t>m</w:t>
      </w:r>
      <w:r w:rsidRPr="00A23E66">
        <w:rPr>
          <w:rFonts w:ascii="Arial" w:hAnsi="Arial" w:cs="Arial"/>
          <w:sz w:val="22"/>
          <w:szCs w:val="22"/>
        </w:rPr>
        <w:t xml:space="preserve">aternal </w:t>
      </w:r>
      <w:r w:rsidR="009B394A">
        <w:rPr>
          <w:rFonts w:ascii="Arial" w:hAnsi="Arial" w:cs="Arial"/>
          <w:sz w:val="22"/>
          <w:szCs w:val="22"/>
        </w:rPr>
        <w:t>e</w:t>
      </w:r>
      <w:r w:rsidRPr="00A23E66">
        <w:rPr>
          <w:rFonts w:ascii="Arial" w:hAnsi="Arial" w:cs="Arial"/>
          <w:sz w:val="22"/>
          <w:szCs w:val="22"/>
        </w:rPr>
        <w:t xml:space="preserve">motional </w:t>
      </w:r>
      <w:r w:rsidR="009B394A">
        <w:rPr>
          <w:rFonts w:ascii="Arial" w:hAnsi="Arial" w:cs="Arial"/>
          <w:sz w:val="22"/>
          <w:szCs w:val="22"/>
        </w:rPr>
        <w:t>r</w:t>
      </w:r>
      <w:r w:rsidRPr="00A23E66">
        <w:rPr>
          <w:rFonts w:ascii="Arial" w:hAnsi="Arial" w:cs="Arial"/>
          <w:sz w:val="22"/>
          <w:szCs w:val="22"/>
        </w:rPr>
        <w:t>egulation, the innovation directly interrupts the costly intergenerational cycle where struggling children become struggling adults. This cycle results in severe long-term costs to the state, manifesting in increased expenditure on mental healthcare, chronic reliance on the benefit system, and higher rates of incarceration and engagement with the criminal justice system due to Adverse Childhood Experiences (ACEs)</w:t>
      </w:r>
      <w:r w:rsidR="00135148">
        <w:rPr>
          <w:rFonts w:ascii="Arial" w:hAnsi="Arial" w:cs="Arial"/>
          <w:sz w:val="22"/>
          <w:szCs w:val="22"/>
        </w:rPr>
        <w:t xml:space="preserve"> (Bellis</w:t>
      </w:r>
      <w:r w:rsidR="00C41C6C">
        <w:rPr>
          <w:rFonts w:ascii="Arial" w:hAnsi="Arial" w:cs="Arial"/>
          <w:sz w:val="22"/>
          <w:szCs w:val="22"/>
        </w:rPr>
        <w:t xml:space="preserve"> et al, 2014)</w:t>
      </w:r>
      <w:r w:rsidRPr="00A23E66">
        <w:rPr>
          <w:rFonts w:ascii="Arial" w:hAnsi="Arial" w:cs="Arial"/>
          <w:sz w:val="22"/>
          <w:szCs w:val="22"/>
        </w:rPr>
        <w:t>. Adopting this high-impact, low-cost preventative tool will reduce the long-term burden on speciali</w:t>
      </w:r>
      <w:r w:rsidR="00AD065E" w:rsidRPr="00A23E66">
        <w:rPr>
          <w:rFonts w:ascii="Arial" w:hAnsi="Arial" w:cs="Arial"/>
          <w:sz w:val="22"/>
          <w:szCs w:val="22"/>
        </w:rPr>
        <w:t>s</w:t>
      </w:r>
      <w:r w:rsidRPr="00A23E66">
        <w:rPr>
          <w:rFonts w:ascii="Arial" w:hAnsi="Arial" w:cs="Arial"/>
          <w:sz w:val="22"/>
          <w:szCs w:val="22"/>
        </w:rPr>
        <w:t>ed services like CAMHS and social care. We urge you to support this evidence-based strategy to create a more resilient generation and a more sustainable future for health and social car</w:t>
      </w:r>
      <w:r w:rsidR="00CC0BCE">
        <w:rPr>
          <w:rFonts w:ascii="Arial" w:hAnsi="Arial" w:cs="Arial"/>
          <w:sz w:val="22"/>
          <w:szCs w:val="22"/>
        </w:rPr>
        <w:t>e.</w:t>
      </w:r>
    </w:p>
    <w:p w14:paraId="4B5593BA" w14:textId="77777777" w:rsidR="00A23E66" w:rsidRPr="00A23E66" w:rsidRDefault="00A23E66" w:rsidP="00D773DA">
      <w:pPr>
        <w:rPr>
          <w:rFonts w:ascii="Arial" w:hAnsi="Arial" w:cs="Arial"/>
          <w:sz w:val="22"/>
          <w:szCs w:val="22"/>
        </w:rPr>
      </w:pPr>
    </w:p>
    <w:p w14:paraId="486EFC64" w14:textId="77777777" w:rsidR="00CC0BCE" w:rsidRDefault="00CC0BCE" w:rsidP="00D773DA">
      <w:pPr>
        <w:rPr>
          <w:rFonts w:ascii="Arial" w:hAnsi="Arial" w:cs="Arial"/>
          <w:b/>
          <w:bCs/>
          <w:sz w:val="22"/>
          <w:szCs w:val="22"/>
          <w:u w:val="single"/>
        </w:rPr>
      </w:pPr>
    </w:p>
    <w:p w14:paraId="6740F305" w14:textId="77777777" w:rsidR="00CC0BCE" w:rsidRDefault="00CC0BCE" w:rsidP="00D773DA">
      <w:pPr>
        <w:rPr>
          <w:rFonts w:ascii="Arial" w:hAnsi="Arial" w:cs="Arial"/>
          <w:b/>
          <w:bCs/>
          <w:sz w:val="22"/>
          <w:szCs w:val="22"/>
          <w:u w:val="single"/>
        </w:rPr>
      </w:pPr>
    </w:p>
    <w:p w14:paraId="46661C60" w14:textId="77777777" w:rsidR="00CC0BCE" w:rsidRDefault="00CC0BCE" w:rsidP="00D773DA">
      <w:pPr>
        <w:rPr>
          <w:rFonts w:ascii="Arial" w:hAnsi="Arial" w:cs="Arial"/>
          <w:b/>
          <w:bCs/>
          <w:sz w:val="22"/>
          <w:szCs w:val="22"/>
          <w:u w:val="single"/>
        </w:rPr>
      </w:pPr>
    </w:p>
    <w:p w14:paraId="0C1D8289" w14:textId="77777777" w:rsidR="00CC0BCE" w:rsidRDefault="00CC0BCE" w:rsidP="00D773DA">
      <w:pPr>
        <w:rPr>
          <w:rFonts w:ascii="Arial" w:hAnsi="Arial" w:cs="Arial"/>
          <w:b/>
          <w:bCs/>
          <w:sz w:val="22"/>
          <w:szCs w:val="22"/>
          <w:u w:val="single"/>
        </w:rPr>
      </w:pPr>
    </w:p>
    <w:p w14:paraId="2EF304DA" w14:textId="77777777" w:rsidR="00CC0BCE" w:rsidRDefault="00CC0BCE" w:rsidP="00D773DA">
      <w:pPr>
        <w:rPr>
          <w:rFonts w:ascii="Arial" w:hAnsi="Arial" w:cs="Arial"/>
          <w:b/>
          <w:bCs/>
          <w:sz w:val="22"/>
          <w:szCs w:val="22"/>
          <w:u w:val="single"/>
        </w:rPr>
      </w:pPr>
    </w:p>
    <w:p w14:paraId="7F739BCD" w14:textId="77777777" w:rsidR="00CC0BCE" w:rsidRDefault="00CC0BCE" w:rsidP="00D773DA">
      <w:pPr>
        <w:rPr>
          <w:rFonts w:ascii="Arial" w:hAnsi="Arial" w:cs="Arial"/>
          <w:b/>
          <w:bCs/>
          <w:sz w:val="22"/>
          <w:szCs w:val="22"/>
          <w:u w:val="single"/>
        </w:rPr>
      </w:pPr>
    </w:p>
    <w:p w14:paraId="04F72758" w14:textId="77777777" w:rsidR="00CC0BCE" w:rsidRDefault="00CC0BCE" w:rsidP="00D773DA">
      <w:pPr>
        <w:rPr>
          <w:rFonts w:ascii="Arial" w:hAnsi="Arial" w:cs="Arial"/>
          <w:b/>
          <w:bCs/>
          <w:sz w:val="22"/>
          <w:szCs w:val="22"/>
          <w:u w:val="single"/>
        </w:rPr>
      </w:pPr>
    </w:p>
    <w:p w14:paraId="415AE53C" w14:textId="77777777" w:rsidR="00CC0BCE" w:rsidRDefault="00CC0BCE" w:rsidP="00D773DA">
      <w:pPr>
        <w:rPr>
          <w:rFonts w:ascii="Arial" w:hAnsi="Arial" w:cs="Arial"/>
          <w:b/>
          <w:bCs/>
          <w:sz w:val="22"/>
          <w:szCs w:val="22"/>
          <w:u w:val="single"/>
        </w:rPr>
      </w:pPr>
    </w:p>
    <w:p w14:paraId="7505D70D" w14:textId="77777777" w:rsidR="00CC0BCE" w:rsidRDefault="00CC0BCE" w:rsidP="00D773DA">
      <w:pPr>
        <w:rPr>
          <w:rFonts w:ascii="Arial" w:hAnsi="Arial" w:cs="Arial"/>
          <w:b/>
          <w:bCs/>
          <w:sz w:val="22"/>
          <w:szCs w:val="22"/>
          <w:u w:val="single"/>
        </w:rPr>
      </w:pPr>
    </w:p>
    <w:p w14:paraId="23FBF0F7" w14:textId="77777777" w:rsidR="00EF5187" w:rsidRDefault="00EF5187" w:rsidP="00D773DA">
      <w:pPr>
        <w:rPr>
          <w:rFonts w:ascii="Arial" w:hAnsi="Arial" w:cs="Arial"/>
          <w:b/>
          <w:bCs/>
          <w:sz w:val="22"/>
          <w:szCs w:val="22"/>
          <w:u w:val="single"/>
        </w:rPr>
      </w:pPr>
    </w:p>
    <w:p w14:paraId="38D85640" w14:textId="438B0E2C" w:rsidR="00A23E66" w:rsidRDefault="00A23E66" w:rsidP="00D773DA">
      <w:pPr>
        <w:rPr>
          <w:rFonts w:ascii="Arial" w:hAnsi="Arial" w:cs="Arial"/>
          <w:b/>
          <w:bCs/>
          <w:sz w:val="22"/>
          <w:szCs w:val="22"/>
          <w:u w:val="single"/>
        </w:rPr>
      </w:pPr>
      <w:r w:rsidRPr="00A23E66">
        <w:rPr>
          <w:rFonts w:ascii="Arial" w:hAnsi="Arial" w:cs="Arial"/>
          <w:b/>
          <w:bCs/>
          <w:sz w:val="22"/>
          <w:szCs w:val="22"/>
          <w:u w:val="single"/>
        </w:rPr>
        <w:lastRenderedPageBreak/>
        <w:t>References</w:t>
      </w:r>
    </w:p>
    <w:p w14:paraId="4631A7AB" w14:textId="6E65CAB6" w:rsidR="00783A98" w:rsidRDefault="00783A98" w:rsidP="00D773DA">
      <w:pPr>
        <w:rPr>
          <w:rFonts w:ascii="Arial" w:hAnsi="Arial" w:cs="Arial"/>
          <w:sz w:val="22"/>
          <w:szCs w:val="22"/>
        </w:rPr>
      </w:pPr>
    </w:p>
    <w:p w14:paraId="4CA366E0" w14:textId="77777777" w:rsidR="00374827" w:rsidRDefault="00374827" w:rsidP="001550D0">
      <w:pPr>
        <w:rPr>
          <w:rFonts w:ascii="Arial" w:eastAsia="Arial" w:hAnsi="Arial" w:cs="Arial"/>
          <w:sz w:val="22"/>
          <w:szCs w:val="22"/>
        </w:rPr>
      </w:pPr>
      <w:r>
        <w:rPr>
          <w:rFonts w:ascii="Arial" w:eastAsia="Arial" w:hAnsi="Arial" w:cs="Arial"/>
          <w:sz w:val="22"/>
          <w:szCs w:val="22"/>
        </w:rPr>
        <w:t xml:space="preserve">Barros, L., Goes, A. R., Pereira, A. I. (2015). Parental Self-Regulation, Emotional Regulation and Temperament: Implications for Intervention. </w:t>
      </w:r>
      <w:proofErr w:type="spellStart"/>
      <w:r>
        <w:rPr>
          <w:rFonts w:ascii="Arial" w:eastAsia="Arial" w:hAnsi="Arial" w:cs="Arial"/>
          <w:sz w:val="22"/>
          <w:szCs w:val="22"/>
        </w:rPr>
        <w:t>SciFlo</w:t>
      </w:r>
      <w:proofErr w:type="spellEnd"/>
      <w:r>
        <w:rPr>
          <w:rFonts w:ascii="Arial" w:eastAsia="Arial" w:hAnsi="Arial" w:cs="Arial"/>
          <w:sz w:val="22"/>
          <w:szCs w:val="22"/>
        </w:rPr>
        <w:t xml:space="preserve"> Brazil. Special Section: Coping and Self-regulation. Available at: </w:t>
      </w:r>
      <w:hyperlink r:id="rId11" w:history="1">
        <w:proofErr w:type="spellStart"/>
        <w:r w:rsidRPr="00294DB1">
          <w:rPr>
            <w:rStyle w:val="Hyperlink"/>
            <w:rFonts w:ascii="Arial" w:eastAsia="Arial" w:hAnsi="Arial" w:cs="Arial"/>
            <w:sz w:val="22"/>
            <w:szCs w:val="22"/>
          </w:rPr>
          <w:t>SciELO</w:t>
        </w:r>
        <w:proofErr w:type="spellEnd"/>
        <w:r w:rsidRPr="00294DB1">
          <w:rPr>
            <w:rStyle w:val="Hyperlink"/>
            <w:rFonts w:ascii="Arial" w:eastAsia="Arial" w:hAnsi="Arial" w:cs="Arial"/>
            <w:sz w:val="22"/>
            <w:szCs w:val="22"/>
          </w:rPr>
          <w:t xml:space="preserve"> Brazil - Parental self-regulation, emotional regulation and temperament: Implications for intervention Parental self-regulation, emotional regulation and temperament: Implications for intervention</w:t>
        </w:r>
      </w:hyperlink>
      <w:r>
        <w:rPr>
          <w:rFonts w:ascii="Arial" w:eastAsia="Arial" w:hAnsi="Arial" w:cs="Arial"/>
          <w:sz w:val="22"/>
          <w:szCs w:val="22"/>
        </w:rPr>
        <w:t>. Accessed on: 16</w:t>
      </w:r>
      <w:r w:rsidRPr="00294DB1">
        <w:rPr>
          <w:rFonts w:ascii="Arial" w:eastAsia="Arial" w:hAnsi="Arial" w:cs="Arial"/>
          <w:sz w:val="22"/>
          <w:szCs w:val="22"/>
          <w:vertAlign w:val="superscript"/>
        </w:rPr>
        <w:t>th</w:t>
      </w:r>
      <w:r>
        <w:rPr>
          <w:rFonts w:ascii="Arial" w:eastAsia="Arial" w:hAnsi="Arial" w:cs="Arial"/>
          <w:sz w:val="22"/>
          <w:szCs w:val="22"/>
        </w:rPr>
        <w:t xml:space="preserve"> November 2025.</w:t>
      </w:r>
    </w:p>
    <w:p w14:paraId="33AE6CB4" w14:textId="77777777" w:rsidR="00374827" w:rsidRDefault="00374827" w:rsidP="001550D0">
      <w:pPr>
        <w:rPr>
          <w:rFonts w:ascii="Arial" w:eastAsia="Arial" w:hAnsi="Arial" w:cs="Arial"/>
          <w:sz w:val="22"/>
          <w:szCs w:val="22"/>
        </w:rPr>
      </w:pPr>
      <w:r>
        <w:rPr>
          <w:rFonts w:ascii="Arial" w:eastAsia="Arial" w:hAnsi="Arial" w:cs="Arial"/>
          <w:sz w:val="22"/>
          <w:szCs w:val="22"/>
        </w:rPr>
        <w:t xml:space="preserve">Bellis, M. A., Lowey, H., Leckenby, N., Hughes, K., Harrison, D. (2013). Adverse Childhood Experiences: Retrospective Study to Determine Their Impact on Adult Health Behaviours and Health Outcomes in a UK Population. </w:t>
      </w:r>
      <w:r w:rsidRPr="00E902E8">
        <w:rPr>
          <w:rFonts w:ascii="Arial" w:eastAsia="Arial" w:hAnsi="Arial" w:cs="Arial"/>
          <w:i/>
          <w:iCs/>
          <w:sz w:val="22"/>
          <w:szCs w:val="22"/>
        </w:rPr>
        <w:t>Journal of Public Health</w:t>
      </w:r>
      <w:r>
        <w:rPr>
          <w:rFonts w:ascii="Arial" w:eastAsia="Arial" w:hAnsi="Arial" w:cs="Arial"/>
          <w:sz w:val="22"/>
          <w:szCs w:val="22"/>
        </w:rPr>
        <w:t xml:space="preserve">, Volume 36, Issue 1. Available at: </w:t>
      </w:r>
      <w:hyperlink r:id="rId12" w:history="1">
        <w:r w:rsidRPr="00DC329E">
          <w:rPr>
            <w:rStyle w:val="Hyperlink"/>
            <w:rFonts w:ascii="Arial" w:eastAsia="Arial" w:hAnsi="Arial" w:cs="Arial"/>
            <w:sz w:val="22"/>
            <w:szCs w:val="22"/>
          </w:rPr>
          <w:t>Adverse childhood experiences: retrospective study to determine their impact on adult health behaviours and health outcomes in a UK population | Journal of Public Health | Oxford Academic</w:t>
        </w:r>
      </w:hyperlink>
      <w:r>
        <w:rPr>
          <w:rFonts w:ascii="Arial" w:eastAsia="Arial" w:hAnsi="Arial" w:cs="Arial"/>
          <w:sz w:val="22"/>
          <w:szCs w:val="22"/>
        </w:rPr>
        <w:t>. Accessed on 12</w:t>
      </w:r>
      <w:r w:rsidRPr="00DC329E">
        <w:rPr>
          <w:rFonts w:ascii="Arial" w:eastAsia="Arial" w:hAnsi="Arial" w:cs="Arial"/>
          <w:sz w:val="22"/>
          <w:szCs w:val="22"/>
          <w:vertAlign w:val="superscript"/>
        </w:rPr>
        <w:t>th</w:t>
      </w:r>
      <w:r>
        <w:rPr>
          <w:rFonts w:ascii="Arial" w:eastAsia="Arial" w:hAnsi="Arial" w:cs="Arial"/>
          <w:sz w:val="22"/>
          <w:szCs w:val="22"/>
        </w:rPr>
        <w:t xml:space="preserve"> November 2025.</w:t>
      </w:r>
    </w:p>
    <w:p w14:paraId="458CFA40" w14:textId="77777777" w:rsidR="00374827" w:rsidRDefault="00374827" w:rsidP="00D773DA">
      <w:pPr>
        <w:rPr>
          <w:rFonts w:ascii="Arial" w:eastAsia="Arial" w:hAnsi="Arial" w:cs="Arial"/>
          <w:sz w:val="22"/>
          <w:szCs w:val="22"/>
        </w:rPr>
      </w:pPr>
      <w:r>
        <w:rPr>
          <w:rFonts w:ascii="Arial" w:eastAsia="Arial" w:hAnsi="Arial" w:cs="Arial"/>
          <w:sz w:val="22"/>
          <w:szCs w:val="22"/>
        </w:rPr>
        <w:t>Coles, D. C. and Cage, J. (2022) ‘</w:t>
      </w:r>
      <w:r w:rsidRPr="00A9046F">
        <w:rPr>
          <w:rFonts w:ascii="Arial" w:eastAsia="Arial" w:hAnsi="Arial" w:cs="Arial"/>
          <w:sz w:val="22"/>
          <w:szCs w:val="22"/>
        </w:rPr>
        <w:t>Mothers and Their Children: An Exploration of the Relationship Between Maternal Mental Health and Child Well-Being</w:t>
      </w:r>
      <w:r>
        <w:rPr>
          <w:rFonts w:ascii="Arial" w:eastAsia="Arial" w:hAnsi="Arial" w:cs="Arial"/>
          <w:sz w:val="22"/>
          <w:szCs w:val="22"/>
        </w:rPr>
        <w:t>’</w:t>
      </w:r>
      <w:r w:rsidRPr="00C72DCF">
        <w:rPr>
          <w:rFonts w:ascii="Arial" w:eastAsia="Arial" w:hAnsi="Arial" w:cs="Arial"/>
          <w:i/>
          <w:iCs/>
          <w:sz w:val="22"/>
          <w:szCs w:val="22"/>
        </w:rPr>
        <w:t>, Maternal and Child Health Journal.</w:t>
      </w:r>
      <w:r>
        <w:rPr>
          <w:rFonts w:ascii="Arial" w:eastAsia="Arial" w:hAnsi="Arial" w:cs="Arial"/>
          <w:sz w:val="22"/>
          <w:szCs w:val="22"/>
        </w:rPr>
        <w:t xml:space="preserve"> Springer Nature Link. Available at: </w:t>
      </w:r>
      <w:hyperlink r:id="rId13" w:history="1">
        <w:r w:rsidRPr="00317FCC">
          <w:rPr>
            <w:rStyle w:val="Hyperlink"/>
            <w:rFonts w:ascii="Arial" w:eastAsia="Arial" w:hAnsi="Arial" w:cs="Arial"/>
            <w:sz w:val="22"/>
            <w:szCs w:val="22"/>
          </w:rPr>
          <w:t>Mothers and Their Children: An Exploration of the Relationship Between Maternal Mental Health and Child Well-Being | Maternal and Child Health Journal</w:t>
        </w:r>
      </w:hyperlink>
      <w:r>
        <w:rPr>
          <w:rFonts w:ascii="Arial" w:eastAsia="Arial" w:hAnsi="Arial" w:cs="Arial"/>
          <w:sz w:val="22"/>
          <w:szCs w:val="22"/>
        </w:rPr>
        <w:t>. Accessed on: 10</w:t>
      </w:r>
      <w:r w:rsidRPr="00317FCC">
        <w:rPr>
          <w:rFonts w:ascii="Arial" w:eastAsia="Arial" w:hAnsi="Arial" w:cs="Arial"/>
          <w:sz w:val="22"/>
          <w:szCs w:val="22"/>
          <w:vertAlign w:val="superscript"/>
        </w:rPr>
        <w:t>th</w:t>
      </w:r>
      <w:r>
        <w:rPr>
          <w:rFonts w:ascii="Arial" w:eastAsia="Arial" w:hAnsi="Arial" w:cs="Arial"/>
          <w:sz w:val="22"/>
          <w:szCs w:val="22"/>
        </w:rPr>
        <w:t xml:space="preserve"> November 2025.</w:t>
      </w:r>
    </w:p>
    <w:p w14:paraId="4C694051" w14:textId="77777777" w:rsidR="00374827" w:rsidRDefault="00374827" w:rsidP="001550D0">
      <w:pPr>
        <w:rPr>
          <w:rFonts w:ascii="Arial" w:eastAsia="Arial" w:hAnsi="Arial" w:cs="Arial"/>
          <w:sz w:val="22"/>
          <w:szCs w:val="22"/>
        </w:rPr>
      </w:pPr>
      <w:r>
        <w:rPr>
          <w:rFonts w:ascii="Arial" w:eastAsia="Arial" w:hAnsi="Arial" w:cs="Arial"/>
          <w:sz w:val="22"/>
          <w:szCs w:val="22"/>
        </w:rPr>
        <w:t xml:space="preserve">Isobel, S., Goodyear, M., Furness, T., Foster, K. (2018). ‘Preventing Intergenerational Trauma Transmission: A Critical Interpretive Synthesis’. Journal of Clinical Nursing. Volume 28, Issue 7-8. Available at: </w:t>
      </w:r>
      <w:hyperlink r:id="rId14" w:history="1">
        <w:r w:rsidRPr="00AC183C">
          <w:rPr>
            <w:rStyle w:val="Hyperlink"/>
            <w:rFonts w:ascii="Arial" w:eastAsia="Arial" w:hAnsi="Arial" w:cs="Arial"/>
            <w:sz w:val="22"/>
            <w:szCs w:val="22"/>
          </w:rPr>
          <w:t>Preventing intergenerational trauma transmission: A critical interpretive synthesis - Isobel - 2019 - Journal of Clinical Nursing - Wiley Online Library</w:t>
        </w:r>
      </w:hyperlink>
      <w:r>
        <w:rPr>
          <w:rFonts w:ascii="Arial" w:eastAsia="Arial" w:hAnsi="Arial" w:cs="Arial"/>
          <w:sz w:val="22"/>
          <w:szCs w:val="22"/>
        </w:rPr>
        <w:t>. Accessed on 15</w:t>
      </w:r>
      <w:r w:rsidRPr="00B50E03">
        <w:rPr>
          <w:rFonts w:ascii="Arial" w:eastAsia="Arial" w:hAnsi="Arial" w:cs="Arial"/>
          <w:sz w:val="22"/>
          <w:szCs w:val="22"/>
          <w:vertAlign w:val="superscript"/>
        </w:rPr>
        <w:t>th</w:t>
      </w:r>
      <w:r>
        <w:rPr>
          <w:rFonts w:ascii="Arial" w:eastAsia="Arial" w:hAnsi="Arial" w:cs="Arial"/>
          <w:sz w:val="22"/>
          <w:szCs w:val="22"/>
        </w:rPr>
        <w:t xml:space="preserve"> November 2025. </w:t>
      </w:r>
    </w:p>
    <w:p w14:paraId="7CD53FCF" w14:textId="77777777" w:rsidR="00374827" w:rsidRDefault="00374827" w:rsidP="000B3E3F">
      <w:pPr>
        <w:rPr>
          <w:rFonts w:ascii="Arial" w:eastAsia="Arial" w:hAnsi="Arial" w:cs="Arial"/>
          <w:sz w:val="22"/>
          <w:szCs w:val="22"/>
        </w:rPr>
      </w:pPr>
      <w:r w:rsidRPr="004A26A3">
        <w:rPr>
          <w:rFonts w:ascii="Arial" w:eastAsia="Arial" w:hAnsi="Arial" w:cs="Arial"/>
          <w:sz w:val="22"/>
          <w:szCs w:val="22"/>
        </w:rPr>
        <w:t xml:space="preserve">Lotto, C. R., </w:t>
      </w:r>
      <w:proofErr w:type="spellStart"/>
      <w:r w:rsidRPr="004A26A3">
        <w:rPr>
          <w:rFonts w:ascii="Arial" w:eastAsia="Arial" w:hAnsi="Arial" w:cs="Arial"/>
          <w:sz w:val="22"/>
          <w:szCs w:val="22"/>
        </w:rPr>
        <w:t>Altafim</w:t>
      </w:r>
      <w:proofErr w:type="spellEnd"/>
      <w:r w:rsidRPr="004A26A3">
        <w:rPr>
          <w:rFonts w:ascii="Arial" w:eastAsia="Arial" w:hAnsi="Arial" w:cs="Arial"/>
          <w:sz w:val="22"/>
          <w:szCs w:val="22"/>
        </w:rPr>
        <w:t xml:space="preserve">, E. R. P., Linhares, M. B. M. (2024). </w:t>
      </w:r>
      <w:r>
        <w:rPr>
          <w:rFonts w:ascii="Arial" w:eastAsia="Arial" w:hAnsi="Arial" w:cs="Arial"/>
          <w:sz w:val="22"/>
          <w:szCs w:val="22"/>
        </w:rPr>
        <w:t>‘</w:t>
      </w:r>
      <w:r w:rsidRPr="004A26A3">
        <w:rPr>
          <w:rFonts w:ascii="Arial" w:eastAsia="Arial" w:hAnsi="Arial" w:cs="Arial"/>
          <w:sz w:val="22"/>
          <w:szCs w:val="22"/>
        </w:rPr>
        <w:t>Maternal Emotional and Behavioural Regulation/Dysregulation and Parenting Practices: A Systematic Review.</w:t>
      </w:r>
      <w:r>
        <w:rPr>
          <w:rFonts w:ascii="Arial" w:eastAsia="Arial" w:hAnsi="Arial" w:cs="Arial"/>
          <w:sz w:val="22"/>
          <w:szCs w:val="22"/>
        </w:rPr>
        <w:t xml:space="preserve">’ </w:t>
      </w:r>
      <w:r w:rsidRPr="00822096">
        <w:rPr>
          <w:rFonts w:ascii="Arial" w:eastAsia="Arial" w:hAnsi="Arial" w:cs="Arial"/>
          <w:i/>
          <w:iCs/>
          <w:sz w:val="22"/>
          <w:szCs w:val="22"/>
        </w:rPr>
        <w:t>Trauma, Violence and Abuse</w:t>
      </w:r>
      <w:r>
        <w:rPr>
          <w:rFonts w:ascii="Arial" w:eastAsia="Arial" w:hAnsi="Arial" w:cs="Arial"/>
          <w:sz w:val="22"/>
          <w:szCs w:val="22"/>
        </w:rPr>
        <w:t xml:space="preserve">. </w:t>
      </w:r>
      <w:r w:rsidRPr="004A26A3">
        <w:rPr>
          <w:rFonts w:ascii="Arial" w:eastAsia="Arial" w:hAnsi="Arial" w:cs="Arial"/>
          <w:sz w:val="22"/>
          <w:szCs w:val="22"/>
        </w:rPr>
        <w:t>25(5), 3515-3533.</w:t>
      </w:r>
      <w:r>
        <w:rPr>
          <w:rFonts w:ascii="Arial" w:eastAsia="Arial" w:hAnsi="Arial" w:cs="Arial"/>
          <w:sz w:val="22"/>
          <w:szCs w:val="22"/>
        </w:rPr>
        <w:t xml:space="preserve"> Available at: </w:t>
      </w:r>
      <w:hyperlink r:id="rId15" w:history="1">
        <w:r w:rsidRPr="006A23AE">
          <w:rPr>
            <w:rStyle w:val="Hyperlink"/>
            <w:rFonts w:ascii="Arial" w:eastAsia="Arial" w:hAnsi="Arial" w:cs="Arial"/>
            <w:sz w:val="22"/>
            <w:szCs w:val="22"/>
          </w:rPr>
          <w:t xml:space="preserve">Maternal Emotional and </w:t>
        </w:r>
        <w:proofErr w:type="spellStart"/>
        <w:r w:rsidRPr="006A23AE">
          <w:rPr>
            <w:rStyle w:val="Hyperlink"/>
            <w:rFonts w:ascii="Arial" w:eastAsia="Arial" w:hAnsi="Arial" w:cs="Arial"/>
            <w:sz w:val="22"/>
            <w:szCs w:val="22"/>
          </w:rPr>
          <w:t>Behavioral</w:t>
        </w:r>
        <w:proofErr w:type="spellEnd"/>
        <w:r w:rsidRPr="006A23AE">
          <w:rPr>
            <w:rStyle w:val="Hyperlink"/>
            <w:rFonts w:ascii="Arial" w:eastAsia="Arial" w:hAnsi="Arial" w:cs="Arial"/>
            <w:sz w:val="22"/>
            <w:szCs w:val="22"/>
          </w:rPr>
          <w:t xml:space="preserve"> Regulation/Dysregulation and Parenting Practices: A Systematic Review - Camila Regina Lotto, Elisa Rachel Pisani Altafim, Maria Beatriz Martins Linhares, 2024</w:t>
        </w:r>
      </w:hyperlink>
      <w:r>
        <w:rPr>
          <w:rFonts w:ascii="Arial" w:eastAsia="Arial" w:hAnsi="Arial" w:cs="Arial"/>
          <w:sz w:val="22"/>
          <w:szCs w:val="22"/>
        </w:rPr>
        <w:t>. Accessed on: 10</w:t>
      </w:r>
      <w:r w:rsidRPr="006A23AE">
        <w:rPr>
          <w:rFonts w:ascii="Arial" w:eastAsia="Arial" w:hAnsi="Arial" w:cs="Arial"/>
          <w:sz w:val="22"/>
          <w:szCs w:val="22"/>
          <w:vertAlign w:val="superscript"/>
        </w:rPr>
        <w:t>th</w:t>
      </w:r>
      <w:r>
        <w:rPr>
          <w:rFonts w:ascii="Arial" w:eastAsia="Arial" w:hAnsi="Arial" w:cs="Arial"/>
          <w:sz w:val="22"/>
          <w:szCs w:val="22"/>
        </w:rPr>
        <w:t xml:space="preserve"> November 2025.</w:t>
      </w:r>
    </w:p>
    <w:p w14:paraId="1BFDE6FB" w14:textId="77777777" w:rsidR="00374827" w:rsidRDefault="00374827" w:rsidP="00D773DA">
      <w:pPr>
        <w:rPr>
          <w:rFonts w:ascii="Arial" w:hAnsi="Arial" w:cs="Arial"/>
          <w:sz w:val="22"/>
          <w:szCs w:val="22"/>
        </w:rPr>
      </w:pPr>
      <w:r>
        <w:rPr>
          <w:rFonts w:ascii="Arial" w:hAnsi="Arial" w:cs="Arial"/>
          <w:sz w:val="22"/>
          <w:szCs w:val="22"/>
        </w:rPr>
        <w:t xml:space="preserve">NHS England (2023). </w:t>
      </w:r>
      <w:r w:rsidRPr="00A13B63">
        <w:rPr>
          <w:rFonts w:ascii="Arial" w:hAnsi="Arial" w:cs="Arial"/>
          <w:i/>
          <w:iCs/>
          <w:sz w:val="22"/>
          <w:szCs w:val="22"/>
        </w:rPr>
        <w:t>News</w:t>
      </w:r>
      <w:r>
        <w:rPr>
          <w:rFonts w:ascii="Arial" w:hAnsi="Arial" w:cs="Arial"/>
          <w:sz w:val="22"/>
          <w:szCs w:val="22"/>
        </w:rPr>
        <w:t xml:space="preserve">. ‘One in Five Children and Young People had a Probable Mental Disorder in 2023’. Available at: </w:t>
      </w:r>
      <w:hyperlink r:id="rId16" w:history="1">
        <w:r w:rsidRPr="00203CA4">
          <w:rPr>
            <w:rStyle w:val="Hyperlink"/>
            <w:rFonts w:ascii="Arial" w:hAnsi="Arial" w:cs="Arial"/>
            <w:sz w:val="22"/>
            <w:szCs w:val="22"/>
          </w:rPr>
          <w:t>NHS England » One in five children and young people had a probable mental disorder in 2023</w:t>
        </w:r>
      </w:hyperlink>
      <w:r>
        <w:rPr>
          <w:rFonts w:ascii="Arial" w:hAnsi="Arial" w:cs="Arial"/>
          <w:sz w:val="22"/>
          <w:szCs w:val="22"/>
        </w:rPr>
        <w:t>. Accessed on 10</w:t>
      </w:r>
      <w:r w:rsidRPr="00203CA4">
        <w:rPr>
          <w:rFonts w:ascii="Arial" w:hAnsi="Arial" w:cs="Arial"/>
          <w:sz w:val="22"/>
          <w:szCs w:val="22"/>
          <w:vertAlign w:val="superscript"/>
        </w:rPr>
        <w:t>th</w:t>
      </w:r>
      <w:r>
        <w:rPr>
          <w:rFonts w:ascii="Arial" w:hAnsi="Arial" w:cs="Arial"/>
          <w:sz w:val="22"/>
          <w:szCs w:val="22"/>
        </w:rPr>
        <w:t xml:space="preserve"> November 2025.</w:t>
      </w:r>
    </w:p>
    <w:p w14:paraId="7692EB8B" w14:textId="77777777" w:rsidR="00374827" w:rsidRDefault="00374827" w:rsidP="001550D0">
      <w:pPr>
        <w:rPr>
          <w:rFonts w:ascii="Arial" w:eastAsia="Arial" w:hAnsi="Arial" w:cs="Arial"/>
          <w:sz w:val="22"/>
          <w:szCs w:val="22"/>
        </w:rPr>
      </w:pPr>
      <w:r>
        <w:rPr>
          <w:rFonts w:ascii="Arial" w:eastAsia="Arial" w:hAnsi="Arial" w:cs="Arial"/>
          <w:sz w:val="22"/>
          <w:szCs w:val="22"/>
        </w:rPr>
        <w:t xml:space="preserve">Nilsen, W., </w:t>
      </w:r>
      <w:proofErr w:type="spellStart"/>
      <w:r>
        <w:rPr>
          <w:rFonts w:ascii="Arial" w:eastAsia="Arial" w:hAnsi="Arial" w:cs="Arial"/>
          <w:sz w:val="22"/>
          <w:szCs w:val="22"/>
        </w:rPr>
        <w:t>Karevold</w:t>
      </w:r>
      <w:proofErr w:type="spellEnd"/>
      <w:r>
        <w:rPr>
          <w:rFonts w:ascii="Arial" w:eastAsia="Arial" w:hAnsi="Arial" w:cs="Arial"/>
          <w:sz w:val="22"/>
          <w:szCs w:val="22"/>
        </w:rPr>
        <w:t xml:space="preserve">, E. B., </w:t>
      </w:r>
      <w:proofErr w:type="spellStart"/>
      <w:r>
        <w:rPr>
          <w:rFonts w:ascii="Arial" w:eastAsia="Arial" w:hAnsi="Arial" w:cs="Arial"/>
          <w:sz w:val="22"/>
          <w:szCs w:val="22"/>
        </w:rPr>
        <w:t>Kaasboll</w:t>
      </w:r>
      <w:proofErr w:type="spellEnd"/>
      <w:r>
        <w:rPr>
          <w:rFonts w:ascii="Arial" w:eastAsia="Arial" w:hAnsi="Arial" w:cs="Arial"/>
          <w:sz w:val="22"/>
          <w:szCs w:val="22"/>
        </w:rPr>
        <w:t>, J., Kjeldsen, A. (2018). ‘</w:t>
      </w:r>
      <w:r w:rsidRPr="001550D0">
        <w:rPr>
          <w:rFonts w:ascii="Arial" w:eastAsia="Arial" w:hAnsi="Arial" w:cs="Arial"/>
          <w:sz w:val="22"/>
          <w:szCs w:val="22"/>
        </w:rPr>
        <w:t>Nuancing the role of social skills– a longitudinal study of early maternal psychological distress and adolescent depressive symptoms</w:t>
      </w:r>
      <w:r>
        <w:rPr>
          <w:rFonts w:ascii="Arial" w:eastAsia="Arial" w:hAnsi="Arial" w:cs="Arial"/>
          <w:sz w:val="22"/>
          <w:szCs w:val="22"/>
        </w:rPr>
        <w:t xml:space="preserve">’, </w:t>
      </w:r>
      <w:r w:rsidRPr="00A4087F">
        <w:rPr>
          <w:rFonts w:ascii="Arial" w:eastAsia="Arial" w:hAnsi="Arial" w:cs="Arial"/>
          <w:i/>
          <w:iCs/>
          <w:sz w:val="22"/>
          <w:szCs w:val="22"/>
        </w:rPr>
        <w:t xml:space="preserve">BMC </w:t>
      </w:r>
      <w:r>
        <w:rPr>
          <w:rFonts w:ascii="Arial" w:eastAsia="Arial" w:hAnsi="Arial" w:cs="Arial"/>
          <w:i/>
          <w:iCs/>
          <w:sz w:val="22"/>
          <w:szCs w:val="22"/>
        </w:rPr>
        <w:t xml:space="preserve">Paediatrics. </w:t>
      </w:r>
      <w:r w:rsidRPr="00A4087F">
        <w:rPr>
          <w:rFonts w:ascii="Arial" w:eastAsia="Arial" w:hAnsi="Arial" w:cs="Arial"/>
          <w:sz w:val="22"/>
          <w:szCs w:val="22"/>
        </w:rPr>
        <w:t>Part of Springer Nature</w:t>
      </w:r>
      <w:r>
        <w:rPr>
          <w:rFonts w:ascii="Arial" w:eastAsia="Arial" w:hAnsi="Arial" w:cs="Arial"/>
          <w:sz w:val="22"/>
          <w:szCs w:val="22"/>
        </w:rPr>
        <w:t xml:space="preserve">. Available at: </w:t>
      </w:r>
      <w:hyperlink r:id="rId17" w:history="1">
        <w:r w:rsidRPr="00341C40">
          <w:rPr>
            <w:rStyle w:val="Hyperlink"/>
            <w:rFonts w:ascii="Arial" w:eastAsia="Arial" w:hAnsi="Arial" w:cs="Arial"/>
            <w:sz w:val="22"/>
            <w:szCs w:val="22"/>
          </w:rPr>
          <w:t xml:space="preserve">Nuancing the role of social skills– a longitudinal study of early maternal psychological distress and adolescent depressive symptoms | BMC </w:t>
        </w:r>
        <w:proofErr w:type="spellStart"/>
        <w:r w:rsidRPr="00341C40">
          <w:rPr>
            <w:rStyle w:val="Hyperlink"/>
            <w:rFonts w:ascii="Arial" w:eastAsia="Arial" w:hAnsi="Arial" w:cs="Arial"/>
            <w:sz w:val="22"/>
            <w:szCs w:val="22"/>
          </w:rPr>
          <w:t>Pediatrics</w:t>
        </w:r>
        <w:proofErr w:type="spellEnd"/>
        <w:r w:rsidRPr="00341C40">
          <w:rPr>
            <w:rStyle w:val="Hyperlink"/>
            <w:rFonts w:ascii="Arial" w:eastAsia="Arial" w:hAnsi="Arial" w:cs="Arial"/>
            <w:sz w:val="22"/>
            <w:szCs w:val="22"/>
          </w:rPr>
          <w:t xml:space="preserve"> | Full Text</w:t>
        </w:r>
      </w:hyperlink>
      <w:r>
        <w:rPr>
          <w:rFonts w:ascii="Arial" w:eastAsia="Arial" w:hAnsi="Arial" w:cs="Arial"/>
          <w:sz w:val="22"/>
          <w:szCs w:val="22"/>
        </w:rPr>
        <w:t>. Accessed on 11</w:t>
      </w:r>
      <w:r w:rsidRPr="00341C40">
        <w:rPr>
          <w:rFonts w:ascii="Arial" w:eastAsia="Arial" w:hAnsi="Arial" w:cs="Arial"/>
          <w:sz w:val="22"/>
          <w:szCs w:val="22"/>
          <w:vertAlign w:val="superscript"/>
        </w:rPr>
        <w:t>th</w:t>
      </w:r>
      <w:r>
        <w:rPr>
          <w:rFonts w:ascii="Arial" w:eastAsia="Arial" w:hAnsi="Arial" w:cs="Arial"/>
          <w:sz w:val="22"/>
          <w:szCs w:val="22"/>
        </w:rPr>
        <w:t xml:space="preserve"> November 2025.</w:t>
      </w:r>
    </w:p>
    <w:p w14:paraId="7D6334D2" w14:textId="77777777" w:rsidR="00374827" w:rsidRDefault="00374827" w:rsidP="000B3E3F">
      <w:pPr>
        <w:rPr>
          <w:rFonts w:ascii="Arial" w:eastAsia="Arial" w:hAnsi="Arial" w:cs="Arial"/>
          <w:sz w:val="22"/>
          <w:szCs w:val="22"/>
        </w:rPr>
      </w:pPr>
      <w:proofErr w:type="spellStart"/>
      <w:r>
        <w:rPr>
          <w:rFonts w:ascii="Arial" w:eastAsia="Arial" w:hAnsi="Arial" w:cs="Arial"/>
          <w:sz w:val="22"/>
          <w:szCs w:val="22"/>
        </w:rPr>
        <w:t>Tiddia</w:t>
      </w:r>
      <w:proofErr w:type="spellEnd"/>
      <w:r>
        <w:rPr>
          <w:rFonts w:ascii="Arial" w:eastAsia="Arial" w:hAnsi="Arial" w:cs="Arial"/>
          <w:sz w:val="22"/>
          <w:szCs w:val="22"/>
        </w:rPr>
        <w:t xml:space="preserve">, G., Sergi, L., </w:t>
      </w:r>
      <w:proofErr w:type="spellStart"/>
      <w:r>
        <w:rPr>
          <w:rFonts w:ascii="Arial" w:eastAsia="Arial" w:hAnsi="Arial" w:cs="Arial"/>
          <w:sz w:val="22"/>
          <w:szCs w:val="22"/>
        </w:rPr>
        <w:t>Golosia</w:t>
      </w:r>
      <w:proofErr w:type="spellEnd"/>
      <w:r>
        <w:rPr>
          <w:rFonts w:ascii="Arial" w:eastAsia="Arial" w:hAnsi="Arial" w:cs="Arial"/>
          <w:sz w:val="22"/>
          <w:szCs w:val="22"/>
        </w:rPr>
        <w:t xml:space="preserve">, B. (2024). ‘Theoretical Framework for Learning Through Structural Plasticity’, </w:t>
      </w:r>
      <w:r w:rsidRPr="00B605D5">
        <w:rPr>
          <w:rFonts w:ascii="Arial" w:eastAsia="Arial" w:hAnsi="Arial" w:cs="Arial"/>
          <w:i/>
          <w:iCs/>
          <w:sz w:val="22"/>
          <w:szCs w:val="22"/>
        </w:rPr>
        <w:t>Physical Review</w:t>
      </w:r>
      <w:r>
        <w:rPr>
          <w:rFonts w:ascii="Arial" w:eastAsia="Arial" w:hAnsi="Arial" w:cs="Arial"/>
          <w:sz w:val="22"/>
          <w:szCs w:val="22"/>
        </w:rPr>
        <w:t xml:space="preserve">. Department of Physics, University of Cagliari and Instituto Nazionale di </w:t>
      </w:r>
      <w:proofErr w:type="spellStart"/>
      <w:r>
        <w:rPr>
          <w:rFonts w:ascii="Arial" w:eastAsia="Arial" w:hAnsi="Arial" w:cs="Arial"/>
          <w:sz w:val="22"/>
          <w:szCs w:val="22"/>
        </w:rPr>
        <w:t>Fisica</w:t>
      </w:r>
      <w:proofErr w:type="spellEnd"/>
      <w:r>
        <w:rPr>
          <w:rFonts w:ascii="Arial" w:eastAsia="Arial" w:hAnsi="Arial" w:cs="Arial"/>
          <w:sz w:val="22"/>
          <w:szCs w:val="22"/>
        </w:rPr>
        <w:t xml:space="preserve"> </w:t>
      </w:r>
      <w:proofErr w:type="spellStart"/>
      <w:r>
        <w:rPr>
          <w:rFonts w:ascii="Arial" w:eastAsia="Arial" w:hAnsi="Arial" w:cs="Arial"/>
          <w:sz w:val="22"/>
          <w:szCs w:val="22"/>
        </w:rPr>
        <w:t>Nucleare</w:t>
      </w:r>
      <w:proofErr w:type="spellEnd"/>
      <w:r>
        <w:rPr>
          <w:rFonts w:ascii="Arial" w:eastAsia="Arial" w:hAnsi="Arial" w:cs="Arial"/>
          <w:sz w:val="22"/>
          <w:szCs w:val="22"/>
        </w:rPr>
        <w:t xml:space="preserve"> (INFN). Available at: </w:t>
      </w:r>
      <w:hyperlink r:id="rId18" w:history="1">
        <w:r w:rsidRPr="00410B43">
          <w:rPr>
            <w:rStyle w:val="Hyperlink"/>
            <w:rFonts w:ascii="Arial" w:eastAsia="Arial" w:hAnsi="Arial" w:cs="Arial"/>
            <w:sz w:val="22"/>
            <w:szCs w:val="22"/>
          </w:rPr>
          <w:t>Theoretical framework for learning through structural plasticity</w:t>
        </w:r>
      </w:hyperlink>
      <w:r>
        <w:rPr>
          <w:rFonts w:ascii="Arial" w:eastAsia="Arial" w:hAnsi="Arial" w:cs="Arial"/>
          <w:sz w:val="22"/>
          <w:szCs w:val="22"/>
        </w:rPr>
        <w:t>. Accessed on 12</w:t>
      </w:r>
      <w:r w:rsidRPr="00FF1446">
        <w:rPr>
          <w:rFonts w:ascii="Arial" w:eastAsia="Arial" w:hAnsi="Arial" w:cs="Arial"/>
          <w:sz w:val="22"/>
          <w:szCs w:val="22"/>
          <w:vertAlign w:val="superscript"/>
        </w:rPr>
        <w:t>th</w:t>
      </w:r>
      <w:r>
        <w:rPr>
          <w:rFonts w:ascii="Arial" w:eastAsia="Arial" w:hAnsi="Arial" w:cs="Arial"/>
          <w:sz w:val="22"/>
          <w:szCs w:val="22"/>
        </w:rPr>
        <w:t xml:space="preserve"> November 2025.</w:t>
      </w:r>
    </w:p>
    <w:p w14:paraId="61EE49E8" w14:textId="77777777" w:rsidR="00374827" w:rsidRPr="00F84746" w:rsidRDefault="00374827" w:rsidP="00F84746">
      <w:pPr>
        <w:rPr>
          <w:rFonts w:ascii="Arial" w:eastAsia="Arial" w:hAnsi="Arial" w:cs="Arial"/>
          <w:sz w:val="22"/>
          <w:szCs w:val="22"/>
        </w:rPr>
      </w:pPr>
      <w:r>
        <w:rPr>
          <w:rFonts w:ascii="Arial" w:eastAsia="Arial" w:hAnsi="Arial" w:cs="Arial"/>
          <w:sz w:val="22"/>
          <w:szCs w:val="22"/>
        </w:rPr>
        <w:lastRenderedPageBreak/>
        <w:t xml:space="preserve">Wolford, B. (N. D). ‘What is GDPR, the EU’s New Data Protection Law?’. Available at: </w:t>
      </w:r>
      <w:hyperlink r:id="rId19" w:history="1">
        <w:r w:rsidRPr="005C1C7A">
          <w:rPr>
            <w:rStyle w:val="Hyperlink"/>
            <w:rFonts w:ascii="Arial" w:eastAsia="Arial" w:hAnsi="Arial" w:cs="Arial"/>
            <w:sz w:val="22"/>
            <w:szCs w:val="22"/>
          </w:rPr>
          <w:t>What is GDPR, the EU’s new data protection law? - GDPR.eu</w:t>
        </w:r>
      </w:hyperlink>
      <w:r>
        <w:rPr>
          <w:rFonts w:ascii="Arial" w:eastAsia="Arial" w:hAnsi="Arial" w:cs="Arial"/>
          <w:sz w:val="22"/>
          <w:szCs w:val="22"/>
        </w:rPr>
        <w:t>. Accessed on 15</w:t>
      </w:r>
      <w:r w:rsidRPr="005C1C7A">
        <w:rPr>
          <w:rFonts w:ascii="Arial" w:eastAsia="Arial" w:hAnsi="Arial" w:cs="Arial"/>
          <w:sz w:val="22"/>
          <w:szCs w:val="22"/>
          <w:vertAlign w:val="superscript"/>
        </w:rPr>
        <w:t>th</w:t>
      </w:r>
      <w:r>
        <w:rPr>
          <w:rFonts w:ascii="Arial" w:eastAsia="Arial" w:hAnsi="Arial" w:cs="Arial"/>
          <w:sz w:val="22"/>
          <w:szCs w:val="22"/>
        </w:rPr>
        <w:t xml:space="preserve"> November 2025.</w:t>
      </w:r>
    </w:p>
    <w:p w14:paraId="0D963F99" w14:textId="77777777" w:rsidR="00374827" w:rsidRDefault="00374827" w:rsidP="005D01C8">
      <w:pPr>
        <w:rPr>
          <w:rFonts w:ascii="Arial" w:hAnsi="Arial" w:cs="Arial"/>
          <w:sz w:val="22"/>
          <w:szCs w:val="22"/>
        </w:rPr>
      </w:pPr>
      <w:r>
        <w:rPr>
          <w:rFonts w:ascii="Arial" w:hAnsi="Arial" w:cs="Arial"/>
          <w:sz w:val="22"/>
          <w:szCs w:val="22"/>
        </w:rPr>
        <w:t xml:space="preserve">Working Together to Safeguard Children (2023). </w:t>
      </w:r>
      <w:r w:rsidRPr="00012503">
        <w:rPr>
          <w:rFonts w:ascii="Arial" w:hAnsi="Arial" w:cs="Arial"/>
          <w:i/>
          <w:iCs/>
          <w:sz w:val="22"/>
          <w:szCs w:val="22"/>
        </w:rPr>
        <w:t>A guide to multi-agency working to help, protect and promote the welfare of children.</w:t>
      </w:r>
      <w:r>
        <w:rPr>
          <w:rFonts w:ascii="Arial" w:hAnsi="Arial" w:cs="Arial"/>
          <w:sz w:val="22"/>
          <w:szCs w:val="22"/>
        </w:rPr>
        <w:t xml:space="preserve"> His Majesty’s Government. Available at: </w:t>
      </w:r>
      <w:hyperlink r:id="rId20" w:history="1">
        <w:r w:rsidRPr="00012503">
          <w:rPr>
            <w:rStyle w:val="Hyperlink"/>
            <w:rFonts w:ascii="Arial" w:hAnsi="Arial" w:cs="Arial"/>
            <w:sz w:val="22"/>
            <w:szCs w:val="22"/>
          </w:rPr>
          <w:t>Working together to safeguard children 2023: statutory guidance</w:t>
        </w:r>
      </w:hyperlink>
      <w:r>
        <w:rPr>
          <w:rFonts w:ascii="Arial" w:hAnsi="Arial" w:cs="Arial"/>
          <w:sz w:val="22"/>
          <w:szCs w:val="22"/>
        </w:rPr>
        <w:t>. Accessed on: 2</w:t>
      </w:r>
      <w:r w:rsidRPr="00012503">
        <w:rPr>
          <w:rFonts w:ascii="Arial" w:hAnsi="Arial" w:cs="Arial"/>
          <w:sz w:val="22"/>
          <w:szCs w:val="22"/>
          <w:vertAlign w:val="superscript"/>
        </w:rPr>
        <w:t>nd</w:t>
      </w:r>
      <w:r>
        <w:rPr>
          <w:rFonts w:ascii="Arial" w:hAnsi="Arial" w:cs="Arial"/>
          <w:sz w:val="22"/>
          <w:szCs w:val="22"/>
        </w:rPr>
        <w:t xml:space="preserve"> October 2025.</w:t>
      </w:r>
    </w:p>
    <w:p w14:paraId="58127CCA" w14:textId="77777777" w:rsidR="00374827" w:rsidRDefault="00374827" w:rsidP="00F84746">
      <w:pPr>
        <w:rPr>
          <w:rFonts w:ascii="Arial" w:eastAsia="Arial" w:hAnsi="Arial" w:cs="Arial"/>
          <w:sz w:val="22"/>
          <w:szCs w:val="22"/>
        </w:rPr>
      </w:pPr>
      <w:r>
        <w:rPr>
          <w:rFonts w:ascii="Arial" w:eastAsia="Arial" w:hAnsi="Arial" w:cs="Arial"/>
          <w:sz w:val="22"/>
          <w:szCs w:val="22"/>
        </w:rPr>
        <w:t>Zimmer-</w:t>
      </w:r>
      <w:proofErr w:type="spellStart"/>
      <w:r>
        <w:rPr>
          <w:rFonts w:ascii="Arial" w:eastAsia="Arial" w:hAnsi="Arial" w:cs="Arial"/>
          <w:sz w:val="22"/>
          <w:szCs w:val="22"/>
        </w:rPr>
        <w:t>Gembeck</w:t>
      </w:r>
      <w:proofErr w:type="spellEnd"/>
      <w:r>
        <w:rPr>
          <w:rFonts w:ascii="Arial" w:eastAsia="Arial" w:hAnsi="Arial" w:cs="Arial"/>
          <w:sz w:val="22"/>
          <w:szCs w:val="22"/>
        </w:rPr>
        <w:t xml:space="preserve">, M. J., Rudolph, J., Kerin, J., </w:t>
      </w:r>
      <w:proofErr w:type="spellStart"/>
      <w:r>
        <w:rPr>
          <w:rFonts w:ascii="Arial" w:eastAsia="Arial" w:hAnsi="Arial" w:cs="Arial"/>
          <w:sz w:val="22"/>
          <w:szCs w:val="22"/>
        </w:rPr>
        <w:t>Bohanana</w:t>
      </w:r>
      <w:proofErr w:type="spellEnd"/>
      <w:r>
        <w:rPr>
          <w:rFonts w:ascii="Arial" w:eastAsia="Arial" w:hAnsi="Arial" w:cs="Arial"/>
          <w:sz w:val="22"/>
          <w:szCs w:val="22"/>
        </w:rPr>
        <w:t>-Brown, G. (2021). ‘</w:t>
      </w:r>
      <w:r w:rsidRPr="00F84746">
        <w:rPr>
          <w:rFonts w:ascii="Arial" w:eastAsia="Arial" w:hAnsi="Arial" w:cs="Arial"/>
          <w:sz w:val="22"/>
          <w:szCs w:val="22"/>
        </w:rPr>
        <w:t>Parent emotional regulation: A meta-analytic review of its association with parenting and child adjustment</w:t>
      </w:r>
      <w:r>
        <w:rPr>
          <w:rFonts w:ascii="Arial" w:eastAsia="Arial" w:hAnsi="Arial" w:cs="Arial"/>
          <w:sz w:val="22"/>
          <w:szCs w:val="22"/>
        </w:rPr>
        <w:t xml:space="preserve">’. </w:t>
      </w:r>
      <w:r w:rsidRPr="00664511">
        <w:rPr>
          <w:rFonts w:ascii="Arial" w:eastAsia="Arial" w:hAnsi="Arial" w:cs="Arial"/>
          <w:i/>
          <w:iCs/>
          <w:sz w:val="22"/>
          <w:szCs w:val="22"/>
        </w:rPr>
        <w:t>International Journal of Behavioural Development</w:t>
      </w:r>
      <w:r>
        <w:rPr>
          <w:rFonts w:ascii="Arial" w:eastAsia="Arial" w:hAnsi="Arial" w:cs="Arial"/>
          <w:sz w:val="22"/>
          <w:szCs w:val="22"/>
        </w:rPr>
        <w:t xml:space="preserve">, Volume 46, Issue 1. Available at: </w:t>
      </w:r>
      <w:hyperlink r:id="rId21" w:history="1">
        <w:r w:rsidRPr="00664511">
          <w:rPr>
            <w:rStyle w:val="Hyperlink"/>
            <w:rFonts w:ascii="Arial" w:eastAsia="Arial" w:hAnsi="Arial" w:cs="Arial"/>
            <w:sz w:val="22"/>
            <w:szCs w:val="22"/>
          </w:rPr>
          <w:t>Parent emotional regulation: A meta-analytic review of its association with parenting and child adjustment - Melanie J. Zimmer-</w:t>
        </w:r>
        <w:proofErr w:type="spellStart"/>
        <w:r w:rsidRPr="00664511">
          <w:rPr>
            <w:rStyle w:val="Hyperlink"/>
            <w:rFonts w:ascii="Arial" w:eastAsia="Arial" w:hAnsi="Arial" w:cs="Arial"/>
            <w:sz w:val="22"/>
            <w:szCs w:val="22"/>
          </w:rPr>
          <w:t>Gembeck</w:t>
        </w:r>
        <w:proofErr w:type="spellEnd"/>
        <w:r w:rsidRPr="00664511">
          <w:rPr>
            <w:rStyle w:val="Hyperlink"/>
            <w:rFonts w:ascii="Arial" w:eastAsia="Arial" w:hAnsi="Arial" w:cs="Arial"/>
            <w:sz w:val="22"/>
            <w:szCs w:val="22"/>
          </w:rPr>
          <w:t xml:space="preserve">, Julia Rudolph, Jessica Kerin, Gal </w:t>
        </w:r>
        <w:proofErr w:type="spellStart"/>
        <w:r w:rsidRPr="00664511">
          <w:rPr>
            <w:rStyle w:val="Hyperlink"/>
            <w:rFonts w:ascii="Arial" w:eastAsia="Arial" w:hAnsi="Arial" w:cs="Arial"/>
            <w:sz w:val="22"/>
            <w:szCs w:val="22"/>
          </w:rPr>
          <w:t>Bohadana</w:t>
        </w:r>
        <w:proofErr w:type="spellEnd"/>
        <w:r w:rsidRPr="00664511">
          <w:rPr>
            <w:rStyle w:val="Hyperlink"/>
            <w:rFonts w:ascii="Arial" w:eastAsia="Arial" w:hAnsi="Arial" w:cs="Arial"/>
            <w:sz w:val="22"/>
            <w:szCs w:val="22"/>
          </w:rPr>
          <w:t>-Brown, 2022</w:t>
        </w:r>
      </w:hyperlink>
      <w:r>
        <w:rPr>
          <w:rFonts w:ascii="Arial" w:eastAsia="Arial" w:hAnsi="Arial" w:cs="Arial"/>
          <w:sz w:val="22"/>
          <w:szCs w:val="22"/>
        </w:rPr>
        <w:t>. Accessed on 12</w:t>
      </w:r>
      <w:r w:rsidRPr="007D45F5">
        <w:rPr>
          <w:rFonts w:ascii="Arial" w:eastAsia="Arial" w:hAnsi="Arial" w:cs="Arial"/>
          <w:sz w:val="22"/>
          <w:szCs w:val="22"/>
          <w:vertAlign w:val="superscript"/>
        </w:rPr>
        <w:t>th</w:t>
      </w:r>
      <w:r>
        <w:rPr>
          <w:rFonts w:ascii="Arial" w:eastAsia="Arial" w:hAnsi="Arial" w:cs="Arial"/>
          <w:sz w:val="22"/>
          <w:szCs w:val="22"/>
        </w:rPr>
        <w:t xml:space="preserve"> November 2025.</w:t>
      </w:r>
    </w:p>
    <w:sectPr w:rsidR="00374827">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8E724D" w14:textId="77777777" w:rsidR="00CA3548" w:rsidRDefault="00CA3548" w:rsidP="00C20889">
      <w:pPr>
        <w:spacing w:after="0" w:line="240" w:lineRule="auto"/>
      </w:pPr>
      <w:r>
        <w:separator/>
      </w:r>
    </w:p>
  </w:endnote>
  <w:endnote w:type="continuationSeparator" w:id="0">
    <w:p w14:paraId="41C415D9" w14:textId="77777777" w:rsidR="00CA3548" w:rsidRDefault="00CA3548" w:rsidP="00C208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566438"/>
      <w:docPartObj>
        <w:docPartGallery w:val="Page Numbers (Bottom of Page)"/>
        <w:docPartUnique/>
      </w:docPartObj>
    </w:sdtPr>
    <w:sdtEndPr>
      <w:rPr>
        <w:noProof/>
      </w:rPr>
    </w:sdtEndPr>
    <w:sdtContent>
      <w:p w14:paraId="0A3F8941" w14:textId="7346D38A" w:rsidR="003C73EB" w:rsidRDefault="003C73E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359964" w14:textId="77777777" w:rsidR="003C73EB" w:rsidRDefault="003C73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91C24A" w14:textId="77777777" w:rsidR="00CA3548" w:rsidRDefault="00CA3548" w:rsidP="00C20889">
      <w:pPr>
        <w:spacing w:after="0" w:line="240" w:lineRule="auto"/>
      </w:pPr>
      <w:r>
        <w:separator/>
      </w:r>
    </w:p>
  </w:footnote>
  <w:footnote w:type="continuationSeparator" w:id="0">
    <w:p w14:paraId="2EE13B7E" w14:textId="77777777" w:rsidR="00CA3548" w:rsidRDefault="00CA3548" w:rsidP="00C2088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7399"/>
    <w:rsid w:val="00034CB8"/>
    <w:rsid w:val="00042EA6"/>
    <w:rsid w:val="0007610C"/>
    <w:rsid w:val="00076C26"/>
    <w:rsid w:val="000A473B"/>
    <w:rsid w:val="000B311B"/>
    <w:rsid w:val="000B3E3F"/>
    <w:rsid w:val="000F4FBE"/>
    <w:rsid w:val="00105524"/>
    <w:rsid w:val="001105EB"/>
    <w:rsid w:val="00111428"/>
    <w:rsid w:val="00135148"/>
    <w:rsid w:val="001550D0"/>
    <w:rsid w:val="001567D1"/>
    <w:rsid w:val="001B5D06"/>
    <w:rsid w:val="001F7D5A"/>
    <w:rsid w:val="00203CA4"/>
    <w:rsid w:val="00225DC1"/>
    <w:rsid w:val="00247F5F"/>
    <w:rsid w:val="00261A43"/>
    <w:rsid w:val="00265285"/>
    <w:rsid w:val="00287B6A"/>
    <w:rsid w:val="002948F9"/>
    <w:rsid w:val="00294DB1"/>
    <w:rsid w:val="0032051F"/>
    <w:rsid w:val="00322802"/>
    <w:rsid w:val="00327399"/>
    <w:rsid w:val="00341C40"/>
    <w:rsid w:val="00374827"/>
    <w:rsid w:val="0039577A"/>
    <w:rsid w:val="003B0EDE"/>
    <w:rsid w:val="003C73EB"/>
    <w:rsid w:val="003C7EDC"/>
    <w:rsid w:val="003D1D5A"/>
    <w:rsid w:val="003F28AE"/>
    <w:rsid w:val="003F50A6"/>
    <w:rsid w:val="0040399B"/>
    <w:rsid w:val="00410B43"/>
    <w:rsid w:val="004569DC"/>
    <w:rsid w:val="00463106"/>
    <w:rsid w:val="00471B58"/>
    <w:rsid w:val="004C039A"/>
    <w:rsid w:val="0051169E"/>
    <w:rsid w:val="00517D20"/>
    <w:rsid w:val="005B68A9"/>
    <w:rsid w:val="005C1C7A"/>
    <w:rsid w:val="005D01C8"/>
    <w:rsid w:val="005E5B24"/>
    <w:rsid w:val="005F6190"/>
    <w:rsid w:val="005F7385"/>
    <w:rsid w:val="00617557"/>
    <w:rsid w:val="006579DF"/>
    <w:rsid w:val="00662C5A"/>
    <w:rsid w:val="00664511"/>
    <w:rsid w:val="00667AD7"/>
    <w:rsid w:val="00691024"/>
    <w:rsid w:val="006B0E0A"/>
    <w:rsid w:val="006D3B0D"/>
    <w:rsid w:val="0075309C"/>
    <w:rsid w:val="00781404"/>
    <w:rsid w:val="00783A98"/>
    <w:rsid w:val="007C14FB"/>
    <w:rsid w:val="007D45F5"/>
    <w:rsid w:val="007E7469"/>
    <w:rsid w:val="0082211E"/>
    <w:rsid w:val="00835A11"/>
    <w:rsid w:val="008670BD"/>
    <w:rsid w:val="008810B0"/>
    <w:rsid w:val="008D2603"/>
    <w:rsid w:val="008D71A7"/>
    <w:rsid w:val="00916AB9"/>
    <w:rsid w:val="009248CE"/>
    <w:rsid w:val="009449AC"/>
    <w:rsid w:val="00947E56"/>
    <w:rsid w:val="009B394A"/>
    <w:rsid w:val="009B3F7B"/>
    <w:rsid w:val="009C5ABC"/>
    <w:rsid w:val="009F77A5"/>
    <w:rsid w:val="00A079B2"/>
    <w:rsid w:val="00A12E72"/>
    <w:rsid w:val="00A13B63"/>
    <w:rsid w:val="00A1411E"/>
    <w:rsid w:val="00A22600"/>
    <w:rsid w:val="00A23E66"/>
    <w:rsid w:val="00A24C50"/>
    <w:rsid w:val="00A4087F"/>
    <w:rsid w:val="00A42B5D"/>
    <w:rsid w:val="00A73D01"/>
    <w:rsid w:val="00A844A2"/>
    <w:rsid w:val="00A9474F"/>
    <w:rsid w:val="00A94DBA"/>
    <w:rsid w:val="00AB5D4A"/>
    <w:rsid w:val="00AC183C"/>
    <w:rsid w:val="00AC5944"/>
    <w:rsid w:val="00AD065E"/>
    <w:rsid w:val="00B24EFD"/>
    <w:rsid w:val="00B4326D"/>
    <w:rsid w:val="00B50E03"/>
    <w:rsid w:val="00B54DCE"/>
    <w:rsid w:val="00B605D5"/>
    <w:rsid w:val="00B62DCC"/>
    <w:rsid w:val="00B745CE"/>
    <w:rsid w:val="00B758D7"/>
    <w:rsid w:val="00B80286"/>
    <w:rsid w:val="00B8048D"/>
    <w:rsid w:val="00B95E61"/>
    <w:rsid w:val="00BB4856"/>
    <w:rsid w:val="00BC6DC2"/>
    <w:rsid w:val="00BE754D"/>
    <w:rsid w:val="00BF03FA"/>
    <w:rsid w:val="00C03500"/>
    <w:rsid w:val="00C20889"/>
    <w:rsid w:val="00C41C6C"/>
    <w:rsid w:val="00C505A8"/>
    <w:rsid w:val="00C663AC"/>
    <w:rsid w:val="00C95041"/>
    <w:rsid w:val="00CA3548"/>
    <w:rsid w:val="00CC0BCE"/>
    <w:rsid w:val="00CD620E"/>
    <w:rsid w:val="00D20BDE"/>
    <w:rsid w:val="00D512CE"/>
    <w:rsid w:val="00D55D82"/>
    <w:rsid w:val="00D732CA"/>
    <w:rsid w:val="00D773DA"/>
    <w:rsid w:val="00D823D4"/>
    <w:rsid w:val="00D96F6E"/>
    <w:rsid w:val="00DB7F78"/>
    <w:rsid w:val="00DC329E"/>
    <w:rsid w:val="00DC5714"/>
    <w:rsid w:val="00DD5E7B"/>
    <w:rsid w:val="00E0035D"/>
    <w:rsid w:val="00E00C20"/>
    <w:rsid w:val="00E17F44"/>
    <w:rsid w:val="00E902E8"/>
    <w:rsid w:val="00EA1336"/>
    <w:rsid w:val="00EB19DA"/>
    <w:rsid w:val="00EE720D"/>
    <w:rsid w:val="00EF5187"/>
    <w:rsid w:val="00F1234C"/>
    <w:rsid w:val="00F53F36"/>
    <w:rsid w:val="00F767C1"/>
    <w:rsid w:val="00F84746"/>
    <w:rsid w:val="00F9549A"/>
    <w:rsid w:val="00FC2D7C"/>
    <w:rsid w:val="00FD675B"/>
    <w:rsid w:val="00FF1446"/>
    <w:rsid w:val="68EC71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F579D1A"/>
  <w15:chartTrackingRefBased/>
  <w15:docId w15:val="{94E4EE19-FB2F-43E8-912F-F97FB211B8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73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73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73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73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73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73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73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73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73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73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73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73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73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73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73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73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73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7399"/>
    <w:rPr>
      <w:rFonts w:eastAsiaTheme="majorEastAsia" w:cstheme="majorBidi"/>
      <w:color w:val="272727" w:themeColor="text1" w:themeTint="D8"/>
    </w:rPr>
  </w:style>
  <w:style w:type="paragraph" w:styleId="Title">
    <w:name w:val="Title"/>
    <w:basedOn w:val="Normal"/>
    <w:next w:val="Normal"/>
    <w:link w:val="TitleChar"/>
    <w:uiPriority w:val="10"/>
    <w:qFormat/>
    <w:rsid w:val="003273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73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73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73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7399"/>
    <w:pPr>
      <w:spacing w:before="160"/>
      <w:jc w:val="center"/>
    </w:pPr>
    <w:rPr>
      <w:i/>
      <w:iCs/>
      <w:color w:val="404040" w:themeColor="text1" w:themeTint="BF"/>
    </w:rPr>
  </w:style>
  <w:style w:type="character" w:customStyle="1" w:styleId="QuoteChar">
    <w:name w:val="Quote Char"/>
    <w:basedOn w:val="DefaultParagraphFont"/>
    <w:link w:val="Quote"/>
    <w:uiPriority w:val="29"/>
    <w:rsid w:val="00327399"/>
    <w:rPr>
      <w:i/>
      <w:iCs/>
      <w:color w:val="404040" w:themeColor="text1" w:themeTint="BF"/>
    </w:rPr>
  </w:style>
  <w:style w:type="paragraph" w:styleId="ListParagraph">
    <w:name w:val="List Paragraph"/>
    <w:basedOn w:val="Normal"/>
    <w:uiPriority w:val="34"/>
    <w:qFormat/>
    <w:rsid w:val="00327399"/>
    <w:pPr>
      <w:ind w:left="720"/>
      <w:contextualSpacing/>
    </w:pPr>
  </w:style>
  <w:style w:type="character" w:styleId="IntenseEmphasis">
    <w:name w:val="Intense Emphasis"/>
    <w:basedOn w:val="DefaultParagraphFont"/>
    <w:uiPriority w:val="21"/>
    <w:qFormat/>
    <w:rsid w:val="00327399"/>
    <w:rPr>
      <w:i/>
      <w:iCs/>
      <w:color w:val="0F4761" w:themeColor="accent1" w:themeShade="BF"/>
    </w:rPr>
  </w:style>
  <w:style w:type="paragraph" w:styleId="IntenseQuote">
    <w:name w:val="Intense Quote"/>
    <w:basedOn w:val="Normal"/>
    <w:next w:val="Normal"/>
    <w:link w:val="IntenseQuoteChar"/>
    <w:uiPriority w:val="30"/>
    <w:qFormat/>
    <w:rsid w:val="003273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7399"/>
    <w:rPr>
      <w:i/>
      <w:iCs/>
      <w:color w:val="0F4761" w:themeColor="accent1" w:themeShade="BF"/>
    </w:rPr>
  </w:style>
  <w:style w:type="character" w:styleId="IntenseReference">
    <w:name w:val="Intense Reference"/>
    <w:basedOn w:val="DefaultParagraphFont"/>
    <w:uiPriority w:val="32"/>
    <w:qFormat/>
    <w:rsid w:val="00327399"/>
    <w:rPr>
      <w:b/>
      <w:bCs/>
      <w:smallCaps/>
      <w:color w:val="0F4761" w:themeColor="accent1" w:themeShade="BF"/>
      <w:spacing w:val="5"/>
    </w:rPr>
  </w:style>
  <w:style w:type="paragraph" w:styleId="Header">
    <w:name w:val="header"/>
    <w:basedOn w:val="Normal"/>
    <w:link w:val="HeaderChar"/>
    <w:uiPriority w:val="99"/>
    <w:unhideWhenUsed/>
    <w:rsid w:val="00C208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0889"/>
  </w:style>
  <w:style w:type="paragraph" w:styleId="Footer">
    <w:name w:val="footer"/>
    <w:basedOn w:val="Normal"/>
    <w:link w:val="FooterChar"/>
    <w:uiPriority w:val="99"/>
    <w:unhideWhenUsed/>
    <w:rsid w:val="00C208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0889"/>
  </w:style>
  <w:style w:type="character" w:styleId="Hyperlink">
    <w:name w:val="Hyperlink"/>
    <w:basedOn w:val="DefaultParagraphFont"/>
    <w:uiPriority w:val="99"/>
    <w:unhideWhenUsed/>
    <w:rsid w:val="00203CA4"/>
    <w:rPr>
      <w:color w:val="467886" w:themeColor="hyperlink"/>
      <w:u w:val="single"/>
    </w:rPr>
  </w:style>
  <w:style w:type="character" w:styleId="UnresolvedMention">
    <w:name w:val="Unresolved Mention"/>
    <w:basedOn w:val="DefaultParagraphFont"/>
    <w:uiPriority w:val="99"/>
    <w:semiHidden/>
    <w:unhideWhenUsed/>
    <w:rsid w:val="00203CA4"/>
    <w:rPr>
      <w:color w:val="605E5C"/>
      <w:shd w:val="clear" w:color="auto" w:fill="E1DFDD"/>
    </w:rPr>
  </w:style>
  <w:style w:type="table" w:styleId="TableGrid">
    <w:name w:val="Table Grid"/>
    <w:basedOn w:val="TableNormal"/>
    <w:uiPriority w:val="39"/>
    <w:rsid w:val="00261A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link.springer.com/article/10.1007/s10995-022-03400-x" TargetMode="External"/><Relationship Id="rId18" Type="http://schemas.openxmlformats.org/officeDocument/2006/relationships/hyperlink" Target="https://journals.aps.org/pre/pdf/10.1103/PhysRevE.110.044311" TargetMode="External"/><Relationship Id="rId3" Type="http://schemas.openxmlformats.org/officeDocument/2006/relationships/customXml" Target="../customXml/item3.xml"/><Relationship Id="rId21" Type="http://schemas.openxmlformats.org/officeDocument/2006/relationships/hyperlink" Target="https://journals.sagepub.com/doi/full/10.1177/01650254211051086" TargetMode="External"/><Relationship Id="rId7" Type="http://schemas.openxmlformats.org/officeDocument/2006/relationships/webSettings" Target="webSettings.xml"/><Relationship Id="rId12" Type="http://schemas.openxmlformats.org/officeDocument/2006/relationships/hyperlink" Target="https://academic.oup.com/jpubhealth/article-abstract/36/1/81/1571104" TargetMode="External"/><Relationship Id="rId17" Type="http://schemas.openxmlformats.org/officeDocument/2006/relationships/hyperlink" Target="https://bmcpediatr.biomedcentral.com/articles/10.1186/s12887-018-1100-4" TargetMode="External"/><Relationship Id="rId2" Type="http://schemas.openxmlformats.org/officeDocument/2006/relationships/customXml" Target="../customXml/item2.xml"/><Relationship Id="rId16" Type="http://schemas.openxmlformats.org/officeDocument/2006/relationships/hyperlink" Target="https://www.england.nhs.uk/2023/11/one-in-five-children-and-young-people-had-a-probable-mental-disorder-in-2023/" TargetMode="External"/><Relationship Id="rId20" Type="http://schemas.openxmlformats.org/officeDocument/2006/relationships/hyperlink" Target="https://assets.publishing.service.gov.uk/media/6849a7b67cba25f610c7db3f/Working_together_to_safeguard_children_2023_-_statutory_guidance.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cielo.br/j/estpsi/a/6jtXVy4FJ46nPC5jdCYhVTR/?lang=en"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journals.sagepub.com/doi/abs/10.1177/15248380241253036" TargetMode="External"/><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gdpr.eu/what-is-gdpr/"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onlinelibrary.wiley.com/doi/full/10.1111/jocn.14735"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1" ma:contentTypeDescription="Create a new document." ma:contentTypeScope="" ma:versionID="1298ecaf21a834de6e3f441248643703">
  <xsd:schema xmlns:xsd="http://www.w3.org/2001/XMLSchema" xmlns:xs="http://www.w3.org/2001/XMLSchema" xmlns:p="http://schemas.microsoft.com/office/2006/metadata/properties" xmlns:ns3="6642d537-5170-4cd9-a3f2-9ec198ee3eac" targetNamespace="http://schemas.microsoft.com/office/2006/metadata/properties" ma:root="true" ma:fieldsID="89e17f02a35b8350c040ed2df857f2b2"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BillingMetadata" ma:index="18" nillable="true" ma:displayName="MediaServiceBillingMetadata" ma:hidden="true" ma:internalName="MediaServiceBilling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E9D1D4-13D4-4E8F-AFAB-6B3D86869A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9456780-9B92-49A9-BA82-2F9558C66190}">
  <ds:schemaRefs>
    <ds:schemaRef ds:uri="http://schemas.microsoft.com/office/2006/metadata/properties"/>
    <ds:schemaRef ds:uri="http://schemas.microsoft.com/office/infopath/2007/PartnerControls"/>
    <ds:schemaRef ds:uri="6642d537-5170-4cd9-a3f2-9ec198ee3eac"/>
  </ds:schemaRefs>
</ds:datastoreItem>
</file>

<file path=customXml/itemProps3.xml><?xml version="1.0" encoding="utf-8"?>
<ds:datastoreItem xmlns:ds="http://schemas.openxmlformats.org/officeDocument/2006/customXml" ds:itemID="{50C6360E-9818-4DB7-AA36-BE3D8C63D9C1}">
  <ds:schemaRefs>
    <ds:schemaRef ds:uri="http://schemas.microsoft.com/sharepoint/v3/contenttype/forms"/>
  </ds:schemaRefs>
</ds:datastoreItem>
</file>

<file path=customXml/itemProps4.xml><?xml version="1.0" encoding="utf-8"?>
<ds:datastoreItem xmlns:ds="http://schemas.openxmlformats.org/officeDocument/2006/customXml" ds:itemID="{C23B4A11-2360-4D03-BAFA-015ACB528A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197</TotalTime>
  <Pages>8</Pages>
  <Words>1764</Words>
  <Characters>10501</Characters>
  <Application>Microsoft Office Word</Application>
  <DocSecurity>0</DocSecurity>
  <Lines>216</Lines>
  <Paragraphs>36</Paragraphs>
  <ScaleCrop>false</ScaleCrop>
  <Company/>
  <LinksUpToDate>false</LinksUpToDate>
  <CharactersWithSpaces>12230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Cherelle Moran (2328226)</dc:creator>
  <cp:keywords/>
  <dc:description/>
  <cp:lastModifiedBy>Cherelle Moran (2328226)</cp:lastModifiedBy>
  <cp:revision>137</cp:revision>
  <dcterms:created xsi:type="dcterms:W3CDTF">2025-11-13T14:38:00Z</dcterms:created>
  <dcterms:modified xsi:type="dcterms:W3CDTF">2025-11-24T12:15:00Z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y fmtid="{D5CDD505-2E9C-101B-9397-08002B2CF9AE}" pid="3" name="GrammarlyDocumentId">
    <vt:lpwstr>e780884f-1eb5-4660-b6f1-ae7783ca98ac</vt:lpwstr>
  </property>
</Properties>
</file>