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7EA142A" w14:textId="77777777" w:rsidR="00E4233D" w:rsidRPr="005D55E5" w:rsidRDefault="00E4233D" w:rsidP="00644C1F">
      <w:pPr>
        <w:rPr>
          <w:rFonts w:ascii="Arial" w:hAnsi="Arial" w:cs="Arial"/>
          <w:sz w:val="22"/>
          <w:szCs w:val="22"/>
        </w:rPr>
      </w:pPr>
    </w:p>
    <w:tbl>
      <w:tblPr>
        <w:tblW w:w="0" w:type="auto"/>
        <w:tblCellSpacing w:w="0" w:type="dxa"/>
        <w:tblCellMar>
          <w:left w:w="0" w:type="dxa"/>
          <w:right w:w="0" w:type="dxa"/>
        </w:tblCellMar>
        <w:tblLook w:val="04A0" w:firstRow="1" w:lastRow="0" w:firstColumn="1" w:lastColumn="0" w:noHBand="0" w:noVBand="1"/>
      </w:tblPr>
      <w:tblGrid>
        <w:gridCol w:w="6"/>
        <w:gridCol w:w="2140"/>
      </w:tblGrid>
      <w:tr w:rsidR="006A1ECB" w:rsidRPr="005D55E5" w14:paraId="6F05580A" w14:textId="77777777">
        <w:trPr>
          <w:tblCellSpacing w:w="0" w:type="dxa"/>
        </w:trPr>
        <w:tc>
          <w:tcPr>
            <w:tcW w:w="0" w:type="auto"/>
            <w:hideMark/>
          </w:tcPr>
          <w:p w14:paraId="2A4CC8A6" w14:textId="77777777" w:rsidR="006A1ECB" w:rsidRPr="005D55E5" w:rsidRDefault="006A1ECB" w:rsidP="006A1ECB">
            <w:pPr>
              <w:spacing w:after="0" w:line="240" w:lineRule="auto"/>
              <w:rPr>
                <w:rFonts w:ascii="Arial" w:hAnsi="Arial" w:cs="Arial"/>
                <w:kern w:val="0"/>
                <w:sz w:val="22"/>
                <w:szCs w:val="22"/>
                <w14:ligatures w14:val="none"/>
              </w:rPr>
            </w:pPr>
          </w:p>
        </w:tc>
        <w:tc>
          <w:tcPr>
            <w:tcW w:w="0" w:type="auto"/>
            <w:hideMark/>
          </w:tcPr>
          <w:p w14:paraId="5EBA4F8F" w14:textId="77777777" w:rsidR="006A1ECB" w:rsidRPr="005D55E5" w:rsidRDefault="006A1ECB" w:rsidP="006A1ECB">
            <w:pPr>
              <w:spacing w:after="0" w:line="240" w:lineRule="auto"/>
              <w:rPr>
                <w:rFonts w:ascii="Arial" w:hAnsi="Arial" w:cs="Arial"/>
                <w:kern w:val="0"/>
                <w:sz w:val="22"/>
                <w:szCs w:val="22"/>
                <w14:ligatures w14:val="none"/>
              </w:rPr>
            </w:pPr>
            <w:r w:rsidRPr="005D55E5">
              <w:rPr>
                <w:rFonts w:ascii="Arial" w:hAnsi="Arial" w:cs="Arial"/>
                <w:kern w:val="0"/>
                <w:sz w:val="22"/>
                <w:szCs w:val="22"/>
                <w14:ligatures w14:val="none"/>
              </w:rPr>
              <w:t>Component 2: Written</w:t>
            </w:r>
          </w:p>
          <w:p w14:paraId="2C8B1730" w14:textId="77777777" w:rsidR="006A1ECB" w:rsidRPr="005D55E5" w:rsidRDefault="006A1ECB" w:rsidP="006A1ECB">
            <w:pPr>
              <w:spacing w:after="0" w:line="240" w:lineRule="auto"/>
              <w:rPr>
                <w:rFonts w:ascii="Arial" w:hAnsi="Arial" w:cs="Arial"/>
                <w:kern w:val="0"/>
                <w:sz w:val="22"/>
                <w:szCs w:val="22"/>
                <w14:ligatures w14:val="none"/>
              </w:rPr>
            </w:pPr>
            <w:r w:rsidRPr="005D55E5">
              <w:rPr>
                <w:rFonts w:ascii="Arial" w:hAnsi="Arial" w:cs="Arial"/>
                <w:kern w:val="0"/>
                <w:sz w:val="22"/>
                <w:szCs w:val="22"/>
                <w14:ligatures w14:val="none"/>
              </w:rPr>
              <w:t>Assignment (Report)</w:t>
            </w:r>
          </w:p>
        </w:tc>
      </w:tr>
    </w:tbl>
    <w:p w14:paraId="2613B408" w14:textId="1204AEC2" w:rsidR="000D208E" w:rsidRPr="005D55E5" w:rsidRDefault="006A1ECB" w:rsidP="00644C1F">
      <w:pPr>
        <w:rPr>
          <w:rFonts w:ascii="Arial" w:hAnsi="Arial" w:cs="Arial"/>
          <w:sz w:val="22"/>
          <w:szCs w:val="22"/>
        </w:rPr>
      </w:pPr>
      <w:r w:rsidRPr="005D55E5">
        <w:rPr>
          <w:rFonts w:ascii="Arial" w:hAnsi="Arial" w:cs="Arial"/>
          <w:sz w:val="22"/>
          <w:szCs w:val="22"/>
        </w:rPr>
        <w:t>BMHP501</w:t>
      </w:r>
      <w:r w:rsidR="0051620A" w:rsidRPr="005D55E5">
        <w:rPr>
          <w:rFonts w:ascii="Arial" w:hAnsi="Arial" w:cs="Arial"/>
          <w:sz w:val="22"/>
          <w:szCs w:val="22"/>
        </w:rPr>
        <w:t xml:space="preserve">4 </w:t>
      </w:r>
    </w:p>
    <w:p w14:paraId="6094420B" w14:textId="2BA0227D" w:rsidR="0051620A" w:rsidRPr="005D55E5" w:rsidRDefault="0051620A" w:rsidP="00644C1F">
      <w:pPr>
        <w:rPr>
          <w:rFonts w:ascii="Arial" w:hAnsi="Arial" w:cs="Arial"/>
          <w:sz w:val="22"/>
          <w:szCs w:val="22"/>
        </w:rPr>
      </w:pPr>
      <w:r w:rsidRPr="005D55E5">
        <w:rPr>
          <w:rFonts w:ascii="Arial" w:hAnsi="Arial" w:cs="Arial"/>
          <w:sz w:val="22"/>
          <w:szCs w:val="22"/>
        </w:rPr>
        <w:t>Mona Alexa Costescu</w:t>
      </w:r>
    </w:p>
    <w:p w14:paraId="613EEBFD" w14:textId="40A88A67" w:rsidR="0051620A" w:rsidRPr="005D55E5" w:rsidRDefault="0051620A" w:rsidP="00644C1F">
      <w:pPr>
        <w:rPr>
          <w:rFonts w:ascii="Arial" w:hAnsi="Arial" w:cs="Arial"/>
          <w:sz w:val="22"/>
          <w:szCs w:val="22"/>
        </w:rPr>
      </w:pPr>
      <w:r w:rsidRPr="005D55E5">
        <w:rPr>
          <w:rFonts w:ascii="Arial" w:hAnsi="Arial" w:cs="Arial"/>
          <w:sz w:val="22"/>
          <w:szCs w:val="22"/>
        </w:rPr>
        <w:t xml:space="preserve">ID: </w:t>
      </w:r>
      <w:r w:rsidR="00C1393B" w:rsidRPr="005D55E5">
        <w:rPr>
          <w:rFonts w:ascii="Arial" w:hAnsi="Arial" w:cs="Arial"/>
          <w:sz w:val="22"/>
          <w:szCs w:val="22"/>
        </w:rPr>
        <w:t>2412</w:t>
      </w:r>
      <w:r w:rsidR="00554782" w:rsidRPr="005D55E5">
        <w:rPr>
          <w:rFonts w:ascii="Arial" w:hAnsi="Arial" w:cs="Arial"/>
          <w:sz w:val="22"/>
          <w:szCs w:val="22"/>
        </w:rPr>
        <w:t>771</w:t>
      </w:r>
    </w:p>
    <w:p w14:paraId="4FE55AEF" w14:textId="77777777" w:rsidR="00E4233D" w:rsidRDefault="00E4233D" w:rsidP="00644C1F"/>
    <w:p w14:paraId="67F20A4F" w14:textId="77777777" w:rsidR="00E4233D" w:rsidRDefault="00E4233D" w:rsidP="00644C1F"/>
    <w:p w14:paraId="65821D51" w14:textId="77777777" w:rsidR="00E4233D" w:rsidRDefault="00E4233D" w:rsidP="00644C1F"/>
    <w:p w14:paraId="0E7E6E0D" w14:textId="77777777" w:rsidR="00E4233D" w:rsidRDefault="00E4233D" w:rsidP="00644C1F"/>
    <w:p w14:paraId="66D59E93" w14:textId="77777777" w:rsidR="00E4233D" w:rsidRDefault="00E4233D" w:rsidP="00644C1F"/>
    <w:p w14:paraId="7F29E645" w14:textId="77777777" w:rsidR="00E4233D" w:rsidRDefault="00E4233D" w:rsidP="00644C1F"/>
    <w:p w14:paraId="4A8B55AD" w14:textId="77777777" w:rsidR="00E4233D" w:rsidRDefault="00E4233D" w:rsidP="00644C1F"/>
    <w:p w14:paraId="083E0E55" w14:textId="77777777" w:rsidR="00E4233D" w:rsidRDefault="00E4233D" w:rsidP="00644C1F"/>
    <w:p w14:paraId="73551641" w14:textId="77777777" w:rsidR="00E4233D" w:rsidRDefault="00E4233D" w:rsidP="00644C1F"/>
    <w:p w14:paraId="1CBCA4C3" w14:textId="77777777" w:rsidR="00E4233D" w:rsidRDefault="00E4233D" w:rsidP="00644C1F"/>
    <w:p w14:paraId="6663B460" w14:textId="77777777" w:rsidR="00E4233D" w:rsidRDefault="00E4233D" w:rsidP="00644C1F"/>
    <w:p w14:paraId="4FCA487B" w14:textId="77777777" w:rsidR="00E4233D" w:rsidRDefault="00E4233D" w:rsidP="00644C1F"/>
    <w:p w14:paraId="51815B52" w14:textId="77777777" w:rsidR="00E4233D" w:rsidRDefault="00E4233D" w:rsidP="00644C1F"/>
    <w:p w14:paraId="154E9899" w14:textId="77777777" w:rsidR="00E4233D" w:rsidRDefault="00E4233D" w:rsidP="00644C1F"/>
    <w:p w14:paraId="6C662881" w14:textId="77777777" w:rsidR="00E4233D" w:rsidRDefault="00E4233D" w:rsidP="00644C1F"/>
    <w:p w14:paraId="1EA60642" w14:textId="77777777" w:rsidR="00E4233D" w:rsidRDefault="00E4233D" w:rsidP="00644C1F"/>
    <w:p w14:paraId="6AA25802" w14:textId="77777777" w:rsidR="00E4233D" w:rsidRDefault="00E4233D" w:rsidP="00644C1F"/>
    <w:p w14:paraId="2104BAF1" w14:textId="77777777" w:rsidR="00E4233D" w:rsidRDefault="00E4233D" w:rsidP="00644C1F"/>
    <w:p w14:paraId="6DFCB100" w14:textId="77777777" w:rsidR="00E4233D" w:rsidRDefault="00E4233D" w:rsidP="00644C1F"/>
    <w:p w14:paraId="555D5B96" w14:textId="4B775DDC" w:rsidR="00E4233D" w:rsidRDefault="00274597" w:rsidP="00644C1F">
      <w:r>
        <w:rPr>
          <w:noProof/>
        </w:rPr>
        <w:lastRenderedPageBreak/>
        <w:drawing>
          <wp:anchor distT="0" distB="0" distL="114300" distR="114300" simplePos="0" relativeHeight="251659264" behindDoc="0" locked="0" layoutInCell="1" allowOverlap="1" wp14:anchorId="3D589E0F" wp14:editId="1553BC87">
            <wp:simplePos x="0" y="0"/>
            <wp:positionH relativeFrom="column">
              <wp:posOffset>-720090</wp:posOffset>
            </wp:positionH>
            <wp:positionV relativeFrom="paragraph">
              <wp:posOffset>0</wp:posOffset>
            </wp:positionV>
            <wp:extent cx="7366000" cy="7366000"/>
            <wp:effectExtent l="0" t="0" r="0" b="0"/>
            <wp:wrapTopAndBottom/>
            <wp:docPr id="567151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151870" name="Picture 567151870"/>
                    <pic:cNvPicPr/>
                  </pic:nvPicPr>
                  <pic:blipFill>
                    <a:blip r:embed="rId4" cstate="print">
                      <a:extLst>
                        <a:ext uri="{28A0092B-C50C-407E-A947-70E740481C1C}">
                          <a14:useLocalDpi xmlns:a14="http://schemas.microsoft.com/office/drawing/2010/main" val="0"/>
                        </a:ext>
                      </a:extLst>
                    </a:blip>
                    <a:stretch>
                      <a:fillRect/>
                    </a:stretch>
                  </pic:blipFill>
                  <pic:spPr>
                    <a:xfrm>
                      <a:off x="0" y="0"/>
                      <a:ext cx="7366000" cy="7366000"/>
                    </a:xfrm>
                    <a:prstGeom prst="rect">
                      <a:avLst/>
                    </a:prstGeom>
                  </pic:spPr>
                </pic:pic>
              </a:graphicData>
            </a:graphic>
            <wp14:sizeRelH relativeFrom="margin">
              <wp14:pctWidth>0</wp14:pctWidth>
            </wp14:sizeRelH>
            <wp14:sizeRelV relativeFrom="margin">
              <wp14:pctHeight>0</wp14:pctHeight>
            </wp14:sizeRelV>
          </wp:anchor>
        </w:drawing>
      </w:r>
    </w:p>
    <w:p w14:paraId="0D865E2F" w14:textId="77777777" w:rsidR="00E4233D" w:rsidRDefault="00E4233D" w:rsidP="00644C1F"/>
    <w:p w14:paraId="52A44FB0" w14:textId="77777777" w:rsidR="00E4233D" w:rsidRDefault="00E4233D" w:rsidP="00644C1F"/>
    <w:p w14:paraId="6EE48C90" w14:textId="77777777" w:rsidR="00E4233D" w:rsidRDefault="00E4233D" w:rsidP="00644C1F"/>
    <w:p w14:paraId="58BE51FA" w14:textId="77777777" w:rsidR="00E4233D" w:rsidRPr="001F09C3" w:rsidRDefault="00E4233D" w:rsidP="00644C1F">
      <w:pPr>
        <w:rPr>
          <w:rFonts w:ascii="Arial" w:hAnsi="Arial" w:cs="Arial"/>
          <w:sz w:val="22"/>
          <w:szCs w:val="22"/>
        </w:rPr>
      </w:pPr>
    </w:p>
    <w:p w14:paraId="596FA80A" w14:textId="5C57861D" w:rsidR="00644C1F" w:rsidRPr="001F09C3" w:rsidRDefault="00064048" w:rsidP="00644C1F">
      <w:pPr>
        <w:rPr>
          <w:rFonts w:ascii="Arial" w:hAnsi="Arial" w:cs="Arial"/>
          <w:sz w:val="22"/>
          <w:szCs w:val="22"/>
        </w:rPr>
      </w:pPr>
      <w:r w:rsidRPr="001F09C3">
        <w:rPr>
          <w:rFonts w:ascii="Arial" w:hAnsi="Arial" w:cs="Arial"/>
          <w:sz w:val="22"/>
          <w:szCs w:val="22"/>
        </w:rPr>
        <w:lastRenderedPageBreak/>
        <w:t xml:space="preserve">Dear </w:t>
      </w:r>
      <w:r w:rsidR="00644C1F" w:rsidRPr="001F09C3">
        <w:rPr>
          <w:rFonts w:ascii="Arial" w:hAnsi="Arial" w:cs="Arial"/>
          <w:sz w:val="22"/>
          <w:szCs w:val="22"/>
        </w:rPr>
        <w:t>England Decision Maker,</w:t>
      </w:r>
    </w:p>
    <w:p w14:paraId="2B8E5FE6" w14:textId="77777777" w:rsidR="00644C1F" w:rsidRPr="001F09C3" w:rsidRDefault="00644C1F" w:rsidP="00644C1F">
      <w:pPr>
        <w:rPr>
          <w:rFonts w:ascii="Arial" w:hAnsi="Arial" w:cs="Arial"/>
          <w:sz w:val="22"/>
          <w:szCs w:val="22"/>
        </w:rPr>
      </w:pPr>
    </w:p>
    <w:p w14:paraId="1001D359" w14:textId="77777777" w:rsidR="00644C1F" w:rsidRPr="001F09C3" w:rsidRDefault="00644C1F" w:rsidP="00644C1F">
      <w:pPr>
        <w:rPr>
          <w:rFonts w:ascii="Arial" w:hAnsi="Arial" w:cs="Arial"/>
          <w:sz w:val="22"/>
          <w:szCs w:val="22"/>
        </w:rPr>
      </w:pPr>
      <w:r w:rsidRPr="001F09C3">
        <w:rPr>
          <w:rFonts w:ascii="Arial" w:hAnsi="Arial" w:cs="Arial"/>
          <w:sz w:val="22"/>
          <w:szCs w:val="22"/>
        </w:rPr>
        <w:t>I am proposing Digital Health Connect, an innovative smartphone application designed to reduce digital exclusion and improve equitable access to NHS healthcare services. Although digital healthcare has transformed the way patients book appointments, order repeat prescriptions and access health information, many people remain unable to benefit from these services because of limited digital skills, language barriers or a lack of confidence using technology. NHS England recognises digital exclusion as a significant contributor to health inequalities and estimates that around 10 million adults in the UK lack basic digital skills, with older adults, people with disabilities and those on lower incomes being disproportionately affected.</w:t>
      </w:r>
    </w:p>
    <w:p w14:paraId="3115BA2D" w14:textId="77777777" w:rsidR="00644C1F" w:rsidRPr="001F09C3" w:rsidRDefault="00644C1F" w:rsidP="00644C1F">
      <w:pPr>
        <w:rPr>
          <w:rFonts w:ascii="Arial" w:hAnsi="Arial" w:cs="Arial"/>
          <w:sz w:val="22"/>
          <w:szCs w:val="22"/>
        </w:rPr>
      </w:pPr>
    </w:p>
    <w:p w14:paraId="299416B5" w14:textId="77777777" w:rsidR="00644C1F" w:rsidRPr="001F09C3" w:rsidRDefault="00644C1F" w:rsidP="00644C1F">
      <w:pPr>
        <w:rPr>
          <w:rFonts w:ascii="Arial" w:hAnsi="Arial" w:cs="Arial"/>
          <w:sz w:val="22"/>
          <w:szCs w:val="22"/>
        </w:rPr>
      </w:pPr>
      <w:r w:rsidRPr="001F09C3">
        <w:rPr>
          <w:rFonts w:ascii="Arial" w:hAnsi="Arial" w:cs="Arial"/>
          <w:sz w:val="22"/>
          <w:szCs w:val="22"/>
        </w:rPr>
        <w:t>Digital exclusion is no longer simply a technology issue; it is a healthcare issue. As the NHS continues to expand digital services, it is essential that everyone can access them regardless of age, disability, income or digital ability. Good Things Foundation (2024) highlights that people who are digitally excluded are also more likely to experience poorer health outcomes and face additional barriers when accessing healthcare. Without targeted interventions, digital transformation risks widening existing health inequalities rather than reducing them.</w:t>
      </w:r>
    </w:p>
    <w:p w14:paraId="3137E6BC" w14:textId="77777777" w:rsidR="00644C1F" w:rsidRPr="001F09C3" w:rsidRDefault="00644C1F" w:rsidP="00644C1F">
      <w:pPr>
        <w:rPr>
          <w:rFonts w:ascii="Arial" w:hAnsi="Arial" w:cs="Arial"/>
          <w:sz w:val="22"/>
          <w:szCs w:val="22"/>
        </w:rPr>
      </w:pPr>
    </w:p>
    <w:p w14:paraId="489B90FD" w14:textId="77777777" w:rsidR="00644C1F" w:rsidRPr="001F09C3" w:rsidRDefault="00644C1F" w:rsidP="00644C1F">
      <w:pPr>
        <w:rPr>
          <w:rFonts w:ascii="Arial" w:hAnsi="Arial" w:cs="Arial"/>
          <w:sz w:val="22"/>
          <w:szCs w:val="22"/>
        </w:rPr>
      </w:pPr>
      <w:r w:rsidRPr="001F09C3">
        <w:rPr>
          <w:rFonts w:ascii="Arial" w:hAnsi="Arial" w:cs="Arial"/>
          <w:sz w:val="22"/>
          <w:szCs w:val="22"/>
        </w:rPr>
        <w:t>Digital Health Connect has been developed to address these challenges while supporting the NHS’s ambition to deliver more accessible, person-centred care. Rather than replacing existing NHS services, the application would complement them by providing one easy-to-use platform where patients can book GP appointments, request repeat prescriptions, receive personalised medication reminders and access reliable health information written in plain language. To improve accessibility, the application would also include multilingual translation options, enabling people whose first language is not English to understand healthcare information more confidently and communicate more effectively with healthcare services. These features directly support NHS England’s recommendations for inclusive digital healthcare and accessible service design.</w:t>
      </w:r>
    </w:p>
    <w:p w14:paraId="131619D2" w14:textId="77777777" w:rsidR="00644C1F" w:rsidRPr="001F09C3" w:rsidRDefault="00644C1F" w:rsidP="00644C1F">
      <w:pPr>
        <w:rPr>
          <w:rFonts w:ascii="Arial" w:hAnsi="Arial" w:cs="Arial"/>
          <w:sz w:val="22"/>
          <w:szCs w:val="22"/>
        </w:rPr>
      </w:pPr>
    </w:p>
    <w:p w14:paraId="51E953F2" w14:textId="77777777" w:rsidR="00644C1F" w:rsidRPr="001F09C3" w:rsidRDefault="00644C1F" w:rsidP="00644C1F">
      <w:pPr>
        <w:rPr>
          <w:rFonts w:ascii="Arial" w:hAnsi="Arial" w:cs="Arial"/>
          <w:sz w:val="22"/>
          <w:szCs w:val="22"/>
        </w:rPr>
      </w:pPr>
      <w:r w:rsidRPr="001F09C3">
        <w:rPr>
          <w:rFonts w:ascii="Arial" w:hAnsi="Arial" w:cs="Arial"/>
          <w:sz w:val="22"/>
          <w:szCs w:val="22"/>
        </w:rPr>
        <w:t>One of the most important components of my proposal is the introduction of Digital Health Champions. These trained volunteers or staff members would provide practical support within GP surgeries, libraries and community centres, helping individuals learn how to use the application and develop confidence when accessing online healthcare services. NHS England and Good Things Foundation identify trusted community support as one of the most effective methods of overcoming digital exclusion, particularly among vulnerable and underserved populations.</w:t>
      </w:r>
    </w:p>
    <w:p w14:paraId="7F464FC4" w14:textId="77777777" w:rsidR="00644C1F" w:rsidRPr="001F09C3" w:rsidRDefault="00644C1F" w:rsidP="00644C1F">
      <w:pPr>
        <w:rPr>
          <w:rFonts w:ascii="Arial" w:hAnsi="Arial" w:cs="Arial"/>
          <w:sz w:val="22"/>
          <w:szCs w:val="22"/>
        </w:rPr>
      </w:pPr>
    </w:p>
    <w:p w14:paraId="59FF0755" w14:textId="36D3D702" w:rsidR="00041A02" w:rsidRPr="001F09C3" w:rsidRDefault="00644C1F" w:rsidP="001B2BBF">
      <w:pPr>
        <w:rPr>
          <w:rFonts w:ascii="Arial" w:hAnsi="Arial" w:cs="Arial"/>
          <w:sz w:val="22"/>
          <w:szCs w:val="22"/>
        </w:rPr>
      </w:pPr>
      <w:r w:rsidRPr="001F09C3">
        <w:rPr>
          <w:rFonts w:ascii="Arial" w:hAnsi="Arial" w:cs="Arial"/>
          <w:sz w:val="22"/>
          <w:szCs w:val="22"/>
        </w:rPr>
        <w:t xml:space="preserve">I believe this innovation is particularly relevant because the NHS is continuing its digital transformation while recognising that inclusion must remain a priority. Digital services improve efficiency and convenience for many patients, but only if they are designed around </w:t>
      </w:r>
      <w:r w:rsidRPr="001F09C3">
        <w:rPr>
          <w:rFonts w:ascii="Arial" w:hAnsi="Arial" w:cs="Arial"/>
          <w:sz w:val="22"/>
          <w:szCs w:val="22"/>
        </w:rPr>
        <w:lastRenderedPageBreak/>
        <w:t>the needs of the entire population. By combining accessible technology with community-based digital support, Digital Health Connect would help improve patient engagement, increase confidence in using NHS digital services and promote greater independence in managing long-term health conditions. Ultimately, my proposal aims to ensure that digital healthcare becomes more equitable, allowing every patient, not only those who are already digitally confident, to benefit from the opportunities created by technological innovation. This approach aligns closely with current NHS priorities to reduce health inequalities through inclusive digital healthcare</w:t>
      </w:r>
      <w:r w:rsidR="00F56E14" w:rsidRPr="001F09C3">
        <w:rPr>
          <w:rFonts w:ascii="Arial" w:hAnsi="Arial" w:cs="Arial"/>
          <w:sz w:val="22"/>
          <w:szCs w:val="22"/>
        </w:rPr>
        <w:t>.</w:t>
      </w:r>
    </w:p>
    <w:p w14:paraId="00D39861" w14:textId="77777777" w:rsidR="001365A5" w:rsidRPr="001F09C3" w:rsidRDefault="001365A5" w:rsidP="001B2BBF">
      <w:pPr>
        <w:rPr>
          <w:rFonts w:ascii="Arial" w:hAnsi="Arial" w:cs="Arial"/>
          <w:sz w:val="22"/>
          <w:szCs w:val="22"/>
        </w:rPr>
      </w:pPr>
    </w:p>
    <w:p w14:paraId="45A756B1" w14:textId="77777777" w:rsidR="00E7659A" w:rsidRPr="001F09C3" w:rsidRDefault="00E7659A" w:rsidP="00E7659A">
      <w:pPr>
        <w:rPr>
          <w:rFonts w:ascii="Arial" w:hAnsi="Arial" w:cs="Arial"/>
          <w:sz w:val="22"/>
          <w:szCs w:val="22"/>
        </w:rPr>
      </w:pPr>
      <w:r w:rsidRPr="001F09C3">
        <w:rPr>
          <w:rFonts w:ascii="Arial" w:hAnsi="Arial" w:cs="Arial"/>
          <w:sz w:val="22"/>
          <w:szCs w:val="22"/>
        </w:rPr>
        <w:t>To successfully implement Digital Health Connect, I would adopt a phased implementation approach to ensure the application is accessible, effective and responsive to users’ needs. During the first phase, I would work collaboratively with software developers, NHS digital teams, healthcare professionals and representatives from the target population to design an application that is user-friendly and inclusive. Involving patients throughout the design process would help ensure that the application meets the needs of those most at risk of digital exclusion while supporting person-centred care, in line with recommendations from the National Institute for Health and Care Excellence (NICE, 2021). The second phase would involve pilot testing within selected GP surgeries and community settings to evaluate usability, accessibility and patient satisfaction. Feedback gathered during this stage would be used to refine the application before wider implementation. Following successful evaluation, the application would be launched nationally alongside a public awareness campaign delivered through GP surgeries, libraries, community centres and NHS digital platforms (Department of Health and Social Care and NHS England, 2022).</w:t>
      </w:r>
    </w:p>
    <w:p w14:paraId="3FB5AB41" w14:textId="77777777" w:rsidR="00E7659A" w:rsidRPr="001F09C3" w:rsidRDefault="00E7659A" w:rsidP="00E7659A">
      <w:pPr>
        <w:rPr>
          <w:rFonts w:ascii="Arial" w:hAnsi="Arial" w:cs="Arial"/>
          <w:sz w:val="22"/>
          <w:szCs w:val="22"/>
        </w:rPr>
      </w:pPr>
    </w:p>
    <w:p w14:paraId="3777A61E" w14:textId="77777777" w:rsidR="00E7659A" w:rsidRPr="001F09C3" w:rsidRDefault="00E7659A" w:rsidP="00E7659A">
      <w:pPr>
        <w:rPr>
          <w:rFonts w:ascii="Arial" w:hAnsi="Arial" w:cs="Arial"/>
          <w:sz w:val="22"/>
          <w:szCs w:val="22"/>
        </w:rPr>
      </w:pPr>
      <w:r w:rsidRPr="001F09C3">
        <w:rPr>
          <w:rFonts w:ascii="Arial" w:hAnsi="Arial" w:cs="Arial"/>
          <w:sz w:val="22"/>
          <w:szCs w:val="22"/>
        </w:rPr>
        <w:t>The implementation timeline would be completed over twelve months. Months 1–3 would focus on stakeholder consultation, application design and software development. Months 4–6 would involve pilot testing, staff training and patient evaluation. Months 7–9 would be used to refine the application based on user feedback and strengthen accessibility features. Months 10–12 would involve national rollout, supported by continuous monitoring and evaluation to ensure that the application continues to meet users’ needs and inform future improvements.</w:t>
      </w:r>
    </w:p>
    <w:p w14:paraId="042CAE02" w14:textId="77777777" w:rsidR="00E7659A" w:rsidRPr="001F09C3" w:rsidRDefault="00E7659A" w:rsidP="00E7659A">
      <w:pPr>
        <w:rPr>
          <w:rFonts w:ascii="Arial" w:hAnsi="Arial" w:cs="Arial"/>
          <w:sz w:val="22"/>
          <w:szCs w:val="22"/>
        </w:rPr>
      </w:pPr>
    </w:p>
    <w:p w14:paraId="411C45CA" w14:textId="77777777" w:rsidR="00E7659A" w:rsidRPr="001F09C3" w:rsidRDefault="00E7659A" w:rsidP="00E7659A">
      <w:pPr>
        <w:rPr>
          <w:rFonts w:ascii="Arial" w:hAnsi="Arial" w:cs="Arial"/>
          <w:sz w:val="22"/>
          <w:szCs w:val="22"/>
        </w:rPr>
      </w:pPr>
      <w:r w:rsidRPr="001F09C3">
        <w:rPr>
          <w:rFonts w:ascii="Arial" w:hAnsi="Arial" w:cs="Arial"/>
          <w:sz w:val="22"/>
          <w:szCs w:val="22"/>
        </w:rPr>
        <w:t xml:space="preserve">Successful implementation would require collaboration between several key stakeholders. NHS England would provide strategic leadership, while Integrated Care Systems (ICSs), GP surgeries and community pharmacies would support local implementation. Partnerships with organisations such as Good Things Foundation would help deliver Digital Health Champion programmes, providing practical support for individuals who lack confidence using digital technology. Software developers, cybersecurity specialists and accessibility experts would ensure that the application remains secure, reliable and compliant with national standards. Resources required would include funding for software development, staff training, Digital Health Champion programmes, public awareness campaigns and ongoing technical maintenance. </w:t>
      </w:r>
      <w:proofErr w:type="spellStart"/>
      <w:r w:rsidRPr="001F09C3">
        <w:rPr>
          <w:rFonts w:ascii="Arial" w:hAnsi="Arial" w:cs="Arial"/>
          <w:sz w:val="22"/>
          <w:szCs w:val="22"/>
        </w:rPr>
        <w:t>Greenhalgh</w:t>
      </w:r>
      <w:proofErr w:type="spellEnd"/>
      <w:r w:rsidRPr="001F09C3">
        <w:rPr>
          <w:rFonts w:ascii="Arial" w:hAnsi="Arial" w:cs="Arial"/>
          <w:sz w:val="22"/>
          <w:szCs w:val="22"/>
        </w:rPr>
        <w:t xml:space="preserve"> et al. (2017) emphasise that successful digital health innovations depend not only on technology but also on organisational readiness, collaboration and continuous user engagement.</w:t>
      </w:r>
    </w:p>
    <w:p w14:paraId="74AE1FA9" w14:textId="77777777" w:rsidR="00E7659A" w:rsidRPr="001F09C3" w:rsidRDefault="00E7659A" w:rsidP="00E7659A">
      <w:pPr>
        <w:rPr>
          <w:rFonts w:ascii="Arial" w:hAnsi="Arial" w:cs="Arial"/>
          <w:sz w:val="22"/>
          <w:szCs w:val="22"/>
        </w:rPr>
      </w:pPr>
    </w:p>
    <w:p w14:paraId="570188F5" w14:textId="77777777" w:rsidR="00E7659A" w:rsidRPr="001F09C3" w:rsidRDefault="00E7659A" w:rsidP="00E7659A">
      <w:pPr>
        <w:rPr>
          <w:rFonts w:ascii="Arial" w:hAnsi="Arial" w:cs="Arial"/>
          <w:sz w:val="22"/>
          <w:szCs w:val="22"/>
        </w:rPr>
      </w:pPr>
      <w:r w:rsidRPr="001F09C3">
        <w:rPr>
          <w:rFonts w:ascii="Arial" w:hAnsi="Arial" w:cs="Arial"/>
          <w:sz w:val="22"/>
          <w:szCs w:val="22"/>
        </w:rPr>
        <w:t>Digital Health Connect would also need to comply with relevant legislation and professional standards. Patient information must be processed in accordance with the UK General Data Protection Regulation (UK GDPR) and the Data Protection Act 2018 to ensure confidentiality and lawful processing of personal data. The application should also comply with the Public Sector Bodies (Websites and Mobile Applications) (No. 2) Accessibility Regulations 2018, ensuring that people with disabilities can use digital services effectively. Furthermore, implementation aligns with the NHS Long Term Plan (NHS England, 2019), which promotes digitally enabled healthcare while emphasising the importance of reducing health inequalities.</w:t>
      </w:r>
    </w:p>
    <w:p w14:paraId="70F014DD" w14:textId="77777777" w:rsidR="00E7659A" w:rsidRPr="001F09C3" w:rsidRDefault="00E7659A" w:rsidP="00E7659A">
      <w:pPr>
        <w:rPr>
          <w:rFonts w:ascii="Arial" w:hAnsi="Arial" w:cs="Arial"/>
          <w:sz w:val="22"/>
          <w:szCs w:val="22"/>
        </w:rPr>
      </w:pPr>
    </w:p>
    <w:p w14:paraId="455D57C6" w14:textId="0C86E635" w:rsidR="00E7659A" w:rsidRPr="001F09C3" w:rsidRDefault="00E7659A" w:rsidP="00E7659A">
      <w:pPr>
        <w:rPr>
          <w:rFonts w:ascii="Arial" w:hAnsi="Arial" w:cs="Arial"/>
          <w:sz w:val="22"/>
          <w:szCs w:val="22"/>
        </w:rPr>
      </w:pPr>
      <w:r w:rsidRPr="001F09C3">
        <w:rPr>
          <w:rFonts w:ascii="Arial" w:hAnsi="Arial" w:cs="Arial"/>
          <w:sz w:val="22"/>
          <w:szCs w:val="22"/>
        </w:rPr>
        <w:t>I believe Digital Health Connect is both valuable and feasible because it builds upon existing NHS digital services rather than replacing them. This approach makes implementation more feasible while supporting current NHS priorities for digital transformation. Potential barriers include limited digital literacy, funding constraints, language differences and resistance to adopting new technology. However, these challenges can be addressed through accessible design, multilingual support, Digital Health Champions and ongoing staff training. Mair et al. (2012) found that successful implementation of e-health systems depends on organisational readiness, user engagement and integration into existing healthcare services. Similarly, the World Health Organisation (2019) states that digital health interventions are most effective when they strengthen, rather than replace, existing health services.</w:t>
      </w:r>
    </w:p>
    <w:p w14:paraId="28FD1994" w14:textId="77777777" w:rsidR="00E7659A" w:rsidRPr="001F09C3" w:rsidRDefault="00E7659A" w:rsidP="00E7659A">
      <w:pPr>
        <w:rPr>
          <w:rFonts w:ascii="Arial" w:hAnsi="Arial" w:cs="Arial"/>
          <w:sz w:val="22"/>
          <w:szCs w:val="22"/>
        </w:rPr>
      </w:pPr>
    </w:p>
    <w:p w14:paraId="4A6B093E" w14:textId="10CB03A8" w:rsidR="006A3CCC" w:rsidRPr="001F09C3" w:rsidRDefault="00E7659A" w:rsidP="001B2BBF">
      <w:pPr>
        <w:rPr>
          <w:rFonts w:ascii="Arial" w:hAnsi="Arial" w:cs="Arial"/>
          <w:sz w:val="22"/>
          <w:szCs w:val="22"/>
        </w:rPr>
      </w:pPr>
      <w:r w:rsidRPr="001F09C3">
        <w:rPr>
          <w:rFonts w:ascii="Arial" w:hAnsi="Arial" w:cs="Arial"/>
          <w:sz w:val="22"/>
          <w:szCs w:val="22"/>
        </w:rPr>
        <w:t>Looking ahead, Digital Health Connect could be expanded by integrating additional language options, wearable device compatibility and personalised health management tools for people living with long-term conditions. I urge NHS England to support the development, pilot testing and national implementation of Digital Health Connect. By investing in an inclusive digital solution that combines accessible technology with community-based support, we can reduce digital exclusion, improve access to healthcare and ensure that digital transformation benefits every patient, regardless of their digital ability or personal circumstances.</w:t>
      </w:r>
    </w:p>
    <w:p w14:paraId="775B34A5" w14:textId="77777777" w:rsidR="00984687" w:rsidRPr="001F09C3" w:rsidRDefault="00984687" w:rsidP="001B2BBF">
      <w:pPr>
        <w:rPr>
          <w:rFonts w:ascii="Arial" w:hAnsi="Arial" w:cs="Arial"/>
          <w:sz w:val="22"/>
          <w:szCs w:val="22"/>
        </w:rPr>
      </w:pPr>
    </w:p>
    <w:p w14:paraId="46F041AF" w14:textId="77777777" w:rsidR="00C56FF6" w:rsidRPr="001F09C3" w:rsidRDefault="00C56FF6" w:rsidP="00C56FF6">
      <w:pPr>
        <w:rPr>
          <w:rFonts w:ascii="Arial" w:hAnsi="Arial" w:cs="Arial"/>
          <w:sz w:val="22"/>
          <w:szCs w:val="22"/>
        </w:rPr>
      </w:pPr>
      <w:r w:rsidRPr="001F09C3">
        <w:rPr>
          <w:rFonts w:ascii="Arial" w:hAnsi="Arial" w:cs="Arial"/>
          <w:sz w:val="22"/>
          <w:szCs w:val="22"/>
        </w:rPr>
        <w:t>References</w:t>
      </w:r>
    </w:p>
    <w:p w14:paraId="0A14A853" w14:textId="77777777" w:rsidR="00C56FF6" w:rsidRPr="001F09C3" w:rsidRDefault="00C56FF6" w:rsidP="00C56FF6">
      <w:pPr>
        <w:rPr>
          <w:rFonts w:ascii="Arial" w:hAnsi="Arial" w:cs="Arial"/>
          <w:sz w:val="22"/>
          <w:szCs w:val="22"/>
        </w:rPr>
      </w:pPr>
    </w:p>
    <w:p w14:paraId="284CF80A" w14:textId="77777777" w:rsidR="00CD4F5C" w:rsidRPr="007B0128" w:rsidRDefault="00CD4F5C" w:rsidP="00CD4F5C">
      <w:pPr>
        <w:spacing w:before="100" w:beforeAutospacing="1" w:after="100" w:afterAutospacing="1" w:line="240" w:lineRule="auto"/>
        <w:rPr>
          <w:rFonts w:ascii="Arial" w:hAnsi="Arial" w:cs="Arial"/>
          <w:kern w:val="0"/>
          <w:sz w:val="22"/>
          <w:szCs w:val="22"/>
          <w14:ligatures w14:val="none"/>
        </w:rPr>
      </w:pPr>
      <w:r w:rsidRPr="007B0128">
        <w:rPr>
          <w:rFonts w:ascii="Arial" w:hAnsi="Arial" w:cs="Arial"/>
          <w:kern w:val="0"/>
          <w:sz w:val="22"/>
          <w:szCs w:val="22"/>
          <w14:ligatures w14:val="none"/>
        </w:rPr>
        <w:t xml:space="preserve">Department of Health and Social Care and NHS England (2022) </w:t>
      </w:r>
      <w:r w:rsidRPr="007B0128">
        <w:rPr>
          <w:rFonts w:ascii="Arial" w:hAnsi="Arial" w:cs="Arial"/>
          <w:i/>
          <w:iCs/>
          <w:kern w:val="0"/>
          <w:sz w:val="22"/>
          <w:szCs w:val="22"/>
          <w14:ligatures w14:val="none"/>
        </w:rPr>
        <w:t>A plan for digital health and social care</w:t>
      </w:r>
      <w:r w:rsidRPr="007B0128">
        <w:rPr>
          <w:rFonts w:ascii="Arial" w:hAnsi="Arial" w:cs="Arial"/>
          <w:kern w:val="0"/>
          <w:sz w:val="22"/>
          <w:szCs w:val="22"/>
          <w14:ligatures w14:val="none"/>
        </w:rPr>
        <w:t xml:space="preserve">. Available at: </w:t>
      </w:r>
      <w:hyperlink r:id="rId5" w:history="1">
        <w:r w:rsidRPr="007B0128">
          <w:rPr>
            <w:rFonts w:ascii="Arial" w:hAnsi="Arial" w:cs="Arial"/>
            <w:color w:val="0000FF"/>
            <w:kern w:val="0"/>
            <w:sz w:val="22"/>
            <w:szCs w:val="22"/>
            <w:u w:val="single"/>
            <w14:ligatures w14:val="none"/>
          </w:rPr>
          <w:t>https://www.gov.uk/government/publications/a-plan-for-digital-health-and-social-care</w:t>
        </w:r>
      </w:hyperlink>
    </w:p>
    <w:p w14:paraId="2BD46602" w14:textId="77777777" w:rsidR="00CD4F5C" w:rsidRPr="007B0128" w:rsidRDefault="00CD4F5C" w:rsidP="00CD4F5C">
      <w:pPr>
        <w:spacing w:before="100" w:beforeAutospacing="1" w:after="100" w:afterAutospacing="1" w:line="240" w:lineRule="auto"/>
        <w:rPr>
          <w:rFonts w:ascii="Arial" w:hAnsi="Arial" w:cs="Arial"/>
          <w:kern w:val="0"/>
          <w:sz w:val="22"/>
          <w:szCs w:val="22"/>
          <w14:ligatures w14:val="none"/>
        </w:rPr>
      </w:pPr>
      <w:r w:rsidRPr="007B0128">
        <w:rPr>
          <w:rFonts w:ascii="Arial" w:hAnsi="Arial" w:cs="Arial"/>
          <w:kern w:val="0"/>
          <w:sz w:val="22"/>
          <w:szCs w:val="22"/>
          <w14:ligatures w14:val="none"/>
        </w:rPr>
        <w:t xml:space="preserve">Good Things Foundation (2024) </w:t>
      </w:r>
      <w:r w:rsidRPr="007B0128">
        <w:rPr>
          <w:rFonts w:ascii="Arial" w:hAnsi="Arial" w:cs="Arial"/>
          <w:i/>
          <w:iCs/>
          <w:kern w:val="0"/>
          <w:sz w:val="22"/>
          <w:szCs w:val="22"/>
          <w14:ligatures w14:val="none"/>
        </w:rPr>
        <w:t>The digital divide</w:t>
      </w:r>
      <w:r w:rsidRPr="007B0128">
        <w:rPr>
          <w:rFonts w:ascii="Arial" w:hAnsi="Arial" w:cs="Arial"/>
          <w:kern w:val="0"/>
          <w:sz w:val="22"/>
          <w:szCs w:val="22"/>
          <w14:ligatures w14:val="none"/>
        </w:rPr>
        <w:t xml:space="preserve">. Available at: </w:t>
      </w:r>
      <w:hyperlink r:id="rId6" w:history="1">
        <w:r w:rsidRPr="007B0128">
          <w:rPr>
            <w:rFonts w:ascii="Arial" w:hAnsi="Arial" w:cs="Arial"/>
            <w:color w:val="0000FF"/>
            <w:kern w:val="0"/>
            <w:sz w:val="22"/>
            <w:szCs w:val="22"/>
            <w:u w:val="single"/>
            <w14:ligatures w14:val="none"/>
          </w:rPr>
          <w:t>https://www.goodthingsfoundation.org/the-digital-divide/</w:t>
        </w:r>
      </w:hyperlink>
    </w:p>
    <w:p w14:paraId="0E5A346B" w14:textId="77777777" w:rsidR="00CD4F5C" w:rsidRPr="007B0128" w:rsidRDefault="00CD4F5C" w:rsidP="00CD4F5C">
      <w:pPr>
        <w:spacing w:before="100" w:beforeAutospacing="1" w:after="100" w:afterAutospacing="1" w:line="240" w:lineRule="auto"/>
        <w:rPr>
          <w:rFonts w:ascii="Arial" w:hAnsi="Arial" w:cs="Arial"/>
          <w:kern w:val="0"/>
          <w:sz w:val="22"/>
          <w:szCs w:val="22"/>
          <w14:ligatures w14:val="none"/>
        </w:rPr>
      </w:pPr>
      <w:r w:rsidRPr="007B0128">
        <w:rPr>
          <w:rFonts w:ascii="Arial" w:hAnsi="Arial" w:cs="Arial"/>
          <w:kern w:val="0"/>
          <w:sz w:val="22"/>
          <w:szCs w:val="22"/>
          <w14:ligatures w14:val="none"/>
        </w:rPr>
        <w:t xml:space="preserve">Google Fonts (n.d.) </w:t>
      </w:r>
      <w:r w:rsidRPr="007B0128">
        <w:rPr>
          <w:rFonts w:ascii="Arial" w:hAnsi="Arial" w:cs="Arial"/>
          <w:i/>
          <w:iCs/>
          <w:kern w:val="0"/>
          <w:sz w:val="22"/>
          <w:szCs w:val="22"/>
          <w14:ligatures w14:val="none"/>
        </w:rPr>
        <w:t>Material Symbols</w:t>
      </w:r>
      <w:r w:rsidRPr="007B0128">
        <w:rPr>
          <w:rFonts w:ascii="Arial" w:hAnsi="Arial" w:cs="Arial"/>
          <w:kern w:val="0"/>
          <w:sz w:val="22"/>
          <w:szCs w:val="22"/>
          <w14:ligatures w14:val="none"/>
        </w:rPr>
        <w:t xml:space="preserve">. Available at: </w:t>
      </w:r>
      <w:hyperlink r:id="rId7" w:history="1">
        <w:r w:rsidRPr="007B0128">
          <w:rPr>
            <w:rFonts w:ascii="Arial" w:hAnsi="Arial" w:cs="Arial"/>
            <w:color w:val="0000FF"/>
            <w:kern w:val="0"/>
            <w:sz w:val="22"/>
            <w:szCs w:val="22"/>
            <w:u w:val="single"/>
            <w14:ligatures w14:val="none"/>
          </w:rPr>
          <w:t>https://fonts.google.com/icons</w:t>
        </w:r>
      </w:hyperlink>
    </w:p>
    <w:p w14:paraId="3599B09B" w14:textId="77777777" w:rsidR="00CD4F5C" w:rsidRPr="007B0128" w:rsidRDefault="00CD4F5C" w:rsidP="00CD4F5C">
      <w:pPr>
        <w:spacing w:before="100" w:beforeAutospacing="1" w:after="100" w:afterAutospacing="1" w:line="240" w:lineRule="auto"/>
        <w:rPr>
          <w:rFonts w:ascii="Arial" w:hAnsi="Arial" w:cs="Arial"/>
          <w:kern w:val="0"/>
          <w:sz w:val="22"/>
          <w:szCs w:val="22"/>
          <w14:ligatures w14:val="none"/>
        </w:rPr>
      </w:pPr>
      <w:proofErr w:type="spellStart"/>
      <w:r w:rsidRPr="007B0128">
        <w:rPr>
          <w:rFonts w:ascii="Arial" w:hAnsi="Arial" w:cs="Arial"/>
          <w:kern w:val="0"/>
          <w:sz w:val="22"/>
          <w:szCs w:val="22"/>
          <w14:ligatures w14:val="none"/>
        </w:rPr>
        <w:lastRenderedPageBreak/>
        <w:t>Greenhalgh</w:t>
      </w:r>
      <w:proofErr w:type="spellEnd"/>
      <w:r w:rsidRPr="007B0128">
        <w:rPr>
          <w:rFonts w:ascii="Arial" w:hAnsi="Arial" w:cs="Arial"/>
          <w:kern w:val="0"/>
          <w:sz w:val="22"/>
          <w:szCs w:val="22"/>
          <w14:ligatures w14:val="none"/>
        </w:rPr>
        <w:t xml:space="preserve">, T., </w:t>
      </w:r>
      <w:proofErr w:type="spellStart"/>
      <w:r w:rsidRPr="007B0128">
        <w:rPr>
          <w:rFonts w:ascii="Arial" w:hAnsi="Arial" w:cs="Arial"/>
          <w:kern w:val="0"/>
          <w:sz w:val="22"/>
          <w:szCs w:val="22"/>
          <w14:ligatures w14:val="none"/>
        </w:rPr>
        <w:t>Wherton</w:t>
      </w:r>
      <w:proofErr w:type="spellEnd"/>
      <w:r w:rsidRPr="007B0128">
        <w:rPr>
          <w:rFonts w:ascii="Arial" w:hAnsi="Arial" w:cs="Arial"/>
          <w:kern w:val="0"/>
          <w:sz w:val="22"/>
          <w:szCs w:val="22"/>
          <w14:ligatures w14:val="none"/>
        </w:rPr>
        <w:t xml:space="preserve">, J., </w:t>
      </w:r>
      <w:proofErr w:type="spellStart"/>
      <w:r w:rsidRPr="007B0128">
        <w:rPr>
          <w:rFonts w:ascii="Arial" w:hAnsi="Arial" w:cs="Arial"/>
          <w:kern w:val="0"/>
          <w:sz w:val="22"/>
          <w:szCs w:val="22"/>
          <w14:ligatures w14:val="none"/>
        </w:rPr>
        <w:t>Papoutsi</w:t>
      </w:r>
      <w:proofErr w:type="spellEnd"/>
      <w:r w:rsidRPr="007B0128">
        <w:rPr>
          <w:rFonts w:ascii="Arial" w:hAnsi="Arial" w:cs="Arial"/>
          <w:kern w:val="0"/>
          <w:sz w:val="22"/>
          <w:szCs w:val="22"/>
          <w14:ligatures w14:val="none"/>
        </w:rPr>
        <w:t xml:space="preserve">, C., Lynch, J., Hughes, G., A’Court, C., Hinder, S., </w:t>
      </w:r>
      <w:proofErr w:type="spellStart"/>
      <w:r w:rsidRPr="007B0128">
        <w:rPr>
          <w:rFonts w:ascii="Arial" w:hAnsi="Arial" w:cs="Arial"/>
          <w:kern w:val="0"/>
          <w:sz w:val="22"/>
          <w:szCs w:val="22"/>
          <w14:ligatures w14:val="none"/>
        </w:rPr>
        <w:t>Fahy</w:t>
      </w:r>
      <w:proofErr w:type="spellEnd"/>
      <w:r w:rsidRPr="007B0128">
        <w:rPr>
          <w:rFonts w:ascii="Arial" w:hAnsi="Arial" w:cs="Arial"/>
          <w:kern w:val="0"/>
          <w:sz w:val="22"/>
          <w:szCs w:val="22"/>
          <w14:ligatures w14:val="none"/>
        </w:rPr>
        <w:t xml:space="preserve">, N., Procter, R. and Shaw, S. (2017) ‘Beyond adoption: A new framework for </w:t>
      </w:r>
      <w:proofErr w:type="spellStart"/>
      <w:r w:rsidRPr="007B0128">
        <w:rPr>
          <w:rFonts w:ascii="Arial" w:hAnsi="Arial" w:cs="Arial"/>
          <w:kern w:val="0"/>
          <w:sz w:val="22"/>
          <w:szCs w:val="22"/>
          <w14:ligatures w14:val="none"/>
        </w:rPr>
        <w:t>theorizing</w:t>
      </w:r>
      <w:proofErr w:type="spellEnd"/>
      <w:r w:rsidRPr="007B0128">
        <w:rPr>
          <w:rFonts w:ascii="Arial" w:hAnsi="Arial" w:cs="Arial"/>
          <w:kern w:val="0"/>
          <w:sz w:val="22"/>
          <w:szCs w:val="22"/>
          <w14:ligatures w14:val="none"/>
        </w:rPr>
        <w:t xml:space="preserve"> and evaluating non-adoption, abandonment, and challenges to the scale-up, spread, and sustainability of health and care technologies’, </w:t>
      </w:r>
      <w:r w:rsidRPr="007B0128">
        <w:rPr>
          <w:rFonts w:ascii="Arial" w:hAnsi="Arial" w:cs="Arial"/>
          <w:i/>
          <w:iCs/>
          <w:kern w:val="0"/>
          <w:sz w:val="22"/>
          <w:szCs w:val="22"/>
          <w14:ligatures w14:val="none"/>
        </w:rPr>
        <w:t>Journal of Medical Internet Research</w:t>
      </w:r>
      <w:r w:rsidRPr="007B0128">
        <w:rPr>
          <w:rFonts w:ascii="Arial" w:hAnsi="Arial" w:cs="Arial"/>
          <w:kern w:val="0"/>
          <w:sz w:val="22"/>
          <w:szCs w:val="22"/>
          <w14:ligatures w14:val="none"/>
        </w:rPr>
        <w:t>, 19(11), e367.</w:t>
      </w:r>
    </w:p>
    <w:p w14:paraId="64190BF0" w14:textId="77777777" w:rsidR="00CD4F5C" w:rsidRPr="007B0128" w:rsidRDefault="00CD4F5C" w:rsidP="00CD4F5C">
      <w:pPr>
        <w:spacing w:before="100" w:beforeAutospacing="1" w:after="100" w:afterAutospacing="1" w:line="240" w:lineRule="auto"/>
        <w:rPr>
          <w:rFonts w:ascii="Arial" w:hAnsi="Arial" w:cs="Arial"/>
          <w:kern w:val="0"/>
          <w:sz w:val="22"/>
          <w:szCs w:val="22"/>
          <w14:ligatures w14:val="none"/>
        </w:rPr>
      </w:pPr>
      <w:r w:rsidRPr="007B0128">
        <w:rPr>
          <w:rFonts w:ascii="Arial" w:hAnsi="Arial" w:cs="Arial"/>
          <w:kern w:val="0"/>
          <w:sz w:val="22"/>
          <w:szCs w:val="22"/>
          <w14:ligatures w14:val="none"/>
        </w:rPr>
        <w:t xml:space="preserve">Mair, F.S., May, C., O’Donnell, C., Finch, T., Sullivan, F. and Murray, E. (2012) ‘Factors that promote or inhibit the implementation of e-health systems: An explanatory systematic review’, </w:t>
      </w:r>
      <w:r w:rsidRPr="007B0128">
        <w:rPr>
          <w:rFonts w:ascii="Arial" w:hAnsi="Arial" w:cs="Arial"/>
          <w:i/>
          <w:iCs/>
          <w:kern w:val="0"/>
          <w:sz w:val="22"/>
          <w:szCs w:val="22"/>
          <w14:ligatures w14:val="none"/>
        </w:rPr>
        <w:t xml:space="preserve">Bulletin of the World Health </w:t>
      </w:r>
      <w:proofErr w:type="spellStart"/>
      <w:r w:rsidRPr="007B0128">
        <w:rPr>
          <w:rFonts w:ascii="Arial" w:hAnsi="Arial" w:cs="Arial"/>
          <w:i/>
          <w:iCs/>
          <w:kern w:val="0"/>
          <w:sz w:val="22"/>
          <w:szCs w:val="22"/>
          <w14:ligatures w14:val="none"/>
        </w:rPr>
        <w:t>Organization</w:t>
      </w:r>
      <w:proofErr w:type="spellEnd"/>
      <w:r w:rsidRPr="007B0128">
        <w:rPr>
          <w:rFonts w:ascii="Arial" w:hAnsi="Arial" w:cs="Arial"/>
          <w:kern w:val="0"/>
          <w:sz w:val="22"/>
          <w:szCs w:val="22"/>
          <w14:ligatures w14:val="none"/>
        </w:rPr>
        <w:t>, 90(5), pp. 357–364.</w:t>
      </w:r>
    </w:p>
    <w:p w14:paraId="2FEBEA07" w14:textId="77777777" w:rsidR="00CD4F5C" w:rsidRPr="007B0128" w:rsidRDefault="00CD4F5C" w:rsidP="00CD4F5C">
      <w:pPr>
        <w:spacing w:before="100" w:beforeAutospacing="1" w:after="100" w:afterAutospacing="1" w:line="240" w:lineRule="auto"/>
        <w:rPr>
          <w:rFonts w:ascii="Arial" w:hAnsi="Arial" w:cs="Arial"/>
          <w:kern w:val="0"/>
          <w:sz w:val="22"/>
          <w:szCs w:val="22"/>
          <w14:ligatures w14:val="none"/>
        </w:rPr>
      </w:pPr>
      <w:r w:rsidRPr="007B0128">
        <w:rPr>
          <w:rFonts w:ascii="Arial" w:hAnsi="Arial" w:cs="Arial"/>
          <w:kern w:val="0"/>
          <w:sz w:val="22"/>
          <w:szCs w:val="22"/>
          <w14:ligatures w14:val="none"/>
        </w:rPr>
        <w:t xml:space="preserve">National Institute for Health and Care Excellence (2021) </w:t>
      </w:r>
      <w:r w:rsidRPr="007B0128">
        <w:rPr>
          <w:rFonts w:ascii="Arial" w:hAnsi="Arial" w:cs="Arial"/>
          <w:i/>
          <w:iCs/>
          <w:kern w:val="0"/>
          <w:sz w:val="22"/>
          <w:szCs w:val="22"/>
          <w14:ligatures w14:val="none"/>
        </w:rPr>
        <w:t>Shared decision making (NG197).</w:t>
      </w:r>
      <w:r w:rsidRPr="007B0128">
        <w:rPr>
          <w:rFonts w:ascii="Arial" w:hAnsi="Arial" w:cs="Arial"/>
          <w:kern w:val="0"/>
          <w:sz w:val="22"/>
          <w:szCs w:val="22"/>
          <w14:ligatures w14:val="none"/>
        </w:rPr>
        <w:t xml:space="preserve"> Available at: </w:t>
      </w:r>
      <w:hyperlink r:id="rId8" w:history="1">
        <w:r w:rsidRPr="007B0128">
          <w:rPr>
            <w:rFonts w:ascii="Arial" w:hAnsi="Arial" w:cs="Arial"/>
            <w:color w:val="0000FF"/>
            <w:kern w:val="0"/>
            <w:sz w:val="22"/>
            <w:szCs w:val="22"/>
            <w:u w:val="single"/>
            <w14:ligatures w14:val="none"/>
          </w:rPr>
          <w:t>https://www.nice.org.uk/guidance/ng197</w:t>
        </w:r>
      </w:hyperlink>
    </w:p>
    <w:p w14:paraId="087DE158" w14:textId="77777777" w:rsidR="00CD4F5C" w:rsidRPr="007B0128" w:rsidRDefault="00CD4F5C" w:rsidP="00CD4F5C">
      <w:pPr>
        <w:spacing w:before="100" w:beforeAutospacing="1" w:after="100" w:afterAutospacing="1" w:line="240" w:lineRule="auto"/>
        <w:rPr>
          <w:rFonts w:ascii="Arial" w:hAnsi="Arial" w:cs="Arial"/>
          <w:kern w:val="0"/>
          <w:sz w:val="22"/>
          <w:szCs w:val="22"/>
          <w14:ligatures w14:val="none"/>
        </w:rPr>
      </w:pPr>
      <w:r w:rsidRPr="007B0128">
        <w:rPr>
          <w:rFonts w:ascii="Arial" w:hAnsi="Arial" w:cs="Arial"/>
          <w:kern w:val="0"/>
          <w:sz w:val="22"/>
          <w:szCs w:val="22"/>
          <w14:ligatures w14:val="none"/>
        </w:rPr>
        <w:t xml:space="preserve">NHS England (2019) </w:t>
      </w:r>
      <w:r w:rsidRPr="007B0128">
        <w:rPr>
          <w:rFonts w:ascii="Arial" w:hAnsi="Arial" w:cs="Arial"/>
          <w:i/>
          <w:iCs/>
          <w:kern w:val="0"/>
          <w:sz w:val="22"/>
          <w:szCs w:val="22"/>
          <w14:ligatures w14:val="none"/>
        </w:rPr>
        <w:t>The NHS Long Term Plan</w:t>
      </w:r>
      <w:r w:rsidRPr="007B0128">
        <w:rPr>
          <w:rFonts w:ascii="Arial" w:hAnsi="Arial" w:cs="Arial"/>
          <w:kern w:val="0"/>
          <w:sz w:val="22"/>
          <w:szCs w:val="22"/>
          <w14:ligatures w14:val="none"/>
        </w:rPr>
        <w:t xml:space="preserve">. Available at: </w:t>
      </w:r>
      <w:hyperlink r:id="rId9" w:history="1">
        <w:r w:rsidRPr="007B0128">
          <w:rPr>
            <w:rFonts w:ascii="Arial" w:hAnsi="Arial" w:cs="Arial"/>
            <w:color w:val="0000FF"/>
            <w:kern w:val="0"/>
            <w:sz w:val="22"/>
            <w:szCs w:val="22"/>
            <w:u w:val="single"/>
            <w14:ligatures w14:val="none"/>
          </w:rPr>
          <w:t>https://www.longtermplan.nhs.uk/</w:t>
        </w:r>
      </w:hyperlink>
    </w:p>
    <w:p w14:paraId="603A956E" w14:textId="77777777" w:rsidR="00CD4F5C" w:rsidRPr="007B0128" w:rsidRDefault="00CD4F5C" w:rsidP="00CD4F5C">
      <w:pPr>
        <w:spacing w:before="100" w:beforeAutospacing="1" w:after="100" w:afterAutospacing="1" w:line="240" w:lineRule="auto"/>
        <w:rPr>
          <w:rFonts w:ascii="Arial" w:hAnsi="Arial" w:cs="Arial"/>
          <w:kern w:val="0"/>
          <w:sz w:val="22"/>
          <w:szCs w:val="22"/>
          <w14:ligatures w14:val="none"/>
        </w:rPr>
      </w:pPr>
      <w:r w:rsidRPr="007B0128">
        <w:rPr>
          <w:rFonts w:ascii="Arial" w:hAnsi="Arial" w:cs="Arial"/>
          <w:kern w:val="0"/>
          <w:sz w:val="22"/>
          <w:szCs w:val="22"/>
          <w14:ligatures w14:val="none"/>
        </w:rPr>
        <w:t xml:space="preserve">NHS England (2023) </w:t>
      </w:r>
      <w:r w:rsidRPr="007B0128">
        <w:rPr>
          <w:rFonts w:ascii="Arial" w:hAnsi="Arial" w:cs="Arial"/>
          <w:i/>
          <w:iCs/>
          <w:kern w:val="0"/>
          <w:sz w:val="22"/>
          <w:szCs w:val="22"/>
          <w14:ligatures w14:val="none"/>
        </w:rPr>
        <w:t>Inclusive digital healthcare: A framework for NHS action on digital inclusion</w:t>
      </w:r>
      <w:r w:rsidRPr="007B0128">
        <w:rPr>
          <w:rFonts w:ascii="Arial" w:hAnsi="Arial" w:cs="Arial"/>
          <w:kern w:val="0"/>
          <w:sz w:val="22"/>
          <w:szCs w:val="22"/>
          <w14:ligatures w14:val="none"/>
        </w:rPr>
        <w:t xml:space="preserve">. Available at: </w:t>
      </w:r>
      <w:hyperlink r:id="rId10" w:history="1">
        <w:r w:rsidRPr="007B0128">
          <w:rPr>
            <w:rFonts w:ascii="Arial" w:hAnsi="Arial" w:cs="Arial"/>
            <w:color w:val="0000FF"/>
            <w:kern w:val="0"/>
            <w:sz w:val="22"/>
            <w:szCs w:val="22"/>
            <w:u w:val="single"/>
            <w14:ligatures w14:val="none"/>
          </w:rPr>
          <w:t>https://www.england.nhs.uk/long-read/inclusive-digital-healthcare-a-framework-for-nhs-action-on-digital-inclusion/</w:t>
        </w:r>
      </w:hyperlink>
    </w:p>
    <w:p w14:paraId="42837A19" w14:textId="77777777" w:rsidR="00CD4F5C" w:rsidRPr="007B0128" w:rsidRDefault="00CD4F5C" w:rsidP="00CD4F5C">
      <w:pPr>
        <w:spacing w:before="100" w:beforeAutospacing="1" w:after="100" w:afterAutospacing="1" w:line="240" w:lineRule="auto"/>
        <w:rPr>
          <w:rFonts w:ascii="Arial" w:hAnsi="Arial" w:cs="Arial"/>
          <w:kern w:val="0"/>
          <w:sz w:val="22"/>
          <w:szCs w:val="22"/>
          <w14:ligatures w14:val="none"/>
        </w:rPr>
      </w:pPr>
      <w:r w:rsidRPr="007B0128">
        <w:rPr>
          <w:rFonts w:ascii="Arial" w:hAnsi="Arial" w:cs="Arial"/>
          <w:kern w:val="0"/>
          <w:sz w:val="22"/>
          <w:szCs w:val="22"/>
          <w14:ligatures w14:val="none"/>
        </w:rPr>
        <w:t xml:space="preserve">OpenAI (2026) </w:t>
      </w:r>
      <w:r w:rsidRPr="007B0128">
        <w:rPr>
          <w:rFonts w:ascii="Arial" w:hAnsi="Arial" w:cs="Arial"/>
          <w:i/>
          <w:iCs/>
          <w:kern w:val="0"/>
          <w:sz w:val="22"/>
          <w:szCs w:val="22"/>
          <w14:ligatures w14:val="none"/>
        </w:rPr>
        <w:t>AI-generated image created using ChatGPT.</w:t>
      </w:r>
    </w:p>
    <w:p w14:paraId="48EFE274" w14:textId="77777777" w:rsidR="00CD4F5C" w:rsidRPr="007B0128" w:rsidRDefault="00CD4F5C" w:rsidP="00CD4F5C">
      <w:pPr>
        <w:spacing w:before="100" w:beforeAutospacing="1" w:after="100" w:afterAutospacing="1" w:line="240" w:lineRule="auto"/>
        <w:rPr>
          <w:rFonts w:ascii="Arial" w:hAnsi="Arial" w:cs="Arial"/>
          <w:kern w:val="0"/>
          <w:sz w:val="22"/>
          <w:szCs w:val="22"/>
          <w14:ligatures w14:val="none"/>
        </w:rPr>
      </w:pPr>
      <w:r w:rsidRPr="007B0128">
        <w:rPr>
          <w:rFonts w:ascii="Arial" w:hAnsi="Arial" w:cs="Arial"/>
          <w:kern w:val="0"/>
          <w:sz w:val="22"/>
          <w:szCs w:val="22"/>
          <w14:ligatures w14:val="none"/>
        </w:rPr>
        <w:t xml:space="preserve">Public Sector Bodies (Websites and Mobile Applications) (No. 2) Accessibility Regulations 2018. Available at: </w:t>
      </w:r>
      <w:hyperlink r:id="rId11" w:history="1">
        <w:r w:rsidRPr="007B0128">
          <w:rPr>
            <w:rFonts w:ascii="Arial" w:hAnsi="Arial" w:cs="Arial"/>
            <w:color w:val="0000FF"/>
            <w:kern w:val="0"/>
            <w:sz w:val="22"/>
            <w:szCs w:val="22"/>
            <w:u w:val="single"/>
            <w14:ligatures w14:val="none"/>
          </w:rPr>
          <w:t>https://www.legislation.gov.uk/uksi/2018/952/contents/made</w:t>
        </w:r>
      </w:hyperlink>
    </w:p>
    <w:p w14:paraId="35CF6005" w14:textId="77777777" w:rsidR="00CD4F5C" w:rsidRPr="007B0128" w:rsidRDefault="00CD4F5C" w:rsidP="00CD4F5C">
      <w:pPr>
        <w:spacing w:before="100" w:beforeAutospacing="1" w:after="100" w:afterAutospacing="1" w:line="240" w:lineRule="auto"/>
        <w:rPr>
          <w:rFonts w:ascii="Arial" w:hAnsi="Arial" w:cs="Arial"/>
          <w:kern w:val="0"/>
          <w:sz w:val="22"/>
          <w:szCs w:val="22"/>
          <w14:ligatures w14:val="none"/>
        </w:rPr>
      </w:pPr>
      <w:r w:rsidRPr="007B0128">
        <w:rPr>
          <w:rFonts w:ascii="Arial" w:hAnsi="Arial" w:cs="Arial"/>
          <w:kern w:val="0"/>
          <w:sz w:val="22"/>
          <w:szCs w:val="22"/>
          <w14:ligatures w14:val="none"/>
        </w:rPr>
        <w:t xml:space="preserve">UK Parliament (2018) </w:t>
      </w:r>
      <w:r w:rsidRPr="007B0128">
        <w:rPr>
          <w:rFonts w:ascii="Arial" w:hAnsi="Arial" w:cs="Arial"/>
          <w:i/>
          <w:iCs/>
          <w:kern w:val="0"/>
          <w:sz w:val="22"/>
          <w:szCs w:val="22"/>
          <w14:ligatures w14:val="none"/>
        </w:rPr>
        <w:t>Data Protection Act 2018</w:t>
      </w:r>
      <w:r w:rsidRPr="007B0128">
        <w:rPr>
          <w:rFonts w:ascii="Arial" w:hAnsi="Arial" w:cs="Arial"/>
          <w:kern w:val="0"/>
          <w:sz w:val="22"/>
          <w:szCs w:val="22"/>
          <w14:ligatures w14:val="none"/>
        </w:rPr>
        <w:t xml:space="preserve">. Available at: </w:t>
      </w:r>
      <w:hyperlink r:id="rId12" w:history="1">
        <w:r w:rsidRPr="007B0128">
          <w:rPr>
            <w:rFonts w:ascii="Arial" w:hAnsi="Arial" w:cs="Arial"/>
            <w:color w:val="0000FF"/>
            <w:kern w:val="0"/>
            <w:sz w:val="22"/>
            <w:szCs w:val="22"/>
            <w:u w:val="single"/>
            <w14:ligatures w14:val="none"/>
          </w:rPr>
          <w:t>https://www.legislation.gov.uk/ukpga/2018/12/contents</w:t>
        </w:r>
      </w:hyperlink>
    </w:p>
    <w:p w14:paraId="6FA37E86" w14:textId="77777777" w:rsidR="00CD4F5C" w:rsidRPr="007B0128" w:rsidRDefault="00CD4F5C" w:rsidP="00CD4F5C">
      <w:pPr>
        <w:spacing w:before="100" w:beforeAutospacing="1" w:after="100" w:afterAutospacing="1" w:line="240" w:lineRule="auto"/>
        <w:rPr>
          <w:rFonts w:ascii="Arial" w:hAnsi="Arial" w:cs="Arial"/>
          <w:kern w:val="0"/>
          <w:sz w:val="22"/>
          <w:szCs w:val="22"/>
          <w14:ligatures w14:val="none"/>
        </w:rPr>
      </w:pPr>
      <w:r w:rsidRPr="007B0128">
        <w:rPr>
          <w:rFonts w:ascii="Arial" w:hAnsi="Arial" w:cs="Arial"/>
          <w:kern w:val="0"/>
          <w:sz w:val="22"/>
          <w:szCs w:val="22"/>
          <w14:ligatures w14:val="none"/>
        </w:rPr>
        <w:t xml:space="preserve">World Health </w:t>
      </w:r>
      <w:proofErr w:type="spellStart"/>
      <w:r w:rsidRPr="007B0128">
        <w:rPr>
          <w:rFonts w:ascii="Arial" w:hAnsi="Arial" w:cs="Arial"/>
          <w:kern w:val="0"/>
          <w:sz w:val="22"/>
          <w:szCs w:val="22"/>
          <w14:ligatures w14:val="none"/>
        </w:rPr>
        <w:t>Organization</w:t>
      </w:r>
      <w:proofErr w:type="spellEnd"/>
      <w:r w:rsidRPr="007B0128">
        <w:rPr>
          <w:rFonts w:ascii="Arial" w:hAnsi="Arial" w:cs="Arial"/>
          <w:kern w:val="0"/>
          <w:sz w:val="22"/>
          <w:szCs w:val="22"/>
          <w14:ligatures w14:val="none"/>
        </w:rPr>
        <w:t xml:space="preserve"> (2019) </w:t>
      </w:r>
      <w:r w:rsidRPr="007B0128">
        <w:rPr>
          <w:rFonts w:ascii="Arial" w:hAnsi="Arial" w:cs="Arial"/>
          <w:i/>
          <w:iCs/>
          <w:kern w:val="0"/>
          <w:sz w:val="22"/>
          <w:szCs w:val="22"/>
          <w14:ligatures w14:val="none"/>
        </w:rPr>
        <w:t>WHO guideline: Recommendations on digital interventions for health system strengthening</w:t>
      </w:r>
      <w:r w:rsidRPr="007B0128">
        <w:rPr>
          <w:rFonts w:ascii="Arial" w:hAnsi="Arial" w:cs="Arial"/>
          <w:kern w:val="0"/>
          <w:sz w:val="22"/>
          <w:szCs w:val="22"/>
          <w14:ligatures w14:val="none"/>
        </w:rPr>
        <w:t xml:space="preserve">. Geneva: World Health </w:t>
      </w:r>
      <w:proofErr w:type="spellStart"/>
      <w:r w:rsidRPr="007B0128">
        <w:rPr>
          <w:rFonts w:ascii="Arial" w:hAnsi="Arial" w:cs="Arial"/>
          <w:kern w:val="0"/>
          <w:sz w:val="22"/>
          <w:szCs w:val="22"/>
          <w14:ligatures w14:val="none"/>
        </w:rPr>
        <w:t>Organization</w:t>
      </w:r>
      <w:proofErr w:type="spellEnd"/>
      <w:r w:rsidRPr="007B0128">
        <w:rPr>
          <w:rFonts w:ascii="Arial" w:hAnsi="Arial" w:cs="Arial"/>
          <w:kern w:val="0"/>
          <w:sz w:val="22"/>
          <w:szCs w:val="22"/>
          <w14:ligatures w14:val="none"/>
        </w:rPr>
        <w:t xml:space="preserve">. Available at: </w:t>
      </w:r>
      <w:hyperlink r:id="rId13" w:history="1">
        <w:r w:rsidRPr="007B0128">
          <w:rPr>
            <w:rFonts w:ascii="Arial" w:hAnsi="Arial" w:cs="Arial"/>
            <w:color w:val="0000FF"/>
            <w:kern w:val="0"/>
            <w:sz w:val="22"/>
            <w:szCs w:val="22"/>
            <w:u w:val="single"/>
            <w14:ligatures w14:val="none"/>
          </w:rPr>
          <w:t>https://www.who.int/publications/i/item/9789241550505</w:t>
        </w:r>
      </w:hyperlink>
    </w:p>
    <w:p w14:paraId="4FEFDB13" w14:textId="77777777" w:rsidR="00984687" w:rsidRPr="007B0128" w:rsidRDefault="00984687" w:rsidP="001B2BBF">
      <w:pPr>
        <w:rPr>
          <w:rFonts w:ascii="Arial" w:hAnsi="Arial" w:cs="Arial"/>
          <w:sz w:val="22"/>
          <w:szCs w:val="22"/>
        </w:rPr>
      </w:pPr>
    </w:p>
    <w:sectPr w:rsidR="00984687" w:rsidRPr="007B01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68F"/>
    <w:rsid w:val="000065F0"/>
    <w:rsid w:val="00025654"/>
    <w:rsid w:val="00041A02"/>
    <w:rsid w:val="0005668F"/>
    <w:rsid w:val="00064048"/>
    <w:rsid w:val="000B0D4A"/>
    <w:rsid w:val="000D208E"/>
    <w:rsid w:val="000E1ED1"/>
    <w:rsid w:val="001365A5"/>
    <w:rsid w:val="001B2BBF"/>
    <w:rsid w:val="001F09C3"/>
    <w:rsid w:val="00274597"/>
    <w:rsid w:val="002947AC"/>
    <w:rsid w:val="00294FE8"/>
    <w:rsid w:val="003410D5"/>
    <w:rsid w:val="00361823"/>
    <w:rsid w:val="0043667D"/>
    <w:rsid w:val="00443064"/>
    <w:rsid w:val="0051620A"/>
    <w:rsid w:val="00554782"/>
    <w:rsid w:val="00576312"/>
    <w:rsid w:val="005A423F"/>
    <w:rsid w:val="005D55E5"/>
    <w:rsid w:val="00644C1F"/>
    <w:rsid w:val="00664C2E"/>
    <w:rsid w:val="00665F12"/>
    <w:rsid w:val="0068028A"/>
    <w:rsid w:val="006A1ECB"/>
    <w:rsid w:val="006A3CCC"/>
    <w:rsid w:val="006C278D"/>
    <w:rsid w:val="00782E92"/>
    <w:rsid w:val="007B0128"/>
    <w:rsid w:val="007B5C09"/>
    <w:rsid w:val="007F376F"/>
    <w:rsid w:val="00816183"/>
    <w:rsid w:val="00886398"/>
    <w:rsid w:val="00984687"/>
    <w:rsid w:val="00A24780"/>
    <w:rsid w:val="00A60477"/>
    <w:rsid w:val="00AB0B02"/>
    <w:rsid w:val="00B9196D"/>
    <w:rsid w:val="00BC0483"/>
    <w:rsid w:val="00C1393B"/>
    <w:rsid w:val="00C3544F"/>
    <w:rsid w:val="00C56FF6"/>
    <w:rsid w:val="00C9329C"/>
    <w:rsid w:val="00CB642E"/>
    <w:rsid w:val="00CD4F5C"/>
    <w:rsid w:val="00D13EA1"/>
    <w:rsid w:val="00E05170"/>
    <w:rsid w:val="00E4233D"/>
    <w:rsid w:val="00E464C1"/>
    <w:rsid w:val="00E7659A"/>
    <w:rsid w:val="00F1254E"/>
    <w:rsid w:val="00F56E14"/>
    <w:rsid w:val="00F67A63"/>
    <w:rsid w:val="00FB6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EED59A"/>
  <w15:chartTrackingRefBased/>
  <w15:docId w15:val="{9522C1C9-E511-BE4A-A7F1-98A820360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6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66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66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66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66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66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66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66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66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6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66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66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66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66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66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66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66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668F"/>
    <w:rPr>
      <w:rFonts w:eastAsiaTheme="majorEastAsia" w:cstheme="majorBidi"/>
      <w:color w:val="272727" w:themeColor="text1" w:themeTint="D8"/>
    </w:rPr>
  </w:style>
  <w:style w:type="paragraph" w:styleId="Title">
    <w:name w:val="Title"/>
    <w:basedOn w:val="Normal"/>
    <w:next w:val="Normal"/>
    <w:link w:val="TitleChar"/>
    <w:uiPriority w:val="10"/>
    <w:qFormat/>
    <w:rsid w:val="000566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6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66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66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668F"/>
    <w:pPr>
      <w:spacing w:before="160"/>
      <w:jc w:val="center"/>
    </w:pPr>
    <w:rPr>
      <w:i/>
      <w:iCs/>
      <w:color w:val="404040" w:themeColor="text1" w:themeTint="BF"/>
    </w:rPr>
  </w:style>
  <w:style w:type="character" w:customStyle="1" w:styleId="QuoteChar">
    <w:name w:val="Quote Char"/>
    <w:basedOn w:val="DefaultParagraphFont"/>
    <w:link w:val="Quote"/>
    <w:uiPriority w:val="29"/>
    <w:rsid w:val="0005668F"/>
    <w:rPr>
      <w:i/>
      <w:iCs/>
      <w:color w:val="404040" w:themeColor="text1" w:themeTint="BF"/>
    </w:rPr>
  </w:style>
  <w:style w:type="paragraph" w:styleId="ListParagraph">
    <w:name w:val="List Paragraph"/>
    <w:basedOn w:val="Normal"/>
    <w:uiPriority w:val="34"/>
    <w:qFormat/>
    <w:rsid w:val="0005668F"/>
    <w:pPr>
      <w:ind w:left="720"/>
      <w:contextualSpacing/>
    </w:pPr>
  </w:style>
  <w:style w:type="character" w:styleId="IntenseEmphasis">
    <w:name w:val="Intense Emphasis"/>
    <w:basedOn w:val="DefaultParagraphFont"/>
    <w:uiPriority w:val="21"/>
    <w:qFormat/>
    <w:rsid w:val="0005668F"/>
    <w:rPr>
      <w:i/>
      <w:iCs/>
      <w:color w:val="0F4761" w:themeColor="accent1" w:themeShade="BF"/>
    </w:rPr>
  </w:style>
  <w:style w:type="paragraph" w:styleId="IntenseQuote">
    <w:name w:val="Intense Quote"/>
    <w:basedOn w:val="Normal"/>
    <w:next w:val="Normal"/>
    <w:link w:val="IntenseQuoteChar"/>
    <w:uiPriority w:val="30"/>
    <w:qFormat/>
    <w:rsid w:val="000566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668F"/>
    <w:rPr>
      <w:i/>
      <w:iCs/>
      <w:color w:val="0F4761" w:themeColor="accent1" w:themeShade="BF"/>
    </w:rPr>
  </w:style>
  <w:style w:type="character" w:styleId="IntenseReference">
    <w:name w:val="Intense Reference"/>
    <w:basedOn w:val="DefaultParagraphFont"/>
    <w:uiPriority w:val="32"/>
    <w:qFormat/>
    <w:rsid w:val="0005668F"/>
    <w:rPr>
      <w:b/>
      <w:bCs/>
      <w:smallCaps/>
      <w:color w:val="0F4761" w:themeColor="accent1" w:themeShade="BF"/>
      <w:spacing w:val="5"/>
    </w:rPr>
  </w:style>
  <w:style w:type="paragraph" w:customStyle="1" w:styleId="p1">
    <w:name w:val="p1"/>
    <w:basedOn w:val="Normal"/>
    <w:rsid w:val="0005668F"/>
    <w:pPr>
      <w:spacing w:after="0" w:line="240" w:lineRule="auto"/>
    </w:pPr>
    <w:rPr>
      <w:rFonts w:ascii="Times New Roman" w:hAnsi="Times New Roman" w:cs="Times New Roman"/>
      <w:kern w:val="0"/>
      <w14:ligatures w14:val="none"/>
    </w:rPr>
  </w:style>
  <w:style w:type="paragraph" w:customStyle="1" w:styleId="p2">
    <w:name w:val="p2"/>
    <w:basedOn w:val="Normal"/>
    <w:rsid w:val="0005668F"/>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05668F"/>
    <w:rPr>
      <w:rFonts w:ascii="Helvetica" w:hAnsi="Helvetica" w:hint="default"/>
      <w:b w:val="0"/>
      <w:bCs w:val="0"/>
      <w:i w:val="0"/>
      <w:iCs w:val="0"/>
      <w:sz w:val="18"/>
      <w:szCs w:val="18"/>
    </w:rPr>
  </w:style>
  <w:style w:type="character" w:customStyle="1" w:styleId="s2">
    <w:name w:val="s2"/>
    <w:basedOn w:val="DefaultParagraphFont"/>
    <w:rsid w:val="00CD4F5C"/>
  </w:style>
  <w:style w:type="character" w:styleId="Hyperlink">
    <w:name w:val="Hyperlink"/>
    <w:basedOn w:val="DefaultParagraphFont"/>
    <w:uiPriority w:val="99"/>
    <w:semiHidden/>
    <w:unhideWhenUsed/>
    <w:rsid w:val="00CD4F5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197" TargetMode="External"/><Relationship Id="rId13" Type="http://schemas.openxmlformats.org/officeDocument/2006/relationships/hyperlink" Target="https://www.who.int/publications/i/item/9789241550505" TargetMode="External"/><Relationship Id="rId3" Type="http://schemas.openxmlformats.org/officeDocument/2006/relationships/webSettings" Target="webSettings.xml"/><Relationship Id="rId7" Type="http://schemas.openxmlformats.org/officeDocument/2006/relationships/hyperlink" Target="https://fonts.google.com/icons" TargetMode="External"/><Relationship Id="rId12" Type="http://schemas.openxmlformats.org/officeDocument/2006/relationships/hyperlink" Target="https://www.legislation.gov.uk/ukpga/2018/12/cont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dthingsfoundation.org/the-digital-divide/" TargetMode="External"/><Relationship Id="rId11" Type="http://schemas.openxmlformats.org/officeDocument/2006/relationships/hyperlink" Target="https://www.legislation.gov.uk/uksi/2018/952/contents/made" TargetMode="External"/><Relationship Id="rId5" Type="http://schemas.openxmlformats.org/officeDocument/2006/relationships/hyperlink" Target="https://www.gov.uk/government/publications/a-plan-for-digital-health-and-social-care" TargetMode="External"/><Relationship Id="rId15" Type="http://schemas.openxmlformats.org/officeDocument/2006/relationships/theme" Target="theme/theme1.xml"/><Relationship Id="rId10" Type="http://schemas.openxmlformats.org/officeDocument/2006/relationships/hyperlink" Target="https://www.england.nhs.uk/long-read/inclusive-digital-healthcare-a-framework-for-nhs-action-on-digital-inclusion/" TargetMode="External"/><Relationship Id="rId4" Type="http://schemas.openxmlformats.org/officeDocument/2006/relationships/image" Target="media/image1.png"/><Relationship Id="rId9" Type="http://schemas.openxmlformats.org/officeDocument/2006/relationships/hyperlink" Target="https://www.longtermplan.nhs.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1720</Words>
  <Characters>9804</Characters>
  <Application>Microsoft Office Word</Application>
  <DocSecurity>0</DocSecurity>
  <Lines>81</Lines>
  <Paragraphs>23</Paragraphs>
  <ScaleCrop>false</ScaleCrop>
  <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 Lissa</dc:creator>
  <cp:keywords/>
  <dc:description/>
  <cp:lastModifiedBy>Alexa Lissa</cp:lastModifiedBy>
  <cp:revision>2</cp:revision>
  <dcterms:created xsi:type="dcterms:W3CDTF">2026-07-18T21:32:00Z</dcterms:created>
  <dcterms:modified xsi:type="dcterms:W3CDTF">2026-07-18T21:32:00Z</dcterms:modified>
</cp:coreProperties>
</file>