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C104F" w14:textId="57BCEEF9" w:rsidR="00B151A8" w:rsidRPr="00E63A22" w:rsidRDefault="00E63A22" w:rsidP="00E63A22">
      <w:pPr>
        <w:spacing w:line="360" w:lineRule="auto"/>
        <w:rPr>
          <w:rFonts w:ascii="Arial" w:hAnsi="Arial" w:cs="Arial"/>
          <w:b/>
          <w:bCs/>
          <w:sz w:val="36"/>
          <w:szCs w:val="36"/>
        </w:rPr>
      </w:pPr>
      <w:r w:rsidRPr="00E63A22">
        <w:rPr>
          <w:rFonts w:ascii="Arial" w:hAnsi="Arial" w:cs="Arial"/>
          <w:b/>
          <w:bCs/>
          <w:sz w:val="36"/>
          <w:szCs w:val="36"/>
        </w:rPr>
        <w:t>Financial Management for the Hotel Industry</w:t>
      </w:r>
    </w:p>
    <w:p w14:paraId="3A5931CE" w14:textId="44BE737A" w:rsidR="00E63A22" w:rsidRDefault="00E63A22" w:rsidP="00E63A22">
      <w:pPr>
        <w:spacing w:line="360" w:lineRule="auto"/>
        <w:rPr>
          <w:rFonts w:ascii="Arial" w:hAnsi="Arial" w:cs="Arial"/>
          <w:b/>
          <w:bCs/>
          <w:sz w:val="36"/>
          <w:szCs w:val="36"/>
        </w:rPr>
      </w:pPr>
      <w:r w:rsidRPr="00E63A22">
        <w:rPr>
          <w:rFonts w:ascii="Arial" w:hAnsi="Arial" w:cs="Arial"/>
          <w:b/>
          <w:bCs/>
          <w:sz w:val="36"/>
          <w:szCs w:val="36"/>
        </w:rPr>
        <w:t>BMIH5007</w:t>
      </w:r>
    </w:p>
    <w:p w14:paraId="4D01A829" w14:textId="77777777" w:rsidR="00E63A22" w:rsidRDefault="00E63A22" w:rsidP="00E63A22">
      <w:pPr>
        <w:spacing w:line="360" w:lineRule="auto"/>
        <w:rPr>
          <w:rFonts w:ascii="Arial" w:hAnsi="Arial" w:cs="Arial"/>
          <w:b/>
          <w:bCs/>
          <w:sz w:val="36"/>
          <w:szCs w:val="36"/>
        </w:rPr>
      </w:pPr>
    </w:p>
    <w:p w14:paraId="49DEAE8E" w14:textId="50E35747" w:rsidR="00E63A22" w:rsidRPr="00E63A22" w:rsidRDefault="00E63A22" w:rsidP="00E63A22">
      <w:pPr>
        <w:spacing w:line="360" w:lineRule="auto"/>
        <w:rPr>
          <w:rFonts w:ascii="Arial" w:hAnsi="Arial" w:cs="Arial"/>
          <w:b/>
          <w:bCs/>
          <w:sz w:val="36"/>
          <w:szCs w:val="36"/>
        </w:rPr>
      </w:pPr>
      <w:r w:rsidRPr="00E63A22">
        <w:rPr>
          <w:rFonts w:ascii="Arial" w:hAnsi="Arial" w:cs="Arial"/>
          <w:sz w:val="28"/>
          <w:szCs w:val="28"/>
        </w:rPr>
        <w:t>Business Report - Comparison of Two Hospitality Organisations</w:t>
      </w:r>
    </w:p>
    <w:p w14:paraId="04060B35" w14:textId="77777777" w:rsidR="00E63A22" w:rsidRDefault="00E63A22" w:rsidP="00E63A22">
      <w:pPr>
        <w:spacing w:line="360" w:lineRule="auto"/>
        <w:rPr>
          <w:rFonts w:ascii="Arial" w:hAnsi="Arial" w:cs="Arial"/>
          <w:b/>
          <w:bCs/>
          <w:sz w:val="28"/>
          <w:szCs w:val="28"/>
        </w:rPr>
      </w:pPr>
    </w:p>
    <w:p w14:paraId="534EAC17" w14:textId="77777777" w:rsidR="00E63A22" w:rsidRDefault="00E63A22" w:rsidP="00E63A22">
      <w:pPr>
        <w:spacing w:line="360" w:lineRule="auto"/>
        <w:rPr>
          <w:rFonts w:ascii="Arial" w:hAnsi="Arial" w:cs="Arial"/>
          <w:b/>
          <w:bCs/>
          <w:sz w:val="28"/>
          <w:szCs w:val="28"/>
        </w:rPr>
      </w:pPr>
    </w:p>
    <w:p w14:paraId="2FD1D7C4" w14:textId="77777777" w:rsidR="00E63A22" w:rsidRDefault="00E63A22" w:rsidP="00E63A22">
      <w:pPr>
        <w:spacing w:line="360" w:lineRule="auto"/>
        <w:rPr>
          <w:rFonts w:ascii="Arial" w:hAnsi="Arial" w:cs="Arial"/>
          <w:b/>
          <w:bCs/>
          <w:sz w:val="28"/>
          <w:szCs w:val="28"/>
        </w:rPr>
      </w:pPr>
    </w:p>
    <w:p w14:paraId="1A97E6DE" w14:textId="77777777" w:rsidR="00E63A22" w:rsidRDefault="00E63A22" w:rsidP="00E63A22">
      <w:pPr>
        <w:spacing w:line="360" w:lineRule="auto"/>
        <w:rPr>
          <w:rFonts w:ascii="Arial" w:hAnsi="Arial" w:cs="Arial"/>
          <w:b/>
          <w:bCs/>
          <w:sz w:val="28"/>
          <w:szCs w:val="28"/>
        </w:rPr>
      </w:pPr>
    </w:p>
    <w:p w14:paraId="6CE2D417" w14:textId="77777777" w:rsidR="00E63A22" w:rsidRPr="00E63A22" w:rsidRDefault="00E63A22" w:rsidP="00E63A22">
      <w:pPr>
        <w:spacing w:line="360" w:lineRule="auto"/>
        <w:rPr>
          <w:rFonts w:ascii="Arial" w:hAnsi="Arial" w:cs="Arial"/>
          <w:b/>
          <w:bCs/>
          <w:sz w:val="28"/>
          <w:szCs w:val="28"/>
        </w:rPr>
      </w:pPr>
    </w:p>
    <w:p w14:paraId="47AC3C5E" w14:textId="148143FE" w:rsidR="00E63A22" w:rsidRDefault="00E63A22" w:rsidP="00E63A22">
      <w:pPr>
        <w:spacing w:line="360" w:lineRule="auto"/>
        <w:rPr>
          <w:rFonts w:ascii="Arial" w:hAnsi="Arial" w:cs="Arial"/>
          <w:sz w:val="28"/>
          <w:szCs w:val="28"/>
        </w:rPr>
      </w:pPr>
      <w:r w:rsidRPr="00E63A22">
        <w:rPr>
          <w:rFonts w:ascii="Arial" w:hAnsi="Arial" w:cs="Arial"/>
          <w:b/>
          <w:bCs/>
          <w:sz w:val="28"/>
          <w:szCs w:val="28"/>
        </w:rPr>
        <w:t>Lecturers:</w:t>
      </w:r>
      <w:r w:rsidRPr="00E63A22">
        <w:rPr>
          <w:rFonts w:ascii="Arial" w:hAnsi="Arial" w:cs="Arial"/>
          <w:sz w:val="28"/>
          <w:szCs w:val="28"/>
        </w:rPr>
        <w:t xml:space="preserve"> Tristan Hawkins</w:t>
      </w:r>
    </w:p>
    <w:p w14:paraId="15547EA2" w14:textId="7966CFDB" w:rsidR="00E63A22" w:rsidRDefault="00E63A22" w:rsidP="00E63A22">
      <w:pPr>
        <w:spacing w:line="360" w:lineRule="auto"/>
        <w:rPr>
          <w:rFonts w:ascii="Arial" w:hAnsi="Arial" w:cs="Arial"/>
          <w:sz w:val="28"/>
          <w:szCs w:val="28"/>
        </w:rPr>
      </w:pPr>
      <w:r w:rsidRPr="00E63A22">
        <w:rPr>
          <w:rFonts w:ascii="Arial" w:hAnsi="Arial" w:cs="Arial"/>
          <w:b/>
          <w:bCs/>
          <w:sz w:val="28"/>
          <w:szCs w:val="28"/>
        </w:rPr>
        <w:t>Student name:</w:t>
      </w:r>
      <w:r>
        <w:rPr>
          <w:rFonts w:ascii="Arial" w:hAnsi="Arial" w:cs="Arial"/>
          <w:sz w:val="28"/>
          <w:szCs w:val="28"/>
        </w:rPr>
        <w:t xml:space="preserve"> </w:t>
      </w:r>
      <w:r w:rsidR="008C0729">
        <w:rPr>
          <w:rFonts w:ascii="Arial" w:hAnsi="Arial" w:cs="Arial"/>
          <w:sz w:val="28"/>
          <w:szCs w:val="28"/>
        </w:rPr>
        <w:t>Roxana-Mihaela Panainte</w:t>
      </w:r>
    </w:p>
    <w:p w14:paraId="24D659D5" w14:textId="07B0A996" w:rsidR="00E63A22" w:rsidRDefault="00E63A22" w:rsidP="00E63A22">
      <w:pPr>
        <w:spacing w:line="360" w:lineRule="auto"/>
        <w:rPr>
          <w:rFonts w:ascii="Arial" w:hAnsi="Arial" w:cs="Arial"/>
          <w:sz w:val="28"/>
          <w:szCs w:val="28"/>
        </w:rPr>
      </w:pPr>
      <w:r w:rsidRPr="00E63A22">
        <w:rPr>
          <w:rFonts w:ascii="Arial" w:hAnsi="Arial" w:cs="Arial"/>
          <w:b/>
          <w:bCs/>
          <w:sz w:val="28"/>
          <w:szCs w:val="28"/>
        </w:rPr>
        <w:t>Student id:</w:t>
      </w:r>
      <w:r>
        <w:rPr>
          <w:rFonts w:ascii="Arial" w:hAnsi="Arial" w:cs="Arial"/>
          <w:sz w:val="28"/>
          <w:szCs w:val="28"/>
        </w:rPr>
        <w:t xml:space="preserve"> </w:t>
      </w:r>
      <w:r w:rsidR="008C0729" w:rsidRPr="008C0729">
        <w:rPr>
          <w:rFonts w:ascii="Arial" w:hAnsi="Arial" w:cs="Arial"/>
          <w:sz w:val="28"/>
          <w:szCs w:val="28"/>
        </w:rPr>
        <w:t>2219073</w:t>
      </w:r>
    </w:p>
    <w:p w14:paraId="2BABA016" w14:textId="79822FAF" w:rsidR="00E63A22" w:rsidRPr="00E63A22" w:rsidRDefault="00E63A22" w:rsidP="00E63A22">
      <w:pPr>
        <w:spacing w:line="360" w:lineRule="auto"/>
        <w:rPr>
          <w:rFonts w:ascii="Arial" w:hAnsi="Arial" w:cs="Arial"/>
          <w:b/>
          <w:bCs/>
          <w:sz w:val="28"/>
          <w:szCs w:val="28"/>
        </w:rPr>
      </w:pPr>
      <w:r w:rsidRPr="00E63A22">
        <w:rPr>
          <w:rFonts w:ascii="Arial" w:hAnsi="Arial" w:cs="Arial"/>
          <w:b/>
          <w:bCs/>
          <w:sz w:val="28"/>
          <w:szCs w:val="28"/>
        </w:rPr>
        <w:t>Word count:</w:t>
      </w:r>
      <w:r w:rsidR="00E56861" w:rsidRPr="00E56861">
        <w:rPr>
          <w:rFonts w:ascii="Arial" w:hAnsi="Arial" w:cs="Arial"/>
          <w:sz w:val="28"/>
          <w:szCs w:val="28"/>
        </w:rPr>
        <w:t xml:space="preserve"> 2010</w:t>
      </w:r>
    </w:p>
    <w:p w14:paraId="338293DA" w14:textId="77777777" w:rsidR="00E63A22" w:rsidRDefault="00E63A22" w:rsidP="00E63A22">
      <w:pPr>
        <w:spacing w:line="360" w:lineRule="auto"/>
        <w:rPr>
          <w:rFonts w:ascii="Arial" w:hAnsi="Arial" w:cs="Arial"/>
          <w:b/>
          <w:bCs/>
          <w:sz w:val="28"/>
          <w:szCs w:val="28"/>
        </w:rPr>
      </w:pPr>
    </w:p>
    <w:p w14:paraId="3D12189A" w14:textId="77777777" w:rsidR="00E63A22" w:rsidRDefault="00E63A22" w:rsidP="00E63A22">
      <w:pPr>
        <w:spacing w:line="360" w:lineRule="auto"/>
        <w:rPr>
          <w:rFonts w:ascii="Arial" w:hAnsi="Arial" w:cs="Arial"/>
          <w:b/>
          <w:bCs/>
          <w:sz w:val="28"/>
          <w:szCs w:val="28"/>
        </w:rPr>
      </w:pPr>
    </w:p>
    <w:p w14:paraId="04B191EB" w14:textId="77777777" w:rsidR="00E63A22" w:rsidRDefault="00E63A22" w:rsidP="00E63A22">
      <w:pPr>
        <w:spacing w:line="360" w:lineRule="auto"/>
        <w:rPr>
          <w:rFonts w:ascii="Arial" w:hAnsi="Arial" w:cs="Arial"/>
          <w:b/>
          <w:bCs/>
          <w:sz w:val="28"/>
          <w:szCs w:val="28"/>
        </w:rPr>
      </w:pPr>
    </w:p>
    <w:p w14:paraId="0E1CB944" w14:textId="77777777" w:rsidR="00E63A22" w:rsidRDefault="00E63A22" w:rsidP="00E63A22">
      <w:pPr>
        <w:spacing w:line="360" w:lineRule="auto"/>
        <w:rPr>
          <w:rFonts w:ascii="Arial" w:hAnsi="Arial" w:cs="Arial"/>
          <w:b/>
          <w:bCs/>
          <w:sz w:val="28"/>
          <w:szCs w:val="28"/>
        </w:rPr>
      </w:pPr>
    </w:p>
    <w:p w14:paraId="2ADCEEAD" w14:textId="77777777" w:rsidR="00E63A22" w:rsidRDefault="00E63A22" w:rsidP="00E63A22">
      <w:pPr>
        <w:spacing w:line="360" w:lineRule="auto"/>
        <w:rPr>
          <w:rFonts w:ascii="Arial" w:hAnsi="Arial" w:cs="Arial"/>
          <w:b/>
          <w:bCs/>
          <w:sz w:val="28"/>
          <w:szCs w:val="28"/>
        </w:rPr>
      </w:pPr>
    </w:p>
    <w:p w14:paraId="09DD3684" w14:textId="77777777" w:rsidR="00E63A22" w:rsidRDefault="00E63A22" w:rsidP="00E63A22">
      <w:pPr>
        <w:spacing w:line="360" w:lineRule="auto"/>
        <w:rPr>
          <w:rFonts w:ascii="Arial" w:hAnsi="Arial" w:cs="Arial"/>
          <w:b/>
          <w:bCs/>
          <w:sz w:val="28"/>
          <w:szCs w:val="28"/>
        </w:rPr>
      </w:pPr>
    </w:p>
    <w:p w14:paraId="2334D190" w14:textId="77777777" w:rsidR="00E63A22" w:rsidRDefault="00E63A22" w:rsidP="00E63A22">
      <w:pPr>
        <w:spacing w:line="360" w:lineRule="auto"/>
        <w:rPr>
          <w:rFonts w:ascii="Arial" w:hAnsi="Arial" w:cs="Arial"/>
          <w:b/>
          <w:bCs/>
          <w:sz w:val="28"/>
          <w:szCs w:val="28"/>
        </w:rPr>
      </w:pPr>
    </w:p>
    <w:p w14:paraId="53EAAC47" w14:textId="77777777" w:rsidR="00E63A22" w:rsidRDefault="00E63A22" w:rsidP="00E63A22">
      <w:pPr>
        <w:spacing w:line="360" w:lineRule="auto"/>
        <w:rPr>
          <w:rFonts w:ascii="Arial" w:hAnsi="Arial" w:cs="Arial"/>
          <w:b/>
          <w:bCs/>
          <w:sz w:val="28"/>
          <w:szCs w:val="28"/>
        </w:rPr>
      </w:pPr>
    </w:p>
    <w:sdt>
      <w:sdtPr>
        <w:rPr>
          <w:rFonts w:asciiTheme="minorHAnsi" w:eastAsiaTheme="minorHAnsi" w:hAnsiTheme="minorHAnsi" w:cstheme="minorBidi"/>
          <w:color w:val="auto"/>
          <w:kern w:val="2"/>
          <w:sz w:val="22"/>
          <w:szCs w:val="22"/>
          <w:lang w:val="en-GB"/>
          <w14:ligatures w14:val="standardContextual"/>
        </w:rPr>
        <w:id w:val="-2079046931"/>
        <w:docPartObj>
          <w:docPartGallery w:val="Table of Contents"/>
          <w:docPartUnique/>
        </w:docPartObj>
      </w:sdtPr>
      <w:sdtEndPr>
        <w:rPr>
          <w:b/>
          <w:bCs/>
          <w:noProof/>
        </w:rPr>
      </w:sdtEndPr>
      <w:sdtContent>
        <w:p w14:paraId="58BC97B4" w14:textId="2302EB51" w:rsidR="00B0714B" w:rsidRPr="00B0714B" w:rsidRDefault="00B0714B" w:rsidP="00B0714B">
          <w:pPr>
            <w:pStyle w:val="TOCHeading"/>
            <w:spacing w:line="360" w:lineRule="auto"/>
            <w:rPr>
              <w:rFonts w:ascii="Arial" w:hAnsi="Arial" w:cs="Arial"/>
            </w:rPr>
          </w:pPr>
          <w:r w:rsidRPr="00B0714B">
            <w:rPr>
              <w:rFonts w:ascii="Arial" w:hAnsi="Arial" w:cs="Arial"/>
            </w:rPr>
            <w:t>Table of Contents</w:t>
          </w:r>
        </w:p>
        <w:p w14:paraId="425CD093" w14:textId="4B821CC7" w:rsidR="00B0714B" w:rsidRPr="00B0714B" w:rsidRDefault="00B0714B" w:rsidP="00B0714B">
          <w:pPr>
            <w:pStyle w:val="TOC1"/>
            <w:tabs>
              <w:tab w:val="left" w:pos="480"/>
              <w:tab w:val="right" w:leader="dot" w:pos="9016"/>
            </w:tabs>
            <w:spacing w:line="360" w:lineRule="auto"/>
            <w:rPr>
              <w:rFonts w:ascii="Arial" w:hAnsi="Arial" w:cs="Arial"/>
              <w:noProof/>
            </w:rPr>
          </w:pPr>
          <w:r w:rsidRPr="00B0714B">
            <w:rPr>
              <w:rFonts w:ascii="Arial" w:hAnsi="Arial" w:cs="Arial"/>
            </w:rPr>
            <w:fldChar w:fldCharType="begin"/>
          </w:r>
          <w:r w:rsidRPr="00B0714B">
            <w:rPr>
              <w:rFonts w:ascii="Arial" w:hAnsi="Arial" w:cs="Arial"/>
            </w:rPr>
            <w:instrText xml:space="preserve"> TOC \o "1-3" \h \z \u </w:instrText>
          </w:r>
          <w:r w:rsidRPr="00B0714B">
            <w:rPr>
              <w:rFonts w:ascii="Arial" w:hAnsi="Arial" w:cs="Arial"/>
            </w:rPr>
            <w:fldChar w:fldCharType="separate"/>
          </w:r>
          <w:hyperlink w:anchor="_Toc166013393" w:history="1">
            <w:r w:rsidRPr="00B0714B">
              <w:rPr>
                <w:rStyle w:val="Hyperlink"/>
                <w:rFonts w:ascii="Arial" w:hAnsi="Arial" w:cs="Arial"/>
                <w:noProof/>
              </w:rPr>
              <w:t>1.</w:t>
            </w:r>
            <w:r w:rsidRPr="00B0714B">
              <w:rPr>
                <w:rFonts w:ascii="Arial" w:hAnsi="Arial" w:cs="Arial"/>
                <w:noProof/>
              </w:rPr>
              <w:tab/>
            </w:r>
            <w:r w:rsidRPr="00B0714B">
              <w:rPr>
                <w:rStyle w:val="Hyperlink"/>
                <w:rFonts w:ascii="Arial" w:hAnsi="Arial" w:cs="Arial"/>
                <w:noProof/>
              </w:rPr>
              <w:t>Introduction</w:t>
            </w:r>
            <w:r w:rsidRPr="00B0714B">
              <w:rPr>
                <w:rFonts w:ascii="Arial" w:hAnsi="Arial" w:cs="Arial"/>
                <w:noProof/>
                <w:webHidden/>
              </w:rPr>
              <w:tab/>
            </w:r>
            <w:r w:rsidRPr="00B0714B">
              <w:rPr>
                <w:rFonts w:ascii="Arial" w:hAnsi="Arial" w:cs="Arial"/>
                <w:noProof/>
                <w:webHidden/>
              </w:rPr>
              <w:fldChar w:fldCharType="begin"/>
            </w:r>
            <w:r w:rsidRPr="00B0714B">
              <w:rPr>
                <w:rFonts w:ascii="Arial" w:hAnsi="Arial" w:cs="Arial"/>
                <w:noProof/>
                <w:webHidden/>
              </w:rPr>
              <w:instrText xml:space="preserve"> PAGEREF _Toc166013393 \h </w:instrText>
            </w:r>
            <w:r w:rsidRPr="00B0714B">
              <w:rPr>
                <w:rFonts w:ascii="Arial" w:hAnsi="Arial" w:cs="Arial"/>
                <w:noProof/>
                <w:webHidden/>
              </w:rPr>
            </w:r>
            <w:r w:rsidRPr="00B0714B">
              <w:rPr>
                <w:rFonts w:ascii="Arial" w:hAnsi="Arial" w:cs="Arial"/>
                <w:noProof/>
                <w:webHidden/>
              </w:rPr>
              <w:fldChar w:fldCharType="separate"/>
            </w:r>
            <w:r w:rsidR="00E56861">
              <w:rPr>
                <w:rFonts w:ascii="Arial" w:hAnsi="Arial" w:cs="Arial"/>
                <w:noProof/>
                <w:webHidden/>
              </w:rPr>
              <w:t>3</w:t>
            </w:r>
            <w:r w:rsidRPr="00B0714B">
              <w:rPr>
                <w:rFonts w:ascii="Arial" w:hAnsi="Arial" w:cs="Arial"/>
                <w:noProof/>
                <w:webHidden/>
              </w:rPr>
              <w:fldChar w:fldCharType="end"/>
            </w:r>
          </w:hyperlink>
        </w:p>
        <w:p w14:paraId="7DBA6001" w14:textId="099E1128"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4" w:history="1">
            <w:r w:rsidR="00B0714B" w:rsidRPr="00B0714B">
              <w:rPr>
                <w:rStyle w:val="Hyperlink"/>
                <w:rFonts w:ascii="Arial" w:eastAsia="Times New Roman" w:hAnsi="Arial" w:cs="Arial"/>
                <w:noProof/>
              </w:rPr>
              <w:t>2.</w:t>
            </w:r>
            <w:r w:rsidR="00B0714B" w:rsidRPr="00B0714B">
              <w:rPr>
                <w:rFonts w:ascii="Arial" w:hAnsi="Arial" w:cs="Arial"/>
                <w:noProof/>
              </w:rPr>
              <w:tab/>
            </w:r>
            <w:r w:rsidR="00B0714B" w:rsidRPr="00B0714B">
              <w:rPr>
                <w:rStyle w:val="Hyperlink"/>
                <w:rFonts w:ascii="Arial" w:eastAsia="Times New Roman" w:hAnsi="Arial" w:cs="Arial"/>
                <w:noProof/>
              </w:rPr>
              <w:t>Revenue analysis</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_Toc166013394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3</w:t>
            </w:r>
            <w:r w:rsidR="00B0714B" w:rsidRPr="00B0714B">
              <w:rPr>
                <w:rFonts w:ascii="Arial" w:hAnsi="Arial" w:cs="Arial"/>
                <w:noProof/>
                <w:webHidden/>
              </w:rPr>
              <w:fldChar w:fldCharType="end"/>
            </w:r>
          </w:hyperlink>
        </w:p>
        <w:p w14:paraId="720206F0" w14:textId="291F5C8B"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5" w:history="1">
            <w:r w:rsidR="00B0714B" w:rsidRPr="00B0714B">
              <w:rPr>
                <w:rStyle w:val="Hyperlink"/>
                <w:rFonts w:ascii="Arial" w:eastAsia="Times New Roman" w:hAnsi="Arial" w:cs="Arial"/>
                <w:noProof/>
              </w:rPr>
              <w:t>3.</w:t>
            </w:r>
            <w:r w:rsidR="00B0714B" w:rsidRPr="00B0714B">
              <w:rPr>
                <w:rFonts w:ascii="Arial" w:hAnsi="Arial" w:cs="Arial"/>
                <w:noProof/>
              </w:rPr>
              <w:tab/>
            </w:r>
            <w:r w:rsidR="00B0714B" w:rsidRPr="00B0714B">
              <w:rPr>
                <w:rStyle w:val="Hyperlink"/>
                <w:rFonts w:ascii="Arial" w:eastAsia="Times New Roman" w:hAnsi="Arial" w:cs="Arial"/>
                <w:noProof/>
              </w:rPr>
              <w:t>Market position</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_Toc166013395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5</w:t>
            </w:r>
            <w:r w:rsidR="00B0714B" w:rsidRPr="00B0714B">
              <w:rPr>
                <w:rFonts w:ascii="Arial" w:hAnsi="Arial" w:cs="Arial"/>
                <w:noProof/>
                <w:webHidden/>
              </w:rPr>
              <w:fldChar w:fldCharType="end"/>
            </w:r>
          </w:hyperlink>
        </w:p>
        <w:p w14:paraId="52D119B3" w14:textId="071A706E"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6" w:history="1">
            <w:r w:rsidR="00B0714B" w:rsidRPr="00B0714B">
              <w:rPr>
                <w:rStyle w:val="Hyperlink"/>
                <w:rFonts w:ascii="Arial" w:eastAsia="Times New Roman" w:hAnsi="Arial" w:cs="Arial"/>
                <w:noProof/>
              </w:rPr>
              <w:t>4.</w:t>
            </w:r>
            <w:r w:rsidR="00B0714B" w:rsidRPr="00B0714B">
              <w:rPr>
                <w:rFonts w:ascii="Arial" w:hAnsi="Arial" w:cs="Arial"/>
                <w:noProof/>
              </w:rPr>
              <w:tab/>
            </w:r>
            <w:r w:rsidR="00B0714B" w:rsidRPr="00B0714B">
              <w:rPr>
                <w:rStyle w:val="Hyperlink"/>
                <w:rFonts w:ascii="Arial" w:eastAsia="Times New Roman" w:hAnsi="Arial" w:cs="Arial"/>
                <w:noProof/>
              </w:rPr>
              <w:t>Growth potential</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_Toc166013396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6</w:t>
            </w:r>
            <w:r w:rsidR="00B0714B" w:rsidRPr="00B0714B">
              <w:rPr>
                <w:rFonts w:ascii="Arial" w:hAnsi="Arial" w:cs="Arial"/>
                <w:noProof/>
                <w:webHidden/>
              </w:rPr>
              <w:fldChar w:fldCharType="end"/>
            </w:r>
          </w:hyperlink>
        </w:p>
        <w:p w14:paraId="3AD3D340" w14:textId="74D85E30"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7" w:history="1">
            <w:r w:rsidR="00B0714B" w:rsidRPr="00B0714B">
              <w:rPr>
                <w:rStyle w:val="Hyperlink"/>
                <w:rFonts w:ascii="Arial" w:eastAsia="Times New Roman" w:hAnsi="Arial" w:cs="Arial"/>
                <w:noProof/>
              </w:rPr>
              <w:t>5.</w:t>
            </w:r>
            <w:r w:rsidR="00B0714B" w:rsidRPr="00B0714B">
              <w:rPr>
                <w:rFonts w:ascii="Arial" w:hAnsi="Arial" w:cs="Arial"/>
                <w:noProof/>
              </w:rPr>
              <w:tab/>
            </w:r>
            <w:r w:rsidR="00B0714B" w:rsidRPr="00B0714B">
              <w:rPr>
                <w:rStyle w:val="Hyperlink"/>
                <w:rFonts w:ascii="Arial" w:eastAsia="Times New Roman" w:hAnsi="Arial" w:cs="Arial"/>
                <w:noProof/>
              </w:rPr>
              <w:t>Financial commitment to CSR</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_Toc166013397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7</w:t>
            </w:r>
            <w:r w:rsidR="00B0714B" w:rsidRPr="00B0714B">
              <w:rPr>
                <w:rFonts w:ascii="Arial" w:hAnsi="Arial" w:cs="Arial"/>
                <w:noProof/>
                <w:webHidden/>
              </w:rPr>
              <w:fldChar w:fldCharType="end"/>
            </w:r>
          </w:hyperlink>
        </w:p>
        <w:p w14:paraId="6B5C1550" w14:textId="0E9B99CF"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8" w:history="1">
            <w:r w:rsidR="00B0714B" w:rsidRPr="00B0714B">
              <w:rPr>
                <w:rStyle w:val="Hyperlink"/>
                <w:rFonts w:ascii="Arial" w:eastAsia="Times New Roman" w:hAnsi="Arial" w:cs="Arial"/>
                <w:noProof/>
              </w:rPr>
              <w:t>6.</w:t>
            </w:r>
            <w:r w:rsidR="00B0714B" w:rsidRPr="00B0714B">
              <w:rPr>
                <w:rFonts w:ascii="Arial" w:hAnsi="Arial" w:cs="Arial"/>
                <w:noProof/>
              </w:rPr>
              <w:tab/>
            </w:r>
            <w:r w:rsidR="00B0714B" w:rsidRPr="00B0714B">
              <w:rPr>
                <w:rStyle w:val="Hyperlink"/>
                <w:rFonts w:ascii="Arial" w:eastAsia="Times New Roman" w:hAnsi="Arial" w:cs="Arial"/>
                <w:noProof/>
              </w:rPr>
              <w:t>Conclusion</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_Toc166013398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9</w:t>
            </w:r>
            <w:r w:rsidR="00B0714B" w:rsidRPr="00B0714B">
              <w:rPr>
                <w:rFonts w:ascii="Arial" w:hAnsi="Arial" w:cs="Arial"/>
                <w:noProof/>
                <w:webHidden/>
              </w:rPr>
              <w:fldChar w:fldCharType="end"/>
            </w:r>
          </w:hyperlink>
        </w:p>
        <w:p w14:paraId="46AAA0D0" w14:textId="75BDDFEC"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399" w:history="1">
            <w:r w:rsidR="00B0714B" w:rsidRPr="00B0714B">
              <w:rPr>
                <w:rStyle w:val="Hyperlink"/>
                <w:rFonts w:ascii="Arial" w:eastAsia="Times New Roman" w:hAnsi="Arial" w:cs="Arial"/>
                <w:noProof/>
              </w:rPr>
              <w:t>7.</w:t>
            </w:r>
            <w:r w:rsidR="00B0714B" w:rsidRPr="00B0714B">
              <w:rPr>
                <w:rFonts w:ascii="Arial" w:hAnsi="Arial" w:cs="Arial"/>
                <w:noProof/>
              </w:rPr>
              <w:tab/>
            </w:r>
            <w:r w:rsidR="00B0714B" w:rsidRPr="00B0714B">
              <w:rPr>
                <w:rStyle w:val="Hyperlink"/>
                <w:rFonts w:ascii="Arial" w:eastAsia="Times New Roman" w:hAnsi="Arial" w:cs="Arial"/>
                <w:noProof/>
              </w:rPr>
              <w:t>Recommendations</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_Toc166013399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10</w:t>
            </w:r>
            <w:r w:rsidR="00B0714B" w:rsidRPr="00B0714B">
              <w:rPr>
                <w:rFonts w:ascii="Arial" w:hAnsi="Arial" w:cs="Arial"/>
                <w:noProof/>
                <w:webHidden/>
              </w:rPr>
              <w:fldChar w:fldCharType="end"/>
            </w:r>
          </w:hyperlink>
        </w:p>
        <w:p w14:paraId="1AE8240E" w14:textId="2A1CA1E1" w:rsidR="00B0714B" w:rsidRPr="00B0714B" w:rsidRDefault="00E02802" w:rsidP="00B0714B">
          <w:pPr>
            <w:pStyle w:val="TOC1"/>
            <w:tabs>
              <w:tab w:val="left" w:pos="480"/>
              <w:tab w:val="right" w:leader="dot" w:pos="9016"/>
            </w:tabs>
            <w:spacing w:line="360" w:lineRule="auto"/>
            <w:rPr>
              <w:rFonts w:ascii="Arial" w:hAnsi="Arial" w:cs="Arial"/>
              <w:noProof/>
            </w:rPr>
          </w:pPr>
          <w:hyperlink w:anchor="_Toc166013400" w:history="1">
            <w:r w:rsidR="00B0714B" w:rsidRPr="00B0714B">
              <w:rPr>
                <w:rStyle w:val="Hyperlink"/>
                <w:rFonts w:ascii="Arial" w:hAnsi="Arial" w:cs="Arial"/>
                <w:noProof/>
              </w:rPr>
              <w:t>8.</w:t>
            </w:r>
            <w:r w:rsidR="00B0714B" w:rsidRPr="00B0714B">
              <w:rPr>
                <w:rFonts w:ascii="Arial" w:hAnsi="Arial" w:cs="Arial"/>
                <w:noProof/>
              </w:rPr>
              <w:tab/>
            </w:r>
            <w:r w:rsidR="00B0714B" w:rsidRPr="00B0714B">
              <w:rPr>
                <w:rStyle w:val="Hyperlink"/>
                <w:rFonts w:ascii="Arial" w:hAnsi="Arial" w:cs="Arial"/>
                <w:noProof/>
              </w:rPr>
              <w:t>References</w:t>
            </w:r>
            <w:r w:rsidR="00B0714B" w:rsidRPr="00B0714B">
              <w:rPr>
                <w:rFonts w:ascii="Arial" w:hAnsi="Arial" w:cs="Arial"/>
                <w:noProof/>
                <w:webHidden/>
              </w:rPr>
              <w:tab/>
            </w:r>
            <w:r w:rsidR="00B0714B" w:rsidRPr="00B0714B">
              <w:rPr>
                <w:rFonts w:ascii="Arial" w:hAnsi="Arial" w:cs="Arial"/>
                <w:noProof/>
                <w:webHidden/>
              </w:rPr>
              <w:fldChar w:fldCharType="begin"/>
            </w:r>
            <w:r w:rsidR="00B0714B" w:rsidRPr="00B0714B">
              <w:rPr>
                <w:rFonts w:ascii="Arial" w:hAnsi="Arial" w:cs="Arial"/>
                <w:noProof/>
                <w:webHidden/>
              </w:rPr>
              <w:instrText xml:space="preserve"> PAGEREF _Toc166013400 \h </w:instrText>
            </w:r>
            <w:r w:rsidR="00B0714B" w:rsidRPr="00B0714B">
              <w:rPr>
                <w:rFonts w:ascii="Arial" w:hAnsi="Arial" w:cs="Arial"/>
                <w:noProof/>
                <w:webHidden/>
              </w:rPr>
            </w:r>
            <w:r w:rsidR="00B0714B" w:rsidRPr="00B0714B">
              <w:rPr>
                <w:rFonts w:ascii="Arial" w:hAnsi="Arial" w:cs="Arial"/>
                <w:noProof/>
                <w:webHidden/>
              </w:rPr>
              <w:fldChar w:fldCharType="separate"/>
            </w:r>
            <w:r w:rsidR="00E56861">
              <w:rPr>
                <w:rFonts w:ascii="Arial" w:hAnsi="Arial" w:cs="Arial"/>
                <w:noProof/>
                <w:webHidden/>
              </w:rPr>
              <w:t>11</w:t>
            </w:r>
            <w:r w:rsidR="00B0714B" w:rsidRPr="00B0714B">
              <w:rPr>
                <w:rFonts w:ascii="Arial" w:hAnsi="Arial" w:cs="Arial"/>
                <w:noProof/>
                <w:webHidden/>
              </w:rPr>
              <w:fldChar w:fldCharType="end"/>
            </w:r>
          </w:hyperlink>
        </w:p>
        <w:p w14:paraId="5614C6CE" w14:textId="286E1AB2" w:rsidR="00B0714B" w:rsidRDefault="00B0714B" w:rsidP="00B0714B">
          <w:pPr>
            <w:spacing w:line="360" w:lineRule="auto"/>
          </w:pPr>
          <w:r w:rsidRPr="00B0714B">
            <w:rPr>
              <w:rFonts w:ascii="Arial" w:hAnsi="Arial" w:cs="Arial"/>
              <w:b/>
              <w:bCs/>
              <w:noProof/>
            </w:rPr>
            <w:fldChar w:fldCharType="end"/>
          </w:r>
        </w:p>
      </w:sdtContent>
    </w:sdt>
    <w:p w14:paraId="6933399B" w14:textId="77777777" w:rsidR="00E63A22" w:rsidRDefault="00E63A22" w:rsidP="00E63A22">
      <w:pPr>
        <w:spacing w:line="360" w:lineRule="auto"/>
        <w:rPr>
          <w:rFonts w:ascii="Arial" w:hAnsi="Arial" w:cs="Arial"/>
          <w:b/>
          <w:bCs/>
          <w:sz w:val="28"/>
          <w:szCs w:val="28"/>
        </w:rPr>
      </w:pPr>
    </w:p>
    <w:p w14:paraId="4601EAFD" w14:textId="77777777" w:rsidR="00E63A22" w:rsidRDefault="00E63A22" w:rsidP="00E63A22">
      <w:pPr>
        <w:spacing w:line="360" w:lineRule="auto"/>
        <w:rPr>
          <w:rFonts w:ascii="Arial" w:hAnsi="Arial" w:cs="Arial"/>
          <w:b/>
          <w:bCs/>
          <w:sz w:val="28"/>
          <w:szCs w:val="28"/>
        </w:rPr>
      </w:pPr>
    </w:p>
    <w:p w14:paraId="7FAF0750" w14:textId="77777777" w:rsidR="00E63A22" w:rsidRDefault="00E63A22" w:rsidP="00E63A22">
      <w:pPr>
        <w:spacing w:line="360" w:lineRule="auto"/>
        <w:rPr>
          <w:rFonts w:ascii="Arial" w:hAnsi="Arial" w:cs="Arial"/>
          <w:b/>
          <w:bCs/>
          <w:sz w:val="28"/>
          <w:szCs w:val="28"/>
        </w:rPr>
      </w:pPr>
    </w:p>
    <w:p w14:paraId="575F4C55" w14:textId="77777777" w:rsidR="00E63A22" w:rsidRDefault="00E63A22" w:rsidP="00E63A22">
      <w:pPr>
        <w:spacing w:line="360" w:lineRule="auto"/>
        <w:rPr>
          <w:rFonts w:ascii="Arial" w:hAnsi="Arial" w:cs="Arial"/>
          <w:b/>
          <w:bCs/>
          <w:sz w:val="28"/>
          <w:szCs w:val="28"/>
        </w:rPr>
      </w:pPr>
    </w:p>
    <w:p w14:paraId="6A783990" w14:textId="77777777" w:rsidR="00E63A22" w:rsidRDefault="00E63A22" w:rsidP="00E63A22">
      <w:pPr>
        <w:spacing w:line="360" w:lineRule="auto"/>
        <w:rPr>
          <w:rFonts w:ascii="Arial" w:hAnsi="Arial" w:cs="Arial"/>
          <w:b/>
          <w:bCs/>
          <w:sz w:val="28"/>
          <w:szCs w:val="28"/>
        </w:rPr>
      </w:pPr>
    </w:p>
    <w:p w14:paraId="77C0BA0A" w14:textId="77777777" w:rsidR="00E63A22" w:rsidRDefault="00E63A22" w:rsidP="00E63A22">
      <w:pPr>
        <w:spacing w:line="360" w:lineRule="auto"/>
        <w:rPr>
          <w:rFonts w:ascii="Arial" w:hAnsi="Arial" w:cs="Arial"/>
          <w:b/>
          <w:bCs/>
          <w:sz w:val="28"/>
          <w:szCs w:val="28"/>
        </w:rPr>
      </w:pPr>
    </w:p>
    <w:p w14:paraId="2A906045" w14:textId="77777777" w:rsidR="00E63A22" w:rsidRDefault="00E63A22" w:rsidP="00E63A22">
      <w:pPr>
        <w:spacing w:line="360" w:lineRule="auto"/>
        <w:rPr>
          <w:rFonts w:ascii="Arial" w:hAnsi="Arial" w:cs="Arial"/>
          <w:b/>
          <w:bCs/>
          <w:sz w:val="28"/>
          <w:szCs w:val="28"/>
        </w:rPr>
      </w:pPr>
    </w:p>
    <w:p w14:paraId="01CCF5F0" w14:textId="77777777" w:rsidR="00E63A22" w:rsidRDefault="00E63A22" w:rsidP="00E63A22">
      <w:pPr>
        <w:spacing w:line="360" w:lineRule="auto"/>
        <w:rPr>
          <w:rFonts w:ascii="Arial" w:hAnsi="Arial" w:cs="Arial"/>
          <w:b/>
          <w:bCs/>
          <w:sz w:val="28"/>
          <w:szCs w:val="28"/>
        </w:rPr>
      </w:pPr>
    </w:p>
    <w:p w14:paraId="39F774C7" w14:textId="77777777" w:rsidR="00E63A22" w:rsidRDefault="00E63A22" w:rsidP="00E63A22">
      <w:pPr>
        <w:spacing w:line="360" w:lineRule="auto"/>
        <w:rPr>
          <w:rFonts w:ascii="Arial" w:hAnsi="Arial" w:cs="Arial"/>
          <w:b/>
          <w:bCs/>
          <w:sz w:val="28"/>
          <w:szCs w:val="28"/>
        </w:rPr>
      </w:pPr>
    </w:p>
    <w:p w14:paraId="1013CE00" w14:textId="77777777" w:rsidR="00E63A22" w:rsidRDefault="00E63A22" w:rsidP="00E63A22">
      <w:pPr>
        <w:spacing w:line="360" w:lineRule="auto"/>
        <w:rPr>
          <w:rFonts w:ascii="Arial" w:hAnsi="Arial" w:cs="Arial"/>
          <w:b/>
          <w:bCs/>
          <w:sz w:val="28"/>
          <w:szCs w:val="28"/>
        </w:rPr>
      </w:pPr>
    </w:p>
    <w:p w14:paraId="41EDFF1F" w14:textId="77777777" w:rsidR="00E63A22" w:rsidRDefault="00E63A22" w:rsidP="00E63A22">
      <w:pPr>
        <w:spacing w:line="360" w:lineRule="auto"/>
        <w:rPr>
          <w:rFonts w:ascii="Arial" w:hAnsi="Arial" w:cs="Arial"/>
          <w:b/>
          <w:bCs/>
          <w:sz w:val="28"/>
          <w:szCs w:val="28"/>
        </w:rPr>
      </w:pPr>
    </w:p>
    <w:p w14:paraId="43F2EAC8" w14:textId="77777777" w:rsidR="00E63A22" w:rsidRDefault="00E63A22" w:rsidP="00E63A22">
      <w:pPr>
        <w:spacing w:line="360" w:lineRule="auto"/>
        <w:rPr>
          <w:rFonts w:ascii="Arial" w:hAnsi="Arial" w:cs="Arial"/>
          <w:b/>
          <w:bCs/>
          <w:sz w:val="28"/>
          <w:szCs w:val="28"/>
        </w:rPr>
      </w:pPr>
    </w:p>
    <w:p w14:paraId="19C0900C" w14:textId="77777777" w:rsidR="00E63A22" w:rsidRDefault="00E63A22" w:rsidP="00E63A22">
      <w:pPr>
        <w:spacing w:line="360" w:lineRule="auto"/>
        <w:rPr>
          <w:rFonts w:ascii="Arial" w:hAnsi="Arial" w:cs="Arial"/>
          <w:b/>
          <w:bCs/>
          <w:sz w:val="28"/>
          <w:szCs w:val="28"/>
        </w:rPr>
      </w:pPr>
    </w:p>
    <w:p w14:paraId="7E68CE9F" w14:textId="77777777" w:rsidR="00E63A22" w:rsidRPr="00ED4D22" w:rsidRDefault="00E63A22" w:rsidP="00ED4D22">
      <w:pPr>
        <w:spacing w:line="360" w:lineRule="auto"/>
        <w:jc w:val="both"/>
        <w:rPr>
          <w:rFonts w:ascii="Arial" w:hAnsi="Arial" w:cs="Arial"/>
          <w:b/>
          <w:bCs/>
          <w:sz w:val="24"/>
          <w:szCs w:val="24"/>
        </w:rPr>
      </w:pPr>
    </w:p>
    <w:p w14:paraId="3F58B084" w14:textId="5E697FA4" w:rsidR="00E63A22" w:rsidRPr="00E56861" w:rsidRDefault="00E63A22" w:rsidP="00E56861">
      <w:pPr>
        <w:pStyle w:val="EU"/>
        <w:numPr>
          <w:ilvl w:val="0"/>
          <w:numId w:val="2"/>
        </w:numPr>
        <w:spacing w:line="360" w:lineRule="auto"/>
        <w:rPr>
          <w:color w:val="auto"/>
        </w:rPr>
      </w:pPr>
      <w:bookmarkStart w:id="0" w:name="_Toc166013393"/>
      <w:r w:rsidRPr="00E56861">
        <w:rPr>
          <w:color w:val="auto"/>
        </w:rPr>
        <w:t>Introduction</w:t>
      </w:r>
      <w:bookmarkEnd w:id="0"/>
      <w:r w:rsidRPr="00E56861">
        <w:rPr>
          <w:color w:val="auto"/>
        </w:rPr>
        <w:t xml:space="preserve"> </w:t>
      </w:r>
    </w:p>
    <w:p w14:paraId="66C78458" w14:textId="6EF7CE59" w:rsidR="00A7415E" w:rsidRPr="00E56861" w:rsidRDefault="00A7415E" w:rsidP="00E56861">
      <w:pPr>
        <w:spacing w:after="0" w:line="360" w:lineRule="auto"/>
        <w:jc w:val="both"/>
        <w:rPr>
          <w:rFonts w:ascii="Arial" w:eastAsia="Times New Roman" w:hAnsi="Arial" w:cs="Arial"/>
          <w:kern w:val="0"/>
          <w:sz w:val="24"/>
          <w:szCs w:val="24"/>
          <w:lang w:eastAsia="en-GB"/>
          <w14:ligatures w14:val="none"/>
        </w:rPr>
      </w:pPr>
      <w:r w:rsidRPr="00A7415E">
        <w:rPr>
          <w:rFonts w:ascii="Arial" w:eastAsia="Times New Roman" w:hAnsi="Arial" w:cs="Arial"/>
          <w:kern w:val="0"/>
          <w:sz w:val="24"/>
          <w:szCs w:val="24"/>
          <w:lang w:eastAsia="en-GB"/>
          <w14:ligatures w14:val="none"/>
        </w:rPr>
        <w:t>Both Shangri-La Hotels and Travelodge Hotels are well-known participants in the hospitality sector, each with a unique market presence and strategic approach. Asian in origin, Shangri-La is renowned for its opulent lodgings and first-rate service, striving to provide "the colourful joys of life" sustainably</w:t>
      </w:r>
      <w:r w:rsidR="005D1FAE" w:rsidRPr="00E56861">
        <w:rPr>
          <w:rFonts w:ascii="Arial" w:eastAsia="Times New Roman" w:hAnsi="Arial" w:cs="Arial"/>
          <w:kern w:val="0"/>
          <w:sz w:val="24"/>
          <w:szCs w:val="24"/>
          <w:lang w:eastAsia="en-GB"/>
          <w14:ligatures w14:val="none"/>
        </w:rPr>
        <w:t xml:space="preserve"> (</w:t>
      </w:r>
      <w:r w:rsidR="005D1FAE" w:rsidRPr="00A7415E">
        <w:rPr>
          <w:rFonts w:ascii="Arial" w:eastAsia="Times New Roman" w:hAnsi="Arial" w:cs="Arial"/>
          <w:kern w:val="0"/>
          <w:sz w:val="24"/>
          <w:szCs w:val="24"/>
          <w:lang w:eastAsia="en-GB"/>
          <w14:ligatures w14:val="none"/>
        </w:rPr>
        <w:t>Shangri-La</w:t>
      </w:r>
      <w:r w:rsidR="005D1FAE" w:rsidRPr="00E56861">
        <w:rPr>
          <w:rFonts w:ascii="Arial" w:eastAsia="Times New Roman" w:hAnsi="Arial" w:cs="Arial"/>
          <w:kern w:val="0"/>
          <w:sz w:val="24"/>
          <w:szCs w:val="24"/>
          <w:lang w:eastAsia="en-GB"/>
          <w14:ligatures w14:val="none"/>
        </w:rPr>
        <w:t xml:space="preserve"> Hotels, 2021).</w:t>
      </w:r>
      <w:r w:rsidRPr="00A7415E">
        <w:rPr>
          <w:rFonts w:ascii="Arial" w:eastAsia="Times New Roman" w:hAnsi="Arial" w:cs="Arial"/>
          <w:kern w:val="0"/>
          <w:sz w:val="24"/>
          <w:szCs w:val="24"/>
          <w:lang w:eastAsia="en-GB"/>
          <w14:ligatures w14:val="none"/>
        </w:rPr>
        <w:t xml:space="preserve"> Being the most adored hospitality brand, this company has been a leader in incorporating sustainability into its business strategy (</w:t>
      </w:r>
      <w:r w:rsidR="003C1EB4" w:rsidRPr="00E56861">
        <w:rPr>
          <w:rFonts w:ascii="Arial" w:eastAsia="Times New Roman" w:hAnsi="Arial" w:cs="Arial"/>
          <w:kern w:val="0"/>
          <w:sz w:val="24"/>
          <w:szCs w:val="24"/>
          <w:lang w:eastAsia="en-GB"/>
          <w14:ligatures w14:val="none"/>
        </w:rPr>
        <w:t>Shangri-La, 2024</w:t>
      </w:r>
      <w:r w:rsidRPr="00A7415E">
        <w:rPr>
          <w:rFonts w:ascii="Arial" w:eastAsia="Times New Roman" w:hAnsi="Arial" w:cs="Arial"/>
          <w:kern w:val="0"/>
          <w:sz w:val="24"/>
          <w:szCs w:val="24"/>
          <w:lang w:eastAsia="en-GB"/>
          <w14:ligatures w14:val="none"/>
        </w:rPr>
        <w:t>). Conversely, Travelodge, which is well-known for its affordable hotel choices, bills itself as the most affordable alternative in the UK, attracting a wide range of customers by striking a balance between cost, location, and quality. Travelodge is a viable choice for both business and leisure travellers because of its dedication to affordability and large presence in metropolitan areas and well-liked locations</w:t>
      </w:r>
      <w:r w:rsidR="00966E54" w:rsidRPr="00E56861">
        <w:rPr>
          <w:rFonts w:ascii="Arial" w:eastAsia="Times New Roman" w:hAnsi="Arial" w:cs="Arial"/>
          <w:kern w:val="0"/>
          <w:sz w:val="24"/>
          <w:szCs w:val="24"/>
          <w:lang w:eastAsia="en-GB"/>
          <w14:ligatures w14:val="none"/>
        </w:rPr>
        <w:t xml:space="preserve"> </w:t>
      </w:r>
      <w:r w:rsidR="00966E54" w:rsidRPr="00E56861">
        <w:rPr>
          <w:rFonts w:ascii="Arial" w:hAnsi="Arial" w:cs="Arial"/>
          <w:sz w:val="24"/>
          <w:szCs w:val="24"/>
          <w:shd w:val="clear" w:color="auto" w:fill="FFFFFF"/>
        </w:rPr>
        <w:t xml:space="preserve"> (Travelodge Corporate Website, n.d.). </w:t>
      </w:r>
      <w:r w:rsidRPr="00A7415E">
        <w:rPr>
          <w:rFonts w:ascii="Arial" w:eastAsia="Times New Roman" w:hAnsi="Arial" w:cs="Arial"/>
          <w:kern w:val="0"/>
          <w:sz w:val="24"/>
          <w:szCs w:val="24"/>
          <w:lang w:eastAsia="en-GB"/>
          <w14:ligatures w14:val="none"/>
        </w:rPr>
        <w:t xml:space="preserve">Through an examination of their income streams, room for expansion, and dedication to corporate social responsibility, this paper seeks to go into the financial management methods of these two </w:t>
      </w:r>
      <w:r w:rsidR="003B3F8A" w:rsidRPr="00E56861">
        <w:rPr>
          <w:rFonts w:ascii="Arial" w:eastAsia="Times New Roman" w:hAnsi="Arial" w:cs="Arial"/>
          <w:kern w:val="0"/>
          <w:sz w:val="24"/>
          <w:szCs w:val="24"/>
          <w:lang w:eastAsia="en-GB"/>
          <w14:ligatures w14:val="none"/>
        </w:rPr>
        <w:t>different</w:t>
      </w:r>
      <w:r w:rsidRPr="00A7415E">
        <w:rPr>
          <w:rFonts w:ascii="Arial" w:eastAsia="Times New Roman" w:hAnsi="Arial" w:cs="Arial"/>
          <w:kern w:val="0"/>
          <w:sz w:val="24"/>
          <w:szCs w:val="24"/>
          <w:lang w:eastAsia="en-GB"/>
          <w14:ligatures w14:val="none"/>
        </w:rPr>
        <w:t xml:space="preserve"> companies. The objective is to offer a comparison analysis that shows their present market positions but also projects their futures in the hospitality industry.</w:t>
      </w:r>
    </w:p>
    <w:p w14:paraId="4E465A50" w14:textId="77777777" w:rsidR="00002CE8" w:rsidRPr="00E56861" w:rsidRDefault="00002CE8" w:rsidP="00E56861">
      <w:pPr>
        <w:spacing w:after="0" w:line="360" w:lineRule="auto"/>
        <w:jc w:val="both"/>
        <w:rPr>
          <w:rFonts w:ascii="Arial" w:eastAsia="Times New Roman" w:hAnsi="Arial" w:cs="Arial"/>
          <w:kern w:val="0"/>
          <w:sz w:val="24"/>
          <w:szCs w:val="24"/>
          <w:lang w:eastAsia="en-GB"/>
          <w14:ligatures w14:val="none"/>
        </w:rPr>
      </w:pPr>
    </w:p>
    <w:p w14:paraId="0EDD0B02" w14:textId="77777777" w:rsidR="003B3F8A" w:rsidRPr="00E56861" w:rsidRDefault="003B3F8A" w:rsidP="00E56861">
      <w:pPr>
        <w:spacing w:after="0" w:line="360" w:lineRule="auto"/>
        <w:jc w:val="both"/>
        <w:rPr>
          <w:rFonts w:ascii="Arial" w:eastAsia="Times New Roman" w:hAnsi="Arial" w:cs="Arial"/>
          <w:kern w:val="0"/>
          <w:sz w:val="24"/>
          <w:szCs w:val="24"/>
          <w:lang w:eastAsia="en-GB"/>
          <w14:ligatures w14:val="none"/>
        </w:rPr>
      </w:pPr>
    </w:p>
    <w:p w14:paraId="066506B3" w14:textId="248EEFE7" w:rsidR="003B3F8A" w:rsidRPr="00E56861" w:rsidRDefault="004849E5" w:rsidP="00E56861">
      <w:pPr>
        <w:pStyle w:val="EU"/>
        <w:numPr>
          <w:ilvl w:val="0"/>
          <w:numId w:val="2"/>
        </w:numPr>
        <w:spacing w:line="360" w:lineRule="auto"/>
        <w:rPr>
          <w:rFonts w:eastAsia="Times New Roman"/>
          <w:color w:val="auto"/>
        </w:rPr>
      </w:pPr>
      <w:bookmarkStart w:id="1" w:name="_Toc166013394"/>
      <w:r w:rsidRPr="00E56861">
        <w:rPr>
          <w:rFonts w:eastAsia="Times New Roman"/>
          <w:color w:val="auto"/>
        </w:rPr>
        <w:t xml:space="preserve">Revenue </w:t>
      </w:r>
      <w:r w:rsidR="00002CE8" w:rsidRPr="00E56861">
        <w:rPr>
          <w:rFonts w:eastAsia="Times New Roman"/>
          <w:color w:val="auto"/>
        </w:rPr>
        <w:t>analysis</w:t>
      </w:r>
      <w:bookmarkEnd w:id="1"/>
    </w:p>
    <w:p w14:paraId="023B14B5" w14:textId="6CEEF7BB" w:rsidR="00C841A0" w:rsidRPr="00E56861" w:rsidRDefault="00884FE5" w:rsidP="00E56861">
      <w:pPr>
        <w:spacing w:line="360" w:lineRule="auto"/>
        <w:jc w:val="both"/>
        <w:rPr>
          <w:rFonts w:ascii="Arial" w:eastAsia="Times New Roman" w:hAnsi="Arial" w:cs="Arial"/>
          <w:kern w:val="0"/>
          <w:sz w:val="24"/>
          <w:szCs w:val="24"/>
          <w:lang w:eastAsia="en-GB"/>
          <w14:ligatures w14:val="none"/>
        </w:rPr>
      </w:pPr>
      <w:r w:rsidRPr="00884FE5">
        <w:rPr>
          <w:rFonts w:ascii="Arial" w:eastAsia="Times New Roman" w:hAnsi="Arial" w:cs="Arial"/>
          <w:kern w:val="0"/>
          <w:sz w:val="24"/>
          <w:szCs w:val="24"/>
          <w:lang w:eastAsia="en-GB"/>
          <w14:ligatures w14:val="none"/>
        </w:rPr>
        <w:t>Financial statements are important since they give a thorough picture of the financial situation of a business and provide information on profitability, liquidity, and operational effectiveness that are necessary for stakeholders to make decisions</w:t>
      </w:r>
      <w:r w:rsidR="004A24F9" w:rsidRPr="00E56861">
        <w:rPr>
          <w:rFonts w:ascii="Arial" w:eastAsia="Times New Roman" w:hAnsi="Arial" w:cs="Arial"/>
          <w:kern w:val="0"/>
          <w:sz w:val="24"/>
          <w:szCs w:val="24"/>
          <w:lang w:eastAsia="en-GB"/>
          <w14:ligatures w14:val="none"/>
        </w:rPr>
        <w:t xml:space="preserve"> (Attrill and McLaney, 2021).</w:t>
      </w:r>
      <w:r w:rsidR="001D3C29" w:rsidRPr="00E56861">
        <w:rPr>
          <w:rFonts w:ascii="Arial" w:eastAsia="Times New Roman" w:hAnsi="Arial" w:cs="Arial"/>
          <w:kern w:val="0"/>
          <w:sz w:val="24"/>
          <w:szCs w:val="24"/>
          <w:lang w:eastAsia="en-GB"/>
          <w14:ligatures w14:val="none"/>
        </w:rPr>
        <w:t xml:space="preserve"> The income statement gives a quick rundown of the company's earnings, costs, and gains for a given time </w:t>
      </w:r>
      <w:r w:rsidR="00F3427C" w:rsidRPr="00E56861">
        <w:rPr>
          <w:rFonts w:ascii="Arial" w:eastAsia="Times New Roman" w:hAnsi="Arial" w:cs="Arial"/>
          <w:kern w:val="0"/>
          <w:sz w:val="24"/>
          <w:szCs w:val="24"/>
          <w:lang w:eastAsia="en-GB"/>
          <w14:ligatures w14:val="none"/>
        </w:rPr>
        <w:t xml:space="preserve">frame. </w:t>
      </w:r>
      <w:r w:rsidR="000A2533" w:rsidRPr="00E56861">
        <w:rPr>
          <w:rFonts w:ascii="Arial" w:eastAsia="Times New Roman" w:hAnsi="Arial" w:cs="Arial"/>
          <w:kern w:val="0"/>
          <w:sz w:val="24"/>
          <w:szCs w:val="24"/>
          <w:lang w:eastAsia="en-GB"/>
          <w14:ligatures w14:val="none"/>
        </w:rPr>
        <w:t>Furthermore, at any one time, the assets, liabilities, and shareholders' equity of the corporation are displayed on the balance sheet</w:t>
      </w:r>
      <w:r w:rsidR="00F278DE" w:rsidRPr="00E56861">
        <w:rPr>
          <w:rFonts w:ascii="Arial" w:eastAsia="Times New Roman" w:hAnsi="Arial" w:cs="Arial"/>
          <w:kern w:val="0"/>
          <w:sz w:val="24"/>
          <w:szCs w:val="24"/>
          <w:lang w:eastAsia="en-GB"/>
          <w14:ligatures w14:val="none"/>
        </w:rPr>
        <w:t xml:space="preserve"> (Drury, 2021).</w:t>
      </w:r>
      <w:r w:rsidR="000A2533" w:rsidRPr="00E56861">
        <w:rPr>
          <w:rFonts w:ascii="Arial" w:eastAsia="Times New Roman" w:hAnsi="Arial" w:cs="Arial"/>
          <w:kern w:val="0"/>
          <w:sz w:val="24"/>
          <w:szCs w:val="24"/>
          <w:lang w:eastAsia="en-GB"/>
          <w14:ligatures w14:val="none"/>
        </w:rPr>
        <w:t xml:space="preserve"> It offers a moment in time view of capital structure and liquidity.</w:t>
      </w:r>
      <w:r w:rsidR="00E813F9" w:rsidRPr="00E56861">
        <w:rPr>
          <w:rFonts w:ascii="Arial" w:eastAsia="Times New Roman" w:hAnsi="Arial" w:cs="Arial"/>
          <w:kern w:val="0"/>
          <w:sz w:val="24"/>
          <w:szCs w:val="24"/>
          <w:lang w:eastAsia="en-GB"/>
          <w14:ligatures w14:val="none"/>
        </w:rPr>
        <w:t xml:space="preserve"> Whereas cash and cash equivalents coming into and going out of the business are listed on the cash flow statement. It clarifies for investors the liquidity, solvency, and financial flexibility of the business</w:t>
      </w:r>
      <w:r w:rsidR="000F470A" w:rsidRPr="00E56861">
        <w:rPr>
          <w:rFonts w:ascii="Arial" w:eastAsia="Times New Roman" w:hAnsi="Arial" w:cs="Arial"/>
          <w:kern w:val="0"/>
          <w:sz w:val="24"/>
          <w:szCs w:val="24"/>
          <w:lang w:eastAsia="en-GB"/>
          <w14:ligatures w14:val="none"/>
        </w:rPr>
        <w:t xml:space="preserve"> (Seal, 2019</w:t>
      </w:r>
      <w:r w:rsidR="001727BE" w:rsidRPr="00E56861">
        <w:rPr>
          <w:rFonts w:ascii="Arial" w:eastAsia="Times New Roman" w:hAnsi="Arial" w:cs="Arial"/>
          <w:kern w:val="0"/>
          <w:sz w:val="24"/>
          <w:szCs w:val="24"/>
          <w:lang w:eastAsia="en-GB"/>
          <w14:ligatures w14:val="none"/>
        </w:rPr>
        <w:t xml:space="preserve">). </w:t>
      </w:r>
      <w:r w:rsidR="00472571" w:rsidRPr="00E56861">
        <w:rPr>
          <w:rFonts w:ascii="Arial" w:eastAsia="Times New Roman" w:hAnsi="Arial" w:cs="Arial"/>
          <w:kern w:val="0"/>
          <w:sz w:val="24"/>
          <w:szCs w:val="24"/>
          <w:lang w:eastAsia="en-GB"/>
          <w14:ligatures w14:val="none"/>
        </w:rPr>
        <w:t>The revenue of Shangri-La Hotels increased 17.8% to $1,462.1 million in 2022 from $1,241.0 million in 2021, according to the company's consolidated income statement for that year. The income increase is mostly the consequence of a strong recovery in hotel operations as travel restrictions relaxed, particularly in areas outside of Mainland China. Additionally showing a good trend, the EBITDA increased by 31.3% to $174.4 million, indicating operational effectiveness and recovery in the luxury market (</w:t>
      </w:r>
      <w:r w:rsidR="004B5DBE" w:rsidRPr="00E56861">
        <w:rPr>
          <w:rFonts w:ascii="Arial" w:eastAsia="Times New Roman" w:hAnsi="Arial" w:cs="Arial"/>
          <w:kern w:val="0"/>
          <w:sz w:val="24"/>
          <w:szCs w:val="24"/>
          <w:lang w:eastAsia="en-GB"/>
          <w14:ligatures w14:val="none"/>
        </w:rPr>
        <w:t>Shangri-La Hotels, 2022</w:t>
      </w:r>
      <w:r w:rsidR="00472571" w:rsidRPr="00E56861">
        <w:rPr>
          <w:rFonts w:ascii="Arial" w:eastAsia="Times New Roman" w:hAnsi="Arial" w:cs="Arial"/>
          <w:kern w:val="0"/>
          <w:sz w:val="24"/>
          <w:szCs w:val="24"/>
          <w:lang w:eastAsia="en-GB"/>
          <w14:ligatures w14:val="none"/>
        </w:rPr>
        <w:t>). On its bank sheet, Shangri-La reports net assets attributable to owners of $5,254 million, a 10.4% drop from the prior year, mostly as a result of non-operating item decreases that affected profitability. Their approach emphasises the long-term asset value, since sustaining a luxury standard and raising property values need large expenditures in real estate and equipment. The state of cash flow emphasises the need of taking a calculated approach to preserving liquidity while making investments in improvements and extensions of real estate. Though there has been a discernible drop in net cash from the prior year, the overall cash inflows and financing activities show their capacity to manage cash well to maintain large operations and opulent service offers.</w:t>
      </w:r>
      <w:r w:rsidR="001A5E4F" w:rsidRPr="00E56861">
        <w:rPr>
          <w:rFonts w:ascii="Arial" w:eastAsia="Times New Roman" w:hAnsi="Arial" w:cs="Arial"/>
          <w:kern w:val="0"/>
          <w:sz w:val="24"/>
          <w:szCs w:val="24"/>
          <w:lang w:eastAsia="en-GB"/>
          <w14:ligatures w14:val="none"/>
        </w:rPr>
        <w:t xml:space="preserve"> (Guilding, 2014).</w:t>
      </w:r>
      <w:r w:rsidR="00472571" w:rsidRPr="00E56861">
        <w:rPr>
          <w:rFonts w:ascii="Arial" w:eastAsia="Times New Roman" w:hAnsi="Arial" w:cs="Arial"/>
          <w:kern w:val="0"/>
          <w:sz w:val="24"/>
          <w:szCs w:val="24"/>
          <w:lang w:eastAsia="en-GB"/>
          <w14:ligatures w14:val="none"/>
        </w:rPr>
        <w:t xml:space="preserve"> </w:t>
      </w:r>
      <w:r w:rsidR="00081466" w:rsidRPr="00E56861">
        <w:rPr>
          <w:rFonts w:ascii="Arial" w:eastAsia="Times New Roman" w:hAnsi="Arial" w:cs="Arial"/>
          <w:kern w:val="0"/>
          <w:sz w:val="24"/>
          <w:szCs w:val="24"/>
          <w:lang w:eastAsia="en-GB"/>
          <w14:ligatures w14:val="none"/>
        </w:rPr>
        <w:t xml:space="preserve">On the other hand, </w:t>
      </w:r>
      <w:r w:rsidR="00472571" w:rsidRPr="00E56861">
        <w:rPr>
          <w:rFonts w:ascii="Arial" w:eastAsia="Times New Roman" w:hAnsi="Arial" w:cs="Arial"/>
          <w:kern w:val="0"/>
          <w:sz w:val="24"/>
          <w:szCs w:val="24"/>
          <w:lang w:eastAsia="en-GB"/>
          <w14:ligatures w14:val="none"/>
        </w:rPr>
        <w:t>Travelodge Hotels</w:t>
      </w:r>
      <w:r w:rsidR="00081466" w:rsidRPr="00E56861">
        <w:rPr>
          <w:rFonts w:ascii="Arial" w:eastAsia="Times New Roman" w:hAnsi="Arial" w:cs="Arial"/>
          <w:kern w:val="0"/>
          <w:sz w:val="24"/>
          <w:szCs w:val="24"/>
          <w:lang w:eastAsia="en-GB"/>
          <w14:ligatures w14:val="none"/>
        </w:rPr>
        <w:t xml:space="preserve"> reported</w:t>
      </w:r>
      <w:r w:rsidR="00472571" w:rsidRPr="00E56861">
        <w:rPr>
          <w:rFonts w:ascii="Arial" w:eastAsia="Times New Roman" w:hAnsi="Arial" w:cs="Arial"/>
          <w:kern w:val="0"/>
          <w:sz w:val="24"/>
          <w:szCs w:val="24"/>
          <w:lang w:eastAsia="en-GB"/>
          <w14:ligatures w14:val="none"/>
        </w:rPr>
        <w:t xml:space="preserve"> a substantial 25% rise in sales from 2019 to £909.9 million in total revenue on its income statement for the fiscal year ended December 31, 2022. Impressively, in 2019 the adjusted EBITDA increased to £212.9 million from £129.1 million, a sign of excellent cost control and operational effectiveness. Mainly, the revenue growth was </w:t>
      </w:r>
      <w:r w:rsidR="001A5E4F" w:rsidRPr="00E56861">
        <w:rPr>
          <w:rFonts w:ascii="Arial" w:eastAsia="Times New Roman" w:hAnsi="Arial" w:cs="Arial"/>
          <w:kern w:val="0"/>
          <w:sz w:val="24"/>
          <w:szCs w:val="24"/>
          <w:lang w:eastAsia="en-GB"/>
          <w14:ligatures w14:val="none"/>
        </w:rPr>
        <w:t>powered</w:t>
      </w:r>
      <w:r w:rsidR="00472571" w:rsidRPr="00E56861">
        <w:rPr>
          <w:rFonts w:ascii="Arial" w:eastAsia="Times New Roman" w:hAnsi="Arial" w:cs="Arial"/>
          <w:kern w:val="0"/>
          <w:sz w:val="24"/>
          <w:szCs w:val="24"/>
          <w:lang w:eastAsia="en-GB"/>
          <w14:ligatures w14:val="none"/>
        </w:rPr>
        <w:t xml:space="preserve"> by a strong recovery in like-for-like UK RevPAR, which demonstrated successful adjustments to post-pandemic market conditions (Travelodge, 2022). Travelodge showed in their balance sheet that they were very focused on resilience and financial sustainability, as seen by the notable drop in total third-party debt to £365.3 million. In the very competitive budget hotel market, this de-leveraging is a reflection of proactive financial management meant to maintain growth and improve operational agility</w:t>
      </w:r>
      <w:r w:rsidR="00CD3537" w:rsidRPr="00E56861">
        <w:rPr>
          <w:rFonts w:ascii="Arial" w:eastAsia="Times New Roman" w:hAnsi="Arial" w:cs="Arial"/>
          <w:kern w:val="0"/>
          <w:sz w:val="24"/>
          <w:szCs w:val="24"/>
          <w:lang w:eastAsia="en-GB"/>
          <w14:ligatures w14:val="none"/>
        </w:rPr>
        <w:t xml:space="preserve"> (Wild, 2018). </w:t>
      </w:r>
      <w:r w:rsidR="00472571" w:rsidRPr="00E56861">
        <w:rPr>
          <w:rFonts w:ascii="Arial" w:eastAsia="Times New Roman" w:hAnsi="Arial" w:cs="Arial"/>
          <w:kern w:val="0"/>
          <w:sz w:val="24"/>
          <w:szCs w:val="24"/>
          <w:lang w:eastAsia="en-GB"/>
          <w14:ligatures w14:val="none"/>
        </w:rPr>
        <w:t>Travelodge has shown excellent cash management with a net increase in cash of £116.6 million prior to debt repayment. EBITDA and the benefits of working capital have provided strong support for the operating cash flows; interest expenses and capital investments have somewhat offset these</w:t>
      </w:r>
      <w:r w:rsidR="00E56861" w:rsidRPr="00E56861">
        <w:rPr>
          <w:rFonts w:ascii="Arial" w:eastAsia="Times New Roman" w:hAnsi="Arial" w:cs="Arial"/>
          <w:kern w:val="0"/>
          <w:sz w:val="24"/>
          <w:szCs w:val="24"/>
          <w:lang w:eastAsia="en-GB"/>
          <w14:ligatures w14:val="none"/>
        </w:rPr>
        <w:t xml:space="preserve"> (Travelodge, 2022). </w:t>
      </w:r>
      <w:r w:rsidR="00472571" w:rsidRPr="00E56861">
        <w:rPr>
          <w:rFonts w:ascii="Arial" w:eastAsia="Times New Roman" w:hAnsi="Arial" w:cs="Arial"/>
          <w:kern w:val="0"/>
          <w:sz w:val="24"/>
          <w:szCs w:val="24"/>
          <w:lang w:eastAsia="en-GB"/>
          <w14:ligatures w14:val="none"/>
        </w:rPr>
        <w:t>This proves their capacity to efficiently handle cash flows in order to preserve operational effectiveness and make investments in key growth areas.</w:t>
      </w:r>
      <w:r w:rsidR="00C841A0" w:rsidRPr="00E56861">
        <w:rPr>
          <w:rFonts w:ascii="Arial" w:eastAsia="Times New Roman" w:hAnsi="Arial" w:cs="Arial"/>
          <w:kern w:val="0"/>
          <w:sz w:val="24"/>
          <w:szCs w:val="24"/>
          <w:lang w:eastAsia="en-GB"/>
          <w14:ligatures w14:val="none"/>
        </w:rPr>
        <w:t xml:space="preserve"> When contrasting the two organisations, it becomes evident that Shangri-La prioritises luxury and asset enhancement, whereas Travelodge emphasises operational agility and cost efficiency. Shangri-La's commitment to preserving and augmenting the worth of its properties substantiates its standing in the luxury industry. On the other hand, Travelodge places emphasis on the optimisation of operational cash flow and the preservation of liquidity in order to facilitate swift operational adaptations and enter the budget segment</w:t>
      </w:r>
      <w:r w:rsidR="00E56861" w:rsidRPr="00E56861">
        <w:rPr>
          <w:rFonts w:ascii="Arial" w:eastAsia="Times New Roman" w:hAnsi="Arial" w:cs="Arial"/>
          <w:kern w:val="0"/>
          <w:sz w:val="24"/>
          <w:szCs w:val="24"/>
          <w:lang w:eastAsia="en-GB"/>
          <w14:ligatures w14:val="none"/>
        </w:rPr>
        <w:t xml:space="preserve"> (Attrill and McLaney, 2021). </w:t>
      </w:r>
    </w:p>
    <w:p w14:paraId="66918C09" w14:textId="0BEC1DE6" w:rsidR="00D52F6F" w:rsidRPr="00E56861" w:rsidRDefault="00D52F6F"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noProof/>
          <w:kern w:val="0"/>
          <w:sz w:val="24"/>
          <w:szCs w:val="24"/>
          <w:lang w:eastAsia="en-GB"/>
          <w14:ligatures w14:val="none"/>
        </w:rPr>
        <w:drawing>
          <wp:inline distT="0" distB="0" distL="0" distR="0" wp14:anchorId="7C43A857" wp14:editId="602CE7C5">
            <wp:extent cx="4584700" cy="3491605"/>
            <wp:effectExtent l="0" t="0" r="6350" b="0"/>
            <wp:docPr id="615810708" name="Picture 1"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10708" name="Picture 1" descr="A graph of a company&#10;&#10;Description automatically generated with medium confidence"/>
                    <pic:cNvPicPr/>
                  </pic:nvPicPr>
                  <pic:blipFill>
                    <a:blip r:embed="rId7"/>
                    <a:stretch>
                      <a:fillRect/>
                    </a:stretch>
                  </pic:blipFill>
                  <pic:spPr>
                    <a:xfrm>
                      <a:off x="0" y="0"/>
                      <a:ext cx="4595190" cy="3499594"/>
                    </a:xfrm>
                    <a:prstGeom prst="rect">
                      <a:avLst/>
                    </a:prstGeom>
                  </pic:spPr>
                </pic:pic>
              </a:graphicData>
            </a:graphic>
          </wp:inline>
        </w:drawing>
      </w:r>
    </w:p>
    <w:p w14:paraId="4616CD13" w14:textId="7AF6F061" w:rsidR="00D52F6F" w:rsidRPr="00E56861" w:rsidRDefault="00D52F6F"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Fig 1. IBISWorld (2024). Budget Hotels in UK. Travelodge revenue. </w:t>
      </w:r>
    </w:p>
    <w:p w14:paraId="5A0A67F9" w14:textId="2F961907" w:rsidR="00472571" w:rsidRPr="00E56861" w:rsidRDefault="00472571" w:rsidP="00E56861">
      <w:pPr>
        <w:spacing w:line="360" w:lineRule="auto"/>
        <w:jc w:val="both"/>
        <w:rPr>
          <w:rFonts w:ascii="Arial" w:eastAsia="Times New Roman" w:hAnsi="Arial" w:cs="Arial"/>
          <w:kern w:val="0"/>
          <w:sz w:val="24"/>
          <w:szCs w:val="24"/>
          <w:lang w:eastAsia="en-GB"/>
          <w14:ligatures w14:val="none"/>
        </w:rPr>
      </w:pPr>
    </w:p>
    <w:p w14:paraId="7DD824A8" w14:textId="3106BBB3" w:rsidR="00E813F9" w:rsidRPr="00E56861" w:rsidRDefault="005829CF" w:rsidP="00E56861">
      <w:pPr>
        <w:pStyle w:val="EU"/>
        <w:numPr>
          <w:ilvl w:val="0"/>
          <w:numId w:val="2"/>
        </w:numPr>
        <w:spacing w:line="360" w:lineRule="auto"/>
        <w:rPr>
          <w:rFonts w:eastAsia="Times New Roman"/>
          <w:color w:val="auto"/>
        </w:rPr>
      </w:pPr>
      <w:bookmarkStart w:id="2" w:name="_Toc166013395"/>
      <w:r w:rsidRPr="00E56861">
        <w:rPr>
          <w:rFonts w:eastAsia="Times New Roman"/>
          <w:color w:val="auto"/>
        </w:rPr>
        <w:t>Market position</w:t>
      </w:r>
      <w:bookmarkEnd w:id="2"/>
      <w:r w:rsidRPr="00E56861">
        <w:rPr>
          <w:rFonts w:eastAsia="Times New Roman"/>
          <w:color w:val="auto"/>
        </w:rPr>
        <w:t xml:space="preserve"> </w:t>
      </w:r>
    </w:p>
    <w:p w14:paraId="36ABB859" w14:textId="36BDA998" w:rsidR="003F697E" w:rsidRPr="003F697E" w:rsidRDefault="003F697E" w:rsidP="00E56861">
      <w:pPr>
        <w:spacing w:after="0" w:line="360" w:lineRule="auto"/>
        <w:jc w:val="both"/>
        <w:rPr>
          <w:rFonts w:ascii="Arial" w:eastAsia="Times New Roman" w:hAnsi="Arial" w:cs="Arial"/>
          <w:kern w:val="0"/>
          <w:sz w:val="24"/>
          <w:szCs w:val="24"/>
          <w:lang w:eastAsia="en-GB"/>
          <w14:ligatures w14:val="none"/>
        </w:rPr>
      </w:pPr>
      <w:r w:rsidRPr="003F697E">
        <w:rPr>
          <w:rFonts w:ascii="Arial" w:eastAsia="Times New Roman" w:hAnsi="Arial" w:cs="Arial"/>
          <w:kern w:val="0"/>
          <w:sz w:val="24"/>
          <w:szCs w:val="24"/>
          <w:lang w:eastAsia="en-GB"/>
          <w14:ligatures w14:val="none"/>
        </w:rPr>
        <w:t>The market standing of Shangri-La and Travelodge is inherently influenced by their respective consumer demographics, market share, and brand recognition. Shangri-La, a renowned provider of opulent lodgings, maintains a substantial market share in Asia through its extensive operations in prominent urban centres such as Bangkok and Chiang Mai. As evidenced by their comprehensive service offerings and upscale customer experiences, this brand predominantly targets upper-class demographics in search of premium services. The favoured choice of affluent travellers is bolstered by robust brand recognition and a strategic emphasis on luxury and sustainability</w:t>
      </w:r>
      <w:r w:rsidR="009512F2" w:rsidRPr="00E56861">
        <w:rPr>
          <w:rFonts w:ascii="Arial" w:eastAsia="Times New Roman" w:hAnsi="Arial" w:cs="Arial"/>
          <w:kern w:val="0"/>
          <w:sz w:val="24"/>
          <w:szCs w:val="24"/>
          <w:lang w:eastAsia="en-GB"/>
          <w14:ligatures w14:val="none"/>
        </w:rPr>
        <w:t xml:space="preserve"> </w:t>
      </w:r>
      <w:r w:rsidR="009512F2" w:rsidRPr="00E56861">
        <w:rPr>
          <w:rFonts w:ascii="Arial" w:hAnsi="Arial" w:cs="Arial"/>
          <w:sz w:val="24"/>
          <w:szCs w:val="24"/>
          <w:shd w:val="clear" w:color="auto" w:fill="FFFFFF"/>
        </w:rPr>
        <w:t xml:space="preserve">(Shangri-La Group, 2020). </w:t>
      </w:r>
      <w:r w:rsidRPr="00E56861">
        <w:rPr>
          <w:rFonts w:ascii="Arial" w:eastAsia="Times New Roman" w:hAnsi="Arial" w:cs="Arial"/>
          <w:kern w:val="0"/>
          <w:sz w:val="24"/>
          <w:szCs w:val="24"/>
          <w:lang w:eastAsia="en-GB"/>
          <w14:ligatures w14:val="none"/>
        </w:rPr>
        <w:t xml:space="preserve"> </w:t>
      </w:r>
      <w:r w:rsidRPr="003F697E">
        <w:rPr>
          <w:rFonts w:ascii="Arial" w:eastAsia="Times New Roman" w:hAnsi="Arial" w:cs="Arial"/>
          <w:kern w:val="0"/>
          <w:sz w:val="24"/>
          <w:szCs w:val="24"/>
          <w:lang w:eastAsia="en-GB"/>
          <w14:ligatures w14:val="none"/>
        </w:rPr>
        <w:t>In contrast, Travelodge caters to a distinct market segment through its emphasis on economical-minded travellers. It maintains a dominant market share in the low-cost hospitality industry, with a notable emphasis on its impressive performance in the United Kingdom. Offering value for money is central to the brand's market strategy, which appeals to a wide range of business and leisure travellers</w:t>
      </w:r>
      <w:r w:rsidR="00532DB6" w:rsidRPr="00E56861">
        <w:rPr>
          <w:rFonts w:ascii="Arial" w:eastAsia="Times New Roman" w:hAnsi="Arial" w:cs="Arial"/>
          <w:kern w:val="0"/>
          <w:sz w:val="24"/>
          <w:szCs w:val="24"/>
          <w:lang w:eastAsia="en-GB"/>
          <w14:ligatures w14:val="none"/>
        </w:rPr>
        <w:t xml:space="preserve"> (Travelodge, n.d.).</w:t>
      </w:r>
      <w:r w:rsidRPr="003F697E">
        <w:rPr>
          <w:rFonts w:ascii="Arial" w:eastAsia="Times New Roman" w:hAnsi="Arial" w:cs="Arial"/>
          <w:kern w:val="0"/>
          <w:sz w:val="24"/>
          <w:szCs w:val="24"/>
          <w:lang w:eastAsia="en-GB"/>
          <w14:ligatures w14:val="none"/>
        </w:rPr>
        <w:t xml:space="preserve"> This is accomplished by employing efficient revenue management tactics and a resilient customer acquisition framework, which guarantees continued market dominance and profitability despite fluctuations in the economy</w:t>
      </w:r>
      <w:r w:rsidRPr="00E56861">
        <w:rPr>
          <w:rFonts w:ascii="Arial" w:eastAsia="Times New Roman" w:hAnsi="Arial" w:cs="Arial"/>
          <w:kern w:val="0"/>
          <w:sz w:val="24"/>
          <w:szCs w:val="24"/>
          <w:lang w:eastAsia="en-GB"/>
          <w14:ligatures w14:val="none"/>
        </w:rPr>
        <w:t xml:space="preserve">. </w:t>
      </w:r>
    </w:p>
    <w:p w14:paraId="2B5642BE" w14:textId="68032A3A" w:rsidR="000A2533" w:rsidRPr="00E56861" w:rsidRDefault="000A2533" w:rsidP="00E56861">
      <w:pPr>
        <w:spacing w:line="360" w:lineRule="auto"/>
        <w:jc w:val="both"/>
        <w:rPr>
          <w:rFonts w:ascii="Arial" w:eastAsia="Times New Roman" w:hAnsi="Arial" w:cs="Arial"/>
          <w:kern w:val="0"/>
          <w:sz w:val="24"/>
          <w:szCs w:val="24"/>
          <w:lang w:eastAsia="en-GB"/>
          <w14:ligatures w14:val="none"/>
        </w:rPr>
      </w:pPr>
    </w:p>
    <w:p w14:paraId="20C3B794" w14:textId="274B4D2A" w:rsidR="00ED4D22" w:rsidRPr="00E56861" w:rsidRDefault="00ED4D22" w:rsidP="00E56861">
      <w:pPr>
        <w:spacing w:line="360" w:lineRule="auto"/>
        <w:jc w:val="both"/>
        <w:rPr>
          <w:rFonts w:ascii="Arial" w:eastAsia="Times New Roman" w:hAnsi="Arial" w:cs="Arial"/>
          <w:kern w:val="0"/>
          <w:sz w:val="24"/>
          <w:szCs w:val="24"/>
          <w:lang w:eastAsia="en-GB"/>
          <w14:ligatures w14:val="none"/>
        </w:rPr>
      </w:pPr>
    </w:p>
    <w:p w14:paraId="59E56E01" w14:textId="2825F526" w:rsidR="0056701C" w:rsidRPr="00E56861" w:rsidRDefault="00D33A25"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noProof/>
          <w:kern w:val="0"/>
          <w:sz w:val="24"/>
          <w:szCs w:val="24"/>
          <w:lang w:eastAsia="en-GB"/>
          <w14:ligatures w14:val="none"/>
        </w:rPr>
        <w:drawing>
          <wp:inline distT="0" distB="0" distL="0" distR="0" wp14:anchorId="533A69BA" wp14:editId="4FF03EFF">
            <wp:extent cx="4721390" cy="3733800"/>
            <wp:effectExtent l="0" t="0" r="3175" b="0"/>
            <wp:docPr id="659346078" name="Picture 1" descr="A graph of sal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46078" name="Picture 1" descr="A graph of sales on a white background&#10;&#10;Description automatically generated"/>
                    <pic:cNvPicPr/>
                  </pic:nvPicPr>
                  <pic:blipFill>
                    <a:blip r:embed="rId8"/>
                    <a:stretch>
                      <a:fillRect/>
                    </a:stretch>
                  </pic:blipFill>
                  <pic:spPr>
                    <a:xfrm>
                      <a:off x="0" y="0"/>
                      <a:ext cx="4730331" cy="3740871"/>
                    </a:xfrm>
                    <a:prstGeom prst="rect">
                      <a:avLst/>
                    </a:prstGeom>
                  </pic:spPr>
                </pic:pic>
              </a:graphicData>
            </a:graphic>
          </wp:inline>
        </w:drawing>
      </w:r>
    </w:p>
    <w:p w14:paraId="40502AAB" w14:textId="114FD361" w:rsidR="001D3C29" w:rsidRPr="00E56861" w:rsidRDefault="00D52F6F"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Fig </w:t>
      </w:r>
      <w:r w:rsidR="00FB167A" w:rsidRPr="00E56861">
        <w:rPr>
          <w:rFonts w:ascii="Arial" w:eastAsia="Times New Roman" w:hAnsi="Arial" w:cs="Arial"/>
          <w:kern w:val="0"/>
          <w:sz w:val="24"/>
          <w:szCs w:val="24"/>
          <w:lang w:eastAsia="en-GB"/>
          <w14:ligatures w14:val="none"/>
        </w:rPr>
        <w:t>2</w:t>
      </w:r>
      <w:r w:rsidRPr="00E56861">
        <w:rPr>
          <w:rFonts w:ascii="Arial" w:eastAsia="Times New Roman" w:hAnsi="Arial" w:cs="Arial"/>
          <w:kern w:val="0"/>
          <w:sz w:val="24"/>
          <w:szCs w:val="24"/>
          <w:lang w:eastAsia="en-GB"/>
          <w14:ligatures w14:val="none"/>
        </w:rPr>
        <w:t>. IBISWorld (2024). Budget Hotels in UK. Travelodge market share.</w:t>
      </w:r>
    </w:p>
    <w:p w14:paraId="5B4E2D63" w14:textId="4BB304F0" w:rsidR="00884FE5" w:rsidRPr="00E56861" w:rsidRDefault="00884FE5" w:rsidP="00E56861">
      <w:pPr>
        <w:spacing w:after="0" w:line="360" w:lineRule="auto"/>
        <w:jc w:val="both"/>
        <w:rPr>
          <w:rFonts w:ascii="Arial" w:eastAsia="Times New Roman" w:hAnsi="Arial" w:cs="Arial"/>
          <w:kern w:val="0"/>
          <w:sz w:val="24"/>
          <w:szCs w:val="24"/>
          <w:lang w:eastAsia="en-GB"/>
          <w14:ligatures w14:val="none"/>
        </w:rPr>
      </w:pPr>
    </w:p>
    <w:p w14:paraId="52D2F260" w14:textId="41010C0D" w:rsidR="00FB167A" w:rsidRPr="00E56861" w:rsidRDefault="00B7139B" w:rsidP="00E56861">
      <w:pPr>
        <w:pStyle w:val="EU"/>
        <w:numPr>
          <w:ilvl w:val="0"/>
          <w:numId w:val="2"/>
        </w:numPr>
        <w:spacing w:line="360" w:lineRule="auto"/>
        <w:rPr>
          <w:rFonts w:eastAsia="Times New Roman"/>
          <w:color w:val="auto"/>
        </w:rPr>
      </w:pPr>
      <w:bookmarkStart w:id="3" w:name="_Toc166013396"/>
      <w:r w:rsidRPr="00E56861">
        <w:rPr>
          <w:rFonts w:eastAsia="Times New Roman"/>
          <w:color w:val="auto"/>
        </w:rPr>
        <w:t>Growth potential</w:t>
      </w:r>
      <w:bookmarkEnd w:id="3"/>
      <w:r w:rsidRPr="00E56861">
        <w:rPr>
          <w:rFonts w:eastAsia="Times New Roman"/>
          <w:color w:val="auto"/>
        </w:rPr>
        <w:t xml:space="preserve"> </w:t>
      </w:r>
    </w:p>
    <w:p w14:paraId="49EE5AEA" w14:textId="7C617DC1" w:rsidR="00B7139B" w:rsidRPr="00E56861" w:rsidRDefault="00B7139B"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As a reflection of their individual brand offerings and market niches, Shangri-La Hotels and Travelodge Hotels have diverse expansion plans and deal with different market prospects and growth obstacles. Renowned for their opulent services, Shangri-La Hotels concentrates on improving its market presence via major restorations and service improvements in order to draw in affluent guests and increase revenue per available room (RevPAR)</w:t>
      </w:r>
      <w:r w:rsidR="00E9492A" w:rsidRPr="00E56861">
        <w:rPr>
          <w:rFonts w:ascii="Arial" w:eastAsia="Times New Roman" w:hAnsi="Arial" w:cs="Arial"/>
          <w:kern w:val="0"/>
          <w:sz w:val="24"/>
          <w:szCs w:val="24"/>
          <w:lang w:eastAsia="en-GB"/>
          <w14:ligatures w14:val="none"/>
        </w:rPr>
        <w:t xml:space="preserve"> (Shangri-La Hotels, 2022). </w:t>
      </w:r>
      <w:r w:rsidRPr="00E56861">
        <w:rPr>
          <w:rFonts w:ascii="Arial" w:eastAsia="Times New Roman" w:hAnsi="Arial" w:cs="Arial"/>
          <w:kern w:val="0"/>
          <w:sz w:val="24"/>
          <w:szCs w:val="24"/>
          <w:lang w:eastAsia="en-GB"/>
          <w14:ligatures w14:val="none"/>
        </w:rPr>
        <w:t>The basis of this method is a plan to take advantage of market prospects in the luxury sector, especially in non-China areas where they have experienced significant expansion. But Shangri-La faces main difficulties from local market conditions and economic swings, which can have a big effect on demand for luxury travel. Conversely, Travelodge, which specialises in the low-cost hotel market, expands by means of a robust direct distribution strategy and a strong development pipeline. Their expansion in the underdeveloped low-cost hotel sector depends on their capacity to maintain profitability and cash flow, which this model not only enables them to do but also guarantees</w:t>
      </w:r>
      <w:r w:rsidR="006B2C9E" w:rsidRPr="00E56861">
        <w:rPr>
          <w:rFonts w:ascii="Arial" w:eastAsia="Times New Roman" w:hAnsi="Arial" w:cs="Arial"/>
          <w:kern w:val="0"/>
          <w:sz w:val="24"/>
          <w:szCs w:val="24"/>
          <w:lang w:eastAsia="en-GB"/>
          <w14:ligatures w14:val="none"/>
        </w:rPr>
        <w:t xml:space="preserve"> (Travelodge, 202</w:t>
      </w:r>
      <w:r w:rsidR="00050334" w:rsidRPr="00E56861">
        <w:rPr>
          <w:rFonts w:ascii="Arial" w:eastAsia="Times New Roman" w:hAnsi="Arial" w:cs="Arial"/>
          <w:kern w:val="0"/>
          <w:sz w:val="24"/>
          <w:szCs w:val="24"/>
          <w:lang w:eastAsia="en-GB"/>
          <w14:ligatures w14:val="none"/>
        </w:rPr>
        <w:t>3</w:t>
      </w:r>
      <w:r w:rsidR="006B2C9E" w:rsidRPr="00E56861">
        <w:rPr>
          <w:rFonts w:ascii="Arial" w:eastAsia="Times New Roman" w:hAnsi="Arial" w:cs="Arial"/>
          <w:kern w:val="0"/>
          <w:sz w:val="24"/>
          <w:szCs w:val="24"/>
          <w:lang w:eastAsia="en-GB"/>
          <w14:ligatures w14:val="none"/>
        </w:rPr>
        <w:t xml:space="preserve">). </w:t>
      </w:r>
      <w:r w:rsidRPr="00E56861">
        <w:rPr>
          <w:rFonts w:ascii="Arial" w:eastAsia="Times New Roman" w:hAnsi="Arial" w:cs="Arial"/>
          <w:kern w:val="0"/>
          <w:sz w:val="24"/>
          <w:szCs w:val="24"/>
          <w:lang w:eastAsia="en-GB"/>
          <w14:ligatures w14:val="none"/>
        </w:rPr>
        <w:t>Travelodge's reliance on economic cycles and the fierce competition in the budget industry, where consumer price sensitivity can be a major obstacle to revenue development, limit its expansion, though</w:t>
      </w:r>
      <w:r w:rsidR="00050334" w:rsidRPr="00E56861">
        <w:rPr>
          <w:rFonts w:ascii="Arial" w:eastAsia="Times New Roman" w:hAnsi="Arial" w:cs="Arial"/>
          <w:kern w:val="0"/>
          <w:sz w:val="24"/>
          <w:szCs w:val="24"/>
          <w:lang w:eastAsia="en-GB"/>
          <w14:ligatures w14:val="none"/>
        </w:rPr>
        <w:t xml:space="preserve"> (IBISWorld, 2024).</w:t>
      </w:r>
    </w:p>
    <w:p w14:paraId="413C1E2E" w14:textId="77777777" w:rsidR="002A112A" w:rsidRPr="00E56861" w:rsidRDefault="002A112A" w:rsidP="00E56861">
      <w:pPr>
        <w:spacing w:after="0" w:line="360" w:lineRule="auto"/>
        <w:jc w:val="both"/>
        <w:rPr>
          <w:rFonts w:ascii="Arial" w:eastAsia="Times New Roman" w:hAnsi="Arial" w:cs="Arial"/>
          <w:kern w:val="0"/>
          <w:sz w:val="24"/>
          <w:szCs w:val="24"/>
          <w:lang w:eastAsia="en-GB"/>
          <w14:ligatures w14:val="none"/>
        </w:rPr>
      </w:pPr>
    </w:p>
    <w:p w14:paraId="0E1EC682" w14:textId="77777777" w:rsidR="00B7139B" w:rsidRPr="00E56861" w:rsidRDefault="00B7139B" w:rsidP="00E56861">
      <w:pPr>
        <w:spacing w:after="0" w:line="360" w:lineRule="auto"/>
        <w:jc w:val="both"/>
        <w:rPr>
          <w:rFonts w:ascii="Arial" w:eastAsia="Times New Roman" w:hAnsi="Arial" w:cs="Arial"/>
          <w:kern w:val="0"/>
          <w:sz w:val="24"/>
          <w:szCs w:val="24"/>
          <w:lang w:eastAsia="en-GB"/>
          <w14:ligatures w14:val="none"/>
        </w:rPr>
      </w:pPr>
    </w:p>
    <w:p w14:paraId="4588481E" w14:textId="3A008FFE" w:rsidR="00B7139B" w:rsidRPr="00E56861" w:rsidRDefault="002A112A" w:rsidP="00E56861">
      <w:pPr>
        <w:pStyle w:val="EU"/>
        <w:numPr>
          <w:ilvl w:val="0"/>
          <w:numId w:val="2"/>
        </w:numPr>
        <w:spacing w:line="360" w:lineRule="auto"/>
        <w:rPr>
          <w:rFonts w:eastAsia="Times New Roman"/>
          <w:color w:val="auto"/>
        </w:rPr>
      </w:pPr>
      <w:bookmarkStart w:id="4" w:name="_Toc166013397"/>
      <w:r w:rsidRPr="00E56861">
        <w:rPr>
          <w:rFonts w:eastAsia="Times New Roman"/>
          <w:color w:val="auto"/>
        </w:rPr>
        <w:t>Financial commitment to CSR</w:t>
      </w:r>
      <w:bookmarkEnd w:id="4"/>
      <w:r w:rsidRPr="00E56861">
        <w:rPr>
          <w:rFonts w:eastAsia="Times New Roman"/>
          <w:color w:val="auto"/>
        </w:rPr>
        <w:t xml:space="preserve"> </w:t>
      </w:r>
    </w:p>
    <w:p w14:paraId="58BE8F3F" w14:textId="77E8C623" w:rsidR="00605223" w:rsidRPr="00E56861" w:rsidRDefault="00B2489D"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Corporate Social Responsibility  is the active and voluntary contribution of businesses to the enhancement of the social, economic, and environmental conditions.  CSR  is influenced by shifting expectations from both society and enterprises. Since varied situations arise in which companies operate, the CSR strategy is founded on principles rather than prescriptions</w:t>
      </w:r>
      <w:r w:rsidR="006725DE" w:rsidRPr="00E56861">
        <w:rPr>
          <w:rFonts w:ascii="Arial" w:eastAsia="Times New Roman" w:hAnsi="Arial" w:cs="Arial"/>
          <w:kern w:val="0"/>
          <w:sz w:val="24"/>
          <w:szCs w:val="24"/>
          <w:lang w:eastAsia="en-GB"/>
          <w14:ligatures w14:val="none"/>
        </w:rPr>
        <w:t xml:space="preserve"> </w:t>
      </w:r>
      <w:r w:rsidR="006725DE" w:rsidRPr="00E56861">
        <w:rPr>
          <w:rFonts w:ascii="Arial" w:hAnsi="Arial" w:cs="Arial"/>
          <w:sz w:val="24"/>
          <w:szCs w:val="24"/>
          <w:shd w:val="clear" w:color="auto" w:fill="FFFFFF"/>
        </w:rPr>
        <w:t> (Bohdanowicz and Zientara, 2008)</w:t>
      </w:r>
      <w:r w:rsidR="006725DE" w:rsidRPr="00E56861">
        <w:rPr>
          <w:rFonts w:ascii="Arial" w:eastAsia="Times New Roman" w:hAnsi="Arial" w:cs="Arial"/>
          <w:kern w:val="0"/>
          <w:sz w:val="24"/>
          <w:szCs w:val="24"/>
          <w:lang w:eastAsia="en-GB"/>
          <w14:ligatures w14:val="none"/>
        </w:rPr>
        <w:t xml:space="preserve">. </w:t>
      </w:r>
      <w:r w:rsidRPr="00E56861">
        <w:rPr>
          <w:rFonts w:ascii="Arial" w:eastAsia="Times New Roman" w:hAnsi="Arial" w:cs="Arial"/>
          <w:kern w:val="0"/>
          <w:sz w:val="24"/>
          <w:szCs w:val="24"/>
          <w:lang w:eastAsia="en-GB"/>
          <w14:ligatures w14:val="none"/>
        </w:rPr>
        <w:t>This is knowing how different stakeholders, shareholders, staff, clients, public administration, and others, influence and play roles in the operations of the company. Integrating moral behaviour that helps the community and the environment in addition to the company is the primary goal of CSR</w:t>
      </w:r>
      <w:r w:rsidR="003B5D4D" w:rsidRPr="00E56861">
        <w:rPr>
          <w:rFonts w:ascii="Arial" w:eastAsia="Times New Roman" w:hAnsi="Arial" w:cs="Arial"/>
          <w:kern w:val="0"/>
          <w:sz w:val="24"/>
          <w:szCs w:val="24"/>
          <w:lang w:eastAsia="en-GB"/>
          <w14:ligatures w14:val="none"/>
        </w:rPr>
        <w:t xml:space="preserve"> </w:t>
      </w:r>
      <w:r w:rsidR="003B5D4D" w:rsidRPr="00E56861">
        <w:rPr>
          <w:rFonts w:ascii="Arial" w:hAnsi="Arial" w:cs="Arial"/>
          <w:sz w:val="24"/>
          <w:szCs w:val="24"/>
          <w:shd w:val="clear" w:color="auto" w:fill="FFFFFF"/>
        </w:rPr>
        <w:t>(Font and Lynes, 2018).</w:t>
      </w:r>
      <w:r w:rsidRPr="00E56861">
        <w:rPr>
          <w:rFonts w:ascii="Arial" w:eastAsia="Times New Roman" w:hAnsi="Arial" w:cs="Arial"/>
          <w:kern w:val="0"/>
          <w:sz w:val="24"/>
          <w:szCs w:val="24"/>
          <w:lang w:eastAsia="en-GB"/>
          <w14:ligatures w14:val="none"/>
        </w:rPr>
        <w:t xml:space="preserve"> </w:t>
      </w:r>
      <w:r w:rsidR="00605223" w:rsidRPr="00E56861">
        <w:rPr>
          <w:rFonts w:ascii="Arial" w:eastAsia="Times New Roman" w:hAnsi="Arial" w:cs="Arial"/>
          <w:kern w:val="0"/>
          <w:sz w:val="24"/>
          <w:szCs w:val="24"/>
          <w:lang w:eastAsia="en-GB"/>
          <w14:ligatures w14:val="none"/>
        </w:rPr>
        <w:t>For Shangri-La Hotels and Travelodge Hotels, their dedication to CSR is a calculated business move that improves their market positions and bottom lines in addition to an ethical posture. Shangri-La has built a strong Environmental, Social, and Governance framework that underpins its activities. Situated around four pillars—Business, Community, Environment, and People—this framework seeks to maintain high global standards in sustainability. Their efforts to achieve a 100% eradication of plastic cutlery and containers across their properties and to reduce carbon emissions intensity by 15% from a 2019 baseline demonstrate this commitment (Shangri-La Sustainability Report 202</w:t>
      </w:r>
      <w:r w:rsidR="00F229AF" w:rsidRPr="00E56861">
        <w:rPr>
          <w:rFonts w:ascii="Arial" w:eastAsia="Times New Roman" w:hAnsi="Arial" w:cs="Arial"/>
          <w:kern w:val="0"/>
          <w:sz w:val="24"/>
          <w:szCs w:val="24"/>
          <w:lang w:eastAsia="en-GB"/>
          <w14:ligatures w14:val="none"/>
        </w:rPr>
        <w:t>3</w:t>
      </w:r>
      <w:r w:rsidR="00605223" w:rsidRPr="00E56861">
        <w:rPr>
          <w:rFonts w:ascii="Arial" w:eastAsia="Times New Roman" w:hAnsi="Arial" w:cs="Arial"/>
          <w:kern w:val="0"/>
          <w:sz w:val="24"/>
          <w:szCs w:val="24"/>
          <w:lang w:eastAsia="en-GB"/>
          <w14:ligatures w14:val="none"/>
        </w:rPr>
        <w:t>).</w:t>
      </w:r>
      <w:r w:rsidR="001F285B" w:rsidRPr="00E56861">
        <w:rPr>
          <w:rFonts w:ascii="Arial" w:eastAsia="Times New Roman" w:hAnsi="Arial" w:cs="Arial"/>
          <w:kern w:val="0"/>
          <w:sz w:val="24"/>
          <w:szCs w:val="24"/>
          <w:lang w:eastAsia="en-GB"/>
          <w14:ligatures w14:val="none"/>
        </w:rPr>
        <w:t xml:space="preserve"> </w:t>
      </w:r>
      <w:r w:rsidR="00605223" w:rsidRPr="00E56861">
        <w:rPr>
          <w:rFonts w:ascii="Arial" w:eastAsia="Times New Roman" w:hAnsi="Arial" w:cs="Arial"/>
          <w:kern w:val="0"/>
          <w:sz w:val="24"/>
          <w:szCs w:val="24"/>
          <w:lang w:eastAsia="en-GB"/>
          <w14:ligatures w14:val="none"/>
        </w:rPr>
        <w:t>Travelodge, too, has created a thorough sustainability strategy called "Better Future." Their corporate strategy depends on the plan, which emphasises social mobility, customer and colleague care, and deliberate waste and carbon emissions reduction. Important components are energy-efficient initiatives and switching to green energy sources, which help them achieve their CSR goals and also result in long-term cost savings and increased customer loyalty</w:t>
      </w:r>
      <w:r w:rsidR="00051480" w:rsidRPr="00E56861">
        <w:rPr>
          <w:rFonts w:ascii="Arial" w:eastAsia="Times New Roman" w:hAnsi="Arial" w:cs="Arial"/>
          <w:kern w:val="0"/>
          <w:sz w:val="24"/>
          <w:szCs w:val="24"/>
          <w:lang w:eastAsia="en-GB"/>
          <w14:ligatures w14:val="none"/>
        </w:rPr>
        <w:t xml:space="preserve"> (Travelodge, 2022). </w:t>
      </w:r>
      <w:r w:rsidR="00605223" w:rsidRPr="00E56861">
        <w:rPr>
          <w:rFonts w:ascii="Arial" w:eastAsia="Times New Roman" w:hAnsi="Arial" w:cs="Arial"/>
          <w:kern w:val="0"/>
          <w:sz w:val="24"/>
          <w:szCs w:val="24"/>
          <w:lang w:eastAsia="en-GB"/>
          <w14:ligatures w14:val="none"/>
        </w:rPr>
        <w:t xml:space="preserve">Because these CSR initiatives improve the reputations of both brands, draw in and keep socially concerned customers, and build investor trust, they have substantial financial ramifications. In addition to reducing risks associated with environmental effect and regulatory compliance, Shangri-La and Travelodge's </w:t>
      </w:r>
      <w:r w:rsidR="00A5510F" w:rsidRPr="00E56861">
        <w:rPr>
          <w:rFonts w:ascii="Arial" w:eastAsia="Times New Roman" w:hAnsi="Arial" w:cs="Arial"/>
          <w:kern w:val="0"/>
          <w:sz w:val="24"/>
          <w:szCs w:val="24"/>
          <w:lang w:eastAsia="en-GB"/>
          <w14:ligatures w14:val="none"/>
        </w:rPr>
        <w:t>initiative-taking</w:t>
      </w:r>
      <w:r w:rsidR="00605223" w:rsidRPr="00E56861">
        <w:rPr>
          <w:rFonts w:ascii="Arial" w:eastAsia="Times New Roman" w:hAnsi="Arial" w:cs="Arial"/>
          <w:kern w:val="0"/>
          <w:sz w:val="24"/>
          <w:szCs w:val="24"/>
          <w:lang w:eastAsia="en-GB"/>
          <w14:ligatures w14:val="none"/>
        </w:rPr>
        <w:t xml:space="preserve"> sustainability establish them as industry leaders in corporate responsibility. Better customer loyalty and </w:t>
      </w:r>
      <w:r w:rsidR="00A5510F" w:rsidRPr="00E56861">
        <w:rPr>
          <w:rFonts w:ascii="Arial" w:eastAsia="Times New Roman" w:hAnsi="Arial" w:cs="Arial"/>
          <w:kern w:val="0"/>
          <w:sz w:val="24"/>
          <w:szCs w:val="24"/>
          <w:lang w:eastAsia="en-GB"/>
          <w14:ligatures w14:val="none"/>
        </w:rPr>
        <w:t>increased</w:t>
      </w:r>
      <w:r w:rsidR="00605223" w:rsidRPr="00E56861">
        <w:rPr>
          <w:rFonts w:ascii="Arial" w:eastAsia="Times New Roman" w:hAnsi="Arial" w:cs="Arial"/>
          <w:kern w:val="0"/>
          <w:sz w:val="24"/>
          <w:szCs w:val="24"/>
          <w:lang w:eastAsia="en-GB"/>
          <w14:ligatures w14:val="none"/>
        </w:rPr>
        <w:t xml:space="preserve"> revenue streams are expected from this strategic posture, demonstrating that successful CSR integration may give a competitive advantage and benefit the global community at the same tim</w:t>
      </w:r>
      <w:r w:rsidR="00605183" w:rsidRPr="00E56861">
        <w:rPr>
          <w:rFonts w:ascii="Arial" w:eastAsia="Times New Roman" w:hAnsi="Arial" w:cs="Arial"/>
          <w:kern w:val="0"/>
          <w:sz w:val="24"/>
          <w:szCs w:val="24"/>
          <w:lang w:eastAsia="en-GB"/>
          <w14:ligatures w14:val="none"/>
        </w:rPr>
        <w:t xml:space="preserve">e as it can be seen in fig 3 and fig 4. </w:t>
      </w:r>
    </w:p>
    <w:p w14:paraId="36BB6A70" w14:textId="77777777" w:rsidR="00F3618C" w:rsidRPr="00E56861" w:rsidRDefault="00F3618C" w:rsidP="00E56861">
      <w:pPr>
        <w:spacing w:line="360" w:lineRule="auto"/>
        <w:jc w:val="both"/>
        <w:rPr>
          <w:rFonts w:ascii="Arial" w:eastAsia="Times New Roman" w:hAnsi="Arial" w:cs="Arial"/>
          <w:kern w:val="0"/>
          <w:sz w:val="24"/>
          <w:szCs w:val="24"/>
          <w:lang w:eastAsia="en-GB"/>
          <w14:ligatures w14:val="none"/>
        </w:rPr>
      </w:pPr>
    </w:p>
    <w:p w14:paraId="460E8F96" w14:textId="77777777" w:rsidR="00F3618C" w:rsidRPr="00E56861" w:rsidRDefault="00F3618C" w:rsidP="00E56861">
      <w:pPr>
        <w:spacing w:line="360" w:lineRule="auto"/>
        <w:jc w:val="both"/>
        <w:rPr>
          <w:rFonts w:ascii="Arial" w:eastAsia="Times New Roman" w:hAnsi="Arial" w:cs="Arial"/>
          <w:kern w:val="0"/>
          <w:sz w:val="24"/>
          <w:szCs w:val="24"/>
          <w:lang w:eastAsia="en-GB"/>
          <w14:ligatures w14:val="none"/>
        </w:rPr>
      </w:pPr>
    </w:p>
    <w:p w14:paraId="6B76A1DF" w14:textId="0DA45EEF" w:rsidR="00B2489D" w:rsidRPr="00E56861" w:rsidRDefault="00AD5607"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noProof/>
          <w:kern w:val="0"/>
          <w:sz w:val="24"/>
          <w:szCs w:val="24"/>
          <w:lang w:eastAsia="en-GB"/>
        </w:rPr>
        <w:drawing>
          <wp:inline distT="0" distB="0" distL="0" distR="0" wp14:anchorId="75DAB1A4" wp14:editId="0CF00B55">
            <wp:extent cx="5965694" cy="4432300"/>
            <wp:effectExtent l="0" t="0" r="0" b="6350"/>
            <wp:docPr id="1451553974"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53974" name="Picture 1" descr="A graph of a bar char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77589" cy="4441138"/>
                    </a:xfrm>
                    <a:prstGeom prst="rect">
                      <a:avLst/>
                    </a:prstGeom>
                  </pic:spPr>
                </pic:pic>
              </a:graphicData>
            </a:graphic>
          </wp:inline>
        </w:drawing>
      </w:r>
    </w:p>
    <w:p w14:paraId="38B7443F" w14:textId="07977C90" w:rsidR="00AD5607" w:rsidRPr="00E56861" w:rsidRDefault="00AD5607"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Fig 3. Statista (2024). </w:t>
      </w:r>
      <w:r w:rsidR="003A0FC1" w:rsidRPr="00E56861">
        <w:rPr>
          <w:rFonts w:ascii="Arial" w:eastAsia="Times New Roman" w:hAnsi="Arial" w:cs="Arial"/>
          <w:kern w:val="0"/>
          <w:sz w:val="24"/>
          <w:szCs w:val="24"/>
          <w:lang w:eastAsia="en-GB"/>
          <w14:ligatures w14:val="none"/>
        </w:rPr>
        <w:t>Leading hotel brands based on brand value worldwide in 2023.</w:t>
      </w:r>
    </w:p>
    <w:p w14:paraId="5D6EA083" w14:textId="6854C354" w:rsidR="003A0FC1" w:rsidRPr="00E56861" w:rsidRDefault="00F52317"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noProof/>
          <w:kern w:val="0"/>
          <w:sz w:val="24"/>
          <w:szCs w:val="24"/>
          <w:lang w:eastAsia="en-GB"/>
        </w:rPr>
        <w:drawing>
          <wp:inline distT="0" distB="0" distL="0" distR="0" wp14:anchorId="16D66B06" wp14:editId="0DA2EF61">
            <wp:extent cx="4838700" cy="5003278"/>
            <wp:effectExtent l="0" t="0" r="0" b="6985"/>
            <wp:docPr id="1629134727" name="Picture 2"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34727" name="Picture 2" descr="A graph of blue and white ba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44279" cy="5009047"/>
                    </a:xfrm>
                    <a:prstGeom prst="rect">
                      <a:avLst/>
                    </a:prstGeom>
                  </pic:spPr>
                </pic:pic>
              </a:graphicData>
            </a:graphic>
          </wp:inline>
        </w:drawing>
      </w:r>
    </w:p>
    <w:p w14:paraId="52B6EA39" w14:textId="77F0C3D5" w:rsidR="00F3618C" w:rsidRPr="00E56861" w:rsidRDefault="00F3618C"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Fig 4. Statista (2024). </w:t>
      </w:r>
      <w:r w:rsidR="00892119" w:rsidRPr="00E56861">
        <w:rPr>
          <w:rFonts w:ascii="Arial" w:eastAsia="Times New Roman" w:hAnsi="Arial" w:cs="Arial"/>
          <w:kern w:val="0"/>
          <w:sz w:val="24"/>
          <w:szCs w:val="24"/>
          <w:lang w:eastAsia="en-GB"/>
          <w14:ligatures w14:val="none"/>
        </w:rPr>
        <w:t>Most popular hotel brands in the United Kingdom (UK) in 3rd quarter of 2023.</w:t>
      </w:r>
    </w:p>
    <w:p w14:paraId="3DFA5809" w14:textId="77777777" w:rsidR="00892119" w:rsidRPr="00E56861" w:rsidRDefault="00892119" w:rsidP="00E56861">
      <w:pPr>
        <w:spacing w:after="0" w:line="360" w:lineRule="auto"/>
        <w:jc w:val="both"/>
        <w:rPr>
          <w:rFonts w:ascii="Arial" w:eastAsia="Times New Roman" w:hAnsi="Arial" w:cs="Arial"/>
          <w:kern w:val="0"/>
          <w:sz w:val="24"/>
          <w:szCs w:val="24"/>
          <w:lang w:eastAsia="en-GB"/>
          <w14:ligatures w14:val="none"/>
        </w:rPr>
      </w:pPr>
    </w:p>
    <w:p w14:paraId="0BAD5E9B" w14:textId="77777777" w:rsidR="00892119" w:rsidRPr="00E56861" w:rsidRDefault="00892119" w:rsidP="00E56861">
      <w:pPr>
        <w:spacing w:after="0" w:line="360" w:lineRule="auto"/>
        <w:jc w:val="both"/>
        <w:rPr>
          <w:rFonts w:ascii="Arial" w:eastAsia="Times New Roman" w:hAnsi="Arial" w:cs="Arial"/>
          <w:kern w:val="0"/>
          <w:sz w:val="24"/>
          <w:szCs w:val="24"/>
          <w:lang w:eastAsia="en-GB"/>
          <w14:ligatures w14:val="none"/>
        </w:rPr>
      </w:pPr>
    </w:p>
    <w:p w14:paraId="16D4043D" w14:textId="7F105A35" w:rsidR="00892119" w:rsidRPr="00E56861" w:rsidRDefault="00892119" w:rsidP="00E56861">
      <w:pPr>
        <w:pStyle w:val="EU"/>
        <w:numPr>
          <w:ilvl w:val="0"/>
          <w:numId w:val="2"/>
        </w:numPr>
        <w:spacing w:line="360" w:lineRule="auto"/>
        <w:rPr>
          <w:rFonts w:eastAsia="Times New Roman"/>
          <w:color w:val="auto"/>
        </w:rPr>
      </w:pPr>
      <w:bookmarkStart w:id="5" w:name="_Toc166013398"/>
      <w:r w:rsidRPr="00E56861">
        <w:rPr>
          <w:rFonts w:eastAsia="Times New Roman"/>
          <w:color w:val="auto"/>
        </w:rPr>
        <w:t>Conclusion</w:t>
      </w:r>
      <w:bookmarkEnd w:id="5"/>
      <w:r w:rsidRPr="00E56861">
        <w:rPr>
          <w:rFonts w:eastAsia="Times New Roman"/>
          <w:color w:val="auto"/>
        </w:rPr>
        <w:t xml:space="preserve"> </w:t>
      </w:r>
    </w:p>
    <w:p w14:paraId="10772F2F" w14:textId="0ACE258F" w:rsidR="00770C64" w:rsidRPr="00E56861" w:rsidRDefault="00BD15D5" w:rsidP="00E56861">
      <w:pPr>
        <w:spacing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In </w:t>
      </w:r>
      <w:r w:rsidR="00770C64" w:rsidRPr="00E56861">
        <w:rPr>
          <w:rFonts w:ascii="Arial" w:eastAsia="Times New Roman" w:hAnsi="Arial" w:cs="Arial"/>
          <w:kern w:val="0"/>
          <w:sz w:val="24"/>
          <w:szCs w:val="24"/>
          <w:lang w:eastAsia="en-GB"/>
          <w14:ligatures w14:val="none"/>
        </w:rPr>
        <w:t xml:space="preserve">conclusion, </w:t>
      </w:r>
      <w:r w:rsidR="000F5993" w:rsidRPr="00E56861">
        <w:rPr>
          <w:rFonts w:ascii="Arial" w:eastAsia="Times New Roman" w:hAnsi="Arial" w:cs="Arial"/>
          <w:kern w:val="0"/>
          <w:sz w:val="24"/>
          <w:szCs w:val="24"/>
          <w:lang w:eastAsia="en-GB"/>
          <w14:ligatures w14:val="none"/>
        </w:rPr>
        <w:t>it</w:t>
      </w:r>
      <w:r w:rsidR="00770C64" w:rsidRPr="00E56861">
        <w:rPr>
          <w:rFonts w:ascii="Arial" w:eastAsia="Times New Roman" w:hAnsi="Arial" w:cs="Arial"/>
          <w:kern w:val="0"/>
          <w:sz w:val="24"/>
          <w:szCs w:val="24"/>
          <w:lang w:eastAsia="en-GB"/>
          <w14:ligatures w14:val="none"/>
        </w:rPr>
        <w:t xml:space="preserve"> is clear from  the Shangri-La Hotels and Travelodge Hotels  cash flow, income statements, and balance sheets that both companies have used their financial plans to maximise growth and success within their own market niches. With its emphasis on luxury, Shangri-La has effectively recovered in premium markets as seen by its ability to sustain high revenue streams and EBITDA growth. High asset values are maintained by their property improvements, which is necessary for their premium brand. They are, nevertheless, vulnerable to changes in international travel patterns and economic downturns because of their emphasis on upscale markets. On the other side, Travelodge shows a strategic mastery in operational effectiveness and cost control. Revenue and EBITDA growth emphasise operational cash flow and rapid market situation adaptation as successful adaptations to the competitive dynamics of the budget sector. Their substantial decrease of debt and efficient cash management techniques demonstrate a dedication to resilience and financial sustainability, which places them well in the low-cost lodging market. Both businesses have strengths in their financial strategies. Travelodge uses operational efficiency and financial agility, while Shangri-La enhances assets and positions itself in an upscale market. While Travelodge concentrates on increasing efficiency and market penetration in the budget sector, Shangri-La invests on preserving luxury service standards.</w:t>
      </w:r>
    </w:p>
    <w:p w14:paraId="1BFC2E44" w14:textId="77777777" w:rsidR="00770C64" w:rsidRPr="00E56861" w:rsidRDefault="00770C64" w:rsidP="00E56861">
      <w:pPr>
        <w:spacing w:line="360" w:lineRule="auto"/>
        <w:jc w:val="both"/>
        <w:rPr>
          <w:rFonts w:ascii="Arial" w:eastAsia="Times New Roman" w:hAnsi="Arial" w:cs="Arial"/>
          <w:kern w:val="0"/>
          <w:sz w:val="24"/>
          <w:szCs w:val="24"/>
          <w:lang w:eastAsia="en-GB"/>
          <w14:ligatures w14:val="none"/>
        </w:rPr>
      </w:pPr>
    </w:p>
    <w:p w14:paraId="51D68103" w14:textId="713AB235" w:rsidR="00770C64" w:rsidRPr="00E56861" w:rsidRDefault="00770C64" w:rsidP="00E56861">
      <w:pPr>
        <w:pStyle w:val="EU"/>
        <w:numPr>
          <w:ilvl w:val="0"/>
          <w:numId w:val="2"/>
        </w:numPr>
        <w:spacing w:line="360" w:lineRule="auto"/>
        <w:rPr>
          <w:rFonts w:eastAsia="Times New Roman"/>
          <w:color w:val="auto"/>
        </w:rPr>
      </w:pPr>
      <w:bookmarkStart w:id="6" w:name="_Toc166013399"/>
      <w:r w:rsidRPr="00E56861">
        <w:rPr>
          <w:rFonts w:eastAsia="Times New Roman"/>
          <w:color w:val="auto"/>
        </w:rPr>
        <w:t>Recommendations</w:t>
      </w:r>
      <w:bookmarkEnd w:id="6"/>
      <w:r w:rsidRPr="00E56861">
        <w:rPr>
          <w:rFonts w:eastAsia="Times New Roman"/>
          <w:color w:val="auto"/>
        </w:rPr>
        <w:t xml:space="preserve"> </w:t>
      </w:r>
    </w:p>
    <w:p w14:paraId="7188D571" w14:textId="6C04B7C9" w:rsidR="000F5993" w:rsidRPr="00E56861" w:rsidRDefault="000F5993" w:rsidP="00E56861">
      <w:pPr>
        <w:spacing w:after="0" w:line="360" w:lineRule="auto"/>
        <w:jc w:val="both"/>
        <w:rPr>
          <w:rFonts w:ascii="Arial" w:eastAsia="Times New Roman" w:hAnsi="Arial" w:cs="Arial"/>
          <w:kern w:val="0"/>
          <w:sz w:val="24"/>
          <w:szCs w:val="24"/>
          <w:lang w:eastAsia="en-GB"/>
          <w14:ligatures w14:val="none"/>
        </w:rPr>
      </w:pPr>
      <w:r w:rsidRPr="00E56861">
        <w:rPr>
          <w:rFonts w:ascii="Arial" w:eastAsia="Times New Roman" w:hAnsi="Arial" w:cs="Arial"/>
          <w:kern w:val="0"/>
          <w:sz w:val="24"/>
          <w:szCs w:val="24"/>
          <w:lang w:eastAsia="en-GB"/>
          <w14:ligatures w14:val="none"/>
        </w:rPr>
        <w:t xml:space="preserve">Shangri-La Hotels may find that concentrating on digital transformation and diversity can </w:t>
      </w:r>
      <w:r w:rsidR="00087B31" w:rsidRPr="00E56861">
        <w:rPr>
          <w:rFonts w:ascii="Arial" w:eastAsia="Times New Roman" w:hAnsi="Arial" w:cs="Arial"/>
          <w:kern w:val="0"/>
          <w:sz w:val="24"/>
          <w:szCs w:val="24"/>
          <w:lang w:eastAsia="en-GB"/>
          <w14:ligatures w14:val="none"/>
        </w:rPr>
        <w:t>accelerate</w:t>
      </w:r>
      <w:r w:rsidRPr="00E56861">
        <w:rPr>
          <w:rFonts w:ascii="Arial" w:eastAsia="Times New Roman" w:hAnsi="Arial" w:cs="Arial"/>
          <w:kern w:val="0"/>
          <w:sz w:val="24"/>
          <w:szCs w:val="24"/>
          <w:lang w:eastAsia="en-GB"/>
          <w14:ligatures w14:val="none"/>
        </w:rPr>
        <w:t xml:space="preserve"> growth. Mid-tier markets have shown resiliency during economic downturns, hence Shangri-La might think about broadening its portfolio there (</w:t>
      </w:r>
      <w:r w:rsidR="00860839" w:rsidRPr="00E56861">
        <w:rPr>
          <w:rFonts w:ascii="Arial" w:eastAsia="Times New Roman" w:hAnsi="Arial" w:cs="Arial"/>
          <w:kern w:val="0"/>
          <w:sz w:val="24"/>
          <w:szCs w:val="24"/>
          <w:lang w:eastAsia="en-GB"/>
          <w14:ligatures w14:val="none"/>
        </w:rPr>
        <w:t>JLL</w:t>
      </w:r>
      <w:r w:rsidRPr="00E56861">
        <w:rPr>
          <w:rFonts w:ascii="Arial" w:eastAsia="Times New Roman" w:hAnsi="Arial" w:cs="Arial"/>
          <w:kern w:val="0"/>
          <w:sz w:val="24"/>
          <w:szCs w:val="24"/>
          <w:lang w:eastAsia="en-GB"/>
          <w14:ligatures w14:val="none"/>
        </w:rPr>
        <w:t xml:space="preserve">, 2020). Its high-end market concentration can be lessened by diversifying its offers to include boutique and mid-market markets. Furthermore, including </w:t>
      </w:r>
      <w:r w:rsidR="008776C2" w:rsidRPr="00E56861">
        <w:rPr>
          <w:rFonts w:ascii="Arial" w:eastAsia="Times New Roman" w:hAnsi="Arial" w:cs="Arial"/>
          <w:kern w:val="0"/>
          <w:sz w:val="24"/>
          <w:szCs w:val="24"/>
          <w:lang w:eastAsia="en-GB"/>
          <w14:ligatures w14:val="none"/>
        </w:rPr>
        <w:t>innovative</w:t>
      </w:r>
      <w:r w:rsidRPr="00E56861">
        <w:rPr>
          <w:rFonts w:ascii="Arial" w:eastAsia="Times New Roman" w:hAnsi="Arial" w:cs="Arial"/>
          <w:kern w:val="0"/>
          <w:sz w:val="24"/>
          <w:szCs w:val="24"/>
          <w:lang w:eastAsia="en-GB"/>
          <w14:ligatures w14:val="none"/>
        </w:rPr>
        <w:t xml:space="preserve"> digital technology for customised visitor experiences, such IoT-enabled rooms and AI-driven customer service, could improve operational effectiveness and customer happiness, encouraging loyalty and drawing in a tech-savvy clientele (Deloitte, 20</w:t>
      </w:r>
      <w:r w:rsidR="008070FA" w:rsidRPr="00E56861">
        <w:rPr>
          <w:rFonts w:ascii="Arial" w:eastAsia="Times New Roman" w:hAnsi="Arial" w:cs="Arial"/>
          <w:kern w:val="0"/>
          <w:sz w:val="24"/>
          <w:szCs w:val="24"/>
          <w:lang w:eastAsia="en-GB"/>
          <w14:ligatures w14:val="none"/>
        </w:rPr>
        <w:t>21</w:t>
      </w:r>
      <w:r w:rsidRPr="00E56861">
        <w:rPr>
          <w:rFonts w:ascii="Arial" w:eastAsia="Times New Roman" w:hAnsi="Arial" w:cs="Arial"/>
          <w:kern w:val="0"/>
          <w:sz w:val="24"/>
          <w:szCs w:val="24"/>
          <w:lang w:eastAsia="en-GB"/>
          <w14:ligatures w14:val="none"/>
        </w:rPr>
        <w:t>). On the other hand, Travelodge might profit from strengthening its environmental programmes and looking into joint ventures. Travelodge should up its environmental commitment as more and more budget-conscious travellers choose sustainable vacation options. Higher expenditures in energy-efficient technology and sustainable building certifications, which draw in environmentally concerned clients and lower long-term operating expenses, could be part of this (</w:t>
      </w:r>
      <w:r w:rsidR="00E66D06" w:rsidRPr="00E56861">
        <w:rPr>
          <w:rFonts w:ascii="Arial" w:eastAsia="Times New Roman" w:hAnsi="Arial" w:cs="Arial"/>
          <w:kern w:val="0"/>
          <w:sz w:val="24"/>
          <w:szCs w:val="24"/>
          <w:lang w:eastAsia="en-GB"/>
          <w14:ligatures w14:val="none"/>
        </w:rPr>
        <w:t>Walker</w:t>
      </w:r>
      <w:r w:rsidRPr="00E56861">
        <w:rPr>
          <w:rFonts w:ascii="Arial" w:eastAsia="Times New Roman" w:hAnsi="Arial" w:cs="Arial"/>
          <w:kern w:val="0"/>
          <w:sz w:val="24"/>
          <w:szCs w:val="24"/>
          <w:lang w:eastAsia="en-GB"/>
          <w14:ligatures w14:val="none"/>
        </w:rPr>
        <w:t>, 2021). Moreover, establishing alliances with regional tourist organisations and companies could offer attractive packages and incentives, capitalising on the expanding trend of staycations and local holidays brought on by uncertainties in the world travel market (UNWTO, 2020). These tactics would strengthen Travelodge's market position as an affordable choice and increase its attractiveness in the changing tourist industry.</w:t>
      </w:r>
    </w:p>
    <w:p w14:paraId="7062AF76" w14:textId="4759D84B" w:rsidR="00E63A22" w:rsidRPr="00B0714B" w:rsidRDefault="00E63A22" w:rsidP="00B0714B">
      <w:pPr>
        <w:spacing w:line="360" w:lineRule="auto"/>
        <w:jc w:val="both"/>
        <w:rPr>
          <w:rFonts w:ascii="Arial" w:hAnsi="Arial" w:cs="Arial"/>
          <w:sz w:val="24"/>
          <w:szCs w:val="24"/>
        </w:rPr>
      </w:pPr>
    </w:p>
    <w:p w14:paraId="3C7DB7F7" w14:textId="023DDEC5" w:rsidR="00E63A22" w:rsidRDefault="000F5993" w:rsidP="00B0714B">
      <w:pPr>
        <w:pStyle w:val="EU"/>
        <w:numPr>
          <w:ilvl w:val="0"/>
          <w:numId w:val="2"/>
        </w:numPr>
        <w:spacing w:line="360" w:lineRule="auto"/>
        <w:rPr>
          <w:color w:val="auto"/>
        </w:rPr>
      </w:pPr>
      <w:bookmarkStart w:id="7" w:name="_Toc166013400"/>
      <w:r w:rsidRPr="00B0714B">
        <w:rPr>
          <w:color w:val="auto"/>
        </w:rPr>
        <w:t>References</w:t>
      </w:r>
      <w:bookmarkEnd w:id="7"/>
      <w:r w:rsidRPr="00B0714B">
        <w:rPr>
          <w:color w:val="auto"/>
        </w:rPr>
        <w:t xml:space="preserve"> </w:t>
      </w:r>
    </w:p>
    <w:p w14:paraId="15D48A70" w14:textId="77777777" w:rsidR="007F03FE" w:rsidRPr="007F03FE" w:rsidRDefault="007F03FE" w:rsidP="007F03FE">
      <w:pPr>
        <w:rPr>
          <w:lang w:eastAsia="en-GB"/>
        </w:rPr>
      </w:pPr>
    </w:p>
    <w:p w14:paraId="34451BF2" w14:textId="77777777" w:rsidR="00913CFE" w:rsidRDefault="00913CFE" w:rsidP="00E56861">
      <w:pPr>
        <w:pStyle w:val="NormalWeb"/>
        <w:spacing w:before="0" w:beforeAutospacing="0" w:after="0" w:afterAutospacing="0" w:line="360" w:lineRule="auto"/>
        <w:jc w:val="both"/>
        <w:rPr>
          <w:rFonts w:ascii="Calibri" w:hAnsi="Calibri" w:cs="Calibri"/>
          <w:color w:val="000000"/>
          <w:sz w:val="27"/>
          <w:szCs w:val="27"/>
        </w:rPr>
      </w:pPr>
      <w:r>
        <w:t xml:space="preserve">  Atrill P, McLaney E (2021) Management Accounting for Decision Makers, FT Prentice Hall</w:t>
      </w:r>
      <w:r w:rsidR="00B502FF">
        <w:rPr>
          <w:rFonts w:ascii="Calibri" w:hAnsi="Calibri" w:cs="Calibri"/>
          <w:color w:val="000000"/>
          <w:sz w:val="27"/>
          <w:szCs w:val="27"/>
        </w:rPr>
        <w:t xml:space="preserve">  </w:t>
      </w:r>
      <w:r>
        <w:rPr>
          <w:rFonts w:ascii="Calibri" w:hAnsi="Calibri" w:cs="Calibri"/>
          <w:color w:val="000000"/>
          <w:sz w:val="27"/>
          <w:szCs w:val="27"/>
        </w:rPr>
        <w:t xml:space="preserve">   </w:t>
      </w:r>
    </w:p>
    <w:p w14:paraId="230F946F" w14:textId="79E540C4" w:rsidR="00293FDE" w:rsidRDefault="00913CFE"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00293FDE">
        <w:rPr>
          <w:rFonts w:ascii="Calibri" w:hAnsi="Calibri" w:cs="Calibri"/>
          <w:color w:val="000000"/>
          <w:sz w:val="27"/>
          <w:szCs w:val="27"/>
        </w:rPr>
        <w:t>Bohdanowicz, P. and Zientara, P. (2008). Corporate Social Responsibility in Hospitality: Issues and Implications. A Case Study of Scandic. </w:t>
      </w:r>
      <w:r w:rsidR="00293FDE">
        <w:rPr>
          <w:rFonts w:ascii="Calibri" w:hAnsi="Calibri" w:cs="Calibri"/>
          <w:i/>
          <w:iCs/>
          <w:color w:val="000000"/>
          <w:sz w:val="27"/>
          <w:szCs w:val="27"/>
        </w:rPr>
        <w:t>Scandinavian Journal of Hospitality and Tourism</w:t>
      </w:r>
      <w:r w:rsidR="00293FDE">
        <w:rPr>
          <w:rFonts w:ascii="Calibri" w:hAnsi="Calibri" w:cs="Calibri"/>
          <w:color w:val="000000"/>
          <w:sz w:val="27"/>
          <w:szCs w:val="27"/>
        </w:rPr>
        <w:t>, [online] 8(4), pp.271–293. doi:https://doi.org/10.1080/15022250802504814.</w:t>
      </w:r>
    </w:p>
    <w:p w14:paraId="2BE61F5C" w14:textId="44B70E5C" w:rsidR="00B502FF" w:rsidRDefault="00293FDE"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008070FA">
        <w:rPr>
          <w:rFonts w:ascii="Calibri" w:hAnsi="Calibri" w:cs="Calibri"/>
          <w:color w:val="000000"/>
          <w:sz w:val="27"/>
          <w:szCs w:val="27"/>
        </w:rPr>
        <w:t>Deloitte (2021). </w:t>
      </w:r>
      <w:r w:rsidR="008070FA">
        <w:rPr>
          <w:rFonts w:ascii="Calibri" w:hAnsi="Calibri" w:cs="Calibri"/>
          <w:i/>
          <w:iCs/>
          <w:color w:val="000000"/>
          <w:sz w:val="27"/>
          <w:szCs w:val="27"/>
        </w:rPr>
        <w:t>The future of hospitality Uncovering opportunities to recover and thrive in the new normal</w:t>
      </w:r>
      <w:r w:rsidR="008070FA">
        <w:rPr>
          <w:rFonts w:ascii="Calibri" w:hAnsi="Calibri" w:cs="Calibri"/>
          <w:color w:val="000000"/>
          <w:sz w:val="27"/>
          <w:szCs w:val="27"/>
        </w:rPr>
        <w:t xml:space="preserve">. [online] Deloitte. Available at: </w:t>
      </w:r>
      <w:hyperlink r:id="rId11" w:history="1">
        <w:r w:rsidR="00B502FF" w:rsidRPr="002A20AF">
          <w:rPr>
            <w:rStyle w:val="Hyperlink"/>
            <w:rFonts w:ascii="Calibri" w:hAnsi="Calibri" w:cs="Calibri"/>
            <w:sz w:val="27"/>
            <w:szCs w:val="27"/>
          </w:rPr>
          <w:t>https://www2.deloitte.com/content/dam/Deloitte/ca/Documents/consumer-industrial-products/ca-future-of-hospitality-pov-aoda-en.pdf</w:t>
        </w:r>
      </w:hyperlink>
      <w:r w:rsidR="008070FA">
        <w:rPr>
          <w:rFonts w:ascii="Calibri" w:hAnsi="Calibri" w:cs="Calibri"/>
          <w:color w:val="000000"/>
          <w:sz w:val="27"/>
          <w:szCs w:val="27"/>
        </w:rPr>
        <w:t>.</w:t>
      </w:r>
    </w:p>
    <w:p w14:paraId="4C0B984C" w14:textId="069B861E" w:rsidR="00F278DE" w:rsidRDefault="00F278DE"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t>Drury C (2021) (11th Ed) Management and Cost Accounting, London, Prentice Hall.</w:t>
      </w:r>
    </w:p>
    <w:p w14:paraId="496C4E65" w14:textId="6278A328" w:rsidR="00EB0E3F" w:rsidRDefault="00EB0E3F"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Font, X. and Lynes, J. (2018). Corporate social responsibility in tourism and hospitality. </w:t>
      </w:r>
      <w:r>
        <w:rPr>
          <w:rFonts w:ascii="Calibri" w:hAnsi="Calibri" w:cs="Calibri"/>
          <w:i/>
          <w:iCs/>
          <w:color w:val="000000"/>
          <w:sz w:val="27"/>
          <w:szCs w:val="27"/>
        </w:rPr>
        <w:t>Journal of Sustainable Tourism</w:t>
      </w:r>
      <w:r>
        <w:rPr>
          <w:rFonts w:ascii="Calibri" w:hAnsi="Calibri" w:cs="Calibri"/>
          <w:color w:val="000000"/>
          <w:sz w:val="27"/>
          <w:szCs w:val="27"/>
        </w:rPr>
        <w:t>, 26(7), pp.1027–1042. doi:https://doi.org/10.1080/09669582.2018.1488856.</w:t>
      </w:r>
    </w:p>
    <w:p w14:paraId="024BE8C1" w14:textId="52446DDB" w:rsidR="001A5E4F" w:rsidRDefault="001A5E4F"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t>Guilding,C.(2014) (3rd Edition) Accounting Essentials for Hospitality Managers, London, Routledge.</w:t>
      </w:r>
    </w:p>
    <w:p w14:paraId="15CB6636" w14:textId="44979385" w:rsidR="00050334" w:rsidRDefault="00050334"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IBISWorld (2024). Budget Hotels in UK. Industry Report. Available at: </w:t>
      </w:r>
      <w:r w:rsidR="00D62616" w:rsidRPr="00D62616">
        <w:rPr>
          <w:rFonts w:ascii="Calibri" w:hAnsi="Calibri" w:cs="Calibri"/>
          <w:color w:val="000000"/>
          <w:sz w:val="27"/>
          <w:szCs w:val="27"/>
        </w:rPr>
        <w:t>https://www.ibisworld.com/united-kingdom/market-research-reports/budget-hotels-industry/</w:t>
      </w:r>
    </w:p>
    <w:p w14:paraId="000CB772" w14:textId="134D3CE3" w:rsidR="008776C2" w:rsidRDefault="00B502FF"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00860839">
        <w:rPr>
          <w:rFonts w:ascii="Calibri" w:hAnsi="Calibri" w:cs="Calibri"/>
          <w:color w:val="000000"/>
          <w:sz w:val="27"/>
          <w:szCs w:val="27"/>
        </w:rPr>
        <w:t>JLL</w:t>
      </w:r>
      <w:r w:rsidR="008776C2">
        <w:rPr>
          <w:rFonts w:ascii="Calibri" w:hAnsi="Calibri" w:cs="Calibri"/>
          <w:color w:val="000000"/>
          <w:sz w:val="27"/>
          <w:szCs w:val="27"/>
        </w:rPr>
        <w:t xml:space="preserve"> (</w:t>
      </w:r>
      <w:r w:rsidR="00860839">
        <w:rPr>
          <w:rFonts w:ascii="Calibri" w:hAnsi="Calibri" w:cs="Calibri"/>
          <w:color w:val="000000"/>
          <w:sz w:val="27"/>
          <w:szCs w:val="27"/>
        </w:rPr>
        <w:t xml:space="preserve">2020). </w:t>
      </w:r>
      <w:r w:rsidR="008776C2">
        <w:rPr>
          <w:rFonts w:ascii="Calibri" w:hAnsi="Calibri" w:cs="Calibri"/>
          <w:color w:val="000000"/>
          <w:sz w:val="27"/>
          <w:szCs w:val="27"/>
        </w:rPr>
        <w:t xml:space="preserve">Hotel Investment Outlook 2020.  Available at: </w:t>
      </w:r>
      <w:hyperlink r:id="rId12" w:history="1">
        <w:r w:rsidR="001727BE" w:rsidRPr="002A20AF">
          <w:rPr>
            <w:rStyle w:val="Hyperlink"/>
            <w:rFonts w:ascii="Calibri" w:hAnsi="Calibri" w:cs="Calibri"/>
            <w:sz w:val="27"/>
            <w:szCs w:val="27"/>
          </w:rPr>
          <w:t>https://www.jll.co.uk/content/dam/jll-com/documents/pdf/research/global/jll-hotel-investment-outlook-2020.pdf</w:t>
        </w:r>
      </w:hyperlink>
      <w:r w:rsidR="008776C2">
        <w:rPr>
          <w:rFonts w:ascii="Calibri" w:hAnsi="Calibri" w:cs="Calibri"/>
          <w:color w:val="000000"/>
          <w:sz w:val="27"/>
          <w:szCs w:val="27"/>
        </w:rPr>
        <w:t>.</w:t>
      </w:r>
    </w:p>
    <w:p w14:paraId="25A75C56" w14:textId="34FA1771" w:rsidR="001727BE" w:rsidRDefault="001727BE"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t>Seal W (2019) (6th Ed) Management Accounting, London, McGraw Hill.</w:t>
      </w:r>
    </w:p>
    <w:p w14:paraId="5C465CA6" w14:textId="5EA8C360" w:rsidR="007F03FE" w:rsidRDefault="00B502FF"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003C1EB4">
        <w:rPr>
          <w:rFonts w:ascii="Calibri" w:hAnsi="Calibri" w:cs="Calibri"/>
          <w:color w:val="000000"/>
          <w:sz w:val="27"/>
          <w:szCs w:val="27"/>
        </w:rPr>
        <w:t xml:space="preserve">Shangri-la (2024). </w:t>
      </w:r>
      <w:r w:rsidR="00DC3EEA">
        <w:rPr>
          <w:rFonts w:ascii="Calibri" w:hAnsi="Calibri" w:cs="Calibri"/>
          <w:color w:val="000000"/>
          <w:sz w:val="27"/>
          <w:szCs w:val="27"/>
        </w:rPr>
        <w:t>Sustainability.</w:t>
      </w:r>
      <w:r w:rsidR="00DC3EEA" w:rsidRPr="00DC3EEA">
        <w:rPr>
          <w:rFonts w:ascii="Calibri" w:hAnsi="Calibri" w:cs="Calibri"/>
          <w:color w:val="000000"/>
          <w:sz w:val="27"/>
          <w:szCs w:val="27"/>
        </w:rPr>
        <w:t xml:space="preserve"> </w:t>
      </w:r>
      <w:r w:rsidR="00DC3EEA">
        <w:rPr>
          <w:rFonts w:ascii="Calibri" w:hAnsi="Calibri" w:cs="Calibri"/>
          <w:color w:val="000000"/>
          <w:sz w:val="27"/>
          <w:szCs w:val="27"/>
        </w:rPr>
        <w:t xml:space="preserve">Available at: </w:t>
      </w:r>
      <w:hyperlink r:id="rId13" w:history="1">
        <w:r w:rsidR="00375995" w:rsidRPr="002A20AF">
          <w:rPr>
            <w:rStyle w:val="Hyperlink"/>
            <w:rFonts w:ascii="Calibri" w:hAnsi="Calibri" w:cs="Calibri"/>
            <w:sz w:val="27"/>
            <w:szCs w:val="27"/>
          </w:rPr>
          <w:t>https://www.shangri-la.com/group/sustainability/</w:t>
        </w:r>
      </w:hyperlink>
      <w:r w:rsidR="00DC3EEA">
        <w:rPr>
          <w:rFonts w:ascii="Calibri" w:hAnsi="Calibri" w:cs="Calibri"/>
          <w:color w:val="000000"/>
          <w:sz w:val="27"/>
          <w:szCs w:val="27"/>
        </w:rPr>
        <w:t>.</w:t>
      </w:r>
    </w:p>
    <w:p w14:paraId="50999619" w14:textId="28105A89" w:rsidR="00375995" w:rsidRPr="00DC3EEA" w:rsidRDefault="00375995"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Shangri-La Group (2020). </w:t>
      </w:r>
      <w:r>
        <w:rPr>
          <w:rFonts w:ascii="Calibri" w:hAnsi="Calibri" w:cs="Calibri"/>
          <w:i/>
          <w:iCs/>
          <w:color w:val="000000"/>
          <w:sz w:val="27"/>
          <w:szCs w:val="27"/>
        </w:rPr>
        <w:t>Welcome: Shangrila-La Group</w:t>
      </w:r>
      <w:r>
        <w:rPr>
          <w:rFonts w:ascii="Calibri" w:hAnsi="Calibri" w:cs="Calibri"/>
          <w:color w:val="000000"/>
          <w:sz w:val="27"/>
          <w:szCs w:val="27"/>
        </w:rPr>
        <w:t>. [online] Shangri-la.com. Available at: https://www.shangri-la.com/group/our-story/.</w:t>
      </w:r>
    </w:p>
    <w:p w14:paraId="4226194B" w14:textId="6700B2FC" w:rsidR="007F03FE" w:rsidRDefault="00B502FF"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007F03FE">
        <w:rPr>
          <w:rFonts w:ascii="Calibri" w:hAnsi="Calibri" w:cs="Calibri"/>
          <w:color w:val="000000"/>
          <w:sz w:val="27"/>
          <w:szCs w:val="27"/>
        </w:rPr>
        <w:t xml:space="preserve">Shangri-la Hotels (2021). About us. Available at: </w:t>
      </w:r>
      <w:hyperlink r:id="rId14" w:history="1">
        <w:r w:rsidR="00F229AF" w:rsidRPr="002A20AF">
          <w:rPr>
            <w:rStyle w:val="Hyperlink"/>
            <w:rFonts w:ascii="Calibri" w:hAnsi="Calibri" w:cs="Calibri"/>
            <w:sz w:val="27"/>
            <w:szCs w:val="27"/>
          </w:rPr>
          <w:t>https://www.shangri-la.com/group/our-story/our-heritage</w:t>
        </w:r>
      </w:hyperlink>
      <w:r w:rsidR="007F03FE">
        <w:rPr>
          <w:rFonts w:ascii="Calibri" w:hAnsi="Calibri" w:cs="Calibri"/>
          <w:color w:val="000000"/>
          <w:sz w:val="27"/>
          <w:szCs w:val="27"/>
        </w:rPr>
        <w:t>.</w:t>
      </w:r>
    </w:p>
    <w:p w14:paraId="7F861C3B" w14:textId="6C837B21" w:rsidR="00444CB4" w:rsidRDefault="00444CB4"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r w:rsidRPr="00444CB4">
        <w:rPr>
          <w:rFonts w:ascii="Arial" w:hAnsi="Arial" w:cs="Arial"/>
        </w:rPr>
        <w:t xml:space="preserve">Shangri-La Hotels, </w:t>
      </w:r>
      <w:r>
        <w:rPr>
          <w:rFonts w:ascii="Arial" w:hAnsi="Arial" w:cs="Arial"/>
        </w:rPr>
        <w:t>(</w:t>
      </w:r>
      <w:r w:rsidRPr="00444CB4">
        <w:rPr>
          <w:rFonts w:ascii="Arial" w:hAnsi="Arial" w:cs="Arial"/>
        </w:rPr>
        <w:t>2022</w:t>
      </w:r>
      <w:r>
        <w:rPr>
          <w:rFonts w:ascii="Arial" w:hAnsi="Arial" w:cs="Arial"/>
        </w:rPr>
        <w:t xml:space="preserve">). </w:t>
      </w:r>
      <w:r w:rsidR="00033D58" w:rsidRPr="00033D58">
        <w:rPr>
          <w:rFonts w:ascii="Arial" w:hAnsi="Arial" w:cs="Arial"/>
        </w:rPr>
        <w:t>Shangri-La Group Releases 2022 Full Year Results</w:t>
      </w:r>
      <w:r w:rsidR="00033D58">
        <w:rPr>
          <w:rFonts w:ascii="Arial" w:hAnsi="Arial" w:cs="Arial"/>
        </w:rPr>
        <w:t xml:space="preserve">. Available at: </w:t>
      </w:r>
      <w:r w:rsidR="00033D58" w:rsidRPr="00033D58">
        <w:rPr>
          <w:rFonts w:ascii="Arial" w:hAnsi="Arial" w:cs="Arial"/>
        </w:rPr>
        <w:t>https://www.shangri-la.com/group/media/media_post?post=Mar24_2022AnnualResults</w:t>
      </w:r>
    </w:p>
    <w:p w14:paraId="4CD5DD5D" w14:textId="4478872D" w:rsidR="00F229AF" w:rsidRDefault="00F229AF" w:rsidP="00E56861">
      <w:pPr>
        <w:pStyle w:val="NormalWeb"/>
        <w:spacing w:before="0" w:beforeAutospacing="0" w:after="0" w:afterAutospacing="0" w:line="360" w:lineRule="auto"/>
        <w:jc w:val="both"/>
        <w:rPr>
          <w:rFonts w:ascii="Arial" w:hAnsi="Arial" w:cs="Arial"/>
        </w:rPr>
      </w:pPr>
      <w:r>
        <w:rPr>
          <w:rFonts w:ascii="Calibri" w:hAnsi="Calibri" w:cs="Calibri"/>
          <w:color w:val="000000"/>
          <w:sz w:val="27"/>
          <w:szCs w:val="27"/>
        </w:rPr>
        <w:t xml:space="preserve">  </w:t>
      </w:r>
      <w:r w:rsidRPr="00B0714B">
        <w:rPr>
          <w:rFonts w:ascii="Arial" w:hAnsi="Arial" w:cs="Arial"/>
        </w:rPr>
        <w:t xml:space="preserve">Shangri-La Sustainability Report </w:t>
      </w:r>
      <w:r w:rsidR="00AB711F">
        <w:rPr>
          <w:rFonts w:ascii="Arial" w:hAnsi="Arial" w:cs="Arial"/>
        </w:rPr>
        <w:t>(</w:t>
      </w:r>
      <w:r w:rsidRPr="00B0714B">
        <w:rPr>
          <w:rFonts w:ascii="Arial" w:hAnsi="Arial" w:cs="Arial"/>
        </w:rPr>
        <w:t>202</w:t>
      </w:r>
      <w:r>
        <w:rPr>
          <w:rFonts w:ascii="Arial" w:hAnsi="Arial" w:cs="Arial"/>
        </w:rPr>
        <w:t>3</w:t>
      </w:r>
      <w:r w:rsidR="00AB711F">
        <w:rPr>
          <w:rFonts w:ascii="Arial" w:hAnsi="Arial" w:cs="Arial"/>
        </w:rPr>
        <w:t xml:space="preserve">). </w:t>
      </w:r>
      <w:r w:rsidR="00AB711F" w:rsidRPr="00AB711F">
        <w:rPr>
          <w:rFonts w:ascii="Arial" w:hAnsi="Arial" w:cs="Arial"/>
        </w:rPr>
        <w:t>SUSTAINABILITY REPORT 2023 SHANGRI-LA ASIA LIMITED</w:t>
      </w:r>
      <w:r w:rsidR="00AB711F">
        <w:rPr>
          <w:rFonts w:ascii="Arial" w:hAnsi="Arial" w:cs="Arial"/>
        </w:rPr>
        <w:t xml:space="preserve">. </w:t>
      </w:r>
      <w:r w:rsidR="001A1D3E">
        <w:rPr>
          <w:rFonts w:ascii="Arial" w:hAnsi="Arial" w:cs="Arial"/>
        </w:rPr>
        <w:t xml:space="preserve">Available at: </w:t>
      </w:r>
      <w:hyperlink r:id="rId15" w:history="1">
        <w:r w:rsidR="00051480" w:rsidRPr="002A20AF">
          <w:rPr>
            <w:rStyle w:val="Hyperlink"/>
            <w:rFonts w:ascii="Arial" w:hAnsi="Arial" w:cs="Arial"/>
          </w:rPr>
          <w:t>https://sitecore-cd.shangri-la.com/-/media/Project/Shangri-La-Group/Sustainability/Images/Sustainability-Report/2023_SustainabilityReport.pdf</w:t>
        </w:r>
      </w:hyperlink>
    </w:p>
    <w:p w14:paraId="55E91DE6" w14:textId="6F29727D" w:rsidR="00532DB6" w:rsidRPr="00E2520F" w:rsidRDefault="00532DB6" w:rsidP="00E56861">
      <w:pPr>
        <w:pStyle w:val="NormalWeb"/>
        <w:spacing w:before="0" w:beforeAutospacing="0" w:after="0" w:afterAutospacing="0" w:line="360" w:lineRule="auto"/>
        <w:jc w:val="both"/>
        <w:rPr>
          <w:rFonts w:ascii="Calibri" w:hAnsi="Calibri" w:cs="Calibri"/>
          <w:color w:val="000000"/>
          <w:sz w:val="27"/>
          <w:szCs w:val="27"/>
        </w:rPr>
      </w:pPr>
      <w:r>
        <w:rPr>
          <w:rFonts w:ascii="Arial" w:hAnsi="Arial" w:cs="Arial"/>
        </w:rPr>
        <w:t xml:space="preserve">  </w:t>
      </w:r>
      <w:r>
        <w:rPr>
          <w:rFonts w:ascii="Calibri" w:hAnsi="Calibri" w:cs="Calibri"/>
          <w:color w:val="000000"/>
          <w:sz w:val="27"/>
          <w:szCs w:val="27"/>
        </w:rPr>
        <w:t>Travelodge</w:t>
      </w:r>
      <w:r w:rsidR="00E2520F">
        <w:rPr>
          <w:rFonts w:ascii="Calibri" w:hAnsi="Calibri" w:cs="Calibri"/>
          <w:color w:val="000000"/>
          <w:sz w:val="27"/>
          <w:szCs w:val="27"/>
        </w:rPr>
        <w:t xml:space="preserve"> (n.d.). </w:t>
      </w:r>
      <w:r>
        <w:rPr>
          <w:rFonts w:ascii="Calibri" w:hAnsi="Calibri" w:cs="Calibri"/>
          <w:i/>
          <w:iCs/>
          <w:color w:val="000000"/>
          <w:sz w:val="27"/>
          <w:szCs w:val="27"/>
        </w:rPr>
        <w:t>Travelodge Investor Site</w:t>
      </w:r>
      <w:r>
        <w:rPr>
          <w:rFonts w:ascii="Calibri" w:hAnsi="Calibri" w:cs="Calibri"/>
          <w:color w:val="000000"/>
          <w:sz w:val="27"/>
          <w:szCs w:val="27"/>
        </w:rPr>
        <w:t>. [online] Available at: https://www.travelodge.co.uk/investors/home.</w:t>
      </w:r>
    </w:p>
    <w:p w14:paraId="68A0250B" w14:textId="691E2F0F" w:rsidR="00051480" w:rsidRDefault="00051480" w:rsidP="00E56861">
      <w:pPr>
        <w:pStyle w:val="NormalWeb"/>
        <w:spacing w:before="0" w:beforeAutospacing="0" w:after="0" w:afterAutospacing="0" w:line="360" w:lineRule="auto"/>
        <w:jc w:val="both"/>
        <w:rPr>
          <w:rFonts w:ascii="Arial" w:hAnsi="Arial" w:cs="Arial"/>
        </w:rPr>
      </w:pPr>
      <w:r>
        <w:rPr>
          <w:rFonts w:ascii="Arial" w:hAnsi="Arial" w:cs="Arial"/>
        </w:rPr>
        <w:t xml:space="preserve">  Travelodge (2022). </w:t>
      </w:r>
      <w:r w:rsidR="00E71C27" w:rsidRPr="00E71C27">
        <w:rPr>
          <w:rFonts w:ascii="Arial" w:hAnsi="Arial" w:cs="Arial"/>
        </w:rPr>
        <w:t>Better Future</w:t>
      </w:r>
      <w:r w:rsidR="00E71C27">
        <w:rPr>
          <w:rFonts w:ascii="Arial" w:hAnsi="Arial" w:cs="Arial"/>
        </w:rPr>
        <w:t xml:space="preserve">. </w:t>
      </w:r>
      <w:r w:rsidR="00E71C27" w:rsidRPr="00E71C27">
        <w:rPr>
          <w:rFonts w:ascii="Arial" w:hAnsi="Arial" w:cs="Arial"/>
        </w:rPr>
        <w:t>Our Sustainability Plan 2022</w:t>
      </w:r>
      <w:r w:rsidR="00E71C27">
        <w:rPr>
          <w:rFonts w:ascii="Arial" w:hAnsi="Arial" w:cs="Arial"/>
        </w:rPr>
        <w:t xml:space="preserve">. Available at: </w:t>
      </w:r>
      <w:hyperlink r:id="rId16" w:history="1">
        <w:r w:rsidR="006B2C9E" w:rsidRPr="002A20AF">
          <w:rPr>
            <w:rStyle w:val="Hyperlink"/>
            <w:rFonts w:ascii="Arial" w:hAnsi="Arial" w:cs="Arial"/>
          </w:rPr>
          <w:t>https://www.travelodgesustainability.co.uk/wp-content/uploads/sites/2/2022/05/Better-Future-Report-2022.pdf</w:t>
        </w:r>
      </w:hyperlink>
    </w:p>
    <w:p w14:paraId="576E7986" w14:textId="71DC77A3" w:rsidR="006B2C9E" w:rsidRDefault="006B2C9E" w:rsidP="00E56861">
      <w:pPr>
        <w:pStyle w:val="NormalWeb"/>
        <w:spacing w:before="0" w:beforeAutospacing="0" w:after="0" w:afterAutospacing="0" w:line="360" w:lineRule="auto"/>
        <w:jc w:val="both"/>
        <w:rPr>
          <w:rFonts w:ascii="Calibri" w:hAnsi="Calibri" w:cs="Calibri"/>
          <w:color w:val="000000"/>
          <w:sz w:val="27"/>
          <w:szCs w:val="27"/>
        </w:rPr>
      </w:pPr>
      <w:r>
        <w:rPr>
          <w:rFonts w:ascii="Arial" w:hAnsi="Arial" w:cs="Arial"/>
        </w:rPr>
        <w:t xml:space="preserve">  Travelodge (202</w:t>
      </w:r>
      <w:r w:rsidR="00340069">
        <w:rPr>
          <w:rFonts w:ascii="Arial" w:hAnsi="Arial" w:cs="Arial"/>
        </w:rPr>
        <w:t>3</w:t>
      </w:r>
      <w:r>
        <w:rPr>
          <w:rFonts w:ascii="Arial" w:hAnsi="Arial" w:cs="Arial"/>
        </w:rPr>
        <w:t xml:space="preserve">). </w:t>
      </w:r>
      <w:r w:rsidR="00340069" w:rsidRPr="00340069">
        <w:rPr>
          <w:rFonts w:ascii="Arial" w:hAnsi="Arial" w:cs="Arial"/>
        </w:rPr>
        <w:t>Trading Update Presentation Results for the Nine Months Ended 30 September 2023</w:t>
      </w:r>
      <w:r w:rsidR="00340069">
        <w:rPr>
          <w:rFonts w:ascii="Arial" w:hAnsi="Arial" w:cs="Arial"/>
        </w:rPr>
        <w:t>.Ava</w:t>
      </w:r>
      <w:r w:rsidR="00050334">
        <w:rPr>
          <w:rFonts w:ascii="Arial" w:hAnsi="Arial" w:cs="Arial"/>
        </w:rPr>
        <w:t>il</w:t>
      </w:r>
      <w:r w:rsidR="00340069">
        <w:rPr>
          <w:rFonts w:ascii="Arial" w:hAnsi="Arial" w:cs="Arial"/>
        </w:rPr>
        <w:t xml:space="preserve">able at: </w:t>
      </w:r>
      <w:r w:rsidR="00050334" w:rsidRPr="00050334">
        <w:rPr>
          <w:rFonts w:ascii="Arial" w:hAnsi="Arial" w:cs="Arial"/>
        </w:rPr>
        <w:t>https://www.travelodge.co.uk/nw/sites/default/files/2023_Q3_Financial_Results_Presentation_FINAL.pdf</w:t>
      </w:r>
    </w:p>
    <w:p w14:paraId="64FD2D98" w14:textId="2EA11B4F" w:rsidR="00087B31" w:rsidRDefault="007F03FE"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B502FF">
        <w:rPr>
          <w:rFonts w:ascii="Calibri" w:hAnsi="Calibri" w:cs="Calibri"/>
          <w:color w:val="000000"/>
          <w:sz w:val="27"/>
          <w:szCs w:val="27"/>
        </w:rPr>
        <w:t xml:space="preserve">  </w:t>
      </w:r>
      <w:r w:rsidR="00087B31">
        <w:rPr>
          <w:rFonts w:ascii="Calibri" w:hAnsi="Calibri" w:cs="Calibri"/>
          <w:color w:val="000000"/>
          <w:sz w:val="27"/>
          <w:szCs w:val="27"/>
        </w:rPr>
        <w:t>Travelodge Corporate Website. (n.d.). </w:t>
      </w:r>
      <w:r w:rsidR="00087B31">
        <w:rPr>
          <w:rFonts w:ascii="Calibri" w:hAnsi="Calibri" w:cs="Calibri"/>
          <w:i/>
          <w:iCs/>
          <w:color w:val="000000"/>
          <w:sz w:val="27"/>
          <w:szCs w:val="27"/>
        </w:rPr>
        <w:t>Company Overview</w:t>
      </w:r>
      <w:r w:rsidR="00087B31">
        <w:rPr>
          <w:rFonts w:ascii="Calibri" w:hAnsi="Calibri" w:cs="Calibri"/>
          <w:color w:val="000000"/>
          <w:sz w:val="27"/>
          <w:szCs w:val="27"/>
        </w:rPr>
        <w:t xml:space="preserve">. [online] Available at: </w:t>
      </w:r>
      <w:hyperlink r:id="rId17" w:history="1">
        <w:r w:rsidR="00E66D06" w:rsidRPr="002A20AF">
          <w:rPr>
            <w:rStyle w:val="Hyperlink"/>
            <w:rFonts w:ascii="Calibri" w:hAnsi="Calibri" w:cs="Calibri"/>
            <w:sz w:val="27"/>
            <w:szCs w:val="27"/>
          </w:rPr>
          <w:t>https://travelodge.co.uk/our-business/about-us/company-overview/</w:t>
        </w:r>
      </w:hyperlink>
      <w:r w:rsidR="00087B31">
        <w:rPr>
          <w:rFonts w:ascii="Calibri" w:hAnsi="Calibri" w:cs="Calibri"/>
          <w:color w:val="000000"/>
          <w:sz w:val="27"/>
          <w:szCs w:val="27"/>
        </w:rPr>
        <w:t>.</w:t>
      </w:r>
    </w:p>
    <w:p w14:paraId="1915EB1B" w14:textId="64ADA6EA" w:rsidR="00EF10FB" w:rsidRDefault="00EF10FB" w:rsidP="00E56861">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UNWTO (2020). </w:t>
      </w:r>
      <w:r>
        <w:rPr>
          <w:rFonts w:ascii="Calibri" w:hAnsi="Calibri" w:cs="Calibri"/>
          <w:i/>
          <w:iCs/>
          <w:color w:val="000000"/>
          <w:sz w:val="27"/>
          <w:szCs w:val="27"/>
        </w:rPr>
        <w:t>Tourism and COVID-19 – unprecedented economic impacts</w:t>
      </w:r>
      <w:r>
        <w:rPr>
          <w:rFonts w:ascii="Calibri" w:hAnsi="Calibri" w:cs="Calibri"/>
          <w:color w:val="000000"/>
          <w:sz w:val="27"/>
          <w:szCs w:val="27"/>
        </w:rPr>
        <w:t>. [online] UNWTO. Available at: https://www.unwto.org/tourism-and-covid-19-unprecedented-economic-impacts.</w:t>
      </w:r>
    </w:p>
    <w:p w14:paraId="30B8B607" w14:textId="129FDA2C" w:rsidR="00E66D06" w:rsidRDefault="00E66D06" w:rsidP="00E56861">
      <w:pPr>
        <w:pStyle w:val="NormalWeb"/>
        <w:spacing w:before="0" w:beforeAutospacing="0" w:after="0" w:afterAutospacing="0" w:line="360" w:lineRule="auto"/>
        <w:jc w:val="both"/>
      </w:pPr>
      <w:r>
        <w:t xml:space="preserve">  Walker J (2021) Introduction to Hospitality, Harlow, Pearson.</w:t>
      </w:r>
    </w:p>
    <w:p w14:paraId="0CC66338" w14:textId="67390E49" w:rsidR="00CD3537" w:rsidRDefault="00CD3537" w:rsidP="00E56861">
      <w:pPr>
        <w:pStyle w:val="NormalWeb"/>
        <w:spacing w:before="0" w:beforeAutospacing="0" w:after="0" w:afterAutospacing="0" w:line="360" w:lineRule="auto"/>
        <w:jc w:val="both"/>
        <w:rPr>
          <w:rFonts w:ascii="Calibri" w:hAnsi="Calibri" w:cs="Calibri"/>
          <w:color w:val="000000"/>
          <w:sz w:val="27"/>
          <w:szCs w:val="27"/>
        </w:rPr>
      </w:pPr>
      <w:r>
        <w:t xml:space="preserve">  Wild J (2018) Fundamental Accounting Principles, New York, McGraw Hill.</w:t>
      </w:r>
    </w:p>
    <w:p w14:paraId="5FCB1734" w14:textId="77777777" w:rsidR="00087B31" w:rsidRDefault="00087B31" w:rsidP="00E56861">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p>
    <w:p w14:paraId="4AA52471" w14:textId="0D4610D1" w:rsidR="007F03FE" w:rsidRDefault="007F03FE" w:rsidP="00E56861">
      <w:pPr>
        <w:pStyle w:val="NormalWeb"/>
        <w:spacing w:line="360" w:lineRule="auto"/>
        <w:jc w:val="both"/>
        <w:rPr>
          <w:rFonts w:ascii="Calibri" w:hAnsi="Calibri" w:cs="Calibri"/>
          <w:color w:val="000000"/>
          <w:sz w:val="27"/>
          <w:szCs w:val="27"/>
        </w:rPr>
      </w:pPr>
    </w:p>
    <w:p w14:paraId="1BA6DE71" w14:textId="3C73E6DB" w:rsidR="007F03FE" w:rsidRPr="007F03FE" w:rsidRDefault="007F03FE" w:rsidP="00E56861">
      <w:pPr>
        <w:tabs>
          <w:tab w:val="left" w:pos="1150"/>
        </w:tabs>
        <w:spacing w:line="360" w:lineRule="auto"/>
        <w:jc w:val="both"/>
        <w:rPr>
          <w:lang w:eastAsia="en-GB"/>
        </w:rPr>
      </w:pPr>
    </w:p>
    <w:sectPr w:rsidR="007F03FE" w:rsidRPr="007F03F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0FE5F7" w14:textId="77777777" w:rsidR="00E63A22" w:rsidRDefault="00E63A22" w:rsidP="00E63A22">
      <w:pPr>
        <w:spacing w:after="0" w:line="240" w:lineRule="auto"/>
      </w:pPr>
      <w:r>
        <w:separator/>
      </w:r>
    </w:p>
  </w:endnote>
  <w:endnote w:type="continuationSeparator" w:id="0">
    <w:p w14:paraId="1DC995F7" w14:textId="77777777" w:rsidR="00E63A22" w:rsidRDefault="00E63A22" w:rsidP="00E63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082485"/>
      <w:docPartObj>
        <w:docPartGallery w:val="Page Numbers (Bottom of Page)"/>
        <w:docPartUnique/>
      </w:docPartObj>
    </w:sdtPr>
    <w:sdtEndPr>
      <w:rPr>
        <w:noProof/>
      </w:rPr>
    </w:sdtEndPr>
    <w:sdtContent>
      <w:p w14:paraId="79833D15" w14:textId="2459F607" w:rsidR="00E63A22" w:rsidRDefault="00E63A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728E7" w14:textId="77777777" w:rsidR="00E63A22" w:rsidRDefault="00E63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73317" w14:textId="77777777" w:rsidR="00E63A22" w:rsidRDefault="00E63A22" w:rsidP="00E63A22">
      <w:pPr>
        <w:spacing w:after="0" w:line="240" w:lineRule="auto"/>
      </w:pPr>
      <w:r>
        <w:separator/>
      </w:r>
    </w:p>
  </w:footnote>
  <w:footnote w:type="continuationSeparator" w:id="0">
    <w:p w14:paraId="208225F5" w14:textId="77777777" w:rsidR="00E63A22" w:rsidRDefault="00E63A22" w:rsidP="00E63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5F6E12"/>
    <w:multiLevelType w:val="hybridMultilevel"/>
    <w:tmpl w:val="0A6AE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D020D9"/>
    <w:multiLevelType w:val="hybridMultilevel"/>
    <w:tmpl w:val="D478B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685457">
    <w:abstractNumId w:val="0"/>
  </w:num>
  <w:num w:numId="2" w16cid:durableId="135144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A22"/>
    <w:rsid w:val="00002CE8"/>
    <w:rsid w:val="00033D58"/>
    <w:rsid w:val="00050334"/>
    <w:rsid w:val="00051480"/>
    <w:rsid w:val="00081466"/>
    <w:rsid w:val="00087B31"/>
    <w:rsid w:val="000A2533"/>
    <w:rsid w:val="000F470A"/>
    <w:rsid w:val="000F5993"/>
    <w:rsid w:val="00146567"/>
    <w:rsid w:val="001703AC"/>
    <w:rsid w:val="001727BE"/>
    <w:rsid w:val="001A1D3E"/>
    <w:rsid w:val="001A5E4F"/>
    <w:rsid w:val="001D3C29"/>
    <w:rsid w:val="001F285B"/>
    <w:rsid w:val="002340B7"/>
    <w:rsid w:val="00292B6F"/>
    <w:rsid w:val="00293FDE"/>
    <w:rsid w:val="002A112A"/>
    <w:rsid w:val="00340069"/>
    <w:rsid w:val="0037014C"/>
    <w:rsid w:val="00375995"/>
    <w:rsid w:val="003A0FC1"/>
    <w:rsid w:val="003B3F8A"/>
    <w:rsid w:val="003B5D4D"/>
    <w:rsid w:val="003C1EB4"/>
    <w:rsid w:val="003F697E"/>
    <w:rsid w:val="00444CB4"/>
    <w:rsid w:val="00472571"/>
    <w:rsid w:val="004849E5"/>
    <w:rsid w:val="004A24F9"/>
    <w:rsid w:val="004B5DBE"/>
    <w:rsid w:val="00532DB6"/>
    <w:rsid w:val="0056701C"/>
    <w:rsid w:val="005829CF"/>
    <w:rsid w:val="005D1FAE"/>
    <w:rsid w:val="00605183"/>
    <w:rsid w:val="00605223"/>
    <w:rsid w:val="006725DE"/>
    <w:rsid w:val="006B2C9E"/>
    <w:rsid w:val="00770C64"/>
    <w:rsid w:val="007B0CC3"/>
    <w:rsid w:val="007F03FE"/>
    <w:rsid w:val="008070FA"/>
    <w:rsid w:val="00860839"/>
    <w:rsid w:val="008776C2"/>
    <w:rsid w:val="00884FE5"/>
    <w:rsid w:val="00892119"/>
    <w:rsid w:val="008C0729"/>
    <w:rsid w:val="00913CFE"/>
    <w:rsid w:val="009512F2"/>
    <w:rsid w:val="00966E54"/>
    <w:rsid w:val="00A5510F"/>
    <w:rsid w:val="00A7415E"/>
    <w:rsid w:val="00AB711F"/>
    <w:rsid w:val="00AD5607"/>
    <w:rsid w:val="00B0714B"/>
    <w:rsid w:val="00B151A8"/>
    <w:rsid w:val="00B2489D"/>
    <w:rsid w:val="00B37513"/>
    <w:rsid w:val="00B502FF"/>
    <w:rsid w:val="00B7139B"/>
    <w:rsid w:val="00BC664F"/>
    <w:rsid w:val="00BD15D5"/>
    <w:rsid w:val="00C82D1F"/>
    <w:rsid w:val="00C841A0"/>
    <w:rsid w:val="00CD3537"/>
    <w:rsid w:val="00CF5107"/>
    <w:rsid w:val="00D33A25"/>
    <w:rsid w:val="00D52F6F"/>
    <w:rsid w:val="00D62616"/>
    <w:rsid w:val="00DA194E"/>
    <w:rsid w:val="00DC3EEA"/>
    <w:rsid w:val="00DC450B"/>
    <w:rsid w:val="00E02802"/>
    <w:rsid w:val="00E2520F"/>
    <w:rsid w:val="00E56861"/>
    <w:rsid w:val="00E63A22"/>
    <w:rsid w:val="00E66D06"/>
    <w:rsid w:val="00E71C27"/>
    <w:rsid w:val="00E813F9"/>
    <w:rsid w:val="00E9492A"/>
    <w:rsid w:val="00EB0E3F"/>
    <w:rsid w:val="00ED4D22"/>
    <w:rsid w:val="00EF10FB"/>
    <w:rsid w:val="00F229AF"/>
    <w:rsid w:val="00F273FB"/>
    <w:rsid w:val="00F278DE"/>
    <w:rsid w:val="00F3427C"/>
    <w:rsid w:val="00F3618C"/>
    <w:rsid w:val="00F52317"/>
    <w:rsid w:val="00FB1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6D300"/>
  <w15:chartTrackingRefBased/>
  <w15:docId w15:val="{05AF6591-19F9-45CA-8A9C-F783B638B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63A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A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A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A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A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A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A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A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63A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A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A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A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A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A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A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A22"/>
    <w:rPr>
      <w:rFonts w:eastAsiaTheme="majorEastAsia" w:cstheme="majorBidi"/>
      <w:color w:val="272727" w:themeColor="text1" w:themeTint="D8"/>
    </w:rPr>
  </w:style>
  <w:style w:type="paragraph" w:styleId="Title">
    <w:name w:val="Title"/>
    <w:basedOn w:val="Normal"/>
    <w:next w:val="Normal"/>
    <w:link w:val="TitleChar"/>
    <w:uiPriority w:val="10"/>
    <w:qFormat/>
    <w:rsid w:val="00E63A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A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A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A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A22"/>
    <w:pPr>
      <w:spacing w:before="160"/>
      <w:jc w:val="center"/>
    </w:pPr>
    <w:rPr>
      <w:i/>
      <w:iCs/>
      <w:color w:val="404040" w:themeColor="text1" w:themeTint="BF"/>
    </w:rPr>
  </w:style>
  <w:style w:type="character" w:customStyle="1" w:styleId="QuoteChar">
    <w:name w:val="Quote Char"/>
    <w:basedOn w:val="DefaultParagraphFont"/>
    <w:link w:val="Quote"/>
    <w:uiPriority w:val="29"/>
    <w:rsid w:val="00E63A22"/>
    <w:rPr>
      <w:i/>
      <w:iCs/>
      <w:color w:val="404040" w:themeColor="text1" w:themeTint="BF"/>
    </w:rPr>
  </w:style>
  <w:style w:type="paragraph" w:styleId="ListParagraph">
    <w:name w:val="List Paragraph"/>
    <w:basedOn w:val="Normal"/>
    <w:uiPriority w:val="34"/>
    <w:qFormat/>
    <w:rsid w:val="00E63A22"/>
    <w:pPr>
      <w:ind w:left="720"/>
      <w:contextualSpacing/>
    </w:pPr>
  </w:style>
  <w:style w:type="character" w:styleId="IntenseEmphasis">
    <w:name w:val="Intense Emphasis"/>
    <w:basedOn w:val="DefaultParagraphFont"/>
    <w:uiPriority w:val="21"/>
    <w:qFormat/>
    <w:rsid w:val="00E63A22"/>
    <w:rPr>
      <w:i/>
      <w:iCs/>
      <w:color w:val="0F4761" w:themeColor="accent1" w:themeShade="BF"/>
    </w:rPr>
  </w:style>
  <w:style w:type="paragraph" w:styleId="IntenseQuote">
    <w:name w:val="Intense Quote"/>
    <w:basedOn w:val="Normal"/>
    <w:next w:val="Normal"/>
    <w:link w:val="IntenseQuoteChar"/>
    <w:uiPriority w:val="30"/>
    <w:qFormat/>
    <w:rsid w:val="00E63A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A22"/>
    <w:rPr>
      <w:i/>
      <w:iCs/>
      <w:color w:val="0F4761" w:themeColor="accent1" w:themeShade="BF"/>
    </w:rPr>
  </w:style>
  <w:style w:type="character" w:styleId="IntenseReference">
    <w:name w:val="Intense Reference"/>
    <w:basedOn w:val="DefaultParagraphFont"/>
    <w:uiPriority w:val="32"/>
    <w:qFormat/>
    <w:rsid w:val="00E63A22"/>
    <w:rPr>
      <w:b/>
      <w:bCs/>
      <w:smallCaps/>
      <w:color w:val="0F4761" w:themeColor="accent1" w:themeShade="BF"/>
      <w:spacing w:val="5"/>
    </w:rPr>
  </w:style>
  <w:style w:type="paragraph" w:styleId="Header">
    <w:name w:val="header"/>
    <w:basedOn w:val="Normal"/>
    <w:link w:val="HeaderChar"/>
    <w:uiPriority w:val="99"/>
    <w:unhideWhenUsed/>
    <w:rsid w:val="00E63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A22"/>
  </w:style>
  <w:style w:type="paragraph" w:styleId="Footer">
    <w:name w:val="footer"/>
    <w:basedOn w:val="Normal"/>
    <w:link w:val="FooterChar"/>
    <w:uiPriority w:val="99"/>
    <w:unhideWhenUsed/>
    <w:rsid w:val="00E63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A22"/>
  </w:style>
  <w:style w:type="paragraph" w:styleId="TOCHeading">
    <w:name w:val="TOC Heading"/>
    <w:basedOn w:val="Heading1"/>
    <w:next w:val="Normal"/>
    <w:uiPriority w:val="39"/>
    <w:unhideWhenUsed/>
    <w:qFormat/>
    <w:rsid w:val="00B0714B"/>
    <w:pPr>
      <w:outlineLvl w:val="9"/>
    </w:pPr>
    <w:rPr>
      <w:kern w:val="0"/>
      <w:lang w:val="en-US"/>
      <w14:ligatures w14:val="none"/>
    </w:rPr>
  </w:style>
  <w:style w:type="paragraph" w:styleId="TOC1">
    <w:name w:val="toc 1"/>
    <w:basedOn w:val="Normal"/>
    <w:next w:val="Normal"/>
    <w:autoRedefine/>
    <w:uiPriority w:val="39"/>
    <w:unhideWhenUsed/>
    <w:rsid w:val="00B0714B"/>
    <w:pPr>
      <w:spacing w:after="100"/>
    </w:pPr>
  </w:style>
  <w:style w:type="character" w:styleId="Hyperlink">
    <w:name w:val="Hyperlink"/>
    <w:basedOn w:val="DefaultParagraphFont"/>
    <w:uiPriority w:val="99"/>
    <w:unhideWhenUsed/>
    <w:rsid w:val="00B0714B"/>
    <w:rPr>
      <w:color w:val="467886" w:themeColor="hyperlink"/>
      <w:u w:val="single"/>
    </w:rPr>
  </w:style>
  <w:style w:type="paragraph" w:styleId="NormalWeb">
    <w:name w:val="Normal (Web)"/>
    <w:basedOn w:val="Normal"/>
    <w:uiPriority w:val="99"/>
    <w:unhideWhenUsed/>
    <w:rsid w:val="007F03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77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81096">
      <w:bodyDiv w:val="1"/>
      <w:marLeft w:val="0"/>
      <w:marRight w:val="0"/>
      <w:marTop w:val="0"/>
      <w:marBottom w:val="0"/>
      <w:divBdr>
        <w:top w:val="none" w:sz="0" w:space="0" w:color="auto"/>
        <w:left w:val="none" w:sz="0" w:space="0" w:color="auto"/>
        <w:bottom w:val="none" w:sz="0" w:space="0" w:color="auto"/>
        <w:right w:val="none" w:sz="0" w:space="0" w:color="auto"/>
      </w:divBdr>
    </w:div>
    <w:div w:id="86734784">
      <w:bodyDiv w:val="1"/>
      <w:marLeft w:val="0"/>
      <w:marRight w:val="0"/>
      <w:marTop w:val="0"/>
      <w:marBottom w:val="0"/>
      <w:divBdr>
        <w:top w:val="none" w:sz="0" w:space="0" w:color="auto"/>
        <w:left w:val="none" w:sz="0" w:space="0" w:color="auto"/>
        <w:bottom w:val="none" w:sz="0" w:space="0" w:color="auto"/>
        <w:right w:val="none" w:sz="0" w:space="0" w:color="auto"/>
      </w:divBdr>
    </w:div>
    <w:div w:id="232397612">
      <w:bodyDiv w:val="1"/>
      <w:marLeft w:val="0"/>
      <w:marRight w:val="0"/>
      <w:marTop w:val="0"/>
      <w:marBottom w:val="0"/>
      <w:divBdr>
        <w:top w:val="none" w:sz="0" w:space="0" w:color="auto"/>
        <w:left w:val="none" w:sz="0" w:space="0" w:color="auto"/>
        <w:bottom w:val="none" w:sz="0" w:space="0" w:color="auto"/>
        <w:right w:val="none" w:sz="0" w:space="0" w:color="auto"/>
      </w:divBdr>
    </w:div>
    <w:div w:id="243687699">
      <w:bodyDiv w:val="1"/>
      <w:marLeft w:val="0"/>
      <w:marRight w:val="0"/>
      <w:marTop w:val="0"/>
      <w:marBottom w:val="0"/>
      <w:divBdr>
        <w:top w:val="none" w:sz="0" w:space="0" w:color="auto"/>
        <w:left w:val="none" w:sz="0" w:space="0" w:color="auto"/>
        <w:bottom w:val="none" w:sz="0" w:space="0" w:color="auto"/>
        <w:right w:val="none" w:sz="0" w:space="0" w:color="auto"/>
      </w:divBdr>
    </w:div>
    <w:div w:id="332757580">
      <w:bodyDiv w:val="1"/>
      <w:marLeft w:val="0"/>
      <w:marRight w:val="0"/>
      <w:marTop w:val="0"/>
      <w:marBottom w:val="0"/>
      <w:divBdr>
        <w:top w:val="none" w:sz="0" w:space="0" w:color="auto"/>
        <w:left w:val="none" w:sz="0" w:space="0" w:color="auto"/>
        <w:bottom w:val="none" w:sz="0" w:space="0" w:color="auto"/>
        <w:right w:val="none" w:sz="0" w:space="0" w:color="auto"/>
      </w:divBdr>
    </w:div>
    <w:div w:id="356733884">
      <w:bodyDiv w:val="1"/>
      <w:marLeft w:val="0"/>
      <w:marRight w:val="0"/>
      <w:marTop w:val="0"/>
      <w:marBottom w:val="0"/>
      <w:divBdr>
        <w:top w:val="none" w:sz="0" w:space="0" w:color="auto"/>
        <w:left w:val="none" w:sz="0" w:space="0" w:color="auto"/>
        <w:bottom w:val="none" w:sz="0" w:space="0" w:color="auto"/>
        <w:right w:val="none" w:sz="0" w:space="0" w:color="auto"/>
      </w:divBdr>
    </w:div>
    <w:div w:id="627664878">
      <w:bodyDiv w:val="1"/>
      <w:marLeft w:val="0"/>
      <w:marRight w:val="0"/>
      <w:marTop w:val="0"/>
      <w:marBottom w:val="0"/>
      <w:divBdr>
        <w:top w:val="none" w:sz="0" w:space="0" w:color="auto"/>
        <w:left w:val="none" w:sz="0" w:space="0" w:color="auto"/>
        <w:bottom w:val="none" w:sz="0" w:space="0" w:color="auto"/>
        <w:right w:val="none" w:sz="0" w:space="0" w:color="auto"/>
      </w:divBdr>
    </w:div>
    <w:div w:id="651982653">
      <w:bodyDiv w:val="1"/>
      <w:marLeft w:val="0"/>
      <w:marRight w:val="0"/>
      <w:marTop w:val="0"/>
      <w:marBottom w:val="0"/>
      <w:divBdr>
        <w:top w:val="none" w:sz="0" w:space="0" w:color="auto"/>
        <w:left w:val="none" w:sz="0" w:space="0" w:color="auto"/>
        <w:bottom w:val="none" w:sz="0" w:space="0" w:color="auto"/>
        <w:right w:val="none" w:sz="0" w:space="0" w:color="auto"/>
      </w:divBdr>
    </w:div>
    <w:div w:id="690568517">
      <w:bodyDiv w:val="1"/>
      <w:marLeft w:val="0"/>
      <w:marRight w:val="0"/>
      <w:marTop w:val="0"/>
      <w:marBottom w:val="0"/>
      <w:divBdr>
        <w:top w:val="none" w:sz="0" w:space="0" w:color="auto"/>
        <w:left w:val="none" w:sz="0" w:space="0" w:color="auto"/>
        <w:bottom w:val="none" w:sz="0" w:space="0" w:color="auto"/>
        <w:right w:val="none" w:sz="0" w:space="0" w:color="auto"/>
      </w:divBdr>
    </w:div>
    <w:div w:id="814832811">
      <w:bodyDiv w:val="1"/>
      <w:marLeft w:val="0"/>
      <w:marRight w:val="0"/>
      <w:marTop w:val="0"/>
      <w:marBottom w:val="0"/>
      <w:divBdr>
        <w:top w:val="none" w:sz="0" w:space="0" w:color="auto"/>
        <w:left w:val="none" w:sz="0" w:space="0" w:color="auto"/>
        <w:bottom w:val="none" w:sz="0" w:space="0" w:color="auto"/>
        <w:right w:val="none" w:sz="0" w:space="0" w:color="auto"/>
      </w:divBdr>
    </w:div>
    <w:div w:id="841047387">
      <w:bodyDiv w:val="1"/>
      <w:marLeft w:val="0"/>
      <w:marRight w:val="0"/>
      <w:marTop w:val="0"/>
      <w:marBottom w:val="0"/>
      <w:divBdr>
        <w:top w:val="none" w:sz="0" w:space="0" w:color="auto"/>
        <w:left w:val="none" w:sz="0" w:space="0" w:color="auto"/>
        <w:bottom w:val="none" w:sz="0" w:space="0" w:color="auto"/>
        <w:right w:val="none" w:sz="0" w:space="0" w:color="auto"/>
      </w:divBdr>
    </w:div>
    <w:div w:id="846291723">
      <w:bodyDiv w:val="1"/>
      <w:marLeft w:val="0"/>
      <w:marRight w:val="0"/>
      <w:marTop w:val="0"/>
      <w:marBottom w:val="0"/>
      <w:divBdr>
        <w:top w:val="none" w:sz="0" w:space="0" w:color="auto"/>
        <w:left w:val="none" w:sz="0" w:space="0" w:color="auto"/>
        <w:bottom w:val="none" w:sz="0" w:space="0" w:color="auto"/>
        <w:right w:val="none" w:sz="0" w:space="0" w:color="auto"/>
      </w:divBdr>
    </w:div>
    <w:div w:id="862011670">
      <w:bodyDiv w:val="1"/>
      <w:marLeft w:val="0"/>
      <w:marRight w:val="0"/>
      <w:marTop w:val="0"/>
      <w:marBottom w:val="0"/>
      <w:divBdr>
        <w:top w:val="none" w:sz="0" w:space="0" w:color="auto"/>
        <w:left w:val="none" w:sz="0" w:space="0" w:color="auto"/>
        <w:bottom w:val="none" w:sz="0" w:space="0" w:color="auto"/>
        <w:right w:val="none" w:sz="0" w:space="0" w:color="auto"/>
      </w:divBdr>
    </w:div>
    <w:div w:id="935097035">
      <w:bodyDiv w:val="1"/>
      <w:marLeft w:val="0"/>
      <w:marRight w:val="0"/>
      <w:marTop w:val="0"/>
      <w:marBottom w:val="0"/>
      <w:divBdr>
        <w:top w:val="none" w:sz="0" w:space="0" w:color="auto"/>
        <w:left w:val="none" w:sz="0" w:space="0" w:color="auto"/>
        <w:bottom w:val="none" w:sz="0" w:space="0" w:color="auto"/>
        <w:right w:val="none" w:sz="0" w:space="0" w:color="auto"/>
      </w:divBdr>
    </w:div>
    <w:div w:id="963779663">
      <w:bodyDiv w:val="1"/>
      <w:marLeft w:val="0"/>
      <w:marRight w:val="0"/>
      <w:marTop w:val="0"/>
      <w:marBottom w:val="0"/>
      <w:divBdr>
        <w:top w:val="none" w:sz="0" w:space="0" w:color="auto"/>
        <w:left w:val="none" w:sz="0" w:space="0" w:color="auto"/>
        <w:bottom w:val="none" w:sz="0" w:space="0" w:color="auto"/>
        <w:right w:val="none" w:sz="0" w:space="0" w:color="auto"/>
      </w:divBdr>
    </w:div>
    <w:div w:id="1013460313">
      <w:bodyDiv w:val="1"/>
      <w:marLeft w:val="0"/>
      <w:marRight w:val="0"/>
      <w:marTop w:val="0"/>
      <w:marBottom w:val="0"/>
      <w:divBdr>
        <w:top w:val="none" w:sz="0" w:space="0" w:color="auto"/>
        <w:left w:val="none" w:sz="0" w:space="0" w:color="auto"/>
        <w:bottom w:val="none" w:sz="0" w:space="0" w:color="auto"/>
        <w:right w:val="none" w:sz="0" w:space="0" w:color="auto"/>
      </w:divBdr>
    </w:div>
    <w:div w:id="1100687933">
      <w:bodyDiv w:val="1"/>
      <w:marLeft w:val="0"/>
      <w:marRight w:val="0"/>
      <w:marTop w:val="0"/>
      <w:marBottom w:val="0"/>
      <w:divBdr>
        <w:top w:val="none" w:sz="0" w:space="0" w:color="auto"/>
        <w:left w:val="none" w:sz="0" w:space="0" w:color="auto"/>
        <w:bottom w:val="none" w:sz="0" w:space="0" w:color="auto"/>
        <w:right w:val="none" w:sz="0" w:space="0" w:color="auto"/>
      </w:divBdr>
    </w:div>
    <w:div w:id="1122571864">
      <w:bodyDiv w:val="1"/>
      <w:marLeft w:val="0"/>
      <w:marRight w:val="0"/>
      <w:marTop w:val="0"/>
      <w:marBottom w:val="0"/>
      <w:divBdr>
        <w:top w:val="none" w:sz="0" w:space="0" w:color="auto"/>
        <w:left w:val="none" w:sz="0" w:space="0" w:color="auto"/>
        <w:bottom w:val="none" w:sz="0" w:space="0" w:color="auto"/>
        <w:right w:val="none" w:sz="0" w:space="0" w:color="auto"/>
      </w:divBdr>
    </w:div>
    <w:div w:id="1215312791">
      <w:bodyDiv w:val="1"/>
      <w:marLeft w:val="0"/>
      <w:marRight w:val="0"/>
      <w:marTop w:val="0"/>
      <w:marBottom w:val="0"/>
      <w:divBdr>
        <w:top w:val="none" w:sz="0" w:space="0" w:color="auto"/>
        <w:left w:val="none" w:sz="0" w:space="0" w:color="auto"/>
        <w:bottom w:val="none" w:sz="0" w:space="0" w:color="auto"/>
        <w:right w:val="none" w:sz="0" w:space="0" w:color="auto"/>
      </w:divBdr>
    </w:div>
    <w:div w:id="1324117409">
      <w:bodyDiv w:val="1"/>
      <w:marLeft w:val="0"/>
      <w:marRight w:val="0"/>
      <w:marTop w:val="0"/>
      <w:marBottom w:val="0"/>
      <w:divBdr>
        <w:top w:val="none" w:sz="0" w:space="0" w:color="auto"/>
        <w:left w:val="none" w:sz="0" w:space="0" w:color="auto"/>
        <w:bottom w:val="none" w:sz="0" w:space="0" w:color="auto"/>
        <w:right w:val="none" w:sz="0" w:space="0" w:color="auto"/>
      </w:divBdr>
    </w:div>
    <w:div w:id="1508668405">
      <w:bodyDiv w:val="1"/>
      <w:marLeft w:val="0"/>
      <w:marRight w:val="0"/>
      <w:marTop w:val="0"/>
      <w:marBottom w:val="0"/>
      <w:divBdr>
        <w:top w:val="none" w:sz="0" w:space="0" w:color="auto"/>
        <w:left w:val="none" w:sz="0" w:space="0" w:color="auto"/>
        <w:bottom w:val="none" w:sz="0" w:space="0" w:color="auto"/>
        <w:right w:val="none" w:sz="0" w:space="0" w:color="auto"/>
      </w:divBdr>
    </w:div>
    <w:div w:id="1510946180">
      <w:bodyDiv w:val="1"/>
      <w:marLeft w:val="0"/>
      <w:marRight w:val="0"/>
      <w:marTop w:val="0"/>
      <w:marBottom w:val="0"/>
      <w:divBdr>
        <w:top w:val="none" w:sz="0" w:space="0" w:color="auto"/>
        <w:left w:val="none" w:sz="0" w:space="0" w:color="auto"/>
        <w:bottom w:val="none" w:sz="0" w:space="0" w:color="auto"/>
        <w:right w:val="none" w:sz="0" w:space="0" w:color="auto"/>
      </w:divBdr>
    </w:div>
    <w:div w:id="1559128901">
      <w:bodyDiv w:val="1"/>
      <w:marLeft w:val="0"/>
      <w:marRight w:val="0"/>
      <w:marTop w:val="0"/>
      <w:marBottom w:val="0"/>
      <w:divBdr>
        <w:top w:val="none" w:sz="0" w:space="0" w:color="auto"/>
        <w:left w:val="none" w:sz="0" w:space="0" w:color="auto"/>
        <w:bottom w:val="none" w:sz="0" w:space="0" w:color="auto"/>
        <w:right w:val="none" w:sz="0" w:space="0" w:color="auto"/>
      </w:divBdr>
    </w:div>
    <w:div w:id="1668442690">
      <w:bodyDiv w:val="1"/>
      <w:marLeft w:val="0"/>
      <w:marRight w:val="0"/>
      <w:marTop w:val="0"/>
      <w:marBottom w:val="0"/>
      <w:divBdr>
        <w:top w:val="none" w:sz="0" w:space="0" w:color="auto"/>
        <w:left w:val="none" w:sz="0" w:space="0" w:color="auto"/>
        <w:bottom w:val="none" w:sz="0" w:space="0" w:color="auto"/>
        <w:right w:val="none" w:sz="0" w:space="0" w:color="auto"/>
      </w:divBdr>
    </w:div>
    <w:div w:id="1907759537">
      <w:bodyDiv w:val="1"/>
      <w:marLeft w:val="0"/>
      <w:marRight w:val="0"/>
      <w:marTop w:val="0"/>
      <w:marBottom w:val="0"/>
      <w:divBdr>
        <w:top w:val="none" w:sz="0" w:space="0" w:color="auto"/>
        <w:left w:val="none" w:sz="0" w:space="0" w:color="auto"/>
        <w:bottom w:val="none" w:sz="0" w:space="0" w:color="auto"/>
        <w:right w:val="none" w:sz="0" w:space="0" w:color="auto"/>
      </w:divBdr>
    </w:div>
    <w:div w:id="2005891412">
      <w:bodyDiv w:val="1"/>
      <w:marLeft w:val="0"/>
      <w:marRight w:val="0"/>
      <w:marTop w:val="0"/>
      <w:marBottom w:val="0"/>
      <w:divBdr>
        <w:top w:val="none" w:sz="0" w:space="0" w:color="auto"/>
        <w:left w:val="none" w:sz="0" w:space="0" w:color="auto"/>
        <w:bottom w:val="none" w:sz="0" w:space="0" w:color="auto"/>
        <w:right w:val="none" w:sz="0" w:space="0" w:color="auto"/>
      </w:divBdr>
    </w:div>
    <w:div w:id="212973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hangri-la.com/group/sustainability/"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ll.co.uk/content/dam/jll-com/documents/pdf/research/global/jll-hotel-investment-outlook-2020.pdf" TargetMode="External"/><Relationship Id="rId17" Type="http://schemas.openxmlformats.org/officeDocument/2006/relationships/hyperlink" Target="https://travelodge.co.uk/our-business/about-us/company-overview/" TargetMode="External"/><Relationship Id="rId2" Type="http://schemas.openxmlformats.org/officeDocument/2006/relationships/styles" Target="styles.xml"/><Relationship Id="rId16" Type="http://schemas.openxmlformats.org/officeDocument/2006/relationships/hyperlink" Target="https://www.travelodgesustainability.co.uk/wp-content/uploads/sites/2/2022/05/Better-Future-Report-202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2.deloitte.com/content/dam/Deloitte/ca/Documents/consumer-industrial-products/ca-future-of-hospitality-pov-aoda-en.pdf" TargetMode="External"/><Relationship Id="rId5" Type="http://schemas.openxmlformats.org/officeDocument/2006/relationships/footnotes" Target="footnotes.xml"/><Relationship Id="rId15" Type="http://schemas.openxmlformats.org/officeDocument/2006/relationships/hyperlink" Target="https://sitecore-cd.shangri-la.com/-/media/Project/Shangri-La-Group/Sustainability/Images/Sustainability-Report/2023_SustainabilityReport.pdf"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hangri-la.com/group/our-story/our-heri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12</Pages>
  <Words>2843</Words>
  <Characters>16210</Characters>
  <Application>Microsoft Office Word</Application>
  <DocSecurity>0</DocSecurity>
  <Lines>135</Lines>
  <Paragraphs>38</Paragraphs>
  <ScaleCrop>false</ScaleCrop>
  <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90</cp:revision>
  <cp:lastPrinted>2024-05-07T21:11:00Z</cp:lastPrinted>
  <dcterms:created xsi:type="dcterms:W3CDTF">2024-05-07T17:04:00Z</dcterms:created>
  <dcterms:modified xsi:type="dcterms:W3CDTF">2024-05-08T14:14:00Z</dcterms:modified>
</cp:coreProperties>
</file>