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614D16" w:rsidRDefault="00614D16" w14:paraId="6C95B474" w14:textId="2103552D" w:rsidP="00614D16">
      <w:pPr>
        <w:jc w:val="center"/>
        <w:rPr>
          <w:bCs/>
          <w:lang w:val="en-IN"/>
          <w:b/>
          <w:sz w:val="32"/>
          <w:szCs w:val="28"/>
        </w:rPr>
      </w:pPr>
      <w:r>
        <w:rPr>
          <w:noProof/>
        </w:rPr>
        <w:drawing>
          <wp:inline distB="0" distL="0" distR="0" distT="0" wp14:anchorId="17E7676E" wp14:editId="2377B6C3">
            <wp:extent cx="1607820" cy="800100"/>
            <wp:effectExtent l="0" t="0" r="0" b="0"/>
            <wp:docPr id="474644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644300" name=""/>
                    <pic:cNvPicPr/>
                  </pic:nvPicPr>
                  <pic:blipFill>
                    <a:blip r:embed="rId12"/>
                    <a:stretch>
                      <a:fillRect/>
                    </a:stretch>
                  </pic:blipFill>
                  <pic:spPr>
                    <a:xfrm>
                      <a:off x="0" y="0"/>
                      <a:ext cx="1607959" cy="800169"/>
                    </a:xfrm>
                    <a:prstGeom prst="rect">
                      <a:avLst/>
                    </a:prstGeom>
                  </pic:spPr>
                </pic:pic>
              </a:graphicData>
            </a:graphic>
          </wp:inline>
        </w:drawing>
      </w:r>
    </w:p>
    <w:p w:rsidR="00614D16" w:rsidRDefault="00614D16" w14:paraId="0663C63E" w14:textId="77777777" w:rsidP="00614D16">
      <w:pPr>
        <w:jc w:val="center"/>
        <w:rPr>
          <w:bCs/>
          <w:lang w:val="en-IN"/>
          <w:b/>
          <w:sz w:val="32"/>
          <w:szCs w:val="28"/>
        </w:rPr>
      </w:pPr>
    </w:p>
    <w:p w:rsidR="00614D16" w:rsidRDefault="00614D16" w14:paraId="1AD2C9BD" w14:textId="77777777" w:rsidP="00614D16">
      <w:pPr>
        <w:jc w:val="center"/>
        <w:rPr>
          <w:bCs/>
          <w:lang w:val="en-IN"/>
          <w:b/>
          <w:sz w:val="32"/>
          <w:szCs w:val="28"/>
        </w:rPr>
      </w:pPr>
    </w:p>
    <w:p w:rsidR="00614D16" w:rsidRDefault="00614D16" w14:paraId="3679DB9A" w14:textId="77777777" w:rsidP="00614D16">
      <w:pPr>
        <w:jc w:val="center"/>
        <w:rPr>
          <w:bCs/>
          <w:lang w:val="en-IN"/>
          <w:b/>
          <w:sz w:val="32"/>
          <w:szCs w:val="28"/>
        </w:rPr>
      </w:pPr>
    </w:p>
    <w:p w:rsidR="00614D16" w:rsidRDefault="00614D16" w14:paraId="50CBF79B" w14:textId="77777777" w:rsidP="00614D16">
      <w:pPr>
        <w:jc w:val="center"/>
        <w:rPr>
          <w:bCs/>
          <w:lang w:val="en-IN"/>
          <w:b/>
          <w:sz w:val="32"/>
          <w:szCs w:val="28"/>
        </w:rPr>
      </w:pPr>
    </w:p>
    <w:p w:rsidR="00614D16" w:rsidRDefault="00614D16" w14:paraId="5937C301" w14:textId="5555B415" w:rsidP="00614D16" w:rsidRPr="00614D16">
      <w:pPr>
        <w:jc w:val="center"/>
        <w:spacing w:line="276" w:lineRule="auto"/>
        <w:rPr>
          <w:bCs/>
          <w:lang w:val="en-IN"/>
          <w:b/>
          <w:sz w:val="40"/>
          <w:szCs w:val="36"/>
        </w:rPr>
      </w:pPr>
      <w:r w:rsidRPr="00614D16">
        <w:rPr>
          <w:bCs/>
          <w:lang w:val="en-IN"/>
          <w:b/>
          <w:sz w:val="40"/>
          <w:szCs w:val="36"/>
        </w:rPr>
        <w:t>BMIH6007</w:t>
      </w:r>
    </w:p>
    <w:p w:rsidR="00614D16" w:rsidRDefault="00614D16" w14:paraId="4B40D507" w14:textId="77777777" w:rsidP="00614D16" w:rsidRPr="00614D16">
      <w:pPr>
        <w:jc w:val="center"/>
        <w:spacing w:line="276" w:lineRule="auto"/>
        <w:rPr>
          <w:bCs/>
          <w:lang w:val="en-IN"/>
          <w:b/>
          <w:sz w:val="40"/>
          <w:szCs w:val="36"/>
        </w:rPr>
      </w:pPr>
      <w:r w:rsidRPr="00614D16">
        <w:rPr>
          <w:bCs/>
          <w:lang w:val="en-IN"/>
          <w:b/>
          <w:sz w:val="40"/>
          <w:szCs w:val="36"/>
        </w:rPr>
        <w:t>International Meetings Management</w:t>
      </w:r>
    </w:p>
    <w:p w:rsidR="00614D16" w:rsidRDefault="00614D16" w14:paraId="11395B51" w14:textId="77777777" w:rsidP="00614D16" w:rsidRPr="00614D16">
      <w:pPr>
        <w:jc w:val="center"/>
        <w:spacing w:line="276" w:lineRule="auto"/>
        <w:rPr>
          <w:bCs/>
          <w:lang w:val="en-IN"/>
          <w:b/>
          <w:sz w:val="40"/>
          <w:szCs w:val="36"/>
        </w:rPr>
      </w:pPr>
      <w:r w:rsidRPr="00614D16">
        <w:rPr>
          <w:bCs/>
          <w:lang w:val="en-IN"/>
          <w:b/>
          <w:sz w:val="40"/>
          <w:szCs w:val="36"/>
        </w:rPr>
        <w:t>for the</w:t>
      </w:r>
    </w:p>
    <w:p w:rsidR="00614D16" w:rsidRDefault="00614D16" w14:paraId="6070E9DF" w14:textId="77777777" w:rsidP="00614D16">
      <w:pPr>
        <w:jc w:val="center"/>
        <w:rPr>
          <w:bCs/>
          <w:lang w:val="en-IN"/>
          <w:b/>
          <w:sz w:val="40"/>
          <w:szCs w:val="36"/>
        </w:rPr>
      </w:pPr>
      <w:r w:rsidRPr="00614D16">
        <w:rPr>
          <w:bCs/>
          <w:lang w:val="en-IN"/>
          <w:b/>
          <w:sz w:val="40"/>
          <w:szCs w:val="36"/>
        </w:rPr>
        <w:t>Hotel Industry</w:t>
      </w:r>
    </w:p>
    <w:p w:rsidR="00614D16" w:rsidRDefault="00614D16" w14:paraId="149B5F19" w14:textId="77777777" w:rsidP="00614D16">
      <w:pPr>
        <w:jc w:val="center"/>
        <w:rPr>
          <w:bCs/>
          <w:lang w:val="en-IN"/>
          <w:b/>
          <w:sz w:val="40"/>
          <w:szCs w:val="36"/>
        </w:rPr>
      </w:pPr>
    </w:p>
    <w:p w:rsidR="00614D16" w:rsidRDefault="00614D16" w14:paraId="27D741B7" w14:textId="77777777" w:rsidP="00614D16">
      <w:pPr>
        <w:jc w:val="center"/>
        <w:rPr>
          <w:bCs/>
          <w:lang w:val="en-IN"/>
          <w:b/>
          <w:sz w:val="40"/>
          <w:szCs w:val="36"/>
        </w:rPr>
      </w:pPr>
    </w:p>
    <w:p w:rsidR="00614D16" w:rsidRDefault="00614D16" w14:paraId="212C9FDB" w14:textId="0756EC0C" w:rsidP="00614D16">
      <w:pPr>
        <w:jc w:val="center"/>
        <w:rPr>
          <w:bCs/>
          <w:lang w:val="en-IN"/>
          <w:b/>
          <w:sz w:val="40"/>
          <w:szCs w:val="36"/>
        </w:rPr>
      </w:pPr>
      <w:r>
        <w:rPr>
          <w:bCs/>
          <w:lang w:val="en-IN"/>
          <w:b/>
          <w:sz w:val="40"/>
          <w:szCs w:val="36"/>
        </w:rPr>
        <w:t>Student Name:Sabine Studane</w:t>
      </w:r>
    </w:p>
    <w:p w:rsidR="003652E5" w:rsidRDefault="00614D16" w14:paraId="1B65641D" w14:textId="77777777" w:rsidP="00614D16">
      <w:pPr>
        <w:jc w:val="center"/>
        <w:rPr>
          <w:bCs/>
          <w:lang w:val="en-IN"/>
          <w:b/>
          <w:sz w:val="40"/>
          <w:szCs w:val="36"/>
        </w:rPr>
      </w:pPr>
      <w:r>
        <w:rPr>
          <w:bCs/>
          <w:lang w:val="en-IN"/>
          <w:b/>
          <w:sz w:val="40"/>
          <w:szCs w:val="36"/>
        </w:rPr>
        <w:t>Student ID: 22446648</w:t>
      </w:r>
    </w:p>
    <w:p w:rsidR="003652E5" w:rsidRDefault="003652E5" w14:paraId="72451B73" w14:textId="77777777">
      <w:pPr>
        <w:spacing w:before="240" w:after="0"/>
        <w:rPr>
          <w:bCs/>
          <w:lang w:val="en-IN"/>
          <w:b/>
          <w:sz w:val="40"/>
          <w:szCs w:val="36"/>
        </w:rPr>
      </w:pPr>
      <w:r>
        <w:rPr>
          <w:b/>
          <w:sz w:val="40"/>
          <w:szCs w:val="36"/>
        </w:rPr>
        <w:br w:type="page"/>
      </w:r>
    </w:p>
    <w:sdt>
      <w:sdtPr>
        <w:rPr>
          <w:rFonts w:ascii="Times New Roman" w:eastAsiaTheme="minorHAnsi" w:hAnsi="Times New Roman" w:cstheme="minorBidi"/>
          <w:noProof/>
          <w:color w:val="000000" w:themeColor="text1"/>
          <w:sz w:val="24"/>
          <w:szCs w:val="22"/>
          <w:lang w:val="en-GB"/>
        </w:rPr>
        <w:id w:val="134612687"/>
        <w:docPartObj>
          <w:docPartGallery w:val="Table of Contents"/>
          <w:docPartUnique/>
        </w:docPartObj>
      </w:sdtPr>
      <w:sdtEndPr>
        <w:rPr>
          <w:b/>
          <w:bCs/>
        </w:rPr>
      </w:sdtEndPr>
      <w:sdtContent>
        <w:p w:rsidR="001D56D6" w:rsidRDefault="001D56D6" w14:paraId="7598BAA5" w14:textId="07C3F7B8" w:rsidRPr="001D56D6">
          <w:pPr>
            <w:pStyle w:val="TOCHeading"/>
            <w:rPr>
              <w:bCs/>
              <w:b/>
              <w:color w:val="auto"/>
              <w:rFonts w:ascii="Times New Roman" w:cs="Times New Roman" w:hAnsi="Times New Roman"/>
            </w:rPr>
          </w:pPr>
          <w:r w:rsidRPr="001D56D6">
            <w:rPr>
              <w:bCs/>
              <w:b/>
              <w:color w:val="auto"/>
              <w:rFonts w:ascii="Times New Roman" w:cs="Times New Roman" w:hAnsi="Times New Roman"/>
            </w:rPr>
            <w:t>Table of Contents</w:t>
          </w:r>
        </w:p>
        <w:p w:rsidR="00BE4E4B" w:rsidRDefault="001D56D6" w14:paraId="3E552788" w14:textId="5F836567">
          <w:pPr>
            <w:pStyle w:val="TOC1"/>
            <w:tabs>
              <w:tab w:val="right" w:leader="dot" w:pos="9016"/>
            </w:tabs>
            <w:rPr>
              <w:kern w:val="2"/>
              <w:lang w:val="en-IN" w:eastAsia="en-IN"/>
              <w14:ligatures w14:val="standardContextual"/>
              <w:color w:val="auto"/>
              <w:rFonts w:ascii="Calibri" w:eastAsiaTheme="minorEastAsia" w:hAnsiTheme="minorHAnsi"/>
              <w:szCs w:val="24"/>
            </w:rPr>
          </w:pPr>
          <w:r w:rsidRPr="001D56D6">
            <w:rPr>
              <w:bCs/>
              <w:b/>
              <w:color w:val="auto"/>
              <w:rFonts w:cs="Times New Roman"/>
            </w:rPr>
            <w:fldChar w:fldCharType="begin"/>
          </w:r>
          <w:r w:rsidRPr="001D56D6">
            <w:rPr>
              <w:bCs/>
              <w:b/>
              <w:color w:val="auto"/>
              <w:rFonts w:cs="Times New Roman"/>
            </w:rPr>
            <w:instrText xml:space="preserve"> TOC \o "1-3" \h \z \u </w:instrText>
          </w:r>
          <w:r w:rsidRPr="001D56D6">
            <w:rPr>
              <w:bCs/>
              <w:b/>
              <w:color w:val="auto"/>
              <w:rFonts w:cs="Times New Roman"/>
            </w:rPr>
            <w:fldChar w:fldCharType="separate"/>
          </w:r>
          <w:hyperlink w:anchor="_Toc197967634" w:history="1">
            <w:r w:rsidR="00BE4E4B" w:rsidRPr="005E5CBD">
              <w:rPr>
                <w:rStyle w:val="Hyperlink"/>
              </w:rPr>
              <w:t>Introduction</w:t>
            </w:r>
            <w:r w:rsidR="00BE4E4B">
              <w:rPr>
                <w:webHidden/>
              </w:rPr>
              <w:tab/>
            </w:r>
            <w:r w:rsidR="00BE4E4B">
              <w:rPr>
                <w:webHidden/>
              </w:rPr>
              <w:fldChar w:fldCharType="begin"/>
            </w:r>
            <w:r w:rsidR="00BE4E4B">
              <w:rPr>
                <w:webHidden/>
              </w:rPr>
              <w:instrText xml:space="preserve"> PAGEREF _Toc197967634 \h </w:instrText>
            </w:r>
            <w:r w:rsidR="00BE4E4B">
              <w:rPr>
                <w:webHidden/>
              </w:rPr>
            </w:r>
            <w:r w:rsidR="00BE4E4B">
              <w:rPr>
                <w:webHidden/>
              </w:rPr>
              <w:fldChar w:fldCharType="separate"/>
            </w:r>
            <w:r w:rsidR="00BE4E4B">
              <w:rPr>
                <w:webHidden/>
              </w:rPr>
              <w:t>3</w:t>
            </w:r>
            <w:r w:rsidR="00BE4E4B">
              <w:rPr>
                <w:webHidden/>
              </w:rPr>
              <w:fldChar w:fldCharType="end"/>
            </w:r>
          </w:hyperlink>
        </w:p>
        <w:p w:rsidR="00BE4E4B" w:rsidRDefault="00BE4E4B" w14:paraId="63DA7142" w14:textId="4DE7AFAD">
          <w:pPr>
            <w:pStyle w:val="TOC1"/>
            <w:tabs>
              <w:tab w:val="right" w:leader="dot" w:pos="9016"/>
            </w:tabs>
            <w:rPr>
              <w:kern w:val="2"/>
              <w:lang w:val="en-IN" w:eastAsia="en-IN"/>
              <w14:ligatures w14:val="standardContextual"/>
              <w:color w:val="auto"/>
              <w:rFonts w:ascii="Calibri" w:eastAsiaTheme="minorEastAsia" w:hAnsiTheme="minorHAnsi"/>
              <w:szCs w:val="24"/>
            </w:rPr>
          </w:pPr>
          <w:hyperlink w:anchor="_Toc197967635" w:history="1">
            <w:r w:rsidRPr="005E5CBD">
              <w:rPr>
                <w:rStyle w:val="Hyperlink"/>
              </w:rPr>
              <w:t>Event Overview</w:t>
            </w:r>
            <w:r>
              <w:rPr>
                <w:webHidden/>
              </w:rPr>
              <w:tab/>
            </w:r>
            <w:r>
              <w:rPr>
                <w:webHidden/>
              </w:rPr>
              <w:fldChar w:fldCharType="begin"/>
            </w:r>
            <w:r>
              <w:rPr>
                <w:webHidden/>
              </w:rPr>
              <w:instrText xml:space="preserve"> PAGEREF _Toc197967635 \h </w:instrText>
            </w:r>
            <w:r>
              <w:rPr>
                <w:webHidden/>
              </w:rPr>
            </w:r>
            <w:r>
              <w:rPr>
                <w:webHidden/>
              </w:rPr>
              <w:fldChar w:fldCharType="separate"/>
            </w:r>
            <w:r>
              <w:rPr>
                <w:webHidden/>
              </w:rPr>
              <w:t>4</w:t>
            </w:r>
            <w:r>
              <w:rPr>
                <w:webHidden/>
              </w:rPr>
              <w:fldChar w:fldCharType="end"/>
            </w:r>
          </w:hyperlink>
        </w:p>
        <w:p w:rsidR="00BE4E4B" w:rsidRDefault="00BE4E4B" w14:paraId="4E37DD8C" w14:textId="40BC09DA">
          <w:pPr>
            <w:pStyle w:val="TOC1"/>
            <w:tabs>
              <w:tab w:val="right" w:leader="dot" w:pos="9016"/>
            </w:tabs>
            <w:rPr>
              <w:kern w:val="2"/>
              <w:lang w:val="en-IN" w:eastAsia="en-IN"/>
              <w14:ligatures w14:val="standardContextual"/>
              <w:color w:val="auto"/>
              <w:rFonts w:ascii="Calibri" w:eastAsiaTheme="minorEastAsia" w:hAnsiTheme="minorHAnsi"/>
              <w:szCs w:val="24"/>
            </w:rPr>
          </w:pPr>
          <w:hyperlink w:anchor="_Toc197967636" w:history="1">
            <w:r w:rsidRPr="005E5CBD">
              <w:rPr>
                <w:rStyle w:val="Hyperlink"/>
              </w:rPr>
              <w:t>Alignment with the Year of Croeso</w:t>
            </w:r>
            <w:r>
              <w:rPr>
                <w:webHidden/>
              </w:rPr>
              <w:tab/>
            </w:r>
            <w:r>
              <w:rPr>
                <w:webHidden/>
              </w:rPr>
              <w:fldChar w:fldCharType="begin"/>
            </w:r>
            <w:r>
              <w:rPr>
                <w:webHidden/>
              </w:rPr>
              <w:instrText xml:space="preserve"> PAGEREF _Toc197967636 \h </w:instrText>
            </w:r>
            <w:r>
              <w:rPr>
                <w:webHidden/>
              </w:rPr>
            </w:r>
            <w:r>
              <w:rPr>
                <w:webHidden/>
              </w:rPr>
              <w:fldChar w:fldCharType="separate"/>
            </w:r>
            <w:r>
              <w:rPr>
                <w:webHidden/>
              </w:rPr>
              <w:t>4</w:t>
            </w:r>
            <w:r>
              <w:rPr>
                <w:webHidden/>
              </w:rPr>
              <w:fldChar w:fldCharType="end"/>
            </w:r>
          </w:hyperlink>
        </w:p>
        <w:p w:rsidR="00BE4E4B" w:rsidRDefault="00BE4E4B" w14:paraId="503B2544" w14:textId="4A4DEEE0">
          <w:pPr>
            <w:pStyle w:val="TOC1"/>
            <w:tabs>
              <w:tab w:val="right" w:leader="dot" w:pos="9016"/>
            </w:tabs>
            <w:rPr>
              <w:kern w:val="2"/>
              <w:lang w:val="en-IN" w:eastAsia="en-IN"/>
              <w14:ligatures w14:val="standardContextual"/>
              <w:color w:val="auto"/>
              <w:rFonts w:ascii="Calibri" w:eastAsiaTheme="minorEastAsia" w:hAnsiTheme="minorHAnsi"/>
              <w:szCs w:val="24"/>
            </w:rPr>
          </w:pPr>
          <w:hyperlink w:anchor="_Toc197967637" w:history="1">
            <w:r w:rsidRPr="005E5CBD">
              <w:rPr>
                <w:rStyle w:val="Hyperlink"/>
              </w:rPr>
              <w:t>Focus Areas: Cultural Hospitality and Inclusivity</w:t>
            </w:r>
            <w:r>
              <w:rPr>
                <w:webHidden/>
              </w:rPr>
              <w:tab/>
            </w:r>
            <w:r>
              <w:rPr>
                <w:webHidden/>
              </w:rPr>
              <w:fldChar w:fldCharType="begin"/>
            </w:r>
            <w:r>
              <w:rPr>
                <w:webHidden/>
              </w:rPr>
              <w:instrText xml:space="preserve"> PAGEREF _Toc197967637 \h </w:instrText>
            </w:r>
            <w:r>
              <w:rPr>
                <w:webHidden/>
              </w:rPr>
            </w:r>
            <w:r>
              <w:rPr>
                <w:webHidden/>
              </w:rPr>
              <w:fldChar w:fldCharType="separate"/>
            </w:r>
            <w:r>
              <w:rPr>
                <w:webHidden/>
              </w:rPr>
              <w:t>5</w:t>
            </w:r>
            <w:r>
              <w:rPr>
                <w:webHidden/>
              </w:rPr>
              <w:fldChar w:fldCharType="end"/>
            </w:r>
          </w:hyperlink>
        </w:p>
        <w:p w:rsidR="00BE4E4B" w:rsidRDefault="00BE4E4B" w14:paraId="081180A4" w14:textId="419C32B4">
          <w:pPr>
            <w:pStyle w:val="TOC1"/>
            <w:tabs>
              <w:tab w:val="right" w:leader="dot" w:pos="9016"/>
            </w:tabs>
            <w:rPr>
              <w:kern w:val="2"/>
              <w:lang w:val="en-IN" w:eastAsia="en-IN"/>
              <w14:ligatures w14:val="standardContextual"/>
              <w:color w:val="auto"/>
              <w:rFonts w:ascii="Calibri" w:eastAsiaTheme="minorEastAsia" w:hAnsiTheme="minorHAnsi"/>
              <w:szCs w:val="24"/>
            </w:rPr>
          </w:pPr>
          <w:hyperlink w:anchor="_Toc197967638" w:history="1">
            <w:r w:rsidRPr="005E5CBD">
              <w:rPr>
                <w:rStyle w:val="Hyperlink"/>
              </w:rPr>
              <w:t>Event Structure and Programme Details</w:t>
            </w:r>
            <w:r>
              <w:rPr>
                <w:webHidden/>
              </w:rPr>
              <w:tab/>
            </w:r>
            <w:r>
              <w:rPr>
                <w:webHidden/>
              </w:rPr>
              <w:fldChar w:fldCharType="begin"/>
            </w:r>
            <w:r>
              <w:rPr>
                <w:webHidden/>
              </w:rPr>
              <w:instrText xml:space="preserve"> PAGEREF _Toc197967638 \h </w:instrText>
            </w:r>
            <w:r>
              <w:rPr>
                <w:webHidden/>
              </w:rPr>
            </w:r>
            <w:r>
              <w:rPr>
                <w:webHidden/>
              </w:rPr>
              <w:fldChar w:fldCharType="separate"/>
            </w:r>
            <w:r>
              <w:rPr>
                <w:webHidden/>
              </w:rPr>
              <w:t>6</w:t>
            </w:r>
            <w:r>
              <w:rPr>
                <w:webHidden/>
              </w:rPr>
              <w:fldChar w:fldCharType="end"/>
            </w:r>
          </w:hyperlink>
        </w:p>
        <w:p w:rsidR="00BE4E4B" w:rsidRDefault="00BE4E4B" w14:paraId="2280CC60" w14:textId="3C241B5D">
          <w:pPr>
            <w:pStyle w:val="TOC1"/>
            <w:tabs>
              <w:tab w:val="right" w:leader="dot" w:pos="9016"/>
            </w:tabs>
            <w:rPr>
              <w:kern w:val="2"/>
              <w:lang w:val="en-IN" w:eastAsia="en-IN"/>
              <w14:ligatures w14:val="standardContextual"/>
              <w:color w:val="auto"/>
              <w:rFonts w:ascii="Calibri" w:eastAsiaTheme="minorEastAsia" w:hAnsiTheme="minorHAnsi"/>
              <w:szCs w:val="24"/>
            </w:rPr>
          </w:pPr>
          <w:hyperlink w:anchor="_Toc197967639" w:history="1">
            <w:r w:rsidRPr="005E5CBD">
              <w:rPr>
                <w:rStyle w:val="Hyperlink"/>
              </w:rPr>
              <w:t>Key Event Features</w:t>
            </w:r>
            <w:r>
              <w:rPr>
                <w:webHidden/>
              </w:rPr>
              <w:tab/>
            </w:r>
            <w:r>
              <w:rPr>
                <w:webHidden/>
              </w:rPr>
              <w:fldChar w:fldCharType="begin"/>
            </w:r>
            <w:r>
              <w:rPr>
                <w:webHidden/>
              </w:rPr>
              <w:instrText xml:space="preserve"> PAGEREF _Toc197967639 \h </w:instrText>
            </w:r>
            <w:r>
              <w:rPr>
                <w:webHidden/>
              </w:rPr>
            </w:r>
            <w:r>
              <w:rPr>
                <w:webHidden/>
              </w:rPr>
              <w:fldChar w:fldCharType="separate"/>
            </w:r>
            <w:r>
              <w:rPr>
                <w:webHidden/>
              </w:rPr>
              <w:t>6</w:t>
            </w:r>
            <w:r>
              <w:rPr>
                <w:webHidden/>
              </w:rPr>
              <w:fldChar w:fldCharType="end"/>
            </w:r>
          </w:hyperlink>
        </w:p>
        <w:p w:rsidR="00BE4E4B" w:rsidRDefault="00BE4E4B" w14:paraId="422D4C93" w14:textId="3F69B23B">
          <w:pPr>
            <w:pStyle w:val="TOC1"/>
            <w:tabs>
              <w:tab w:val="right" w:leader="dot" w:pos="9016"/>
            </w:tabs>
            <w:rPr>
              <w:kern w:val="2"/>
              <w:lang w:val="en-IN" w:eastAsia="en-IN"/>
              <w14:ligatures w14:val="standardContextual"/>
              <w:color w:val="auto"/>
              <w:rFonts w:ascii="Calibri" w:eastAsiaTheme="minorEastAsia" w:hAnsiTheme="minorHAnsi"/>
              <w:szCs w:val="24"/>
            </w:rPr>
          </w:pPr>
          <w:hyperlink w:anchor="_Toc197967640" w:history="1">
            <w:r w:rsidRPr="005E5CBD">
              <w:rPr>
                <w:rStyle w:val="Hyperlink"/>
              </w:rPr>
              <w:t>Target Audience</w:t>
            </w:r>
            <w:r>
              <w:rPr>
                <w:webHidden/>
              </w:rPr>
              <w:tab/>
            </w:r>
            <w:r>
              <w:rPr>
                <w:webHidden/>
              </w:rPr>
              <w:fldChar w:fldCharType="begin"/>
            </w:r>
            <w:r>
              <w:rPr>
                <w:webHidden/>
              </w:rPr>
              <w:instrText xml:space="preserve"> PAGEREF _Toc197967640 \h </w:instrText>
            </w:r>
            <w:r>
              <w:rPr>
                <w:webHidden/>
              </w:rPr>
            </w:r>
            <w:r>
              <w:rPr>
                <w:webHidden/>
              </w:rPr>
              <w:fldChar w:fldCharType="separate"/>
            </w:r>
            <w:r>
              <w:rPr>
                <w:webHidden/>
              </w:rPr>
              <w:t>7</w:t>
            </w:r>
            <w:r>
              <w:rPr>
                <w:webHidden/>
              </w:rPr>
              <w:fldChar w:fldCharType="end"/>
            </w:r>
          </w:hyperlink>
        </w:p>
        <w:p w:rsidR="00BE4E4B" w:rsidRDefault="00BE4E4B" w14:paraId="5EDF8B1A" w14:textId="5CE37E74">
          <w:pPr>
            <w:pStyle w:val="TOC1"/>
            <w:tabs>
              <w:tab w:val="right" w:leader="dot" w:pos="9016"/>
            </w:tabs>
            <w:rPr>
              <w:kern w:val="2"/>
              <w:lang w:val="en-IN" w:eastAsia="en-IN"/>
              <w14:ligatures w14:val="standardContextual"/>
              <w:color w:val="auto"/>
              <w:rFonts w:ascii="Calibri" w:eastAsiaTheme="minorEastAsia" w:hAnsiTheme="minorHAnsi"/>
              <w:szCs w:val="24"/>
            </w:rPr>
          </w:pPr>
          <w:hyperlink w:anchor="_Toc197967641" w:history="1">
            <w:r w:rsidRPr="005E5CBD">
              <w:rPr>
                <w:rStyle w:val="Hyperlink"/>
              </w:rPr>
              <w:t>Promotion and Outreach</w:t>
            </w:r>
            <w:r>
              <w:rPr>
                <w:webHidden/>
              </w:rPr>
              <w:tab/>
            </w:r>
            <w:r>
              <w:rPr>
                <w:webHidden/>
              </w:rPr>
              <w:fldChar w:fldCharType="begin"/>
            </w:r>
            <w:r>
              <w:rPr>
                <w:webHidden/>
              </w:rPr>
              <w:instrText xml:space="preserve"> PAGEREF _Toc197967641 \h </w:instrText>
            </w:r>
            <w:r>
              <w:rPr>
                <w:webHidden/>
              </w:rPr>
            </w:r>
            <w:r>
              <w:rPr>
                <w:webHidden/>
              </w:rPr>
              <w:fldChar w:fldCharType="separate"/>
            </w:r>
            <w:r>
              <w:rPr>
                <w:webHidden/>
              </w:rPr>
              <w:t>7</w:t>
            </w:r>
            <w:r>
              <w:rPr>
                <w:webHidden/>
              </w:rPr>
              <w:fldChar w:fldCharType="end"/>
            </w:r>
          </w:hyperlink>
        </w:p>
        <w:p w:rsidR="00BE4E4B" w:rsidRDefault="00BE4E4B" w14:paraId="40E84D45" w14:textId="4AFFDD0B">
          <w:pPr>
            <w:pStyle w:val="TOC1"/>
            <w:tabs>
              <w:tab w:val="right" w:leader="dot" w:pos="9016"/>
            </w:tabs>
            <w:rPr>
              <w:kern w:val="2"/>
              <w:lang w:val="en-IN" w:eastAsia="en-IN"/>
              <w14:ligatures w14:val="standardContextual"/>
              <w:color w:val="auto"/>
              <w:rFonts w:ascii="Calibri" w:eastAsiaTheme="minorEastAsia" w:hAnsiTheme="minorHAnsi"/>
              <w:szCs w:val="24"/>
            </w:rPr>
          </w:pPr>
          <w:hyperlink w:anchor="_Toc197967642" w:history="1">
            <w:r w:rsidRPr="005E5CBD">
              <w:rPr>
                <w:rStyle w:val="Hyperlink"/>
              </w:rPr>
              <w:t>Strategic Partnerships</w:t>
            </w:r>
            <w:r>
              <w:rPr>
                <w:webHidden/>
              </w:rPr>
              <w:tab/>
            </w:r>
            <w:r>
              <w:rPr>
                <w:webHidden/>
              </w:rPr>
              <w:fldChar w:fldCharType="begin"/>
            </w:r>
            <w:r>
              <w:rPr>
                <w:webHidden/>
              </w:rPr>
              <w:instrText xml:space="preserve"> PAGEREF _Toc197967642 \h </w:instrText>
            </w:r>
            <w:r>
              <w:rPr>
                <w:webHidden/>
              </w:rPr>
            </w:r>
            <w:r>
              <w:rPr>
                <w:webHidden/>
              </w:rPr>
              <w:fldChar w:fldCharType="separate"/>
            </w:r>
            <w:r>
              <w:rPr>
                <w:webHidden/>
              </w:rPr>
              <w:t>8</w:t>
            </w:r>
            <w:r>
              <w:rPr>
                <w:webHidden/>
              </w:rPr>
              <w:fldChar w:fldCharType="end"/>
            </w:r>
          </w:hyperlink>
        </w:p>
        <w:p w:rsidR="00BE4E4B" w:rsidRDefault="00BE4E4B" w14:paraId="2AE92E54" w14:textId="5DF53D3D">
          <w:pPr>
            <w:pStyle w:val="TOC1"/>
            <w:tabs>
              <w:tab w:val="right" w:leader="dot" w:pos="9016"/>
            </w:tabs>
            <w:rPr>
              <w:kern w:val="2"/>
              <w:lang w:val="en-IN" w:eastAsia="en-IN"/>
              <w14:ligatures w14:val="standardContextual"/>
              <w:color w:val="auto"/>
              <w:rFonts w:ascii="Calibri" w:eastAsiaTheme="minorEastAsia" w:hAnsiTheme="minorHAnsi"/>
              <w:szCs w:val="24"/>
            </w:rPr>
          </w:pPr>
          <w:hyperlink w:anchor="_Toc197967643" w:history="1">
            <w:r w:rsidRPr="005E5CBD">
              <w:rPr>
                <w:rStyle w:val="Hyperlink"/>
              </w:rPr>
              <w:t>Expected Outcomes</w:t>
            </w:r>
            <w:r>
              <w:rPr>
                <w:webHidden/>
              </w:rPr>
              <w:tab/>
            </w:r>
            <w:r>
              <w:rPr>
                <w:webHidden/>
              </w:rPr>
              <w:fldChar w:fldCharType="begin"/>
            </w:r>
            <w:r>
              <w:rPr>
                <w:webHidden/>
              </w:rPr>
              <w:instrText xml:space="preserve"> PAGEREF _Toc197967643 \h </w:instrText>
            </w:r>
            <w:r>
              <w:rPr>
                <w:webHidden/>
              </w:rPr>
            </w:r>
            <w:r>
              <w:rPr>
                <w:webHidden/>
              </w:rPr>
              <w:fldChar w:fldCharType="separate"/>
            </w:r>
            <w:r>
              <w:rPr>
                <w:webHidden/>
              </w:rPr>
              <w:t>9</w:t>
            </w:r>
            <w:r>
              <w:rPr>
                <w:webHidden/>
              </w:rPr>
              <w:fldChar w:fldCharType="end"/>
            </w:r>
          </w:hyperlink>
        </w:p>
        <w:p w:rsidR="00BE4E4B" w:rsidRDefault="00BE4E4B" w14:paraId="4EA31353" w14:textId="697EE28C">
          <w:pPr>
            <w:pStyle w:val="TOC1"/>
            <w:tabs>
              <w:tab w:val="right" w:leader="dot" w:pos="9016"/>
            </w:tabs>
            <w:rPr>
              <w:kern w:val="2"/>
              <w:lang w:val="en-IN" w:eastAsia="en-IN"/>
              <w14:ligatures w14:val="standardContextual"/>
              <w:color w:val="auto"/>
              <w:rFonts w:ascii="Calibri" w:eastAsiaTheme="minorEastAsia" w:hAnsiTheme="minorHAnsi"/>
              <w:szCs w:val="24"/>
            </w:rPr>
          </w:pPr>
          <w:hyperlink w:anchor="_Toc197967644" w:history="1">
            <w:r w:rsidRPr="005E5CBD">
              <w:rPr>
                <w:rStyle w:val="Hyperlink"/>
              </w:rPr>
              <w:t>Monitoring and Evaluation</w:t>
            </w:r>
            <w:r>
              <w:rPr>
                <w:webHidden/>
              </w:rPr>
              <w:tab/>
            </w:r>
            <w:r>
              <w:rPr>
                <w:webHidden/>
              </w:rPr>
              <w:fldChar w:fldCharType="begin"/>
            </w:r>
            <w:r>
              <w:rPr>
                <w:webHidden/>
              </w:rPr>
              <w:instrText xml:space="preserve"> PAGEREF _Toc197967644 \h </w:instrText>
            </w:r>
            <w:r>
              <w:rPr>
                <w:webHidden/>
              </w:rPr>
            </w:r>
            <w:r>
              <w:rPr>
                <w:webHidden/>
              </w:rPr>
              <w:fldChar w:fldCharType="separate"/>
            </w:r>
            <w:r>
              <w:rPr>
                <w:webHidden/>
              </w:rPr>
              <w:t>10</w:t>
            </w:r>
            <w:r>
              <w:rPr>
                <w:webHidden/>
              </w:rPr>
              <w:fldChar w:fldCharType="end"/>
            </w:r>
          </w:hyperlink>
        </w:p>
        <w:p w:rsidR="00BE4E4B" w:rsidRDefault="00BE4E4B" w14:paraId="61292394" w14:textId="4D8692BC">
          <w:pPr>
            <w:pStyle w:val="TOC1"/>
            <w:tabs>
              <w:tab w:val="right" w:leader="dot" w:pos="9016"/>
            </w:tabs>
            <w:rPr>
              <w:kern w:val="2"/>
              <w:lang w:val="en-IN" w:eastAsia="en-IN"/>
              <w14:ligatures w14:val="standardContextual"/>
              <w:color w:val="auto"/>
              <w:rFonts w:ascii="Calibri" w:eastAsiaTheme="minorEastAsia" w:hAnsiTheme="minorHAnsi"/>
              <w:szCs w:val="24"/>
            </w:rPr>
          </w:pPr>
          <w:hyperlink w:anchor="_Toc197967645" w:history="1">
            <w:r w:rsidRPr="005E5CBD">
              <w:rPr>
                <w:rStyle w:val="Hyperlink"/>
              </w:rPr>
              <w:t>Conclusion</w:t>
            </w:r>
            <w:r>
              <w:rPr>
                <w:webHidden/>
              </w:rPr>
              <w:tab/>
            </w:r>
            <w:r>
              <w:rPr>
                <w:webHidden/>
              </w:rPr>
              <w:fldChar w:fldCharType="begin"/>
            </w:r>
            <w:r>
              <w:rPr>
                <w:webHidden/>
              </w:rPr>
              <w:instrText xml:space="preserve"> PAGEREF _Toc197967645 \h </w:instrText>
            </w:r>
            <w:r>
              <w:rPr>
                <w:webHidden/>
              </w:rPr>
            </w:r>
            <w:r>
              <w:rPr>
                <w:webHidden/>
              </w:rPr>
              <w:fldChar w:fldCharType="separate"/>
            </w:r>
            <w:r>
              <w:rPr>
                <w:webHidden/>
              </w:rPr>
              <w:t>11</w:t>
            </w:r>
            <w:r>
              <w:rPr>
                <w:webHidden/>
              </w:rPr>
              <w:fldChar w:fldCharType="end"/>
            </w:r>
          </w:hyperlink>
        </w:p>
        <w:p w:rsidR="00BE4E4B" w:rsidRDefault="00BE4E4B" w14:paraId="0246C919" w14:textId="0F766FE2">
          <w:pPr>
            <w:pStyle w:val="TOC1"/>
            <w:tabs>
              <w:tab w:val="right" w:leader="dot" w:pos="9016"/>
            </w:tabs>
            <w:rPr>
              <w:kern w:val="2"/>
              <w:lang w:val="en-IN" w:eastAsia="en-IN"/>
              <w14:ligatures w14:val="standardContextual"/>
              <w:color w:val="auto"/>
              <w:rFonts w:ascii="Calibri" w:eastAsiaTheme="minorEastAsia" w:hAnsiTheme="minorHAnsi"/>
              <w:szCs w:val="24"/>
            </w:rPr>
          </w:pPr>
          <w:hyperlink w:anchor="_Toc197967646" w:history="1">
            <w:r w:rsidRPr="005E5CBD">
              <w:rPr>
                <w:rStyle w:val="Hyperlink"/>
              </w:rPr>
              <w:t>References</w:t>
            </w:r>
            <w:r>
              <w:rPr>
                <w:webHidden/>
              </w:rPr>
              <w:tab/>
            </w:r>
            <w:r>
              <w:rPr>
                <w:webHidden/>
              </w:rPr>
              <w:fldChar w:fldCharType="begin"/>
            </w:r>
            <w:r>
              <w:rPr>
                <w:webHidden/>
              </w:rPr>
              <w:instrText xml:space="preserve"> PAGEREF _Toc197967646 \h </w:instrText>
            </w:r>
            <w:r>
              <w:rPr>
                <w:webHidden/>
              </w:rPr>
            </w:r>
            <w:r>
              <w:rPr>
                <w:webHidden/>
              </w:rPr>
              <w:fldChar w:fldCharType="separate"/>
            </w:r>
            <w:r>
              <w:rPr>
                <w:webHidden/>
              </w:rPr>
              <w:t>12</w:t>
            </w:r>
            <w:r>
              <w:rPr>
                <w:webHidden/>
              </w:rPr>
              <w:fldChar w:fldCharType="end"/>
            </w:r>
          </w:hyperlink>
        </w:p>
        <w:p w:rsidR="001D56D6" w:rsidRDefault="001D56D6" w14:paraId="7F3D47DF" w14:textId="709D7FDF">
          <w:r w:rsidRPr="001D56D6">
            <w:rPr>
              <w:bCs/>
              <w:b/>
              <w:color w:val="auto"/>
              <w:rFonts w:cs="Times New Roman"/>
            </w:rPr>
            <w:fldChar w:fldCharType="end"/>
          </w:r>
        </w:p>
      </w:sdtContent>
    </w:sdt>
    <w:p w:rsidR="003652E5" w:rsidRDefault="003652E5" w14:paraId="1AA45A83" w14:textId="5617469C">
      <w:pPr>
        <w:spacing w:before="240" w:after="0"/>
        <w:rPr>
          <w:bCs/>
          <w:b/>
          <w:sz w:val="32"/>
          <w:szCs w:val="28"/>
        </w:rPr>
      </w:pPr>
      <w:r>
        <w:rPr>
          <w:b/>
          <w:sz w:val="32"/>
          <w:szCs w:val="28"/>
        </w:rPr>
        <w:br w:type="page"/>
      </w:r>
    </w:p>
    <w:p w:rsidR="00390BD1" w:rsidRDefault="003652E5" w14:paraId="55FCB8EB" w14:textId="14E8675C" w:rsidP="003652E5">
      <w:pPr>
        <w:pStyle w:val="Heading1"/>
      </w:pPr>
      <w:bookmarkStart w:id="0" w:name="_Toc197967634"/>
      <w:r>
        <w:t>Introduction</w:t>
        <w:lastRenderedPageBreak/>
      </w:r>
      <w:bookmarkEnd w:id="0"/>
      <w:r>
        <w:t xml:space="preserve"> </w:t>
      </w:r>
    </w:p>
    <w:p w:rsidR="00CD2EEB" w:rsidRDefault="00AE7C62" w14:paraId="5FBD913B" w14:textId="1CAAB5BF" w:rsidP="00CD2EEB">
      <w:r w:rsidRPr="00AE7C62">
        <w:t xml:space="preserve">In a more connected world, the hospitality and tourism sector is in the midst of a revolution at its core. Cultural sensitivity, diversity, and storytelling are becoming the cornerstones of guest experience and service innovation. It is here that the two-day symposium and exhibition event "Connected Cultures 2025: Celebrating Welsh Heritage Through Global Hospitality" is a timely and strategic move. This global festival will be hosted at The Eastside Rooms, Birmingham, a contemporary venue within a multicultural city </w:t>
      </w:r>
      <w:r w:rsidR="00BE4E4B">
        <w:t>centre</w:t>
      </w:r>
      <w:r w:rsidRPr="00AE7C62">
        <w:t xml:space="preserve">. Crafted to connect with Wales' "Year of Croeso" (the Year of Welcome), the festival showcases Welsh culture and hospitality principles at a global level, and there is a good chance to merge traditional heritage with the requirements of the contemporary hospitality industry. </w:t>
      </w:r>
    </w:p>
    <w:p w:rsidR="00DE2905" w:rsidRDefault="00DE2905" w14:paraId="6A5CF79A" w14:textId="77777777">
      <w:pPr>
        <w:spacing w:before="240" w:after="0"/>
      </w:pPr>
      <w:r>
        <w:br w:type="page"/>
      </w:r>
    </w:p>
    <w:p w:rsidR="00CD2EEB" w:rsidRDefault="00CD2EEB" w14:paraId="06797F3F" w14:textId="0E804829" w:rsidP="00DE2905">
      <w:pPr>
        <w:pStyle w:val="Heading1"/>
      </w:pPr>
      <w:bookmarkStart w:id="1" w:name="_Toc197967635"/>
      <w:r>
        <w:t>Event Overview</w:t>
        <w:lastRenderedPageBreak/>
      </w:r>
      <w:bookmarkEnd w:id="1"/>
    </w:p>
    <w:p w:rsidR="003E652A" w:rsidRDefault="003E652A" w14:paraId="6EEF10FC" w14:textId="3F43239D" w:rsidP="003E652A">
      <w:r w:rsidRPr="003E652A">
        <w:t xml:space="preserve">The conference is a hybrid forum of cultural performance and professional growth. The delegates </w:t>
      </w:r>
      <w:r w:rsidR="00BE4E4B">
        <w:t>over</w:t>
      </w:r>
      <w:r w:rsidRPr="003E652A">
        <w:t xml:space="preserve"> two days will experience a quality programme of keynote addresses from industry and cultural leaders, academic forums with a focus on hospitality, workshops on inclusivity and guest experience, and an active marketplace of Welsh cuisine, craft, and tradition. Aside from celebration, the occasion is a thought leadership event to encourage stakeholders in hospitality, education, and tourism to include genuine cultural identity within their product or service. In Birmingham, known for diversity, accessibility, and international popularity, the event site is perfect. It provides an entry point for Welsh tourism marketing messages to a multicultural audience and provides space for networking by the Welsh stakeholders </w:t>
      </w:r>
      <w:r w:rsidR="00BE4E4B">
        <w:t>who</w:t>
      </w:r>
      <w:r w:rsidRPr="003E652A">
        <w:t xml:space="preserve"> wish to grow influence beyond Wales. The structure focuses much on the significance of cultural exchange and has an open environment for interaction of cultures with the locals and international tourists (Young et al., 2025). </w:t>
      </w:r>
    </w:p>
    <w:p w:rsidR="00CD2EEB" w:rsidRDefault="00CD2EEB" w14:paraId="3B9AB13F" w14:textId="155B699B" w:rsidP="00DE2905">
      <w:pPr>
        <w:pStyle w:val="Heading1"/>
      </w:pPr>
      <w:bookmarkStart w:id="2" w:name="_Toc197967636"/>
      <w:r>
        <w:t>Alignment with the Year of Croeso</w:t>
      </w:r>
      <w:bookmarkEnd w:id="2"/>
    </w:p>
    <w:p w:rsidR="00080DD9" w:rsidRDefault="00080DD9" w14:paraId="50A24B26" w14:textId="0D91A731" w:rsidP="00080DD9">
      <w:r>
        <w:t xml:space="preserve">"Connected Cultures 2025" is an obvious match for the aims of the Year of Croeso, a Visit Wales initiative aimed at celebrating warmth, hospitality, and cultural inclusion in tourism in Wales. By placing Welsh culture at the heart of a multicultural UK city, the event reflects the campaign's aim of opening up Welsh values to a broader global market. From food to language to folk culture to storytelling, all aspects of the event are underpinned by testifying to Wales as a nation of true hospitality and profound culture. With this event, the welcomeness and hospitableness of Wales, personified by the nation itself, are promoted abroad. The attractiveness of "Connected Cultures 2025" rests in its capacity to introduce Welsh tradition, values, and history to an international marketplace. With a lively schedule of events, the festival </w:t>
      </w:r>
      <w:r w:rsidR="00BE4E4B">
        <w:t>honours</w:t>
      </w:r>
      <w:r>
        <w:t xml:space="preserve"> the country's rich cultural heritage in </w:t>
      </w:r>
      <w:r w:rsidR="00BE4E4B">
        <w:t xml:space="preserve">a </w:t>
      </w:r>
      <w:r>
        <w:t xml:space="preserve">participative but accessible form. Welsh cuisine, for example, provides the essential ingredient of showcasing local welcome, with an invitation to traditional </w:t>
      </w:r>
      <w:r w:rsidR="00BE4E4B">
        <w:t>favourites</w:t>
      </w:r>
      <w:r>
        <w:t xml:space="preserve"> like Welsh cakes, cawl, and bara brith</w:t>
      </w:r>
      <w:r w:rsidR="00BE4E4B">
        <w:t>,</w:t>
      </w:r>
      <w:r>
        <w:t xml:space="preserve"> whose </w:t>
      </w:r>
      <w:r w:rsidR="00BE4E4B">
        <w:t>flavour</w:t>
      </w:r>
      <w:r>
        <w:t xml:space="preserve"> is an inviting welcome to food culture in the area. Local food artisans and chefs are also provided a platform to bridge the history behind the dishes so that tourists can experience an interaction with the origins of Welsh food culture.</w:t>
      </w:r>
    </w:p>
    <w:p w:rsidR="00080DD9" w:rsidRDefault="00080DD9" w14:paraId="7D29D92D" w14:textId="77777777" w:rsidP="00080DD9">
      <w:r>
        <w:t xml:space="preserve">Linguistics is another significant theme of the event, wherein the poetry of the Welsh language is made available through interactive workshops, live performance, and oral storytelling. All </w:t>
      </w:r>
      <w:r>
        <w:t>participants are encouraged to pick up basic Welsh greetings and become invested in the language in a warm and informative manner. Such a focus not only celebrates linguistic diversity but also gives attention to maintaining and respecting mother tongues within a globalised society. Apart from this, the festival also highlights Wales' vibrant storytelling culture and folkloric heritage as fundamental components of the country's cultural heritage. Live music, dance, and spoken word become overwhelmingly potent means by which participants can sample values, histories, and myths developed in Wales for centuries. They aim to be educational and engaging as well, motivating their audiences to perceive Welsh culture as firmly anchored and simultaneously evolving in an iterative process (Yen et al., 2023). With the facilitation of cultural sharing, "Connected Cultures 2025" positions Wales globally as an exemplary nation of sincere hospitality and inclusivity.</w:t>
        <w:lastRenderedPageBreak/>
      </w:r>
    </w:p>
    <w:p w:rsidR="00080DD9" w:rsidRDefault="00080DD9" w14:paraId="67976671" w14:textId="62E8C949" w:rsidP="00080DD9" w:rsidRPr="00080DD9">
      <w:r>
        <w:t xml:space="preserve">It enables individuals from diverse backgrounds not just to look at but engage with Welsh cultural expression, dispelling barriers and creating mutual respect and understanding. Importantly, its global reach </w:t>
      </w:r>
      <w:r w:rsidR="00BE4E4B">
        <w:t>maximises</w:t>
      </w:r>
      <w:r>
        <w:t xml:space="preserve"> the international profile of Welsh culture while ensuring that its principles of welcome, community, and inclusiveness are shared far wider than its boundaries. Practically speaking, the event offers itself more as a celebration of togetherness rather than a cultural spectacle. Through food, language, music, and story, "Connected Cultures 2025" reiterates the message that Wales is a nation of genuine warmth and deep heritage, ideally reflecting the yearnings of the Year of Croeso and positioning itself on the globe's cultural map (Rhodes II and Hannum, 2024). </w:t>
      </w:r>
    </w:p>
    <w:p w:rsidR="00CD2EEB" w:rsidRDefault="00CD2EEB" w14:paraId="67C80F2C" w14:textId="77777777" w:rsidP="00794A8B">
      <w:pPr>
        <w:pStyle w:val="Heading1"/>
      </w:pPr>
      <w:bookmarkStart w:id="3" w:name="_Toc197967637"/>
      <w:r>
        <w:t>Focus Areas: Cultural Hospitality and Inclusivity</w:t>
      </w:r>
      <w:bookmarkEnd w:id="3"/>
    </w:p>
    <w:p w:rsidR="0054537D" w:rsidRDefault="0054537D" w14:paraId="5725C945" w14:textId="1363564E" w:rsidP="0054537D" w:rsidRPr="0054537D">
      <w:r w:rsidRPr="0054537D">
        <w:t>At its core is the focus sector of cultural hospitality</w:t>
      </w:r>
      <w:r w:rsidR="00BE4E4B">
        <w:t xml:space="preserve">, </w:t>
      </w:r>
      <w:r w:rsidRPr="0054537D">
        <w:t xml:space="preserve">a term coined to capture the intentional positioning of indigenous cultural identity into visitor and tourist service. With tourists in pursuit of authentic, place-based </w:t>
      </w:r>
      <w:r w:rsidR="00BE4E4B">
        <w:t>experiences</w:t>
      </w:r>
      <w:r w:rsidRPr="0054537D">
        <w:t xml:space="preserve">, the hospitality industry must distinguish itself </w:t>
      </w:r>
      <w:r w:rsidR="00BE4E4B">
        <w:t>based on</w:t>
      </w:r>
      <w:r w:rsidRPr="0054537D">
        <w:t xml:space="preserve"> regional and cultural identity. This conference will </w:t>
      </w:r>
      <w:r w:rsidR="00BE4E4B">
        <w:t>emphasise</w:t>
      </w:r>
      <w:r w:rsidRPr="0054537D">
        <w:t xml:space="preserve"> </w:t>
      </w:r>
      <w:r w:rsidR="00BE4E4B">
        <w:t>how</w:t>
      </w:r>
      <w:r w:rsidRPr="0054537D">
        <w:t xml:space="preserve"> Welsh hospitality industry</w:t>
      </w:r>
      <w:r w:rsidR="00BE4E4B">
        <w:t xml:space="preserve"> </w:t>
      </w:r>
      <w:r w:rsidRPr="0054537D">
        <w:t>hotels, guest houses, restaurants, and visitor attractions</w:t>
      </w:r>
      <w:r w:rsidR="00BE4E4B">
        <w:t xml:space="preserve"> </w:t>
      </w:r>
      <w:r w:rsidRPr="0054537D">
        <w:t xml:space="preserve">are using cultural aspects like bilingual signage, Welsh food, folklore narration, and place branding to the fullest extent in the tourism experience. Moreover, the symposium will cover inclusivity in guest services, i.e., how culturally appropriate experiences should be designed for diverse audiences. Through providing sessions on multilingual communication, religious accommodations, dining culture, and cross-cultural etiquette, the conference seeks to provide actionable steps and templates to participants. These practices can be implemented directly </w:t>
      </w:r>
      <w:r w:rsidR="00BE4E4B">
        <w:t>to increase</w:t>
      </w:r>
      <w:r w:rsidRPr="0054537D">
        <w:t xml:space="preserve"> guest satisfaction, </w:t>
      </w:r>
      <w:r w:rsidR="00BE4E4B">
        <w:t>enhance</w:t>
        <w:lastRenderedPageBreak/>
      </w:r>
      <w:r w:rsidRPr="0054537D">
        <w:t xml:space="preserve"> brand loyalty, and </w:t>
      </w:r>
      <w:r w:rsidR="00BE4E4B">
        <w:t>increase</w:t>
      </w:r>
      <w:r w:rsidRPr="0054537D">
        <w:t xml:space="preserve"> economic prosperity for those companies that focus on inclusive hospitality.</w:t>
      </w:r>
    </w:p>
    <w:p w:rsidR="00CD2EEB" w:rsidRDefault="00CD2EEB" w14:paraId="6DB30F14" w14:textId="77777777" w:rsidP="00794A8B">
      <w:pPr>
        <w:pStyle w:val="Heading1"/>
      </w:pPr>
      <w:bookmarkStart w:id="4" w:name="_Toc197967638"/>
      <w:r>
        <w:t>Event Structure and Programme Details</w:t>
      </w:r>
      <w:bookmarkEnd w:id="4"/>
    </w:p>
    <w:p w:rsidR="00CD2EEB" w:rsidRDefault="00CD2EEB" w14:paraId="4FF74ADE" w14:textId="77777777" w:rsidP="00CD2EEB">
      <w:r>
        <w:t>Day 1 of the event starts with an opening ceremony comprising keynote addresses from hospitality, cultural studies, and tourism marketing leaders. Academic panels will then take place, delving into the theory and practice of cultural tourism, with university researchers, policy-makers, and industry experts giving presentations. Daytime workshops will cover tried-and-tested tips on creating inclusive services, such as modifying menus to accommodate alternative diets or building multilingual welcome guides. This will be capped by a networking dinner featuring native Welsh food, music, and tales, creating a relaxed venue for the free flow of ideas and collaboration.</w:t>
      </w:r>
    </w:p>
    <w:p w:rsidR="00794A8B" w:rsidRDefault="00CD2EEB" w14:paraId="3875BD8A" w14:textId="2439F15A" w:rsidP="002558BB">
      <w:r>
        <w:t>Day 2 will commence with additional keynote addresses, such as case studies of boutique hotels and tourism businesses that have integrated cultural values within business models. Business panels will discuss market trends, customer expectations, and digital innovation in marketing heritage-based hospitality. The afternoon will feature more workshops on crafting experience-based itineraries and heritage branding. The event will close with a gala evening featuring live Welsh performances, folklore presentations, and immersive storytelling sessions. A digital showcase will also allow attendees to explore virtual heritage experiences using AR/VR technology</w:t>
      </w:r>
      <w:r w:rsidR="004D1534">
        <w:t xml:space="preserve"> (</w:t>
      </w:r>
      <w:r w:rsidR="004D1534" w:rsidRPr="00DB55B3">
        <w:t>Sánchez-Aguirre</w:t>
      </w:r>
      <w:r w:rsidR="004D1534">
        <w:t xml:space="preserve"> et al., 2025).</w:t>
      </w:r>
    </w:p>
    <w:p w:rsidR="00CD2EEB" w:rsidRDefault="00CD2EEB" w14:paraId="6CA1C66D" w14:textId="10F8EBAB" w:rsidP="00794A8B">
      <w:pPr>
        <w:pStyle w:val="Heading1"/>
      </w:pPr>
      <w:bookmarkStart w:id="5" w:name="_Toc197967639"/>
      <w:r>
        <w:t>Key Event Features</w:t>
      </w:r>
      <w:bookmarkEnd w:id="5"/>
    </w:p>
    <w:p w:rsidR="00CD2EEB" w:rsidRDefault="00CD2EEB" w14:paraId="41EEF4E1" w14:textId="7BD16740" w:rsidP="00CD2EEB">
      <w:r>
        <w:t xml:space="preserve">Among the highlights of the event is the Welsh Showcase—a specially commissioned exhibition area </w:t>
      </w:r>
      <w:r w:rsidR="00BE4E4B">
        <w:t>to showcase</w:t>
      </w:r>
      <w:r>
        <w:t xml:space="preserve"> the cultural treasures of Wales. This area will feature food tasting stalls for sampling traditional and contemporary Welsh fare, bilingual signage demonstrations to reinforce accessibility, and Welsh crafts, music, and heritage booths. Storytelling nooks and digital screens will acquaint visitors with Welsh legends and historical stories and </w:t>
      </w:r>
      <w:r w:rsidR="00AA7DC1">
        <w:t>emphasise</w:t>
      </w:r>
      <w:r>
        <w:t xml:space="preserve"> the way folklore contributes to cultural identity</w:t>
      </w:r>
      <w:r w:rsidR="00CF6106">
        <w:t xml:space="preserve"> (</w:t>
      </w:r>
      <w:r w:rsidR="00CF6106" w:rsidRPr="00F91222">
        <w:t>Xu,  Xia, and Fu, 2025</w:t>
      </w:r>
      <w:r w:rsidR="00CF6106">
        <w:t>)</w:t>
      </w:r>
      <w:r w:rsidR="00CF6106" w:rsidRPr="00F91222">
        <w:t xml:space="preserve">. </w:t>
      </w:r>
    </w:p>
    <w:p w:rsidR="00CD2EEB" w:rsidRDefault="00CD2EEB" w14:paraId="55726361" w14:textId="37C596BB" w:rsidP="00CD2EEB">
      <w:r>
        <w:t xml:space="preserve">The workshops are especially important, with hands-on instruction for hospitality industry practitioners. Some of the topics are "Designing for Diversity," "Integrating Bilingual Communication," "Cultural Branding for Independent Hotels," and "Immersive Tourism Using Digital Media." These workshop sessions will be conducted by specialists from academia, the </w:t>
      </w:r>
      <w:r>
        <w:t>private sector, and cultural institutions. Participants will take away actionable toolkits and templates that they can use in their environments.</w:t>
        <w:lastRenderedPageBreak/>
      </w:r>
      <w:r w:rsidR="00794A8B">
        <w:t xml:space="preserve"> </w:t>
      </w:r>
      <w:r>
        <w:t>Business panels will include hoteliers and tourism entrepreneurs in Wales who have successfully used cultural themes to develop creative and competitive service propositions. These sessions will not only offer business development and customer experience insights but also create opportunities for partnership and mentorship for young professionals and students</w:t>
      </w:r>
      <w:r w:rsidR="00AE31D1">
        <w:t xml:space="preserve"> (</w:t>
      </w:r>
      <w:r w:rsidR="00AE31D1" w:rsidRPr="00CF2C1D">
        <w:t>Pickel,</w:t>
      </w:r>
      <w:r w:rsidR="00AE31D1">
        <w:t xml:space="preserve"> </w:t>
      </w:r>
      <w:r w:rsidR="00AE31D1" w:rsidRPr="00CF2C1D">
        <w:t>2025</w:t>
      </w:r>
      <w:r w:rsidR="00AE31D1">
        <w:t>)</w:t>
      </w:r>
      <w:r w:rsidR="00AE31D1" w:rsidRPr="00CF2C1D">
        <w:t>. </w:t>
      </w:r>
    </w:p>
    <w:p w:rsidR="00CD2EEB" w:rsidRDefault="00CD2EEB" w14:paraId="6CE8F3EF" w14:textId="77777777" w:rsidP="00794A8B">
      <w:pPr>
        <w:pStyle w:val="Heading1"/>
      </w:pPr>
      <w:bookmarkStart w:id="6" w:name="_Toc197967640"/>
      <w:r>
        <w:t>Target Audience</w:t>
      </w:r>
      <w:bookmarkEnd w:id="6"/>
    </w:p>
    <w:p w:rsidR="00CD2EEB" w:rsidRDefault="00CD2EEB" w14:paraId="7249C48E" w14:textId="0B6CFF39" w:rsidP="00CD2EEB">
      <w:r>
        <w:t>The target audience for this event is wide but focused. The main attendees are hospitality and tourism industry professionals who wish to innovate their guest services, particularly those working in multicultural or heritage areas. The event also seeks to appeal to educators and students of hospitality management, specifically international students who bring international cultural insights to the industry. Attendees from local authorities, regional tourist boards, and Visit Wales will benefit from the event to inform policy and regional strategy.</w:t>
      </w:r>
      <w:r w:rsidR="00794A8B">
        <w:t xml:space="preserve"> </w:t>
      </w:r>
      <w:r>
        <w:t xml:space="preserve">Tour operators, cultural tourism advisors, marketing specialists, and hotel managers will be greatly served by the business panels and case studies. Scholars in hospitality, tourism, and cultural studies should contribute to and draw from the academic sessions. By convening a cross-section of the industry and higher education, the event promotes an </w:t>
      </w:r>
      <w:r w:rsidR="00794A8B">
        <w:t>energised</w:t>
      </w:r>
      <w:r>
        <w:t xml:space="preserve"> knowledge exchange to the benefit of all attendees</w:t>
      </w:r>
      <w:r w:rsidR="0087596F">
        <w:t xml:space="preserve"> (</w:t>
      </w:r>
      <w:r w:rsidR="0087596F" w:rsidRPr="00DB55B3">
        <w:t>Alshami, Bryant, and Toland,</w:t>
      </w:r>
      <w:r w:rsidR="0087596F">
        <w:t xml:space="preserve"> 2</w:t>
      </w:r>
      <w:r w:rsidR="0087596F" w:rsidRPr="00DB55B3">
        <w:t>025</w:t>
      </w:r>
      <w:r w:rsidR="0087596F">
        <w:t>)</w:t>
      </w:r>
      <w:r w:rsidR="0087596F" w:rsidRPr="00DB55B3">
        <w:t xml:space="preserve">. </w:t>
      </w:r>
    </w:p>
    <w:p w:rsidR="00CD2EEB" w:rsidRDefault="00CD2EEB" w14:paraId="79F8CF70" w14:textId="77777777" w:rsidP="00794A8B">
      <w:pPr>
        <w:pStyle w:val="Heading1"/>
      </w:pPr>
      <w:bookmarkStart w:id="7" w:name="_Toc197967641"/>
      <w:r>
        <w:t>Promotion and Outreach</w:t>
      </w:r>
      <w:bookmarkEnd w:id="7"/>
    </w:p>
    <w:p w:rsidR="00CD2EEB" w:rsidRDefault="00CD2EEB" w14:paraId="30FBC0E6" w14:textId="3F180D94" w:rsidP="00CD2EEB">
      <w:r>
        <w:t>There will be an exhaustive marketing campaign in the pre-event months. The event will be promoted through social media channels like LinkedIn, Instagram, and X (previously Twitter) with highlights from speakers, behind-the-scenes material, and cultural highlights to create interest. University partnerships and industry groups will be used to encourage registration within scholarly and professional circles. The website of the event will have a bilingual registration platform and interactive programme summary to appeal to a multicultural audience.</w:t>
      </w:r>
      <w:r w:rsidR="00794A8B">
        <w:t xml:space="preserve"> </w:t>
      </w:r>
      <w:r>
        <w:t>A robust public relations (PR) campaign will involve media announcements, podcast interviews with the speakers, and coverage in tourism trade publications. Visual materials like short videos and photo reels will be posted on YouTube and Instagram to visually depict the cultural richness and vibrancy of the event. Multilingual content will provide inclusiveness in marketing. Principal promotional messages will highlight the exclusive combination of culture and commerce, presenting the event as a celebration and professional development experience.</w:t>
      </w:r>
    </w:p>
    <w:p w:rsidR="00CD2EEB" w:rsidRDefault="00CD2EEB" w14:paraId="14997768" w14:textId="77777777" w:rsidP="00794A8B">
      <w:pPr>
        <w:pStyle w:val="Heading1"/>
      </w:pPr>
      <w:bookmarkStart w:id="8" w:name="_Toc197967642"/>
      <w:r>
        <w:t>Strategic Partnerships</w:t>
        <w:lastRenderedPageBreak/>
      </w:r>
      <w:bookmarkEnd w:id="8"/>
    </w:p>
    <w:p w:rsidR="00D209FA" w:rsidRDefault="00D209FA" w14:paraId="7753FAB0" w14:textId="0B424010" w:rsidP="00D209FA">
      <w:r>
        <w:t xml:space="preserve">For authenticity and accessibility to be ensured, the event shall be supplemented with sponsorship from various stakeholders. Sponsorship and content partnership will also come from Visit Wales. The academic panels and research dissemination shall be sponsored by Cardiff Metropolitan University, University College Birmingham, and Swansea University. Logistical support and promotion will also be provided by local councils for Birmingham and Welsh cities. Boutique hotels, cultural tourism businesses, and Welsh artisan brands will be contacted to sponsor or exhibit at the event as a demonstration of their support for cultural sustainability. Other strategic partners are cultural associations such as the Office of the Welsh Language Commissioner and Cymdeithas yr Iaith Gymraeg, which can provide cultural skills and language integration support. Aside from Visit Wales, intellectual and educational inputs to the event will also be provided by some of the best academies. Cardiff Metropolitan University, University College Birmingham, and Swansea University will take care of hosting academic panels as well as research dissemination. These institutions will provide a stage for reflective debate of </w:t>
      </w:r>
      <w:r w:rsidR="00184C33">
        <w:t xml:space="preserve">the </w:t>
      </w:r>
      <w:r>
        <w:t xml:space="preserve">Welsh language, heritage, and culture so that the event is not just an experiential one but also a learning and sharing one. Their presence will highlight the relevance of education in cultural preservation and integration (Shrestha et al., 2025). The local governments of Birmingham and other Welsh city </w:t>
      </w:r>
      <w:r w:rsidR="00184C33">
        <w:t>centres</w:t>
      </w:r>
      <w:r>
        <w:t xml:space="preserve"> will provide logistical and promotional assistance.</w:t>
      </w:r>
    </w:p>
    <w:p w:rsidR="00D209FA" w:rsidRDefault="00D209FA" w14:paraId="60F410A0" w14:textId="7514557F" w:rsidP="00D209FA" w:rsidRPr="00D209FA">
      <w:r>
        <w:t xml:space="preserve">There will be councils established to assist with event planning logistics, ensuring effective event flow while being actively involved in marketing the event to their respective areas. Their involvement is critical in linking the event with residential communities, hence increased access and interest by residents and tourists. The event will also be assisted by local institutions with an interest in marketing Welsh culture and maintaining cultural continuity. Boutique hotels, cultural tourism businesses, and Welsh craft brands will be invited to sponsor or exhibit at the event. Engaging will not only demonstrate their commitment to the promotion and preservation of Welsh heritage but also provide visitors with a genuine, locally </w:t>
      </w:r>
      <w:r w:rsidR="00BE4E4B">
        <w:t>centred</w:t>
      </w:r>
      <w:r>
        <w:t xml:space="preserve"> experience. This collaboration is an indication of the broader trend toward sustainability throughout the tourism sector since Welsh culture is now being marketed for the host economy as well as the global audience (Pandi, Spanaki, and Watson, 2020). Further enrichments to the event's cultural outlook will also be embodied in institutions like those of the Welsh Language Commissioner's Office and the Cymdeithas yr Iaith Gymraeg, presenting important </w:t>
      </w:r>
      <w:r w:rsidR="00184C33">
        <w:t>resources</w:t>
      </w:r>
      <w:r>
        <w:t xml:space="preserve"> </w:t>
      </w:r>
      <w:r>
        <w:t>on the matter of language inclusion. These institutions of culture will provide advisory services on promoting the Welsh language and provide educational material that will encourage participants to engage meaningfully with the language. Their support will be vital to the veracity of the event to Welsh cultural heritage, and emphasising the relevance of the Welsh language in the context of cultural identity and access. Through these partnerships, Connected Cultures 2025 will offer a tangible, inclusive, and enriching experience that offers the depth of Welsh culture to the world (Aljanova, Shakti, and Bokebayev, 2025).</w:t>
        <w:lastRenderedPageBreak/>
      </w:r>
    </w:p>
    <w:p w:rsidR="00CD2EEB" w:rsidRDefault="00CD2EEB" w14:paraId="1A7DA8A5" w14:textId="77777777" w:rsidP="00794A8B">
      <w:pPr>
        <w:pStyle w:val="Heading1"/>
      </w:pPr>
      <w:bookmarkStart w:id="9" w:name="_Toc197967643"/>
      <w:r>
        <w:t>Expected Outcomes</w:t>
      </w:r>
      <w:bookmarkEnd w:id="9"/>
    </w:p>
    <w:p w:rsidR="00CD2EEB" w:rsidRDefault="00CD2EEB" w14:paraId="5956214A" w14:textId="0A9B5215" w:rsidP="00CD2EEB">
      <w:r>
        <w:t>The overall goal of the event is to raise awareness of Welsh cultural tourism outside Wales. Through the delivery of an inspiring celebration of Welsh heritage in Birmingham, the event seeks to alter attitudes and enhance visibility for Wales as a culturally diverse destination. A major output will be the sharing of best practice in the embedding of cultural identity within hospitality provision, assisting providers throughout the UK to create more authentic and distinctive guest experiences.</w:t>
      </w:r>
      <w:r w:rsidR="00BA176D">
        <w:t xml:space="preserve"> </w:t>
      </w:r>
      <w:r>
        <w:t xml:space="preserve">Another key outcome is professional networking. By convening stakeholders from Wales and Birmingham in one setting, the event will </w:t>
      </w:r>
      <w:r w:rsidR="00AA7DC1">
        <w:t>catalyse</w:t>
      </w:r>
      <w:r>
        <w:t xml:space="preserve"> cross-regional collaboration that can propel future tourism development, co-branded marketing, and exchange schemes. Academic research papers and case studies presented during the event will be edited into a post-event publication so that the knowledge shared has long-term access.</w:t>
      </w:r>
      <w:r w:rsidR="00BA176D">
        <w:t xml:space="preserve"> </w:t>
      </w:r>
      <w:r>
        <w:t>The conference will also drive innovation among hospitality professionals. From branding and signage to menu creation and guest interaction, participants will depart with tangible ideas and tools to implement in their businesses. For students and young professionals, the conference offers career development opportunities, mentorship, and access to best practices in cultural hospitality</w:t>
      </w:r>
      <w:r w:rsidR="00546199">
        <w:t xml:space="preserve"> (</w:t>
      </w:r>
      <w:r w:rsidR="00546199" w:rsidRPr="00812FF0">
        <w:t>Evans and Williams,</w:t>
      </w:r>
      <w:r w:rsidR="00546199">
        <w:t xml:space="preserve"> </w:t>
      </w:r>
      <w:r w:rsidR="00546199" w:rsidRPr="00812FF0">
        <w:t>2024</w:t>
      </w:r>
      <w:r w:rsidR="00546199">
        <w:t>)</w:t>
      </w:r>
      <w:r w:rsidR="00546199" w:rsidRPr="00812FF0">
        <w:t>. </w:t>
      </w:r>
    </w:p>
    <w:p w:rsidR="002558BB" w:rsidRDefault="002558BB" w14:paraId="438D89A7" w14:textId="77777777">
      <w:pPr>
        <w:spacing w:before="240" w:after="0"/>
        <w:rPr>
          <w:b/>
          <w:rFonts w:eastAsiaTheme="majorEastAsia" w:cstheme="majorBidi"/>
          <w:sz w:val="40"/>
          <w:szCs w:val="32"/>
        </w:rPr>
      </w:pPr>
      <w:r>
        <w:br w:type="page"/>
      </w:r>
    </w:p>
    <w:p w:rsidR="00CD2EEB" w:rsidRDefault="00CD2EEB" w14:paraId="7579FC6E" w14:textId="090FF097" w:rsidP="00BA176D">
      <w:pPr>
        <w:pStyle w:val="Heading1"/>
      </w:pPr>
      <w:bookmarkStart w:id="10" w:name="_Toc197967644"/>
      <w:r>
        <w:t>Monitoring and Evaluation</w:t>
        <w:lastRenderedPageBreak/>
      </w:r>
      <w:bookmarkEnd w:id="10"/>
    </w:p>
    <w:p w:rsidR="00CD2EEB" w:rsidRDefault="00CD2EEB" w14:paraId="24F88586" w14:textId="16FFB2A6" w:rsidP="00CD2EEB">
      <w:r>
        <w:t>To guarantee the event's effect and influence, a strong monitoring and evaluation plan will be put in place. The most important performance indicators (</w:t>
      </w:r>
      <w:r w:rsidR="00AA7DC1">
        <w:t>KPIS</w:t>
      </w:r>
      <w:r>
        <w:t>) are:</w:t>
      </w:r>
    </w:p>
    <w:p w:rsidR="00CD2EEB" w:rsidRDefault="00CD2EEB" w14:paraId="136F5D81" w14:textId="10275A44" w:rsidP="00BA176D">
      <w:pPr>
        <w:pStyle w:val="ListParagraph"/>
        <w:numPr>
          <w:ilvl w:val="0"/>
          <w:numId w:val="2"/>
        </w:numPr>
      </w:pPr>
      <w:r>
        <w:t>Number and variety of participants</w:t>
      </w:r>
    </w:p>
    <w:p w:rsidR="00CD2EEB" w:rsidRDefault="00CD2EEB" w14:paraId="14170781" w14:textId="6433F9BB" w:rsidP="00BA176D">
      <w:pPr>
        <w:pStyle w:val="ListParagraph"/>
        <w:numPr>
          <w:ilvl w:val="0"/>
          <w:numId w:val="2"/>
        </w:numPr>
      </w:pPr>
      <w:r>
        <w:t>Reach and engagement of social media</w:t>
      </w:r>
    </w:p>
    <w:p w:rsidR="00CD2EEB" w:rsidRDefault="00CD2EEB" w14:paraId="38262B84" w14:textId="29A124FB" w:rsidP="00BA176D">
      <w:pPr>
        <w:pStyle w:val="ListParagraph"/>
        <w:numPr>
          <w:ilvl w:val="0"/>
          <w:numId w:val="2"/>
        </w:numPr>
      </w:pPr>
      <w:r>
        <w:t>Number of papers and case studies presented</w:t>
      </w:r>
    </w:p>
    <w:p w:rsidR="00CD2EEB" w:rsidRDefault="00CD2EEB" w14:paraId="271B37FD" w14:textId="486F62A7" w:rsidP="00BA176D">
      <w:pPr>
        <w:pStyle w:val="ListParagraph"/>
        <w:numPr>
          <w:ilvl w:val="0"/>
          <w:numId w:val="2"/>
        </w:numPr>
      </w:pPr>
      <w:r>
        <w:t>Workshop and session participant feedback scores</w:t>
      </w:r>
    </w:p>
    <w:p w:rsidR="00CD2EEB" w:rsidRDefault="00CD2EEB" w14:paraId="57834014" w14:textId="4F400638" w:rsidP="00BA176D">
      <w:pPr>
        <w:pStyle w:val="ListParagraph"/>
        <w:numPr>
          <w:ilvl w:val="0"/>
          <w:numId w:val="2"/>
        </w:numPr>
      </w:pPr>
      <w:r>
        <w:t>Ideas and practices adoption post-event by hospitality companies</w:t>
      </w:r>
    </w:p>
    <w:p w:rsidR="00CD2EEB" w:rsidRDefault="00CD2EEB" w14:paraId="2ACDFF03" w14:textId="30F38F04" w:rsidP="00BA176D">
      <w:pPr>
        <w:pStyle w:val="ListParagraph"/>
        <w:numPr>
          <w:ilvl w:val="0"/>
          <w:numId w:val="2"/>
        </w:numPr>
      </w:pPr>
      <w:r>
        <w:t>Media pickup and press coverage</w:t>
      </w:r>
    </w:p>
    <w:p w:rsidR="00CD2EEB" w:rsidRDefault="00CD2EEB" w14:paraId="3BBCD28F" w14:textId="601E094A" w:rsidP="00CD2EEB">
      <w:r>
        <w:t xml:space="preserve">Surveys of feedback will be given daily </w:t>
      </w:r>
      <w:r w:rsidR="00BE4E4B">
        <w:t>after</w:t>
      </w:r>
      <w:r>
        <w:t xml:space="preserve"> each day to enable real-time improvement and adjustment. There will be a survey three months post-event that will evaluate the implementation of ideas and strategies debated at the symposium. These points of data will be the foundation of a detailed impact report to be given to stakeholders and funders</w:t>
      </w:r>
      <w:r w:rsidR="00546199">
        <w:t xml:space="preserve"> (</w:t>
      </w:r>
      <w:r w:rsidR="00546199" w:rsidRPr="00AC5B63">
        <w:t>Neelands</w:t>
      </w:r>
      <w:r w:rsidR="00546199">
        <w:t xml:space="preserve"> et al., 2022). </w:t>
      </w:r>
    </w:p>
    <w:p w:rsidR="00CD2EEB" w:rsidRDefault="00CD2EEB" w14:paraId="55E681D4" w14:textId="77777777" w:rsidP="00CD2EEB"/>
    <w:p w:rsidR="002558BB" w:rsidRDefault="002558BB" w14:paraId="549692D9" w14:textId="77777777">
      <w:pPr>
        <w:spacing w:before="240" w:after="0"/>
        <w:rPr>
          <w:b/>
          <w:rFonts w:eastAsiaTheme="majorEastAsia" w:cstheme="majorBidi"/>
          <w:sz w:val="40"/>
          <w:szCs w:val="32"/>
        </w:rPr>
      </w:pPr>
      <w:r>
        <w:br w:type="page"/>
      </w:r>
    </w:p>
    <w:p w:rsidR="00CD2EEB" w:rsidRDefault="00CD2EEB" w14:paraId="070F7F9B" w14:textId="27E6995F" w:rsidP="00BA176D">
      <w:pPr>
        <w:pStyle w:val="Heading1"/>
      </w:pPr>
      <w:bookmarkStart w:id="11" w:name="_Toc197967645"/>
      <w:r>
        <w:t>Conclusion</w:t>
        <w:lastRenderedPageBreak/>
      </w:r>
      <w:bookmarkEnd w:id="11"/>
    </w:p>
    <w:p w:rsidR="002558BB" w:rsidRDefault="00BA176D" w14:paraId="03F5EF11" w14:textId="6FB0720D" w:rsidP="00CD2EEB">
      <w:r>
        <w:t xml:space="preserve">To </w:t>
      </w:r>
      <w:r w:rsidR="00D551FB">
        <w:t>conclude</w:t>
      </w:r>
      <w:r>
        <w:t xml:space="preserve">, </w:t>
      </w:r>
      <w:r w:rsidR="00CD2EEB">
        <w:t>"Connected Cultures 2025: Celebrating Welsh Heritage Through Global Hospitality" is a bold and ambitious move to rethink hospitality in terms of cultural authenticity, inclusivity, and narrative. In building on Welsh heritage and global hospitality innovation, the conference aims towards a more culturally aware and economically thriving tourism sector. It shares the values of Croeso—welcome, warmth, and community—on the global stage, while providing actionable tools, frameworks, and networking opportunities for professionals to bring with them. Against the vibrant multiculturalism of Birmingham, the event provides room for genuine conversation, encouraging hospitality providers to respect the past while innovating for the future. As visitors depart with fresh ideas and connections, the essence of Welsh hospitality will live on far beyond the event spaces, infused in every localised, culture-rich experience they go on to deliver.</w:t>
      </w:r>
    </w:p>
    <w:p w:rsidR="002558BB" w:rsidRDefault="002558BB" w14:paraId="5F144F83" w14:textId="77777777">
      <w:pPr>
        <w:spacing w:before="240" w:after="0"/>
      </w:pPr>
      <w:r>
        <w:br w:type="page"/>
      </w:r>
    </w:p>
    <w:p w:rsidR="00506B1D" w:rsidRDefault="002558BB" w14:paraId="3AD7464B" w14:textId="16606CD1" w:rsidP="002558BB">
      <w:pPr>
        <w:pStyle w:val="Heading1"/>
      </w:pPr>
      <w:bookmarkStart w:id="12" w:name="_Toc197967646"/>
      <w:r>
        <w:t>References</w:t>
        <w:lastRenderedPageBreak/>
      </w:r>
      <w:bookmarkEnd w:id="12"/>
      <w:r>
        <w:t xml:space="preserve"> </w:t>
      </w:r>
    </w:p>
    <w:p w:rsidR="00F91222" w:rsidRDefault="00F91222" w14:paraId="7004E2F5" w14:textId="6B713A1A" w:rsidP="00F91222" w:rsidRPr="00812FF0">
      <w:r w:rsidRPr="00F91222">
        <w:t xml:space="preserve">Aljanova, N., Shakti, S. and Bokebayev, N., </w:t>
      </w:r>
      <w:r w:rsidR="00261B3E">
        <w:t>(</w:t>
      </w:r>
      <w:r w:rsidRPr="00F91222">
        <w:t>2025</w:t>
      </w:r>
      <w:r w:rsidR="00261B3E">
        <w:t>)</w:t>
      </w:r>
      <w:r w:rsidRPr="00F91222">
        <w:t>. Leveraging the shift in the geocultural landscape towards internationalizing cultural entrepreneurship. </w:t>
      </w:r>
      <w:r w:rsidRPr="00F91222">
        <w:rPr>
          <w:iCs/>
          <w:i/>
        </w:rPr>
        <w:t>FIIB Business Review</w:t>
      </w:r>
      <w:r w:rsidRPr="00F91222">
        <w:t>, p.23197145251313833.</w:t>
      </w:r>
    </w:p>
    <w:p w:rsidR="00F91222" w:rsidRDefault="00F91222" w14:paraId="0683D3D5" w14:textId="298CC93F" w:rsidP="00F91222">
      <w:r w:rsidRPr="00DB55B3">
        <w:t xml:space="preserve">Alshami, A., Bryant, M. and Toland, A., </w:t>
      </w:r>
      <w:r w:rsidR="00261B3E">
        <w:t>(</w:t>
      </w:r>
      <w:r w:rsidRPr="00DB55B3">
        <w:t>2025</w:t>
      </w:r>
      <w:r w:rsidR="00261B3E">
        <w:t>)</w:t>
      </w:r>
      <w:r w:rsidRPr="00DB55B3">
        <w:t>. A hima traditional ecological knowledge perspective of the sustainability goals in AlUla’s journey through time masterplan. </w:t>
      </w:r>
      <w:r w:rsidRPr="00F91222">
        <w:rPr>
          <w:iCs/>
          <w:i/>
        </w:rPr>
        <w:t>Urban Studies</w:t>
      </w:r>
      <w:r w:rsidRPr="00DB55B3">
        <w:t>, p.00420980241301656.</w:t>
      </w:r>
    </w:p>
    <w:p w:rsidR="00F91222" w:rsidRDefault="00F91222" w14:paraId="0A624B8E" w14:textId="45D0BF67" w:rsidP="00F91222">
      <w:r w:rsidRPr="00812FF0">
        <w:t xml:space="preserve">Evans, N. and Williams, C., </w:t>
      </w:r>
      <w:r w:rsidR="00261B3E">
        <w:t>(</w:t>
      </w:r>
      <w:r w:rsidRPr="00812FF0">
        <w:t>2024</w:t>
      </w:r>
      <w:r w:rsidR="00261B3E">
        <w:t>)</w:t>
      </w:r>
      <w:r w:rsidRPr="00812FF0">
        <w:t>. </w:t>
      </w:r>
      <w:r w:rsidRPr="00F91222">
        <w:rPr>
          <w:iCs/>
          <w:i/>
        </w:rPr>
        <w:t>Globalising Welsh Studies: Decolonising history, heritage, society and culture</w:t>
      </w:r>
      <w:r w:rsidRPr="00812FF0">
        <w:t> (p. 336). University of Wales Press.</w:t>
      </w:r>
    </w:p>
    <w:p w:rsidR="00F91222" w:rsidRDefault="00F91222" w14:paraId="77F92A66" w14:textId="13814FA8" w:rsidP="00F91222">
      <w:r w:rsidRPr="00AC5B63">
        <w:t xml:space="preserve">Neelands, J., Hodgson, J., Scott, M., Kaszynska, P. and Dixon, A., </w:t>
      </w:r>
      <w:r w:rsidR="00261B3E">
        <w:t>(</w:t>
      </w:r>
      <w:r w:rsidRPr="00AC5B63">
        <w:t>2022</w:t>
      </w:r>
      <w:r w:rsidR="00261B3E">
        <w:t>)</w:t>
      </w:r>
      <w:r w:rsidRPr="00AC5B63">
        <w:t>. The Warwick UK Cities of Culture project: Towards a research-informed approach.</w:t>
      </w:r>
    </w:p>
    <w:p w:rsidR="00F91222" w:rsidRDefault="00F91222" w14:paraId="2CDC8484" w14:textId="4F7E3997" w:rsidP="00F91222">
      <w:r w:rsidRPr="00F57B9A">
        <w:t xml:space="preserve">Pandi, S., Spanaki, M.Z. and Watson, D., </w:t>
      </w:r>
      <w:r w:rsidR="00261B3E">
        <w:t>(</w:t>
      </w:r>
      <w:r w:rsidRPr="00F57B9A">
        <w:t>2020</w:t>
      </w:r>
      <w:r w:rsidR="00261B3E">
        <w:t>)</w:t>
      </w:r>
      <w:r w:rsidRPr="00F57B9A">
        <w:t>. Assessing food safety culture in the UK Food and Beverages sector in the Hotel Industry.</w:t>
      </w:r>
    </w:p>
    <w:p w:rsidR="00F91222" w:rsidRDefault="00F91222" w14:paraId="22D4805D" w14:textId="5AB2E437" w:rsidP="00F91222">
      <w:r w:rsidRPr="00CF2C1D">
        <w:t xml:space="preserve">Pickel, M.L., </w:t>
      </w:r>
      <w:r w:rsidR="00261B3E">
        <w:t>(</w:t>
      </w:r>
      <w:r w:rsidRPr="00CF2C1D">
        <w:t>2025</w:t>
      </w:r>
      <w:r w:rsidR="00261B3E">
        <w:t>)</w:t>
      </w:r>
      <w:r w:rsidRPr="00CF2C1D">
        <w:t>. </w:t>
      </w:r>
      <w:r w:rsidRPr="00F91222">
        <w:rPr>
          <w:iCs/>
          <w:i/>
        </w:rPr>
        <w:t>Cultural Heritage Tourism Leadership: Perspectives on Human Dignity</w:t>
      </w:r>
      <w:r w:rsidRPr="00CF2C1D">
        <w:t>. Taylor &amp; Francis.</w:t>
      </w:r>
    </w:p>
    <w:p w:rsidR="00F91222" w:rsidRDefault="00F91222" w14:paraId="4D4D4368" w14:textId="7BE57C78" w:rsidP="00F91222">
      <w:r w:rsidRPr="00F57B9A">
        <w:t xml:space="preserve">Rhodes II, M.A. and Hannum, K.L., </w:t>
      </w:r>
      <w:r w:rsidR="00261B3E">
        <w:t>(</w:t>
      </w:r>
      <w:r w:rsidRPr="00F57B9A">
        <w:t>2024</w:t>
      </w:r>
      <w:r w:rsidR="00261B3E">
        <w:t>)</w:t>
      </w:r>
      <w:r w:rsidRPr="00F57B9A">
        <w:t>. UNESCO, mining heritage and the scalar sustainability of tourism geographies at industrial World Heritage Sites. </w:t>
      </w:r>
      <w:r w:rsidRPr="00F91222">
        <w:rPr>
          <w:iCs/>
          <w:i/>
        </w:rPr>
        <w:t>Journal of Tourism Futures</w:t>
      </w:r>
      <w:r w:rsidRPr="00F57B9A">
        <w:t>.</w:t>
      </w:r>
    </w:p>
    <w:p w:rsidR="00F91222" w:rsidRDefault="00F91222" w14:paraId="281FBB88" w14:textId="469CAC87" w:rsidP="00F91222">
      <w:r w:rsidRPr="00DB55B3">
        <w:t xml:space="preserve">Sánchez-Aguirre, D.P., Alvarado-Sizzo, I. and Moury-Fernandes, B.G., </w:t>
      </w:r>
      <w:r w:rsidR="00261B3E">
        <w:t>(</w:t>
      </w:r>
      <w:r w:rsidRPr="00DB55B3">
        <w:t>2025</w:t>
      </w:r>
      <w:r w:rsidR="00261B3E">
        <w:t>)</w:t>
      </w:r>
      <w:r w:rsidRPr="00DB55B3">
        <w:t>. Intangible cultural heritage versus tourism: residents’ reactions to temporal overtourism during the Day of the Dead in Mixquic, Mexico. </w:t>
      </w:r>
      <w:r w:rsidRPr="00F91222">
        <w:rPr>
          <w:iCs/>
          <w:i/>
        </w:rPr>
        <w:t>Journal of Heritage Tourism</w:t>
      </w:r>
      <w:r w:rsidRPr="00DB55B3">
        <w:t>, </w:t>
      </w:r>
      <w:r w:rsidRPr="00F91222">
        <w:rPr>
          <w:iCs/>
          <w:i/>
        </w:rPr>
        <w:t>20</w:t>
      </w:r>
      <w:r w:rsidRPr="00DB55B3">
        <w:t>(2), pp.235-259.</w:t>
      </w:r>
    </w:p>
    <w:p w:rsidR="00F91222" w:rsidRDefault="00F91222" w14:paraId="646A2692" w14:textId="5085D020" w:rsidP="00F91222">
      <w:r w:rsidRPr="00F91222">
        <w:t xml:space="preserve">Shrestha, R.K., L’Espoir Decosta, J.P. and Whitford, M., </w:t>
      </w:r>
      <w:r w:rsidR="00261B3E">
        <w:t>(</w:t>
      </w:r>
      <w:r w:rsidRPr="00F91222">
        <w:t>2025</w:t>
      </w:r>
      <w:r w:rsidR="00261B3E">
        <w:t>)</w:t>
      </w:r>
      <w:r w:rsidRPr="00F91222">
        <w:t>. Indigenous knowledge systems and socio-cultural values for sustainable tourism development: insights from Indigenous Newars of Nepal. </w:t>
      </w:r>
      <w:r w:rsidRPr="00F91222">
        <w:rPr>
          <w:iCs/>
          <w:i/>
        </w:rPr>
        <w:t>Journal of Sustainable Tourism</w:t>
      </w:r>
      <w:r w:rsidRPr="00F91222">
        <w:t>, </w:t>
      </w:r>
      <w:r w:rsidRPr="00F91222">
        <w:rPr>
          <w:iCs/>
          <w:i/>
        </w:rPr>
        <w:t>33</w:t>
      </w:r>
      <w:r w:rsidRPr="00F91222">
        <w:t>(1), pp.143-167.</w:t>
      </w:r>
    </w:p>
    <w:p w:rsidR="00F91222" w:rsidRDefault="00F91222" w14:paraId="5756AAE5" w14:textId="4297888D" w:rsidP="00F91222">
      <w:r w:rsidRPr="00F91222">
        <w:t xml:space="preserve">Xu, Y., Xia, F. and Fu, X., </w:t>
      </w:r>
      <w:r w:rsidR="00261B3E">
        <w:t>(</w:t>
      </w:r>
      <w:r w:rsidRPr="00F91222">
        <w:t>2025</w:t>
      </w:r>
      <w:r w:rsidR="00261B3E">
        <w:t>)</w:t>
      </w:r>
      <w:r w:rsidRPr="00F91222">
        <w:t>. The mechanism of stimulating resident tourists’ place attachment via festivals. </w:t>
      </w:r>
      <w:r w:rsidRPr="00F91222">
        <w:rPr>
          <w:iCs/>
          <w:i/>
        </w:rPr>
        <w:t>Journal of China Tourism Research</w:t>
      </w:r>
      <w:r w:rsidRPr="00F91222">
        <w:t>, </w:t>
      </w:r>
      <w:r w:rsidRPr="00F91222">
        <w:rPr>
          <w:iCs/>
          <w:i/>
        </w:rPr>
        <w:t>21</w:t>
      </w:r>
      <w:r w:rsidRPr="00F91222">
        <w:t>(1), pp.214-235.</w:t>
      </w:r>
    </w:p>
    <w:p w:rsidR="00F91222" w:rsidRDefault="00F91222" w14:paraId="32E6F6B3" w14:textId="1F50ADEA" w:rsidP="00F91222">
      <w:r w:rsidRPr="00AC5B63">
        <w:t xml:space="preserve">Yen, D., Jang, J., Wei, L., Morgan, N. and Pritchard, A., </w:t>
        <w:lastRenderedPageBreak/>
      </w:r>
      <w:r w:rsidR="00261B3E">
        <w:t>(</w:t>
      </w:r>
      <w:r w:rsidRPr="00AC5B63">
        <w:t>2023</w:t>
      </w:r>
      <w:r w:rsidR="00261B3E">
        <w:t>)</w:t>
      </w:r>
      <w:r w:rsidRPr="00AC5B63">
        <w:t>. Leveraging folklore and fantasy to promote small destinations: the case of Visit Wales. </w:t>
      </w:r>
      <w:r w:rsidRPr="00F91222">
        <w:rPr>
          <w:iCs/>
          <w:i/>
        </w:rPr>
        <w:t>Journal of policy research in tourism, leisure and events</w:t>
      </w:r>
      <w:r w:rsidRPr="00AC5B63">
        <w:t>, pp.1-15.</w:t>
      </w:r>
    </w:p>
    <w:p w:rsidR="00F91222" w:rsidRDefault="00F91222" w14:paraId="6192ECE5" w14:textId="4C2989A4" w:rsidP="00F91222">
      <w:r w:rsidRPr="00AC5B63">
        <w:t xml:space="preserve">Young, E.M., Griffith, G.H., Evans, M. and Jones, S.A., </w:t>
      </w:r>
      <w:r w:rsidR="00261B3E">
        <w:t>(</w:t>
      </w:r>
      <w:r w:rsidRPr="00AC5B63">
        <w:t>2025</w:t>
      </w:r>
      <w:r w:rsidR="00261B3E">
        <w:t>)</w:t>
      </w:r>
      <w:r w:rsidRPr="00AC5B63">
        <w:t>. The Routledge Companion to Intangible Cultural Heritage.</w:t>
      </w:r>
    </w:p>
    <w:p w:rsidR="004444DA" w:rsidRDefault="004444DA" w14:paraId="61727AA3" w14:textId="77777777" w:rsidP="004444DA" w:rsidRPr="004444DA"/>
    <w:sectPr w:rsidR="004444DA" w:rsidRPr="004444DA">
      <w:docGrid w:linePitch="360"/>
      <w:footerReference r:id="rId9"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69E050" w14:textId="77777777" w:rsidR="0061308B" w:rsidRDefault="0061308B" w:rsidP="002558BB">
      <w:pPr>
        <w:spacing w:after="0" w:line="240" w:lineRule="auto"/>
      </w:pPr>
      <w:r>
        <w:separator/>
      </w:r>
    </w:p>
  </w:endnote>
  <w:endnote w:type="continuationSeparator" w:id="0">
    <w:p w14:paraId="13BAA6D4" w14:textId="77777777" w:rsidR="0061308B" w:rsidRDefault="0061308B" w:rsidP="002558BB">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215852310"/>
      <w:docPartObj>
        <w:docPartGallery w:val="Page Numbers (Bottom of Page)"/>
        <w:docPartUnique/>
      </w:docPartObj>
    </w:sdtPr>
    <w:sdtEndPr>
      <w:rPr>
        <w:noProof/>
      </w:rPr>
    </w:sdtEndPr>
    <w:sdtContent>
      <w:p w14:paraId="62109124" w14:textId="539207A6" w:rsidR="002558BB" w:rsidRDefault="002558BB">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0B4CDA28" w14:textId="77777777" w:rsidR="002558BB" w:rsidRDefault="002558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AC679" w14:textId="77777777" w:rsidR="0061308B" w:rsidRDefault="0061308B" w:rsidP="002558BB">
      <w:pPr>
        <w:spacing w:after="0" w:line="240" w:lineRule="auto"/>
      </w:pPr>
      <w:r>
        <w:separator/>
      </w:r>
    </w:p>
  </w:footnote>
  <w:footnote w:type="continuationSeparator" w:id="0">
    <w:p w14:paraId="45D30DD7" w14:textId="77777777" w:rsidR="0061308B" w:rsidRDefault="0061308B" w:rsidP="002558B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30B6BCB"/>
    <w:tmpl w:val="2730CDB0"/>
    <w:lvl w:ilvl="0" w:tplc="40090001">
      <w:numFmt w:val="bullet"/>
      <w:lvlText w:val=""/>
      <w:start w:val="1"/>
      <w:rPr>
        <w:rFonts w:ascii="Symbol" w:hAnsi="Symbol" w:hint="default"/>
      </w:rPr>
      <w:pPr>
        <w:ind w:left="720"/>
        <w:ind w:hanging="360"/>
      </w:pPr>
      <w:lvlJc w:val="left"/>
    </w:lvl>
    <w:lvl w:ilvl="1" w:tentative="1" w:tplc="40090003">
      <w:numFmt w:val="bullet"/>
      <w:lvlText w:val="o"/>
      <w:start w:val="1"/>
      <w:rPr>
        <w:rFonts w:ascii="Courier New" w:cs="Courier New" w:hAnsi="Courier New" w:hint="default"/>
      </w:rPr>
      <w:pPr>
        <w:ind w:left="1440"/>
        <w:ind w:hanging="360"/>
      </w:pPr>
      <w:lvlJc w:val="left"/>
    </w:lvl>
    <w:lvl w:ilvl="2" w:tentative="1" w:tplc="40090005">
      <w:numFmt w:val="bullet"/>
      <w:lvlText w:val=""/>
      <w:start w:val="1"/>
      <w:rPr>
        <w:rFonts w:ascii="Wingdings" w:hAnsi="Wingdings" w:hint="default"/>
      </w:rPr>
      <w:pPr>
        <w:ind w:left="2160"/>
        <w:ind w:hanging="360"/>
      </w:pPr>
      <w:lvlJc w:val="left"/>
    </w:lvl>
    <w:lvl w:ilvl="3" w:tentative="1" w:tplc="40090001">
      <w:numFmt w:val="bullet"/>
      <w:lvlText w:val=""/>
      <w:start w:val="1"/>
      <w:rPr>
        <w:rFonts w:ascii="Symbol" w:hAnsi="Symbol" w:hint="default"/>
      </w:rPr>
      <w:pPr>
        <w:ind w:left="2880"/>
        <w:ind w:hanging="360"/>
      </w:pPr>
      <w:lvlJc w:val="left"/>
    </w:lvl>
    <w:lvl w:ilvl="4" w:tentative="1" w:tplc="40090003">
      <w:numFmt w:val="bullet"/>
      <w:lvlText w:val="o"/>
      <w:start w:val="1"/>
      <w:rPr>
        <w:rFonts w:ascii="Courier New" w:cs="Courier New" w:hAnsi="Courier New" w:hint="default"/>
      </w:rPr>
      <w:pPr>
        <w:ind w:left="3600"/>
        <w:ind w:hanging="360"/>
      </w:pPr>
      <w:lvlJc w:val="left"/>
    </w:lvl>
    <w:lvl w:ilvl="5" w:tentative="1" w:tplc="40090005">
      <w:numFmt w:val="bullet"/>
      <w:lvlText w:val=""/>
      <w:start w:val="1"/>
      <w:rPr>
        <w:rFonts w:ascii="Wingdings" w:hAnsi="Wingdings" w:hint="default"/>
      </w:rPr>
      <w:pPr>
        <w:ind w:left="4320"/>
        <w:ind w:hanging="360"/>
      </w:pPr>
      <w:lvlJc w:val="left"/>
    </w:lvl>
    <w:lvl w:ilvl="6" w:tentative="1" w:tplc="40090001">
      <w:numFmt w:val="bullet"/>
      <w:lvlText w:val=""/>
      <w:start w:val="1"/>
      <w:rPr>
        <w:rFonts w:ascii="Symbol" w:hAnsi="Symbol" w:hint="default"/>
      </w:rPr>
      <w:pPr>
        <w:ind w:left="5040"/>
        <w:ind w:hanging="360"/>
      </w:pPr>
      <w:lvlJc w:val="left"/>
    </w:lvl>
    <w:lvl w:ilvl="7" w:tentative="1" w:tplc="40090003">
      <w:numFmt w:val="bullet"/>
      <w:lvlText w:val="o"/>
      <w:start w:val="1"/>
      <w:rPr>
        <w:rFonts w:ascii="Courier New" w:cs="Courier New" w:hAnsi="Courier New" w:hint="default"/>
      </w:rPr>
      <w:pPr>
        <w:ind w:left="5760"/>
        <w:ind w:hanging="360"/>
      </w:pPr>
      <w:lvlJc w:val="left"/>
    </w:lvl>
    <w:lvl w:ilvl="8" w:tentative="1" w:tplc="40090005">
      <w:numFmt w:val="bullet"/>
      <w:lvlText w:val=""/>
      <w:start w:val="1"/>
      <w:rPr>
        <w:rFonts w:ascii="Wingdings" w:hAnsi="Wingdings" w:hint="default"/>
      </w:rPr>
      <w:pPr>
        <w:ind w:left="6480"/>
        <w:ind w:hanging="360"/>
      </w:pPr>
      <w:lvlJc w:val="left"/>
    </w:lvl>
  </w:abstractNum>
  <w:abstractNum w:abstractNumId="1">
    <w:multiLevelType w:val="hybridMultilevel"/>
    <w:nsid w:val="230815AE"/>
    <w:tmpl w:val="9D6E32B4"/>
    <w:lvl w:ilvl="0" w:tplc="6C765DDE">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2">
    <w:multiLevelType w:val="hybridMultilevel"/>
    <w:nsid w:val="685A09BD"/>
    <w:tmpl w:val="957E8BDC"/>
    <w:lvl w:ilvl="0" w:tplc="4009000F">
      <w:numFmt w:val="decimal"/>
      <w:lvlText w:val="%1."/>
      <w:start w:val="1"/>
      <w:pPr>
        <w:ind w:left="360"/>
        <w:ind w:hanging="360"/>
      </w:pPr>
      <w:lvlJc w:val="left"/>
    </w:lvl>
    <w:lvl w:ilvl="1" w:tentative="1" w:tplc="40090019">
      <w:numFmt w:val="lowerLetter"/>
      <w:lvlText w:val="%2."/>
      <w:start w:val="1"/>
      <w:pPr>
        <w:ind w:left="1080"/>
        <w:ind w:hanging="360"/>
      </w:pPr>
      <w:lvlJc w:val="left"/>
    </w:lvl>
    <w:lvl w:ilvl="2" w:tentative="1" w:tplc="4009001B">
      <w:numFmt w:val="lowerRoman"/>
      <w:lvlText w:val="%3."/>
      <w:start w:val="1"/>
      <w:pPr>
        <w:ind w:left="1800"/>
        <w:ind w:hanging="180"/>
      </w:pPr>
      <w:lvlJc w:val="right"/>
    </w:lvl>
    <w:lvl w:ilvl="3" w:tentative="1" w:tplc="4009000F">
      <w:numFmt w:val="decimal"/>
      <w:lvlText w:val="%4."/>
      <w:start w:val="1"/>
      <w:pPr>
        <w:ind w:left="2520"/>
        <w:ind w:hanging="360"/>
      </w:pPr>
      <w:lvlJc w:val="left"/>
    </w:lvl>
    <w:lvl w:ilvl="4" w:tentative="1" w:tplc="40090019">
      <w:numFmt w:val="lowerLetter"/>
      <w:lvlText w:val="%5."/>
      <w:start w:val="1"/>
      <w:pPr>
        <w:ind w:left="3240"/>
        <w:ind w:hanging="360"/>
      </w:pPr>
      <w:lvlJc w:val="left"/>
    </w:lvl>
    <w:lvl w:ilvl="5" w:tentative="1" w:tplc="4009001B">
      <w:numFmt w:val="lowerRoman"/>
      <w:lvlText w:val="%6."/>
      <w:start w:val="1"/>
      <w:pPr>
        <w:ind w:left="3960"/>
        <w:ind w:hanging="180"/>
      </w:pPr>
      <w:lvlJc w:val="right"/>
    </w:lvl>
    <w:lvl w:ilvl="6" w:tentative="1" w:tplc="4009000F">
      <w:numFmt w:val="decimal"/>
      <w:lvlText w:val="%7."/>
      <w:start w:val="1"/>
      <w:pPr>
        <w:ind w:left="4680"/>
        <w:ind w:hanging="360"/>
      </w:pPr>
      <w:lvlJc w:val="left"/>
    </w:lvl>
    <w:lvl w:ilvl="7" w:tentative="1" w:tplc="40090019">
      <w:numFmt w:val="lowerLetter"/>
      <w:lvlText w:val="%8."/>
      <w:start w:val="1"/>
      <w:pPr>
        <w:ind w:left="5400"/>
        <w:ind w:hanging="360"/>
      </w:pPr>
      <w:lvlJc w:val="left"/>
    </w:lvl>
    <w:lvl w:ilvl="8" w:tentative="1" w:tplc="4009001B">
      <w:numFmt w:val="lowerRoman"/>
      <w:lvlText w:val="%9."/>
      <w:start w:val="1"/>
      <w:pPr>
        <w:ind w:left="612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3">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removePersonalInformation/>
  <w:removeDateAndTim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17C16D71"/>
  <w15:chartTrackingRefBased/>
  <w:rsids>
    <w:rsidRoot val="00614D16"/>
    <w:rsid val="0001083C"/>
    <w:rsid val="000757A6"/>
    <w:rsid val="00077975"/>
    <w:rsid val="00080497"/>
    <w:rsid val="00080DD9"/>
    <w:rsid val="000B4892"/>
    <w:rsid val="000E3B64"/>
    <w:rsid val="00101D2D"/>
    <w:rsid val="00103295"/>
    <w:rsid val="00123AF4"/>
    <w:rsid val="001251B8"/>
    <w:rsid val="00161E7A"/>
    <w:rsid val="00184C33"/>
    <w:rsid val="00196EA9"/>
    <w:rsid val="001D56D6"/>
    <w:rsid val="001E7F15"/>
    <w:rsid val="00203682"/>
    <w:rsid val="00243560"/>
    <w:rsid val="002507CC"/>
    <w:rsid val="002558BB"/>
    <w:rsid val="00261B3E"/>
    <w:rsid val="00292912"/>
    <w:rsid val="002B76BF"/>
    <w:rsid val="002C02FF"/>
    <w:rsid val="002D20DF"/>
    <w:rsid val="00300A21"/>
    <w:rsid val="00310B88"/>
    <w:rsid val="00356C77"/>
    <w:rsid val="003652E5"/>
    <w:rsid val="00390BD1"/>
    <w:rsid val="003D0E07"/>
    <w:rsid val="003E2984"/>
    <w:rsid val="003E652A"/>
    <w:rsid val="004444DA"/>
    <w:rsid val="0046589F"/>
    <w:rsid val="00473084"/>
    <w:rsid val="00475AFF"/>
    <w:rsid val="00483D91"/>
    <w:rsid val="004C7207"/>
    <w:rsid val="004C7C5C"/>
    <w:rsid val="004D1534"/>
    <w:rsid val="004D3DF2"/>
    <w:rsid val="004F3316"/>
    <w:rsid val="00506B1D"/>
    <w:rsid val="00536D00"/>
    <w:rsid val="00544273"/>
    <w:rsid val="0054537D"/>
    <w:rsid val="00545EBE"/>
    <w:rsid val="00546199"/>
    <w:rsid val="005472F8"/>
    <w:rsid val="005765A4"/>
    <w:rsid val="0061308B"/>
    <w:rsid val="00614D16"/>
    <w:rsid val="00617107"/>
    <w:rsid val="0065497F"/>
    <w:rsid val="00682653"/>
    <w:rsid val="006B5868"/>
    <w:rsid val="006E09A1"/>
    <w:rsid val="006F7290"/>
    <w:rsid val="0071167C"/>
    <w:rsid val="00734BD0"/>
    <w:rsid val="00736610"/>
    <w:rsid val="00743B39"/>
    <w:rsid val="00794A15"/>
    <w:rsid val="00794A8B"/>
    <w:rsid val="007B30EB"/>
    <w:rsid val="00812FF0"/>
    <w:rsid val="0087596F"/>
    <w:rsid val="0088458D"/>
    <w:rsid val="00894F71"/>
    <w:rsid val="008A0C72"/>
    <w:rsid val="008B7E0C"/>
    <w:rsid val="008C403E"/>
    <w:rsid val="008C7CF5"/>
    <w:rsid val="008E11EF"/>
    <w:rsid val="00930570"/>
    <w:rsid val="00971D8E"/>
    <w:rsid val="009A06DD"/>
    <w:rsid val="009B02E7"/>
    <w:rsid val="009F54C0"/>
    <w:rsid val="00A02746"/>
    <w:rsid val="00A27423"/>
    <w:rsid val="00A76A23"/>
    <w:rsid val="00A9319F"/>
    <w:rsid val="00AA0F5D"/>
    <w:rsid val="00AA2678"/>
    <w:rsid val="00AA7DC1"/>
    <w:rsid val="00AC5B63"/>
    <w:rsid val="00AE31D1"/>
    <w:rsid val="00AE7C62"/>
    <w:rsid val="00B15046"/>
    <w:rsid val="00B168D4"/>
    <w:rsid val="00B6411B"/>
    <w:rsid val="00BA176D"/>
    <w:rsid val="00BA7F7D"/>
    <w:rsid val="00BE4E4B"/>
    <w:rsid val="00C109AF"/>
    <w:rsid val="00CC05A9"/>
    <w:rsid val="00CD2EEB"/>
    <w:rsid val="00CD3892"/>
    <w:rsid val="00CF2C1D"/>
    <w:rsid val="00CF6106"/>
    <w:rsid val="00D209FA"/>
    <w:rsid val="00D32AD9"/>
    <w:rsid val="00D551FB"/>
    <w:rsid val="00DA545E"/>
    <w:rsid val="00DB55B3"/>
    <w:rsid val="00DE2905"/>
    <w:rsid val="00E274CF"/>
    <w:rsid val="00E87692"/>
    <w:rsid val="00EE118D"/>
    <w:rsid val="00EE40DC"/>
    <w:rsid val="00F07654"/>
    <w:rsid val="00F5714F"/>
    <w:rsid val="00F57B9A"/>
    <w:rsid val="00F67392"/>
    <w:rsid val="00F91222"/>
    <w:rsid val="00FD3196"/>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EEB"/>
    <w:pPr>
      <w:spacing w:before="0" w:after="200"/>
    </w:pPr>
    <w:rPr>
      <w:rFonts w:ascii="Times New Roman" w:hAnsi="Times New Roman"/>
      <w:noProof/>
      <w:color w:val="000000" w:themeColor="text1"/>
      <w:kern w:val="0"/>
      <w:sz w:val="24"/>
      <w:lang w:val="en-GB"/>
      <w14:ligatures w14:val="none"/>
    </w:rPr>
  </w:style>
  <w:style w:type="paragraph" w:styleId="Heading1">
    <w:name w:val="heading 1"/>
    <w:basedOn w:val="Normal"/>
    <w:next w:val="Normal"/>
    <w:link w:val="Heading1Char"/>
    <w:autoRedefine/>
    <w:uiPriority w:val="9"/>
    <w:qFormat/>
    <w:rsid w:val="003652E5"/>
    <w:pPr>
      <w:keepNext/>
      <w:keepLines/>
      <w:spacing w:before="240" w:after="0"/>
      <w:outlineLvl w:val="0"/>
    </w:pPr>
    <w:rPr>
      <w:rFonts w:eastAsiaTheme="majorEastAsia" w:cstheme="majorBidi"/>
      <w:b/>
      <w:sz w:val="40"/>
      <w:szCs w:val="32"/>
    </w:rPr>
  </w:style>
  <w:style w:type="paragraph" w:styleId="Heading2">
    <w:name w:val="heading 2"/>
    <w:basedOn w:val="Normal"/>
    <w:next w:val="Normal"/>
    <w:link w:val="Heading2Char"/>
    <w:uiPriority w:val="9"/>
    <w:unhideWhenUsed/>
    <w:qFormat/>
    <w:rsid w:val="000757A6"/>
    <w:pPr>
      <w:keepNext/>
      <w:keepLines/>
      <w:spacing w:before="40" w:after="0"/>
      <w:outlineLvl w:val="1"/>
    </w:pPr>
    <w:rPr>
      <w:rFonts w:eastAsiaTheme="majorEastAsia" w:cstheme="majorBidi"/>
      <w:b/>
      <w:sz w:val="36"/>
      <w:szCs w:val="26"/>
    </w:rPr>
  </w:style>
  <w:style w:type="paragraph" w:styleId="Heading3">
    <w:name w:val="heading 3"/>
    <w:basedOn w:val="Normal"/>
    <w:next w:val="Normal"/>
    <w:link w:val="Heading3Char"/>
    <w:autoRedefine/>
    <w:uiPriority w:val="9"/>
    <w:unhideWhenUsed/>
    <w:qFormat/>
    <w:rsid w:val="00A9319F"/>
    <w:pPr>
      <w:keepNext/>
      <w:keepLines/>
      <w:spacing w:before="40"/>
      <w:outlineLvl w:val="2"/>
    </w:pPr>
    <w:rPr>
      <w:rFonts w:eastAsiaTheme="majorEastAsia" w:cstheme="majorBidi"/>
      <w:b/>
      <w:sz w:val="28"/>
    </w:rPr>
  </w:style>
  <w:style w:type="paragraph" w:styleId="Heading4">
    <w:name w:val="heading 4"/>
    <w:basedOn w:val="Normal"/>
    <w:next w:val="Normal"/>
    <w:link w:val="Heading4Char"/>
    <w:uiPriority w:val="9"/>
    <w:semiHidden/>
    <w:unhideWhenUsed/>
    <w:qFormat/>
    <w:rsid w:val="00614D1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14D1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14D1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14D1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14D1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14D1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2E5"/>
    <w:rPr>
      <w:rFonts w:ascii="Times New Roman" w:eastAsiaTheme="majorEastAsia" w:hAnsi="Times New Roman" w:cstheme="majorBidi"/>
      <w:b/>
      <w:noProof/>
      <w:color w:val="000000" w:themeColor="text1"/>
      <w:kern w:val="0"/>
      <w:sz w:val="40"/>
      <w:szCs w:val="32"/>
      <w:lang w:val="en-GB"/>
      <w14:ligatures w14:val="none"/>
    </w:rPr>
  </w:style>
  <w:style w:type="character" w:customStyle="1" w:styleId="Heading2Char">
    <w:name w:val="Heading 2 Char"/>
    <w:basedOn w:val="DefaultParagraphFont"/>
    <w:link w:val="Heading2"/>
    <w:uiPriority w:val="9"/>
    <w:rsid w:val="000757A6"/>
    <w:rPr>
      <w:rFonts w:ascii="Times New Roman" w:eastAsiaTheme="majorEastAsia" w:hAnsi="Times New Roman" w:cstheme="majorBidi"/>
      <w:b/>
      <w:noProof/>
      <w:color w:val="000000" w:themeColor="text1"/>
      <w:kern w:val="0"/>
      <w:sz w:val="36"/>
      <w:szCs w:val="26"/>
      <w:lang w:val="en-GB"/>
      <w14:ligatures w14:val="none"/>
    </w:rPr>
  </w:style>
  <w:style w:type="character" w:customStyle="1" w:styleId="Heading3Char">
    <w:name w:val="Heading 3 Char"/>
    <w:basedOn w:val="DefaultParagraphFont"/>
    <w:link w:val="Heading3"/>
    <w:uiPriority w:val="9"/>
    <w:rsid w:val="00A9319F"/>
    <w:rPr>
      <w:rFonts w:ascii="Times New Roman" w:eastAsiaTheme="majorEastAsia" w:hAnsi="Times New Roman" w:cstheme="majorBidi"/>
      <w:b/>
      <w:color w:val="000000" w:themeColor="text1"/>
      <w:sz w:val="28"/>
      <w:szCs w:val="24"/>
      <w:lang w:eastAsia="en-GB"/>
    </w:rPr>
  </w:style>
  <w:style w:type="character" w:customStyle="1" w:styleId="Heading4Char">
    <w:name w:val="Heading 4 Char"/>
    <w:basedOn w:val="DefaultParagraphFont"/>
    <w:link w:val="Heading4"/>
    <w:uiPriority w:val="9"/>
    <w:semiHidden/>
    <w:rsid w:val="00614D16"/>
    <w:rPr>
      <w:rFonts w:eastAsiaTheme="majorEastAsia" w:cstheme="majorBidi"/>
      <w:i/>
      <w:iCs/>
      <w:noProof/>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614D16"/>
    <w:rPr>
      <w:rFonts w:eastAsiaTheme="majorEastAsia" w:cstheme="majorBidi"/>
      <w:noProof/>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614D16"/>
    <w:rPr>
      <w:rFonts w:eastAsiaTheme="majorEastAsia" w:cstheme="majorBidi"/>
      <w:i/>
      <w:iCs/>
      <w:noProof/>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614D16"/>
    <w:rPr>
      <w:rFonts w:eastAsiaTheme="majorEastAsia" w:cstheme="majorBidi"/>
      <w:noProof/>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614D16"/>
    <w:rPr>
      <w:rFonts w:eastAsiaTheme="majorEastAsia" w:cstheme="majorBidi"/>
      <w:i/>
      <w:iCs/>
      <w:noProof/>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614D16"/>
    <w:rPr>
      <w:rFonts w:eastAsiaTheme="majorEastAsia" w:cstheme="majorBidi"/>
      <w:noProof/>
      <w:color w:val="272727" w:themeColor="text1" w:themeTint="D8"/>
      <w:kern w:val="0"/>
      <w:sz w:val="24"/>
      <w:lang w:val="en-GB"/>
      <w14:ligatures w14:val="none"/>
    </w:rPr>
  </w:style>
  <w:style w:type="paragraph" w:styleId="Title">
    <w:name w:val="Title"/>
    <w:basedOn w:val="Normal"/>
    <w:next w:val="Normal"/>
    <w:link w:val="TitleChar"/>
    <w:uiPriority w:val="10"/>
    <w:qFormat/>
    <w:rsid w:val="00614D1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614D16"/>
    <w:rPr>
      <w:rFonts w:asciiTheme="majorHAnsi" w:eastAsiaTheme="majorEastAsia" w:hAnsiTheme="majorHAnsi" w:cstheme="majorBidi"/>
      <w:noProof/>
      <w:spacing w:val="-10"/>
      <w:kern w:val="28"/>
      <w:sz w:val="56"/>
      <w:szCs w:val="56"/>
      <w:lang w:val="en-GB"/>
      <w14:ligatures w14:val="none"/>
    </w:rPr>
  </w:style>
  <w:style w:type="paragraph" w:styleId="Subtitle">
    <w:name w:val="Subtitle"/>
    <w:basedOn w:val="Normal"/>
    <w:next w:val="Normal"/>
    <w:link w:val="SubtitleChar"/>
    <w:uiPriority w:val="11"/>
    <w:qFormat/>
    <w:rsid w:val="00614D1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D16"/>
    <w:rPr>
      <w:rFonts w:eastAsiaTheme="majorEastAsia" w:cstheme="majorBidi"/>
      <w:noProof/>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614D1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14D16"/>
    <w:rPr>
      <w:rFonts w:ascii="Times New Roman" w:hAnsi="Times New Roman"/>
      <w:i/>
      <w:iCs/>
      <w:noProof/>
      <w:color w:val="404040" w:themeColor="text1" w:themeTint="BF"/>
      <w:kern w:val="0"/>
      <w:sz w:val="24"/>
      <w:lang w:val="en-GB"/>
      <w14:ligatures w14:val="none"/>
    </w:rPr>
  </w:style>
  <w:style w:type="paragraph" w:styleId="ListParagraph">
    <w:name w:val="List Paragraph"/>
    <w:basedOn w:val="Normal"/>
    <w:uiPriority w:val="34"/>
    <w:qFormat/>
    <w:rsid w:val="00614D16"/>
    <w:pPr>
      <w:ind w:left="720"/>
      <w:contextualSpacing/>
    </w:pPr>
  </w:style>
  <w:style w:type="character" w:styleId="IntenseEmphasis">
    <w:name w:val="Intense Emphasis"/>
    <w:basedOn w:val="DefaultParagraphFont"/>
    <w:uiPriority w:val="21"/>
    <w:qFormat/>
    <w:rsid w:val="00614D16"/>
    <w:rPr>
      <w:i/>
      <w:iCs/>
      <w:color w:val="2F5496" w:themeColor="accent1" w:themeShade="BF"/>
    </w:rPr>
  </w:style>
  <w:style w:type="paragraph" w:styleId="IntenseQuote">
    <w:name w:val="Intense Quote"/>
    <w:basedOn w:val="Normal"/>
    <w:next w:val="Normal"/>
    <w:link w:val="IntenseQuoteChar"/>
    <w:uiPriority w:val="30"/>
    <w:qFormat/>
    <w:rsid w:val="00614D1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4D16"/>
    <w:rPr>
      <w:rFonts w:ascii="Times New Roman" w:hAnsi="Times New Roman"/>
      <w:i/>
      <w:iCs/>
      <w:noProof/>
      <w:color w:val="2F5496" w:themeColor="accent1" w:themeShade="BF"/>
      <w:kern w:val="0"/>
      <w:sz w:val="24"/>
      <w:lang w:val="en-GB"/>
      <w14:ligatures w14:val="none"/>
    </w:rPr>
  </w:style>
  <w:style w:type="character" w:styleId="IntenseReference">
    <w:name w:val="Intense Reference"/>
    <w:basedOn w:val="DefaultParagraphFont"/>
    <w:uiPriority w:val="32"/>
    <w:qFormat/>
    <w:rsid w:val="00614D16"/>
    <w:rPr>
      <w:b/>
      <w:bCs/>
      <w:smallCaps/>
      <w:color w:val="2F5496" w:themeColor="accent1" w:themeShade="BF"/>
      <w:spacing w:val="5"/>
    </w:rPr>
  </w:style>
  <w:style w:type="paragraph" w:styleId="Header">
    <w:name w:val="header"/>
    <w:basedOn w:val="Normal"/>
    <w:link w:val="HeaderChar"/>
    <w:uiPriority w:val="99"/>
    <w:unhideWhenUsed/>
    <w:rsid w:val="002558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8BB"/>
    <w:rPr>
      <w:rFonts w:ascii="Times New Roman" w:hAnsi="Times New Roman"/>
      <w:noProof/>
      <w:color w:val="000000" w:themeColor="text1"/>
      <w:kern w:val="0"/>
      <w:sz w:val="24"/>
      <w:lang w:val="en-GB"/>
      <w14:ligatures w14:val="none"/>
    </w:rPr>
  </w:style>
  <w:style w:type="paragraph" w:styleId="Footer">
    <w:name w:val="footer"/>
    <w:basedOn w:val="Normal"/>
    <w:link w:val="FooterChar"/>
    <w:uiPriority w:val="99"/>
    <w:unhideWhenUsed/>
    <w:rsid w:val="002558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8BB"/>
    <w:rPr>
      <w:rFonts w:ascii="Times New Roman" w:hAnsi="Times New Roman"/>
      <w:noProof/>
      <w:color w:val="000000" w:themeColor="text1"/>
      <w:kern w:val="0"/>
      <w:sz w:val="24"/>
      <w:lang w:val="en-GB"/>
      <w14:ligatures w14:val="none"/>
    </w:rPr>
  </w:style>
  <w:style w:type="paragraph" w:styleId="TOCHeading">
    <w:name w:val="TOC Heading"/>
    <w:basedOn w:val="Heading1"/>
    <w:next w:val="Normal"/>
    <w:uiPriority w:val="39"/>
    <w:unhideWhenUsed/>
    <w:qFormat/>
    <w:rsid w:val="001D56D6"/>
    <w:pPr>
      <w:spacing w:line="259" w:lineRule="auto"/>
      <w:jc w:val="left"/>
      <w:outlineLvl w:val="9"/>
    </w:pPr>
    <w:rPr>
      <w:rFonts w:asciiTheme="majorHAnsi" w:hAnsiTheme="majorHAnsi"/>
      <w:b w:val="0"/>
      <w:noProof w:val="0"/>
      <w:color w:val="2F5496" w:themeColor="accent1" w:themeShade="BF"/>
      <w:sz w:val="32"/>
      <w:lang w:val="en-US"/>
    </w:rPr>
  </w:style>
  <w:style w:type="paragraph" w:styleId="TOC1">
    <w:name w:val="toc 1"/>
    <w:basedOn w:val="Normal"/>
    <w:next w:val="Normal"/>
    <w:autoRedefine/>
    <w:uiPriority w:val="39"/>
    <w:unhideWhenUsed/>
    <w:rsid w:val="001D56D6"/>
    <w:pPr>
      <w:spacing w:after="100"/>
    </w:pPr>
  </w:style>
  <w:style w:type="character" w:styleId="Hyperlink">
    <w:name w:val="Hyperlink"/>
    <w:basedOn w:val="DefaultParagraphFont"/>
    <w:uiPriority w:val="99"/>
    <w:unhideWhenUsed/>
    <w:rsid w:val="001D56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0018267">
      <w:bodyDiv w:val="1"/>
      <w:marLeft w:val="0"/>
      <w:marRight w:val="0"/>
      <w:marTop w:val="0"/>
      <w:marBottom w:val="0"/>
      <w:divBdr>
        <w:top w:val="none" w:sz="0" w:space="0" w:color="auto"/>
        <w:left w:val="none" w:sz="0" w:space="0" w:color="auto"/>
        <w:bottom w:val="none" w:sz="0" w:space="0" w:color="auto"/>
        <w:right w:val="none" w:sz="0" w:space="0" w:color="auto"/>
      </w:divBdr>
    </w:div>
    <w:div w:id="2013947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9645C3-5448-4946-AF5B-27BB8CB30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2944</Words>
  <Characters>18568</Characters>
  <Application>Microsoft Office Word</Application>
  <DocSecurity>0</DocSecurity>
  <Lines>299</Lines>
  <Paragraphs>83</Paragraphs>
  <ScaleCrop>false</ScaleCrop>
  <Company/>
  <LinksUpToDate>false</LinksUpToDate>
  <CharactersWithSpaces>21429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2025-05-12T13:10:00Z</dcterms:created>
  <dcterms:modified xsi:type="dcterms:W3CDTF">2025-05-12T13:10:00Z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3be7c868-a332-4464-bebd-4a3e07033a4e</vt:lpwstr>
  </property>
</Properties>
</file>