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CDDE7" w14:textId="11481A31" w:rsidR="00CD36FA" w:rsidRDefault="005975AD" w:rsidP="005975AD">
      <w:pPr>
        <w:pStyle w:val="a3"/>
        <w:rPr>
          <w:rFonts w:hint="eastAsia"/>
        </w:rPr>
      </w:pPr>
      <w:r w:rsidRPr="005975AD">
        <w:t xml:space="preserve">A Customized Security Governance Framework for </w:t>
      </w:r>
      <w:proofErr w:type="spellStart"/>
      <w:r w:rsidRPr="005975AD">
        <w:t>NatureGreen</w:t>
      </w:r>
      <w:proofErr w:type="spellEnd"/>
      <w:r w:rsidRPr="005975AD">
        <w:t xml:space="preserve"> (NG): Integrating ISO 27001, ITIL, and Zero Trust Architecture</w:t>
      </w:r>
    </w:p>
    <w:p w14:paraId="4E65102C" w14:textId="2DABD90A" w:rsidR="005975AD" w:rsidRDefault="005975AD" w:rsidP="005975AD">
      <w:pPr>
        <w:pStyle w:val="1"/>
        <w:rPr>
          <w:rFonts w:hint="eastAsia"/>
        </w:rPr>
      </w:pPr>
      <w:r w:rsidRPr="00C401BA">
        <w:t>Abstract</w:t>
      </w:r>
    </w:p>
    <w:p w14:paraId="33530DAE" w14:textId="63CE3FD0" w:rsidR="009D7217" w:rsidRDefault="009D7217" w:rsidP="005975AD">
      <w:pPr>
        <w:rPr>
          <w:rFonts w:ascii="Times New Roman" w:hAnsi="Times New Roman" w:cs="Times New Roman"/>
          <w:sz w:val="24"/>
          <w:szCs w:val="28"/>
        </w:rPr>
      </w:pPr>
      <w:r w:rsidRPr="009D7217">
        <w:rPr>
          <w:rFonts w:ascii="Times New Roman" w:hAnsi="Times New Roman" w:cs="Times New Roman"/>
          <w:sz w:val="24"/>
          <w:szCs w:val="28"/>
        </w:rPr>
        <w:t xml:space="preserve">As reliance on the Internet and cloud grows, information security governance is critical. </w:t>
      </w:r>
      <w:proofErr w:type="spellStart"/>
      <w:r w:rsidRPr="009D7217">
        <w:rPr>
          <w:rFonts w:ascii="Times New Roman" w:hAnsi="Times New Roman" w:cs="Times New Roman"/>
          <w:sz w:val="24"/>
          <w:szCs w:val="28"/>
        </w:rPr>
        <w:t>NatureGreen</w:t>
      </w:r>
      <w:proofErr w:type="spellEnd"/>
      <w:r w:rsidRPr="009D7217">
        <w:rPr>
          <w:rFonts w:ascii="Times New Roman" w:hAnsi="Times New Roman" w:cs="Times New Roman"/>
          <w:sz w:val="24"/>
          <w:szCs w:val="28"/>
        </w:rPr>
        <w:t xml:space="preserve"> (NG), a global health-product provider, faces BYOD adoption, evolving cyber threats, and IP protection challenges. This study examines international frameworks (ISO/IEC 27001, ITIL, COBIT, NIST CSF) to develop a comprehensive governance, compliance, and data security strategy for NG, integrating risk management, policy design, protection mechanisms, emergency planning, and SLA execution. It also highlights the importance of continuously updating security regulations to address emerging threats, regulatory changes, and new technologies, ensuring security governance aligns with business goals and global standards to protect NG’s employees, customers, and IP.</w:t>
      </w:r>
    </w:p>
    <w:p w14:paraId="6F4F8079" w14:textId="77777777" w:rsidR="009D7217" w:rsidRDefault="009D7217" w:rsidP="005975AD">
      <w:pPr>
        <w:rPr>
          <w:rFonts w:ascii="Times New Roman" w:hAnsi="Times New Roman" w:cs="Times New Roman"/>
          <w:sz w:val="24"/>
          <w:szCs w:val="28"/>
        </w:rPr>
      </w:pPr>
    </w:p>
    <w:p w14:paraId="3E6C4DBD" w14:textId="79B36386" w:rsidR="009D7217" w:rsidRPr="009D7217" w:rsidRDefault="009D7217" w:rsidP="009D7217">
      <w:pPr>
        <w:rPr>
          <w:rFonts w:ascii="Times New Roman" w:hAnsi="Times New Roman" w:cs="Times New Roman"/>
          <w:sz w:val="24"/>
          <w:szCs w:val="28"/>
        </w:rPr>
      </w:pPr>
      <w:r>
        <w:rPr>
          <w:rFonts w:ascii="Times New Roman" w:hAnsi="Times New Roman" w:cs="Times New Roman" w:hint="eastAsia"/>
          <w:sz w:val="24"/>
          <w:szCs w:val="28"/>
        </w:rPr>
        <w:t>Keywords:</w:t>
      </w:r>
      <w:r w:rsidRPr="009D7217">
        <w:rPr>
          <w:rFonts w:ascii="Times New Roman" w:hAnsi="Times New Roman" w:cs="Times New Roman"/>
          <w:sz w:val="24"/>
          <w:szCs w:val="28"/>
        </w:rPr>
        <w:t xml:space="preserve"> Information Security Governance ISO 27001; Compliance BYOD;</w:t>
      </w:r>
      <w:r>
        <w:rPr>
          <w:rFonts w:ascii="Times New Roman" w:hAnsi="Times New Roman" w:cs="Times New Roman" w:hint="eastAsia"/>
          <w:sz w:val="24"/>
          <w:szCs w:val="28"/>
        </w:rPr>
        <w:t xml:space="preserve"> </w:t>
      </w:r>
      <w:r w:rsidRPr="009D7217">
        <w:rPr>
          <w:rFonts w:ascii="Times New Roman" w:hAnsi="Times New Roman" w:cs="Times New Roman"/>
          <w:sz w:val="24"/>
          <w:szCs w:val="28"/>
        </w:rPr>
        <w:t>ITIL;</w:t>
      </w:r>
      <w:r>
        <w:rPr>
          <w:rFonts w:ascii="Times New Roman" w:hAnsi="Times New Roman" w:cs="Times New Roman" w:hint="eastAsia"/>
          <w:sz w:val="24"/>
          <w:szCs w:val="28"/>
        </w:rPr>
        <w:t xml:space="preserve"> </w:t>
      </w:r>
      <w:r w:rsidRPr="009D7217">
        <w:rPr>
          <w:rFonts w:ascii="Times New Roman" w:hAnsi="Times New Roman" w:cs="Times New Roman"/>
          <w:sz w:val="24"/>
          <w:szCs w:val="28"/>
        </w:rPr>
        <w:t>Risk management Cyber security Service Level Agreement</w:t>
      </w:r>
    </w:p>
    <w:p w14:paraId="0C9CD003" w14:textId="5BEF25B9" w:rsidR="009D7217" w:rsidRPr="009D7217" w:rsidRDefault="009D7217" w:rsidP="005975AD">
      <w:pPr>
        <w:rPr>
          <w:rFonts w:ascii="Times New Roman" w:hAnsi="Times New Roman" w:cs="Times New Roman"/>
          <w:sz w:val="24"/>
          <w:szCs w:val="28"/>
        </w:rPr>
      </w:pPr>
    </w:p>
    <w:p w14:paraId="72875F0C" w14:textId="6C65394D" w:rsidR="005975AD" w:rsidRDefault="00F56E19" w:rsidP="005975AD">
      <w:pPr>
        <w:pStyle w:val="1"/>
        <w:rPr>
          <w:rFonts w:hint="eastAsia"/>
        </w:rPr>
      </w:pPr>
      <w:r>
        <w:rPr>
          <w:rFonts w:hint="eastAsia"/>
        </w:rPr>
        <w:t>1.</w:t>
      </w:r>
      <w:r w:rsidR="005975AD" w:rsidRPr="00C401BA">
        <w:t>Introduction</w:t>
      </w:r>
    </w:p>
    <w:p w14:paraId="5B18065D" w14:textId="5BED0A7F" w:rsidR="00C54C47" w:rsidRPr="00C54C47" w:rsidRDefault="002E23BE" w:rsidP="005975AD">
      <w:pPr>
        <w:rPr>
          <w:rFonts w:ascii="Times New Roman" w:hAnsi="Times New Roman" w:cs="Times New Roman"/>
          <w:sz w:val="24"/>
          <w:szCs w:val="28"/>
        </w:rPr>
      </w:pPr>
      <w:r w:rsidRPr="002E23BE">
        <w:rPr>
          <w:rFonts w:ascii="Times New Roman" w:hAnsi="Times New Roman" w:cs="Times New Roman"/>
          <w:sz w:val="24"/>
          <w:szCs w:val="28"/>
        </w:rPr>
        <w:t>As global enterprises increasingly rely on Internet and cloud technologies, their interconnected systems and centralized data expand the attack surface, making critical information assets vulnerable to complex cyber threats like APTs, ransomware, and DDoS attacks.</w:t>
      </w:r>
      <w:r w:rsidR="00C54C47" w:rsidRPr="00C54C47">
        <w:rPr>
          <w:rFonts w:ascii="Times New Roman" w:hAnsi="Times New Roman" w:cs="Times New Roman"/>
          <w:sz w:val="24"/>
          <w:szCs w:val="28"/>
        </w:rPr>
        <w:t xml:space="preserve"> </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{"citationID":"oN8dribW","properties":{"formattedCitation":"[1]","plainCitation":"[1]","noteIndex":0},"citationItems":[{"id":318,"uris":["http://zotero.org/users/local/p3tV44H5/items/9XVXGY7Z"],"itemData":{"id":318,"type":"book","publisher":"John Wiley &amp; Sons","source":"Google Scholar","title":"Security engineering: a guide to building dependable distributed systems","title-short":"Security engineering","URL":"https://books.google.com/books?hl=zh-CN&amp;lr=&amp;id=eo4Otm_TcW8C&amp;oi=fnd&amp;pg=PT14&amp;dq=%5B1%5D+R.+Anderson,+%E2%80%9CSecurity+Engineering:+A+Guide+to+Building+Dependable+Distributed+Systems,%E2%80%9D+Wiley,+2020.&amp;ots=gDJJAOezd7&amp;sig=KpllgXoCI1dOhBom626iJIfGmys","author":[{"family":"Anderson","given":"Ross"}],"accessed":{"date-parts":[["2025",11,9]]},"issued":{"date-parts":[["2010"]]}}}],"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[1]</w:t>
      </w:r>
      <w:r w:rsidR="00C54C47" w:rsidRPr="00C54C47">
        <w:rPr>
          <w:rFonts w:ascii="Times New Roman" w:hAnsi="Times New Roman" w:cs="Times New Roman"/>
          <w:sz w:val="24"/>
          <w:szCs w:val="28"/>
        </w:rPr>
        <w:fldChar w:fldCharType="end"/>
      </w:r>
      <w:r w:rsidR="005975AD" w:rsidRPr="00C54C47">
        <w:rPr>
          <w:rFonts w:ascii="Times New Roman" w:hAnsi="Times New Roman" w:cs="Times New Roman"/>
          <w:sz w:val="24"/>
          <w:szCs w:val="28"/>
        </w:rPr>
        <w:t>.</w:t>
      </w:r>
      <w:r w:rsidR="00C54C47" w:rsidRPr="00C54C47">
        <w:rPr>
          <w:rFonts w:ascii="Times New Roman" w:hAnsi="Times New Roman" w:cs="Times New Roman"/>
          <w:sz w:val="24"/>
          <w:szCs w:val="28"/>
        </w:rPr>
        <w:t xml:space="preserve"> </w:t>
      </w:r>
      <w:r w:rsidRPr="002E23BE">
        <w:rPr>
          <w:rFonts w:ascii="Times New Roman" w:hAnsi="Times New Roman" w:cs="Times New Roman"/>
          <w:sz w:val="24"/>
          <w:szCs w:val="28"/>
        </w:rPr>
        <w:t xml:space="preserve">With billions of Internet users, </w:t>
      </w:r>
      <w:proofErr w:type="spellStart"/>
      <w:r w:rsidRPr="002E23BE">
        <w:rPr>
          <w:rFonts w:ascii="Times New Roman" w:hAnsi="Times New Roman" w:cs="Times New Roman"/>
          <w:sz w:val="24"/>
          <w:szCs w:val="28"/>
        </w:rPr>
        <w:t>cyber attacks</w:t>
      </w:r>
      <w:proofErr w:type="spellEnd"/>
      <w:r w:rsidRPr="002E23BE">
        <w:rPr>
          <w:rFonts w:ascii="Times New Roman" w:hAnsi="Times New Roman" w:cs="Times New Roman"/>
          <w:sz w:val="24"/>
          <w:szCs w:val="28"/>
        </w:rPr>
        <w:t xml:space="preserve"> are becoming easier, more automated, and scalable (Cybercrime-as-a-Service), enabling anonymous cross-regional intrusions that threaten government services, business operations, and personal data.</w:t>
      </w:r>
      <w:r w:rsidR="00C54C47" w:rsidRPr="00C54C47">
        <w:rPr>
          <w:rFonts w:ascii="Times New Roman" w:hAnsi="Times New Roman" w:cs="Times New Roman"/>
          <w:sz w:val="24"/>
          <w:szCs w:val="28"/>
        </w:rPr>
        <w:t xml:space="preserve"> </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{"citationID":"ZnDtQqIx","properties":{"formattedCitation":"[2]","plainCitation":"[2]","noteIndex":0},"citationItems":[{"id":320,"uris":["http://zotero.org/users/local/p3tV44H5/items/EVNH9I4F"],"itemData":{"id":320,"type":"article-journal","container-title":"Journal of Financial Crime","issue":"2","note":"publisher: Emerald Publishing Limited","page":"359–374","source":"Google Scholar","title":"Cybersecurity and global regulatory challenges","volume":"28","author":[{"family":"Bechara","given":"Fabio Ramazzini"},{"family":"Schuch","given":"Samara Bueno"}],"issued":{"date-parts":[["2021"]]}}}],"schema":"https://github.com/citation-style-language/schema/raw/master/csl-citation.json"}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[2]</w:t>
      </w:r>
      <w:r w:rsidR="00C54C47" w:rsidRPr="00C54C47">
        <w:rPr>
          <w:rFonts w:ascii="Times New Roman" w:hAnsi="Times New Roman" w:cs="Times New Roman"/>
          <w:sz w:val="24"/>
          <w:szCs w:val="28"/>
        </w:rPr>
        <w:fldChar w:fldCharType="end"/>
      </w:r>
      <w:r w:rsidR="00C54C47" w:rsidRPr="00C54C47">
        <w:rPr>
          <w:rFonts w:ascii="Times New Roman" w:hAnsi="Times New Roman" w:cs="Times New Roman"/>
          <w:sz w:val="24"/>
          <w:szCs w:val="28"/>
        </w:rPr>
        <w:t xml:space="preserve">. </w:t>
      </w:r>
      <w:r w:rsidRPr="002E23BE">
        <w:rPr>
          <w:rFonts w:ascii="Times New Roman" w:hAnsi="Times New Roman" w:cs="Times New Roman"/>
          <w:sz w:val="24"/>
          <w:szCs w:val="28"/>
        </w:rPr>
        <w:t xml:space="preserve">The growth of cybercrime, coupled with IoT devices and widespread 5G/Wi-Fi 6 networks, creates a complex digital environment, requiring IT professionals to implement dynamic, multi-layered strategies to protect the confidentiality, integrity, </w:t>
      </w:r>
      <w:r w:rsidRPr="002E23BE">
        <w:rPr>
          <w:rFonts w:ascii="Times New Roman" w:hAnsi="Times New Roman" w:cs="Times New Roman"/>
          <w:sz w:val="24"/>
          <w:szCs w:val="28"/>
        </w:rPr>
        <w:lastRenderedPageBreak/>
        <w:t>and availability (CIA Triad) of critical assets.</w:t>
      </w:r>
      <w:r w:rsidR="00C54C47" w:rsidRPr="00C54C47">
        <w:rPr>
          <w:rFonts w:ascii="Times New Roman" w:hAnsi="Times New Roman" w:cs="Times New Roman"/>
          <w:sz w:val="24"/>
          <w:szCs w:val="28"/>
        </w:rPr>
        <w:t xml:space="preserve"> </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{"citationID":"LqxhgMRg","properties":{"formattedCitation":"[3]","plainCitation":"[3]","noteIndex":0},"citationItems":[{"id":321,"uris":["http://zotero.org/users/local/p3tV44H5/items/54YA8WU6"],"itemData":{"id":321,"type":"article-journal","container-title":"World Journal of Advanced Research and Reviews","issue":"3","page":"1663–1676","source":"Google Scholar","title":"Security implications of cloud-based enterprise applications: An in-depth review","title-short":"Security implications of cloud-based enterprise applications","volume":"19","author":[{"family":"Kambala","given":"Gireesh"}],"issued":{"date-parts":[["2023"]]}}}],"schema":"https://github.com/citation-style-language/schema/raw/master/csl-citation.json"}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[3]</w:t>
      </w:r>
      <w:r w:rsidR="00C54C47" w:rsidRPr="00C54C47">
        <w:rPr>
          <w:rFonts w:ascii="Times New Roman" w:hAnsi="Times New Roman" w:cs="Times New Roman"/>
          <w:sz w:val="24"/>
          <w:szCs w:val="28"/>
        </w:rPr>
        <w:fldChar w:fldCharType="end"/>
      </w:r>
      <w:r w:rsidR="00C54C47" w:rsidRPr="00C54C47">
        <w:rPr>
          <w:rFonts w:ascii="Times New Roman" w:hAnsi="Times New Roman" w:cs="Times New Roman"/>
          <w:sz w:val="24"/>
          <w:szCs w:val="28"/>
        </w:rPr>
        <w:t xml:space="preserve">. </w:t>
      </w:r>
    </w:p>
    <w:p w14:paraId="6129B3CD" w14:textId="58B296C5" w:rsidR="00C54C47" w:rsidRDefault="002E23BE" w:rsidP="005975AD">
      <w:pPr>
        <w:rPr>
          <w:rFonts w:ascii="Times New Roman" w:hAnsi="Times New Roman" w:cs="Times New Roman"/>
          <w:sz w:val="24"/>
          <w:szCs w:val="28"/>
        </w:rPr>
      </w:pPr>
      <w:r w:rsidRPr="002E23BE">
        <w:rPr>
          <w:rFonts w:ascii="Times New Roman" w:hAnsi="Times New Roman" w:cs="Times New Roman"/>
          <w:sz w:val="24"/>
          <w:szCs w:val="28"/>
        </w:rPr>
        <w:t>In this context, information security governance (ISG) is essential for enterprises, aligning security measures with strategic goals while ensuring compliance (e.g., GDPR, ISO 27001), systematic risk management, and continuous monitoring of information systems.</w:t>
      </w:r>
      <w:r w:rsidR="00C54C47" w:rsidRPr="00C54C47">
        <w:rPr>
          <w:rFonts w:ascii="Times New Roman" w:hAnsi="Times New Roman" w:cs="Times New Roman"/>
          <w:sz w:val="24"/>
          <w:szCs w:val="28"/>
        </w:rPr>
        <w:fldChar w:fldCharType="begin"/>
      </w:r>
      <w:r w:rsidR="00C54C47" w:rsidRPr="00C54C47">
        <w:rPr>
          <w:rFonts w:ascii="Times New Roman" w:hAnsi="Times New Roman" w:cs="Times New Roman"/>
          <w:sz w:val="24"/>
          <w:szCs w:val="28"/>
        </w:rPr>
        <w:instrText xml:space="preserve"> ADDIN ZOTERO_ITEM CSL_CITATION {"citationID":"cGPEeAh2","properties":{"formattedCitation":"[4]","plainCitation":"[4]","noteIndex":0},"citationItems":[{"id":323,"uris":["http://zotero.org/users/local/p3tV44H5/items/JVSJURK9"],"itemData":{"id":323,"type":"article-journal","container-title":"Information Systems Management","DOI":"10.1080/10580530701586136","ISSN":"1058-0530, 1934-8703","issue":"4","journalAbbreviation":"Information Systems Management","language":"en","page":"361-372","source":"DOI.org (Crossref)","title":"An Information Security Governance Framework","volume":"24","author":[{"family":"Veiga","given":"A. Da"},{"family":"Eloff","given":"J. H. P."}],"issued":{"date-parts":[["2007",10,2]]}}}],"schema":"https://github.com/citation-style-language/schema/raw/master/csl-citation.json"} </w:instrText>
      </w:r>
      <w:r w:rsidR="00C54C47" w:rsidRPr="00C54C47">
        <w:rPr>
          <w:rFonts w:ascii="Times New Roman" w:hAnsi="Times New Roman" w:cs="Times New Roman"/>
          <w:sz w:val="24"/>
          <w:szCs w:val="28"/>
        </w:rPr>
        <w:fldChar w:fldCharType="separate"/>
      </w:r>
      <w:r w:rsidR="00C54C47" w:rsidRPr="00C54C47">
        <w:rPr>
          <w:rFonts w:ascii="Times New Roman" w:eastAsia="等线" w:hAnsi="Times New Roman" w:cs="Times New Roman"/>
          <w:sz w:val="24"/>
          <w:szCs w:val="28"/>
        </w:rPr>
        <w:t>[4]</w:t>
      </w:r>
      <w:r w:rsidR="00C54C47" w:rsidRPr="00C54C47">
        <w:rPr>
          <w:rFonts w:ascii="Times New Roman" w:hAnsi="Times New Roman" w:cs="Times New Roman"/>
          <w:sz w:val="24"/>
          <w:szCs w:val="28"/>
        </w:rPr>
        <w:fldChar w:fldCharType="end"/>
      </w:r>
      <w:r w:rsidR="00C54C47" w:rsidRPr="00C54C47">
        <w:rPr>
          <w:rFonts w:ascii="Times New Roman" w:hAnsi="Times New Roman" w:cs="Times New Roman"/>
          <w:sz w:val="24"/>
          <w:szCs w:val="28"/>
        </w:rPr>
        <w:t xml:space="preserve">. </w:t>
      </w:r>
    </w:p>
    <w:p w14:paraId="13B34A25" w14:textId="4CDDE749" w:rsidR="00C54C47" w:rsidRPr="005C7A56" w:rsidRDefault="002E23BE" w:rsidP="005975AD">
      <w:pPr>
        <w:rPr>
          <w:rFonts w:ascii="Times New Roman" w:hAnsi="Times New Roman" w:cs="Times New Roman"/>
          <w:sz w:val="24"/>
          <w:szCs w:val="28"/>
        </w:rPr>
      </w:pPr>
      <w:r w:rsidRPr="002E23BE">
        <w:rPr>
          <w:rFonts w:ascii="Times New Roman" w:hAnsi="Times New Roman" w:cs="Times New Roman"/>
          <w:sz w:val="24"/>
          <w:szCs w:val="28"/>
        </w:rPr>
        <w:t xml:space="preserve">This study focuses on </w:t>
      </w:r>
      <w:proofErr w:type="spellStart"/>
      <w:r w:rsidRPr="002E23BE">
        <w:rPr>
          <w:rFonts w:ascii="Times New Roman" w:hAnsi="Times New Roman" w:cs="Times New Roman"/>
          <w:sz w:val="24"/>
          <w:szCs w:val="28"/>
        </w:rPr>
        <w:t>NatureGreen</w:t>
      </w:r>
      <w:proofErr w:type="spellEnd"/>
      <w:r w:rsidRPr="002E23BE">
        <w:rPr>
          <w:rFonts w:ascii="Times New Roman" w:hAnsi="Times New Roman" w:cs="Times New Roman"/>
          <w:sz w:val="24"/>
          <w:szCs w:val="28"/>
        </w:rPr>
        <w:t xml:space="preserve"> (NG), a global enterprise heavily reliant on wireless and multi-cloud infrastructure. NG exemplifies the challenges of complying with international data regulations and protecting high-value intellectual property. The study aims to assess mainstream security governance frameworks (e.g., COBIT, NIST CSF) to develop a systematic, implementable GRC strategy that safeguards employee and customer data, secures intellectual property, and enhances security resilience and operational efficiency.</w:t>
      </w:r>
    </w:p>
    <w:p w14:paraId="349084D5" w14:textId="73732567" w:rsidR="00C54C47" w:rsidRDefault="00F56E19" w:rsidP="00C54C47">
      <w:pPr>
        <w:pStyle w:val="1"/>
        <w:rPr>
          <w:rFonts w:hint="eastAsia"/>
        </w:rPr>
      </w:pPr>
      <w:r>
        <w:rPr>
          <w:rFonts w:hint="eastAsia"/>
        </w:rPr>
        <w:t>2.</w:t>
      </w:r>
      <w:r w:rsidR="00C54C47" w:rsidRPr="00C54C47">
        <w:rPr>
          <w:rFonts w:hint="eastAsia"/>
        </w:rPr>
        <w:t xml:space="preserve">Case background description: </w:t>
      </w:r>
    </w:p>
    <w:p w14:paraId="4C4B76AF" w14:textId="77FEAFA9" w:rsidR="00F56E19" w:rsidRPr="002E23BE" w:rsidRDefault="002E23BE" w:rsidP="00C54C47">
      <w:pPr>
        <w:rPr>
          <w:rFonts w:ascii="Times New Roman" w:hAnsi="Times New Roman" w:cs="Times New Roman"/>
          <w:sz w:val="24"/>
          <w:szCs w:val="28"/>
        </w:rPr>
      </w:pPr>
      <w:proofErr w:type="spellStart"/>
      <w:r w:rsidRPr="002E23BE">
        <w:rPr>
          <w:rFonts w:ascii="Times New Roman" w:hAnsi="Times New Roman" w:cs="Times New Roman"/>
          <w:sz w:val="24"/>
          <w:szCs w:val="28"/>
        </w:rPr>
        <w:t>NatureGreen</w:t>
      </w:r>
      <w:proofErr w:type="spellEnd"/>
      <w:r w:rsidRPr="002E23BE">
        <w:rPr>
          <w:rFonts w:ascii="Times New Roman" w:hAnsi="Times New Roman" w:cs="Times New Roman"/>
          <w:sz w:val="24"/>
          <w:szCs w:val="28"/>
        </w:rPr>
        <w:t xml:space="preserve"> (NG) is a global health-product brand with 95% wireless network coverage and extensive cloud-based services. Recent pressure to support BYOD has introduced security risks, including data leakage, malware propagation, and unauthorized access</w:t>
      </w:r>
      <w:r w:rsidR="00C54C47" w:rsidRPr="00F56E19">
        <w:rPr>
          <w:rFonts w:ascii="Times New Roman" w:hAnsi="Times New Roman" w:cs="Times New Roman"/>
          <w:sz w:val="24"/>
          <w:szCs w:val="28"/>
        </w:rPr>
        <w:t xml:space="preserve"> </w:t>
      </w:r>
      <w:r w:rsidR="00C54C47" w:rsidRPr="00F56E19">
        <w:rPr>
          <w:rFonts w:ascii="Times New Roman" w:hAnsi="Times New Roman" w:cs="Times New Roman"/>
          <w:sz w:val="24"/>
          <w:szCs w:val="28"/>
        </w:rPr>
        <w:fldChar w:fldCharType="begin"/>
      </w:r>
      <w:r w:rsidR="00C54C47" w:rsidRPr="00F56E19">
        <w:rPr>
          <w:rFonts w:ascii="Times New Roman" w:hAnsi="Times New Roman" w:cs="Times New Roman"/>
          <w:sz w:val="24"/>
          <w:szCs w:val="28"/>
        </w:rPr>
        <w:instrText xml:space="preserve"> ADDIN ZOTERO_ITEM CSL_CITATION {"citationID":"8yWiwBMX","properties":{"formattedCitation":"[5]","plainCitation":"[5]","noteIndex":0},"citationItems":[{"id":324,"uris":["http://zotero.org/users/local/p3tV44H5/items/DN2TUZCP"],"itemData":{"id":324,"type":"article-journal","container-title":"Journal of Organizational Computing and Electronic Commerce","DOI":"10.1080/10919392.2022.2028530","ISSN":"1091-9392, 1532-7744","issue":"4","journalAbbreviation":"Journal of Organizational Computing and Electronic Commerce","language":"en","page":"320-342","source":"DOI.org (Crossref)","title":"BYOD Security Risks and Mitigation Strategies: Insights from IT Security Experts","title-short":"BYOD Security Risks and Mitigation Strategies","volume":"31","author":[{"family":"Palanisamy","given":"Rathika"},{"family":"Norman","given":"Azah Anir"},{"family":"Mat Kiah","given":"Laiha"}],"issued":{"date-parts":[["2021",10,2]]}}}],"schema":"https://github.com/citation-style-language/schema/raw/master/csl-citation.json"} </w:instrText>
      </w:r>
      <w:r w:rsidR="00C54C47" w:rsidRPr="00F56E19">
        <w:rPr>
          <w:rFonts w:ascii="Times New Roman" w:hAnsi="Times New Roman" w:cs="Times New Roman"/>
          <w:sz w:val="24"/>
          <w:szCs w:val="28"/>
        </w:rPr>
        <w:fldChar w:fldCharType="separate"/>
      </w:r>
      <w:r w:rsidR="00C54C47" w:rsidRPr="00F56E19">
        <w:rPr>
          <w:rFonts w:ascii="Times New Roman" w:eastAsia="等线" w:hAnsi="Times New Roman" w:cs="Times New Roman"/>
          <w:sz w:val="24"/>
          <w:szCs w:val="28"/>
        </w:rPr>
        <w:t>[5]</w:t>
      </w:r>
      <w:r w:rsidR="00C54C47" w:rsidRPr="00F56E19">
        <w:rPr>
          <w:rFonts w:ascii="Times New Roman" w:hAnsi="Times New Roman" w:cs="Times New Roman"/>
          <w:sz w:val="24"/>
          <w:szCs w:val="28"/>
        </w:rPr>
        <w:fldChar w:fldCharType="end"/>
      </w:r>
      <w:r w:rsidR="00C54C47" w:rsidRPr="00F56E19">
        <w:rPr>
          <w:rFonts w:ascii="Times New Roman" w:hAnsi="Times New Roman" w:cs="Times New Roman"/>
          <w:sz w:val="24"/>
          <w:szCs w:val="28"/>
        </w:rPr>
        <w:t>.</w:t>
      </w:r>
    </w:p>
    <w:p w14:paraId="6AE4AB6B" w14:textId="690C13B8" w:rsidR="00C54C47"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The current security flaws of NG are as</w:t>
      </w:r>
      <w:r w:rsidR="00F56E19">
        <w:rPr>
          <w:rFonts w:ascii="Times New Roman" w:hAnsi="Times New Roman" w:cs="Times New Roman" w:hint="eastAsia"/>
          <w:sz w:val="24"/>
          <w:szCs w:val="28"/>
        </w:rPr>
        <w:t xml:space="preserve"> Table 1</w:t>
      </w:r>
      <w:r w:rsidRPr="00F56E19">
        <w:rPr>
          <w:rFonts w:ascii="Times New Roman" w:hAnsi="Times New Roman" w:cs="Times New Roman"/>
          <w:sz w:val="24"/>
          <w:szCs w:val="28"/>
        </w:rPr>
        <w:t>:</w:t>
      </w:r>
    </w:p>
    <w:p w14:paraId="0C4B563F" w14:textId="77777777" w:rsidR="00F56E19" w:rsidRPr="00F56E19" w:rsidRDefault="00F56E19" w:rsidP="00C54C47">
      <w:pPr>
        <w:rPr>
          <w:rFonts w:ascii="Times New Roman" w:hAnsi="Times New Roman" w:cs="Times New Roman"/>
          <w:sz w:val="24"/>
          <w:szCs w:val="28"/>
        </w:rPr>
      </w:pPr>
    </w:p>
    <w:p w14:paraId="6FE550D5" w14:textId="54438C4B" w:rsidR="00C54C47" w:rsidRPr="00F56E19" w:rsidRDefault="00C54C47" w:rsidP="00C54C47">
      <w:pPr>
        <w:jc w:val="center"/>
        <w:rPr>
          <w:rFonts w:ascii="Times New Roman" w:hAnsi="Times New Roman" w:cs="Times New Roman"/>
        </w:rPr>
      </w:pPr>
      <w:r w:rsidRPr="00F56E19">
        <w:rPr>
          <w:rFonts w:ascii="Times New Roman" w:hAnsi="Times New Roman" w:cs="Times New Roman"/>
        </w:rPr>
        <w:t>Table 1. Security Issue of NG</w:t>
      </w:r>
    </w:p>
    <w:tbl>
      <w:tblPr>
        <w:tblStyle w:val="af"/>
        <w:tblW w:w="0" w:type="auto"/>
        <w:tblLook w:val="04A0" w:firstRow="1" w:lastRow="0" w:firstColumn="1" w:lastColumn="0" w:noHBand="0" w:noVBand="1"/>
      </w:tblPr>
      <w:tblGrid>
        <w:gridCol w:w="4148"/>
        <w:gridCol w:w="4148"/>
      </w:tblGrid>
      <w:tr w:rsidR="00C54C47" w:rsidRPr="00F56E19" w14:paraId="66EA1BB2" w14:textId="77777777" w:rsidTr="00475DA7">
        <w:tc>
          <w:tcPr>
            <w:tcW w:w="4148" w:type="dxa"/>
            <w:vAlign w:val="center"/>
          </w:tcPr>
          <w:p w14:paraId="2AE52626" w14:textId="229232F3" w:rsidR="00C54C47" w:rsidRPr="00F56E19" w:rsidRDefault="00C54C47" w:rsidP="00C54C47">
            <w:pPr>
              <w:jc w:val="center"/>
              <w:rPr>
                <w:rFonts w:ascii="Times New Roman" w:hAnsi="Times New Roman" w:cs="Times New Roman"/>
                <w:sz w:val="24"/>
                <w:szCs w:val="28"/>
              </w:rPr>
            </w:pPr>
            <w:r w:rsidRPr="00F56E19">
              <w:rPr>
                <w:rFonts w:ascii="Times New Roman" w:hAnsi="Times New Roman" w:cs="Times New Roman"/>
                <w:sz w:val="24"/>
                <w:szCs w:val="28"/>
              </w:rPr>
              <w:t>Security Issue</w:t>
            </w:r>
          </w:p>
        </w:tc>
        <w:tc>
          <w:tcPr>
            <w:tcW w:w="4148" w:type="dxa"/>
            <w:vAlign w:val="center"/>
          </w:tcPr>
          <w:p w14:paraId="33F55C7E" w14:textId="5DB95D08" w:rsidR="00C54C47" w:rsidRPr="00F56E19" w:rsidRDefault="00C54C47" w:rsidP="00C54C47">
            <w:pPr>
              <w:jc w:val="center"/>
              <w:rPr>
                <w:rFonts w:ascii="Times New Roman" w:hAnsi="Times New Roman" w:cs="Times New Roman"/>
                <w:sz w:val="24"/>
                <w:szCs w:val="28"/>
              </w:rPr>
            </w:pPr>
            <w:r w:rsidRPr="00F56E19">
              <w:rPr>
                <w:rFonts w:ascii="Times New Roman" w:hAnsi="Times New Roman" w:cs="Times New Roman"/>
                <w:sz w:val="24"/>
                <w:szCs w:val="28"/>
              </w:rPr>
              <w:t>Impact on NG</w:t>
            </w:r>
          </w:p>
        </w:tc>
      </w:tr>
      <w:tr w:rsidR="00C54C47" w:rsidRPr="00F56E19" w14:paraId="3DB3D96D" w14:textId="77777777" w:rsidTr="00475DA7">
        <w:tc>
          <w:tcPr>
            <w:tcW w:w="4148" w:type="dxa"/>
            <w:vAlign w:val="center"/>
          </w:tcPr>
          <w:p w14:paraId="3E357845" w14:textId="2B32E40F"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Lack of a security policy framework</w:t>
            </w:r>
          </w:p>
        </w:tc>
        <w:tc>
          <w:tcPr>
            <w:tcW w:w="4148" w:type="dxa"/>
            <w:vAlign w:val="center"/>
          </w:tcPr>
          <w:p w14:paraId="2453CB88" w14:textId="5A63D95B"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Absence of access control rules, increased security incidents</w:t>
            </w:r>
          </w:p>
        </w:tc>
      </w:tr>
      <w:tr w:rsidR="00C54C47" w:rsidRPr="00F56E19" w14:paraId="378E1E05" w14:textId="77777777" w:rsidTr="00475DA7">
        <w:tc>
          <w:tcPr>
            <w:tcW w:w="4148" w:type="dxa"/>
            <w:vAlign w:val="center"/>
          </w:tcPr>
          <w:p w14:paraId="37A90D34" w14:textId="439663F5"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High global online exposure</w:t>
            </w:r>
          </w:p>
        </w:tc>
        <w:tc>
          <w:tcPr>
            <w:tcW w:w="4148" w:type="dxa"/>
            <w:vAlign w:val="center"/>
          </w:tcPr>
          <w:p w14:paraId="6B6C5F3A" w14:textId="7B85770E"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 xml:space="preserve">Higher risk of </w:t>
            </w:r>
            <w:proofErr w:type="spellStart"/>
            <w:r w:rsidRPr="00F56E19">
              <w:rPr>
                <w:rFonts w:ascii="Times New Roman" w:hAnsi="Times New Roman" w:cs="Times New Roman"/>
                <w:sz w:val="24"/>
                <w:szCs w:val="28"/>
              </w:rPr>
              <w:t>cyber attacks</w:t>
            </w:r>
            <w:proofErr w:type="spellEnd"/>
            <w:r w:rsidRPr="00F56E19">
              <w:rPr>
                <w:rFonts w:ascii="Times New Roman" w:hAnsi="Times New Roman" w:cs="Times New Roman"/>
                <w:sz w:val="24"/>
                <w:szCs w:val="28"/>
              </w:rPr>
              <w:t xml:space="preserve"> and reputational damage</w:t>
            </w:r>
          </w:p>
        </w:tc>
      </w:tr>
      <w:tr w:rsidR="00C54C47" w:rsidRPr="00F56E19" w14:paraId="6B80B886" w14:textId="77777777" w:rsidTr="00475DA7">
        <w:tc>
          <w:tcPr>
            <w:tcW w:w="4148" w:type="dxa"/>
            <w:vAlign w:val="center"/>
          </w:tcPr>
          <w:p w14:paraId="622279A9" w14:textId="4A35581C"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BYOD implementation</w:t>
            </w:r>
          </w:p>
        </w:tc>
        <w:tc>
          <w:tcPr>
            <w:tcW w:w="4148" w:type="dxa"/>
            <w:vAlign w:val="center"/>
          </w:tcPr>
          <w:p w14:paraId="5FA22C0C" w14:textId="7B82061B"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Data leakage and compliance violations</w:t>
            </w:r>
          </w:p>
        </w:tc>
      </w:tr>
      <w:tr w:rsidR="00C54C47" w:rsidRPr="00F56E19" w14:paraId="59469B05" w14:textId="77777777" w:rsidTr="00475DA7">
        <w:tc>
          <w:tcPr>
            <w:tcW w:w="4148" w:type="dxa"/>
            <w:vAlign w:val="center"/>
          </w:tcPr>
          <w:p w14:paraId="4433E9A9" w14:textId="46313524"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High dependency on cloud environment</w:t>
            </w:r>
          </w:p>
        </w:tc>
        <w:tc>
          <w:tcPr>
            <w:tcW w:w="4148" w:type="dxa"/>
            <w:vAlign w:val="center"/>
          </w:tcPr>
          <w:p w14:paraId="1697D156" w14:textId="68D07F51"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Reduced data governance and compliance control</w:t>
            </w:r>
          </w:p>
        </w:tc>
      </w:tr>
      <w:tr w:rsidR="00C54C47" w:rsidRPr="00F56E19" w14:paraId="5DD2FD41" w14:textId="77777777" w:rsidTr="00475DA7">
        <w:tc>
          <w:tcPr>
            <w:tcW w:w="4148" w:type="dxa"/>
            <w:vAlign w:val="center"/>
          </w:tcPr>
          <w:p w14:paraId="04B5F34D" w14:textId="21B12D14"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High-value intellectual property</w:t>
            </w:r>
          </w:p>
        </w:tc>
        <w:tc>
          <w:tcPr>
            <w:tcW w:w="4148" w:type="dxa"/>
            <w:vAlign w:val="center"/>
          </w:tcPr>
          <w:p w14:paraId="53437457" w14:textId="251B2C43" w:rsidR="00C54C47" w:rsidRPr="00F56E19" w:rsidRDefault="00C54C47" w:rsidP="00C54C47">
            <w:pPr>
              <w:rPr>
                <w:rFonts w:ascii="Times New Roman" w:hAnsi="Times New Roman" w:cs="Times New Roman"/>
                <w:sz w:val="24"/>
                <w:szCs w:val="28"/>
              </w:rPr>
            </w:pPr>
            <w:r w:rsidRPr="00F56E19">
              <w:rPr>
                <w:rFonts w:ascii="Times New Roman" w:hAnsi="Times New Roman" w:cs="Times New Roman"/>
                <w:sz w:val="24"/>
                <w:szCs w:val="28"/>
              </w:rPr>
              <w:t>Increased target of ransomware and espionage attacks</w:t>
            </w:r>
          </w:p>
        </w:tc>
      </w:tr>
    </w:tbl>
    <w:p w14:paraId="6D540E0C" w14:textId="77777777" w:rsidR="00C54C47" w:rsidRDefault="00C54C47" w:rsidP="00C54C47">
      <w:pPr>
        <w:rPr>
          <w:rFonts w:hint="eastAsia"/>
        </w:rPr>
      </w:pPr>
    </w:p>
    <w:p w14:paraId="1DB23B50" w14:textId="77777777" w:rsidR="00F56E19" w:rsidRP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Therefore, NG must establish a comprehensive information security governance and compliance system to ensure that business goals are consistent with security measures.</w:t>
      </w:r>
    </w:p>
    <w:p w14:paraId="2ACEFF36" w14:textId="77777777" w:rsidR="00F56E19" w:rsidRDefault="00F56E19" w:rsidP="00C54C47">
      <w:pPr>
        <w:rPr>
          <w:rFonts w:hint="eastAsia"/>
        </w:rPr>
      </w:pPr>
    </w:p>
    <w:p w14:paraId="76E05F43" w14:textId="6CC95DBF" w:rsidR="00F56E19" w:rsidRDefault="00F56E19" w:rsidP="00F56E19">
      <w:pPr>
        <w:pStyle w:val="1"/>
        <w:rPr>
          <w:rFonts w:hint="eastAsia"/>
        </w:rPr>
      </w:pPr>
      <w:r>
        <w:rPr>
          <w:rFonts w:hint="eastAsia"/>
        </w:rPr>
        <w:lastRenderedPageBreak/>
        <w:t>3.</w:t>
      </w:r>
      <w:r w:rsidRPr="00F56E19">
        <w:t>Research on various information security frameworks</w:t>
      </w:r>
    </w:p>
    <w:p w14:paraId="1E982410" w14:textId="45F1F220" w:rsidR="00F56E19" w:rsidRPr="00F56E19" w:rsidRDefault="00F56E19" w:rsidP="00F56E19">
      <w:pPr>
        <w:pStyle w:val="2"/>
        <w:rPr>
          <w:rFonts w:hint="eastAsia"/>
        </w:rPr>
      </w:pPr>
      <w:r>
        <w:rPr>
          <w:rFonts w:hint="eastAsia"/>
        </w:rPr>
        <w:t>3.1</w:t>
      </w:r>
      <w:r w:rsidRPr="00C401BA">
        <w:t xml:space="preserve">ISO/IEC 27001 </w:t>
      </w:r>
      <w:r>
        <w:rPr>
          <w:rFonts w:hint="eastAsia"/>
        </w:rPr>
        <w:t>and</w:t>
      </w:r>
      <w:r w:rsidRPr="00C401BA">
        <w:t xml:space="preserve"> ISO/IEC 27002</w:t>
      </w:r>
    </w:p>
    <w:p w14:paraId="4AAB0BBE" w14:textId="7BFF955A" w:rsid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ISO/IEC 27001 is a globally recognized information Security Management System (ISMS) standard that ensures the continuous optimization of the security system through the "Plan - Do - Check - Improve" (PDCA) model</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{"citationID":"WacPFoag","properties":{"formattedCitation":"[6]","plainCitation":"[6]","noteIndex":0},"citationItems":[{"id":326,"uris":["http://zotero.org/users/local/p3tV44H5/items/VVK96IDI"],"itemData":{"id":326,"type":"chapter","container-title":"Engineering Secure Software and Systems","event-place":"Berlin, Heidelberg","ISBN":"978-3-642-28165-5","note":"collection-title: Lecture Notes in Computer Science\nDOI: 10.1007/978-3-642-28166-2_2","page":"14-21","publisher":"Springer Berlin Heidelberg","publisher-place":"Berlin, Heidelberg","source":"DOI.org (Crossref)","title":"Supporting the Development and Documentation of ISO 27001 Information Security Management Systems through Security Requirements Engineering Approaches","URL":"http://link.springer.com/10.1007/978-3-642-28166-2_2","volume":"7159","editor":[{"family":"Barthe","given":"Gilles"},{"family":"Livshits","given":"Benjamin"},{"family":"Scandariato","given":"Riccardo"}],"author":[{"family":"Beckers","given":"Kristian"},{"family":"Faßbender","given":"Stephan"},{"family":"Heisel","given":"Maritta"},{"family":"Küster","given":"Jan-Christoph"},{"family":"Schmidt","given":"Holger"}],"accessed":{"date-parts":[["2025",11,9]]},"issued":{"date-parts":[["2012"]]}}}],"schema":"https://github.com/citation-style-language/schema/raw/master/csl-citation.json"} </w:instrText>
      </w:r>
      <w:r>
        <w:rPr>
          <w:rFonts w:ascii="Times New Roman" w:hAnsi="Times New Roman" w:cs="Times New Roman"/>
          <w:sz w:val="24"/>
          <w:szCs w:val="28"/>
        </w:rPr>
        <w:fldChar w:fldCharType="separate"/>
      </w:r>
      <w:r w:rsidRPr="00F56E19">
        <w:rPr>
          <w:rFonts w:ascii="Times New Roman" w:hAnsi="Times New Roman" w:cs="Times New Roman" w:hint="eastAsia"/>
          <w:sz w:val="24"/>
        </w:rPr>
        <w:t>[6]</w:t>
      </w:r>
      <w:r>
        <w:rPr>
          <w:rFonts w:ascii="Times New Roman" w:hAnsi="Times New Roman" w:cs="Times New Roman"/>
          <w:sz w:val="24"/>
          <w:szCs w:val="28"/>
        </w:rPr>
        <w:fldChar w:fldCharType="end"/>
      </w:r>
      <w:r>
        <w:rPr>
          <w:rFonts w:ascii="Times New Roman" w:hAnsi="Times New Roman" w:cs="Times New Roman" w:hint="eastAsia"/>
          <w:sz w:val="24"/>
          <w:szCs w:val="28"/>
        </w:rPr>
        <w:t xml:space="preserve">. </w:t>
      </w:r>
      <w:r w:rsidRPr="00F56E19">
        <w:rPr>
          <w:rFonts w:ascii="Times New Roman" w:hAnsi="Times New Roman" w:cs="Times New Roman" w:hint="eastAsia"/>
          <w:sz w:val="24"/>
          <w:szCs w:val="28"/>
        </w:rPr>
        <w:t>ISO/IEC 27002 provides a practical guide for implementing control measures, focusing on confidentiality, integrity, and availability (CIA) for deployment</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dawUdIco","properties":{"formattedCitation":"[7]","plainCitation":"[7]","noteIndex":0},"citationItems":[{"id":328,"uris":["http://zotero.org/users/local/p3tV44H5/items/XC9VCZYR"],"itemData":{"id":328,"type":"chapter","container-title":"Cybersecurity","event-place":"Cham","ISBN":"978-3-031-68482-1","language":"en","note":"DOI: 10.1007/978-3-031-68483-8_18","page":"377-403","publisher":"Springer Nature Switzerland","publisher-place":"Cham","source":"DOI.org (Crossref)","title":"Governance and Information Security Management","URL":"https://link.springer.com/10.1007/978-3-031-68483-8_18","container-author":[{"family":"Jøsang","given":"Audun"}],"author":[{"family":"Jøsang","given":"Audun"}],"accessed":{"date-parts":[["2025",11,9]]},"issued":{"date-parts":[["2025"]]}}}],"schema":"https://github.com/citation-style-language/schema/raw/master/csl-citation.json"} </w:instrText>
      </w:r>
      <w:r>
        <w:rPr>
          <w:rFonts w:ascii="Times New Roman" w:hAnsi="Times New Roman" w:cs="Times New Roman"/>
          <w:sz w:val="24"/>
          <w:szCs w:val="28"/>
        </w:rPr>
        <w:fldChar w:fldCharType="separate"/>
      </w:r>
      <w:r w:rsidRPr="00F56E19">
        <w:rPr>
          <w:rFonts w:ascii="Times New Roman" w:hAnsi="Times New Roman" w:cs="Times New Roman" w:hint="eastAsia"/>
          <w:sz w:val="24"/>
        </w:rPr>
        <w:t>[7]</w:t>
      </w:r>
      <w:r>
        <w:rPr>
          <w:rFonts w:ascii="Times New Roman" w:hAnsi="Times New Roman" w:cs="Times New Roman"/>
          <w:sz w:val="24"/>
          <w:szCs w:val="28"/>
        </w:rPr>
        <w:fldChar w:fldCharType="end"/>
      </w:r>
      <w:r w:rsidRPr="00F56E19">
        <w:rPr>
          <w:rFonts w:ascii="Times New Roman" w:hAnsi="Times New Roman" w:cs="Times New Roman" w:hint="eastAsia"/>
          <w:sz w:val="24"/>
          <w:szCs w:val="28"/>
        </w:rPr>
        <w:t>.</w:t>
      </w:r>
    </w:p>
    <w:p w14:paraId="351A110F" w14:textId="77777777" w:rsidR="00F56E19" w:rsidRDefault="00F56E19" w:rsidP="00F56E19">
      <w:pPr>
        <w:rPr>
          <w:rFonts w:ascii="Times New Roman" w:hAnsi="Times New Roman" w:cs="Times New Roman"/>
          <w:sz w:val="24"/>
          <w:szCs w:val="28"/>
        </w:rPr>
      </w:pPr>
    </w:p>
    <w:p w14:paraId="1B841F7A" w14:textId="6D2BFF28" w:rsid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Core contents of ISO/IEC 27001</w:t>
      </w:r>
      <w:r>
        <w:rPr>
          <w:rFonts w:ascii="Times New Roman" w:hAnsi="Times New Roman" w:cs="Times New Roman" w:hint="eastAsia"/>
          <w:sz w:val="24"/>
          <w:szCs w:val="28"/>
        </w:rPr>
        <w:t xml:space="preserve"> as Table 2</w:t>
      </w:r>
      <w:r w:rsidRPr="00F56E19">
        <w:rPr>
          <w:rFonts w:ascii="Times New Roman" w:hAnsi="Times New Roman" w:cs="Times New Roman"/>
          <w:sz w:val="24"/>
          <w:szCs w:val="28"/>
        </w:rPr>
        <w:t>:</w:t>
      </w:r>
    </w:p>
    <w:p w14:paraId="3ED0FE1C" w14:textId="77777777" w:rsidR="00416E8C" w:rsidRDefault="00416E8C" w:rsidP="00F56E19">
      <w:pPr>
        <w:rPr>
          <w:rFonts w:ascii="Times New Roman" w:hAnsi="Times New Roman" w:cs="Times New Roman"/>
          <w:sz w:val="24"/>
          <w:szCs w:val="28"/>
        </w:rPr>
      </w:pPr>
    </w:p>
    <w:p w14:paraId="39A841BA" w14:textId="4A16CDCB" w:rsidR="00F56E19" w:rsidRPr="00F56E19" w:rsidRDefault="00F56E19" w:rsidP="00F56E19">
      <w:pPr>
        <w:jc w:val="center"/>
        <w:rPr>
          <w:rFonts w:ascii="Times New Roman" w:hAnsi="Times New Roman" w:cs="Times New Roman"/>
        </w:rPr>
      </w:pPr>
      <w:r w:rsidRPr="00F56E19">
        <w:rPr>
          <w:rFonts w:ascii="Times New Roman" w:hAnsi="Times New Roman" w:cs="Times New Roman" w:hint="eastAsia"/>
        </w:rPr>
        <w:t>Table 2. Contents of ISO/IEC 27001</w:t>
      </w:r>
    </w:p>
    <w:tbl>
      <w:tblPr>
        <w:tblStyle w:val="af"/>
        <w:tblW w:w="0" w:type="auto"/>
        <w:tblLook w:val="04A0" w:firstRow="1" w:lastRow="0" w:firstColumn="1" w:lastColumn="0" w:noHBand="0" w:noVBand="1"/>
      </w:tblPr>
      <w:tblGrid>
        <w:gridCol w:w="4148"/>
        <w:gridCol w:w="4148"/>
      </w:tblGrid>
      <w:tr w:rsidR="00416E8C" w14:paraId="21AC5088" w14:textId="77777777" w:rsidTr="007E7C3B">
        <w:tc>
          <w:tcPr>
            <w:tcW w:w="4148" w:type="dxa"/>
            <w:vAlign w:val="center"/>
          </w:tcPr>
          <w:p w14:paraId="67B20509" w14:textId="4808B01C" w:rsidR="00416E8C" w:rsidRPr="00416E8C" w:rsidRDefault="00416E8C" w:rsidP="00416E8C">
            <w:pPr>
              <w:jc w:val="center"/>
              <w:rPr>
                <w:rFonts w:ascii="Times New Roman" w:hAnsi="Times New Roman" w:cs="Times New Roman"/>
                <w:sz w:val="24"/>
                <w:szCs w:val="28"/>
              </w:rPr>
            </w:pPr>
            <w:r w:rsidRPr="00416E8C">
              <w:rPr>
                <w:rFonts w:ascii="Times New Roman" w:hAnsi="Times New Roman" w:cs="Times New Roman"/>
              </w:rPr>
              <w:t>Category</w:t>
            </w:r>
          </w:p>
        </w:tc>
        <w:tc>
          <w:tcPr>
            <w:tcW w:w="4148" w:type="dxa"/>
            <w:vAlign w:val="center"/>
          </w:tcPr>
          <w:p w14:paraId="33781AE3" w14:textId="105902E8" w:rsidR="00416E8C" w:rsidRPr="00416E8C" w:rsidRDefault="00416E8C" w:rsidP="00416E8C">
            <w:pPr>
              <w:jc w:val="center"/>
              <w:rPr>
                <w:rFonts w:ascii="Times New Roman" w:hAnsi="Times New Roman" w:cs="Times New Roman"/>
                <w:sz w:val="24"/>
                <w:szCs w:val="28"/>
              </w:rPr>
            </w:pPr>
            <w:r w:rsidRPr="00416E8C">
              <w:rPr>
                <w:rFonts w:ascii="Times New Roman" w:hAnsi="Times New Roman" w:cs="Times New Roman"/>
              </w:rPr>
              <w:t>Description</w:t>
            </w:r>
          </w:p>
        </w:tc>
      </w:tr>
      <w:tr w:rsidR="00416E8C" w14:paraId="7F76ADBA" w14:textId="77777777" w:rsidTr="007E7C3B">
        <w:tc>
          <w:tcPr>
            <w:tcW w:w="4148" w:type="dxa"/>
            <w:vAlign w:val="center"/>
          </w:tcPr>
          <w:p w14:paraId="6A9A319E" w14:textId="41D144DD"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Security Policy</w:t>
            </w:r>
          </w:p>
        </w:tc>
        <w:tc>
          <w:tcPr>
            <w:tcW w:w="4148" w:type="dxa"/>
            <w:vAlign w:val="center"/>
          </w:tcPr>
          <w:p w14:paraId="386E6DCA" w14:textId="144BB02C"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Strategic direction for information protection</w:t>
            </w:r>
          </w:p>
        </w:tc>
      </w:tr>
      <w:tr w:rsidR="00416E8C" w14:paraId="48B04011" w14:textId="77777777" w:rsidTr="007E7C3B">
        <w:tc>
          <w:tcPr>
            <w:tcW w:w="4148" w:type="dxa"/>
            <w:vAlign w:val="center"/>
          </w:tcPr>
          <w:p w14:paraId="06F3C67D" w14:textId="36B25250"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Organizational Security</w:t>
            </w:r>
          </w:p>
        </w:tc>
        <w:tc>
          <w:tcPr>
            <w:tcW w:w="4148" w:type="dxa"/>
            <w:vAlign w:val="center"/>
          </w:tcPr>
          <w:p w14:paraId="51125E16" w14:textId="720CA818"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Clear definition of roles and responsibilities</w:t>
            </w:r>
          </w:p>
        </w:tc>
      </w:tr>
      <w:tr w:rsidR="00416E8C" w14:paraId="739EEEEC" w14:textId="77777777" w:rsidTr="007E7C3B">
        <w:tc>
          <w:tcPr>
            <w:tcW w:w="4148" w:type="dxa"/>
            <w:vAlign w:val="center"/>
          </w:tcPr>
          <w:p w14:paraId="2C96B05B" w14:textId="6A99832C"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Asset Management</w:t>
            </w:r>
          </w:p>
        </w:tc>
        <w:tc>
          <w:tcPr>
            <w:tcW w:w="4148" w:type="dxa"/>
            <w:vAlign w:val="center"/>
          </w:tcPr>
          <w:p w14:paraId="2BF86748" w14:textId="1E4A22E7"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Data classification and secure management</w:t>
            </w:r>
          </w:p>
        </w:tc>
      </w:tr>
      <w:tr w:rsidR="00416E8C" w14:paraId="289C678A" w14:textId="77777777" w:rsidTr="007E7C3B">
        <w:tc>
          <w:tcPr>
            <w:tcW w:w="4148" w:type="dxa"/>
            <w:vAlign w:val="center"/>
          </w:tcPr>
          <w:p w14:paraId="3340D5A9" w14:textId="1D29AB52"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Access Control</w:t>
            </w:r>
          </w:p>
        </w:tc>
        <w:tc>
          <w:tcPr>
            <w:tcW w:w="4148" w:type="dxa"/>
            <w:vAlign w:val="center"/>
          </w:tcPr>
          <w:p w14:paraId="59518D09" w14:textId="629E337E"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Identity and privilege management</w:t>
            </w:r>
          </w:p>
        </w:tc>
      </w:tr>
      <w:tr w:rsidR="00416E8C" w14:paraId="77961BC6" w14:textId="77777777" w:rsidTr="007E7C3B">
        <w:tc>
          <w:tcPr>
            <w:tcW w:w="4148" w:type="dxa"/>
            <w:vAlign w:val="center"/>
          </w:tcPr>
          <w:p w14:paraId="133CE7BC" w14:textId="6A2A4648"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Incident Response</w:t>
            </w:r>
          </w:p>
        </w:tc>
        <w:tc>
          <w:tcPr>
            <w:tcW w:w="4148" w:type="dxa"/>
            <w:vAlign w:val="center"/>
          </w:tcPr>
          <w:p w14:paraId="2292DF88" w14:textId="72D72C5E" w:rsidR="00416E8C" w:rsidRPr="00416E8C" w:rsidRDefault="00416E8C" w:rsidP="00416E8C">
            <w:pPr>
              <w:rPr>
                <w:rFonts w:ascii="Times New Roman" w:hAnsi="Times New Roman" w:cs="Times New Roman"/>
                <w:sz w:val="24"/>
                <w:szCs w:val="28"/>
              </w:rPr>
            </w:pPr>
            <w:r w:rsidRPr="00416E8C">
              <w:rPr>
                <w:rFonts w:ascii="Times New Roman" w:hAnsi="Times New Roman" w:cs="Times New Roman"/>
              </w:rPr>
              <w:t>Reporting mechanisms and recovery procedures</w:t>
            </w:r>
          </w:p>
        </w:tc>
      </w:tr>
    </w:tbl>
    <w:p w14:paraId="6D0B1AD7" w14:textId="77777777" w:rsidR="00F56E19" w:rsidRDefault="00F56E19" w:rsidP="00F56E19">
      <w:pPr>
        <w:rPr>
          <w:rFonts w:ascii="Times New Roman" w:hAnsi="Times New Roman" w:cs="Times New Roman"/>
          <w:sz w:val="24"/>
          <w:szCs w:val="28"/>
        </w:rPr>
      </w:pPr>
    </w:p>
    <w:p w14:paraId="59F1D6D2" w14:textId="07BB23D9" w:rsidR="00F56E19" w:rsidRDefault="00F56E19" w:rsidP="00F56E19">
      <w:pPr>
        <w:rPr>
          <w:rFonts w:ascii="Times New Roman" w:hAnsi="Times New Roman" w:cs="Times New Roman"/>
          <w:sz w:val="24"/>
          <w:szCs w:val="28"/>
        </w:rPr>
      </w:pPr>
      <w:r w:rsidRPr="00F56E19">
        <w:rPr>
          <w:rFonts w:ascii="Times New Roman" w:hAnsi="Times New Roman" w:cs="Times New Roman"/>
          <w:sz w:val="24"/>
          <w:szCs w:val="28"/>
        </w:rPr>
        <w:t>This framework is applicable to organizations with high compliance and auditing requirements, such as NG, which has a global customer base.</w:t>
      </w:r>
    </w:p>
    <w:p w14:paraId="3CF930CD" w14:textId="492C84C3" w:rsidR="00F56E19" w:rsidRPr="00F56E19" w:rsidRDefault="00F56E19" w:rsidP="00F56E19">
      <w:pPr>
        <w:pStyle w:val="2"/>
        <w:rPr>
          <w:rFonts w:hint="eastAsia"/>
        </w:rPr>
      </w:pPr>
      <w:r>
        <w:rPr>
          <w:rFonts w:hint="eastAsia"/>
        </w:rPr>
        <w:t>3.2</w:t>
      </w:r>
      <w:r w:rsidRPr="00F56E19">
        <w:t>ITIL Security Management Model</w:t>
      </w:r>
    </w:p>
    <w:p w14:paraId="3634747C" w14:textId="7BC83D52" w:rsidR="00C41D1F" w:rsidRPr="00C41D1F" w:rsidRDefault="00F56E19" w:rsidP="00C41D1F">
      <w:pPr>
        <w:rPr>
          <w:rFonts w:ascii="Times New Roman" w:hAnsi="Times New Roman" w:cs="Times New Roman"/>
          <w:sz w:val="24"/>
          <w:szCs w:val="24"/>
        </w:rPr>
      </w:pPr>
      <w:r w:rsidRPr="00C41D1F">
        <w:rPr>
          <w:rFonts w:ascii="Times New Roman" w:hAnsi="Times New Roman" w:cs="Times New Roman"/>
          <w:sz w:val="24"/>
          <w:szCs w:val="24"/>
        </w:rPr>
        <w:t xml:space="preserve">ITIL focuses on the management of information technology services to align IT operations with business value </w:t>
      </w:r>
      <w:r w:rsidRPr="00C41D1F">
        <w:rPr>
          <w:rFonts w:ascii="Times New Roman" w:hAnsi="Times New Roman" w:cs="Times New Roman"/>
          <w:sz w:val="24"/>
          <w:szCs w:val="24"/>
        </w:rPr>
        <w:fldChar w:fldCharType="begin"/>
      </w:r>
      <w:r w:rsidR="00E52B6B">
        <w:rPr>
          <w:rFonts w:ascii="Times New Roman" w:hAnsi="Times New Roman" w:cs="Times New Roman"/>
          <w:sz w:val="24"/>
          <w:szCs w:val="24"/>
        </w:rPr>
        <w:instrText xml:space="preserve"> ADDIN ZOTERO_ITEM CSL_CITATION {"citationID":"ZwVKgzzA","properties":{"formattedCitation":"[8]","plainCitation":"[8]","noteIndex":0},"citationItems":[{"id":354,"uris":["http://zotero.org/users/local/p3tV44H5/items/UD7CHKUU"],"itemData":{"id":354,"type":"book","publisher":"Van Haren","source":"Google Scholar","title":"Passing the ITIL® Foundation Exam","URL":"https://books.google.com/books?hl=zh-CN&amp;lr=&amp;id=6WteAgAAQBAJ&amp;oi=fnd&amp;pg=PR5&amp;dq=Pultorak,+D.,+Nelson,+J.+E.,+%26+Pultorak,+V.+(1970).+Passing+the+ITIL%C2%AE+Foundation+Exam.+Van+Haren.&amp;ots=Kd_MeE-WYn&amp;sig=k7fCDgDhZUy951pZYtunHZVcypI","author":[{"family":"Pultorak","given":"David"},{"family":"Nelson","given":"Jon E."},{"family":"Pultorak","given":"Vince"}],"accessed":{"date-parts":[["2025",11,9]]},"issued":{"date-parts":[["2017"]]}}}],"schema":"https://github.com/citation-style-language/schema/raw/master/csl-citation.json"} </w:instrText>
      </w:r>
      <w:r w:rsidRPr="00C41D1F">
        <w:rPr>
          <w:rFonts w:ascii="Times New Roman" w:hAnsi="Times New Roman" w:cs="Times New Roman"/>
          <w:sz w:val="24"/>
          <w:szCs w:val="24"/>
        </w:rPr>
        <w:fldChar w:fldCharType="separate"/>
      </w:r>
      <w:r w:rsidR="00C41D1F" w:rsidRPr="00C41D1F">
        <w:rPr>
          <w:rFonts w:ascii="Times New Roman" w:hAnsi="Times New Roman" w:cs="Times New Roman"/>
          <w:sz w:val="24"/>
          <w:szCs w:val="24"/>
        </w:rPr>
        <w:t>[8]</w:t>
      </w:r>
      <w:r w:rsidRPr="00C41D1F">
        <w:rPr>
          <w:rFonts w:ascii="Times New Roman" w:hAnsi="Times New Roman" w:cs="Times New Roman"/>
          <w:sz w:val="24"/>
          <w:szCs w:val="24"/>
        </w:rPr>
        <w:fldChar w:fldCharType="end"/>
      </w:r>
      <w:r w:rsidRPr="00C41D1F">
        <w:rPr>
          <w:rFonts w:ascii="Times New Roman" w:hAnsi="Times New Roman" w:cs="Times New Roman"/>
          <w:sz w:val="24"/>
          <w:szCs w:val="24"/>
        </w:rPr>
        <w:t>.</w:t>
      </w:r>
      <w:r w:rsidR="00C41D1F" w:rsidRPr="00C41D1F">
        <w:rPr>
          <w:rFonts w:ascii="Times New Roman" w:hAnsi="Times New Roman" w:cs="Times New Roman"/>
          <w:sz w:val="24"/>
          <w:szCs w:val="24"/>
        </w:rPr>
        <w:t xml:space="preserve"> Its service life cycle includes:</w:t>
      </w:r>
    </w:p>
    <w:p w14:paraId="77674598" w14:textId="268E4C08" w:rsidR="00F56E19"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Service Design: Access Control and Security Design Strategies.</w:t>
      </w:r>
    </w:p>
    <w:p w14:paraId="0C857D33" w14:textId="6BD97AA8" w:rsidR="00C41D1F"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Service Transition: Change Management, Risk Assessment.</w:t>
      </w:r>
    </w:p>
    <w:p w14:paraId="16AC49CE" w14:textId="4C44B3F1" w:rsidR="00C41D1F"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Service Operations: Operation Monitoring, Incident Response, SLA Execution.</w:t>
      </w:r>
    </w:p>
    <w:p w14:paraId="68C3BE33" w14:textId="5BCA2F35" w:rsidR="00C41D1F" w:rsidRPr="00C41D1F" w:rsidRDefault="00C41D1F" w:rsidP="00C41D1F">
      <w:pPr>
        <w:pStyle w:val="a9"/>
        <w:numPr>
          <w:ilvl w:val="0"/>
          <w:numId w:val="1"/>
        </w:numPr>
        <w:rPr>
          <w:rFonts w:ascii="Times New Roman" w:hAnsi="Times New Roman" w:cs="Times New Roman"/>
          <w:sz w:val="24"/>
          <w:szCs w:val="24"/>
        </w:rPr>
      </w:pPr>
      <w:r w:rsidRPr="00C41D1F">
        <w:rPr>
          <w:rFonts w:ascii="Times New Roman" w:hAnsi="Times New Roman" w:cs="Times New Roman"/>
          <w:sz w:val="24"/>
          <w:szCs w:val="24"/>
        </w:rPr>
        <w:t>Continuous Improvement: Continuous Optimization Based on Indicators</w:t>
      </w:r>
    </w:p>
    <w:p w14:paraId="4C2609CC" w14:textId="77777777" w:rsidR="00C41D1F" w:rsidRDefault="00C41D1F" w:rsidP="00C41D1F">
      <w:pPr>
        <w:pStyle w:val="target"/>
        <w:shd w:val="clear" w:color="auto" w:fill="FFFFFF"/>
        <w:spacing w:before="0" w:beforeAutospacing="0" w:after="0" w:afterAutospacing="0" w:line="315" w:lineRule="atLeast"/>
        <w:rPr>
          <w:rFonts w:ascii="Times New Roman" w:hAnsi="Times New Roman" w:cs="Times New Roman"/>
          <w:color w:val="2A2B2E"/>
        </w:rPr>
      </w:pPr>
    </w:p>
    <w:p w14:paraId="47ED0E97" w14:textId="0D2128C7" w:rsidR="00C41D1F" w:rsidRPr="00C41D1F" w:rsidRDefault="00C41D1F" w:rsidP="00C41D1F">
      <w:pPr>
        <w:pStyle w:val="target"/>
        <w:shd w:val="clear" w:color="auto" w:fill="FFFFFF"/>
        <w:spacing w:before="0" w:beforeAutospacing="0" w:after="0" w:afterAutospacing="0" w:line="315" w:lineRule="atLeast"/>
        <w:rPr>
          <w:rFonts w:ascii="Times New Roman" w:hAnsi="Times New Roman" w:cs="Times New Roman"/>
          <w:color w:val="2A2B2E"/>
        </w:rPr>
      </w:pPr>
      <w:r w:rsidRPr="00C41D1F">
        <w:rPr>
          <w:rFonts w:ascii="Times New Roman" w:hAnsi="Times New Roman" w:cs="Times New Roman"/>
          <w:color w:val="2A2B2E"/>
        </w:rPr>
        <w:t>For the cloud and wireless service delivery scenarios of NG, ITIL can maintain the parallel development of user experience and security control.</w:t>
      </w:r>
    </w:p>
    <w:p w14:paraId="72BE6785" w14:textId="6803B2D3" w:rsidR="00C41D1F" w:rsidRDefault="00C41D1F" w:rsidP="00C41D1F">
      <w:pPr>
        <w:pStyle w:val="2"/>
        <w:rPr>
          <w:rFonts w:hint="eastAsia"/>
        </w:rPr>
      </w:pPr>
      <w:r w:rsidRPr="00C41D1F">
        <w:lastRenderedPageBreak/>
        <w:t>3.3 COBIT Governance and Compliance Framework</w:t>
      </w:r>
    </w:p>
    <w:p w14:paraId="76DA8190" w14:textId="3BE08627" w:rsid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COBIT (Control Objectives for Information and Related Technologies) emphasizes enterprise-level IT governance and compliance, and supports the implementation of strategic goals</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{"citationID":"bUCUIT8c","properties":{"formattedCitation":"[9]","plainCitation":"[9]","noteIndex":0},"citationItems":[{"id":329,"uris":["http://zotero.org/users/local/p3tV44H5/items/4GYKFE8Q"],"itemData":{"id":329,"type":"book","publisher":"ISACA","source":"Google Scholar","title":"COBIT® 2019 Framework: Governance and Management Objectives","title-short":"COBIT® 2019 Framework","author":[{"family":"Audit","given":"Information Systems"},{"family":"Association","given":"Control"}],"issued":{"date-parts":[["2018"]]}}}],"schema":"https://github.com/citation-style-language/schema/raw/master/csl-citation.json"} </w:instrText>
      </w:r>
      <w:r>
        <w:rPr>
          <w:rFonts w:ascii="Times New Roman" w:hAnsi="Times New Roman" w:cs="Times New Roman"/>
          <w:sz w:val="24"/>
          <w:szCs w:val="28"/>
        </w:rPr>
        <w:fldChar w:fldCharType="separate"/>
      </w:r>
      <w:r w:rsidRPr="00C41D1F">
        <w:rPr>
          <w:rFonts w:ascii="Times New Roman" w:hAnsi="Times New Roman" w:cs="Times New Roman" w:hint="eastAsia"/>
          <w:sz w:val="24"/>
        </w:rPr>
        <w:t>[9]</w:t>
      </w:r>
      <w:r>
        <w:rPr>
          <w:rFonts w:ascii="Times New Roman" w:hAnsi="Times New Roman" w:cs="Times New Roman"/>
          <w:sz w:val="24"/>
          <w:szCs w:val="28"/>
        </w:rPr>
        <w:fldChar w:fldCharType="end"/>
      </w:r>
      <w:r w:rsidRPr="00C41D1F">
        <w:rPr>
          <w:rFonts w:ascii="Times New Roman" w:hAnsi="Times New Roman" w:cs="Times New Roman"/>
          <w:sz w:val="24"/>
          <w:szCs w:val="28"/>
        </w:rPr>
        <w:t>.</w:t>
      </w:r>
      <w:r>
        <w:rPr>
          <w:rFonts w:ascii="Times New Roman" w:hAnsi="Times New Roman" w:cs="Times New Roman" w:hint="eastAsia"/>
          <w:sz w:val="24"/>
          <w:szCs w:val="28"/>
        </w:rPr>
        <w:t xml:space="preserve"> </w:t>
      </w:r>
      <w:r w:rsidRPr="00C41D1F">
        <w:rPr>
          <w:rFonts w:ascii="Times New Roman" w:hAnsi="Times New Roman" w:cs="Times New Roman"/>
          <w:sz w:val="24"/>
          <w:szCs w:val="28"/>
        </w:rPr>
        <w:t xml:space="preserve">The five areas highly related to NG in COBIT 2019 are as </w:t>
      </w:r>
      <w:r>
        <w:rPr>
          <w:rFonts w:ascii="Times New Roman" w:hAnsi="Times New Roman" w:cs="Times New Roman" w:hint="eastAsia"/>
          <w:sz w:val="24"/>
          <w:szCs w:val="28"/>
        </w:rPr>
        <w:t>Table 3.</w:t>
      </w:r>
    </w:p>
    <w:p w14:paraId="5D46830B" w14:textId="77777777" w:rsidR="00C41D1F" w:rsidRDefault="00C41D1F" w:rsidP="00C41D1F">
      <w:pPr>
        <w:rPr>
          <w:rFonts w:ascii="Times New Roman" w:hAnsi="Times New Roman" w:cs="Times New Roman"/>
          <w:sz w:val="24"/>
          <w:szCs w:val="28"/>
        </w:rPr>
      </w:pPr>
    </w:p>
    <w:p w14:paraId="68EF4E9A" w14:textId="5EFF6D44" w:rsidR="00C41D1F" w:rsidRPr="00C41D1F" w:rsidRDefault="00C41D1F" w:rsidP="00C41D1F">
      <w:pPr>
        <w:jc w:val="center"/>
        <w:rPr>
          <w:rFonts w:ascii="Times New Roman" w:hAnsi="Times New Roman" w:cs="Times New Roman"/>
        </w:rPr>
      </w:pPr>
      <w:r w:rsidRPr="00C41D1F">
        <w:rPr>
          <w:rFonts w:ascii="Times New Roman" w:hAnsi="Times New Roman" w:cs="Times New Roman" w:hint="eastAsia"/>
        </w:rPr>
        <w:t xml:space="preserve">Table 3. </w:t>
      </w:r>
      <w:r w:rsidRPr="00C41D1F">
        <w:rPr>
          <w:rFonts w:ascii="Times New Roman" w:hAnsi="Times New Roman" w:cs="Times New Roman"/>
        </w:rPr>
        <w:t xml:space="preserve">COBIT Domains and Their Applications in </w:t>
      </w:r>
      <w:proofErr w:type="spellStart"/>
      <w:r w:rsidRPr="00C41D1F">
        <w:rPr>
          <w:rFonts w:ascii="Times New Roman" w:hAnsi="Times New Roman" w:cs="Times New Roman"/>
        </w:rPr>
        <w:t>NatureGreen</w:t>
      </w:r>
      <w:proofErr w:type="spellEnd"/>
      <w:r w:rsidRPr="00C41D1F">
        <w:rPr>
          <w:rFonts w:ascii="Times New Roman" w:hAnsi="Times New Roman" w:cs="Times New Roman"/>
        </w:rPr>
        <w:t xml:space="preserve"> (NG)</w:t>
      </w:r>
    </w:p>
    <w:tbl>
      <w:tblPr>
        <w:tblStyle w:val="af"/>
        <w:tblW w:w="0" w:type="auto"/>
        <w:tblLook w:val="04A0" w:firstRow="1" w:lastRow="0" w:firstColumn="1" w:lastColumn="0" w:noHBand="0" w:noVBand="1"/>
      </w:tblPr>
      <w:tblGrid>
        <w:gridCol w:w="4148"/>
        <w:gridCol w:w="4148"/>
      </w:tblGrid>
      <w:tr w:rsidR="00C41D1F" w14:paraId="43987864" w14:textId="77777777" w:rsidTr="00561675">
        <w:tc>
          <w:tcPr>
            <w:tcW w:w="4148" w:type="dxa"/>
            <w:vAlign w:val="center"/>
          </w:tcPr>
          <w:p w14:paraId="4358CB18" w14:textId="323DE255" w:rsidR="00C41D1F" w:rsidRPr="00416E8C" w:rsidRDefault="00C41D1F" w:rsidP="00C41D1F">
            <w:pPr>
              <w:jc w:val="center"/>
              <w:rPr>
                <w:rFonts w:ascii="Times New Roman" w:hAnsi="Times New Roman" w:cs="Times New Roman"/>
              </w:rPr>
            </w:pPr>
            <w:r w:rsidRPr="00416E8C">
              <w:rPr>
                <w:rFonts w:ascii="Times New Roman" w:hAnsi="Times New Roman" w:cs="Times New Roman"/>
              </w:rPr>
              <w:t>Domain</w:t>
            </w:r>
          </w:p>
        </w:tc>
        <w:tc>
          <w:tcPr>
            <w:tcW w:w="4148" w:type="dxa"/>
            <w:vAlign w:val="center"/>
          </w:tcPr>
          <w:p w14:paraId="40742ABD" w14:textId="0B209C6A" w:rsidR="00C41D1F" w:rsidRPr="00416E8C" w:rsidRDefault="00C41D1F" w:rsidP="00C41D1F">
            <w:pPr>
              <w:jc w:val="center"/>
              <w:rPr>
                <w:rFonts w:ascii="Times New Roman" w:hAnsi="Times New Roman" w:cs="Times New Roman"/>
              </w:rPr>
            </w:pPr>
            <w:r w:rsidRPr="00416E8C">
              <w:rPr>
                <w:rFonts w:ascii="Times New Roman" w:hAnsi="Times New Roman" w:cs="Times New Roman"/>
              </w:rPr>
              <w:t>Application in NG</w:t>
            </w:r>
          </w:p>
        </w:tc>
      </w:tr>
      <w:tr w:rsidR="00C41D1F" w14:paraId="0554BEDF" w14:textId="77777777" w:rsidTr="00561675">
        <w:tc>
          <w:tcPr>
            <w:tcW w:w="4148" w:type="dxa"/>
            <w:vAlign w:val="center"/>
          </w:tcPr>
          <w:p w14:paraId="4B4F651A" w14:textId="7D1D578F" w:rsidR="00C41D1F" w:rsidRPr="00416E8C" w:rsidRDefault="00C41D1F" w:rsidP="00C41D1F">
            <w:pPr>
              <w:rPr>
                <w:rFonts w:ascii="Times New Roman" w:hAnsi="Times New Roman" w:cs="Times New Roman"/>
              </w:rPr>
            </w:pPr>
            <w:r w:rsidRPr="00416E8C">
              <w:rPr>
                <w:rFonts w:ascii="Times New Roman" w:hAnsi="Times New Roman" w:cs="Times New Roman"/>
              </w:rPr>
              <w:t>EDM (Evaluate, Direct and Monitor)</w:t>
            </w:r>
          </w:p>
        </w:tc>
        <w:tc>
          <w:tcPr>
            <w:tcW w:w="4148" w:type="dxa"/>
            <w:vAlign w:val="center"/>
          </w:tcPr>
          <w:p w14:paraId="3FE668F1" w14:textId="69B50CF8" w:rsidR="00C41D1F" w:rsidRPr="00416E8C" w:rsidRDefault="00C41D1F" w:rsidP="00C41D1F">
            <w:pPr>
              <w:rPr>
                <w:rFonts w:ascii="Times New Roman" w:hAnsi="Times New Roman" w:cs="Times New Roman"/>
              </w:rPr>
            </w:pPr>
            <w:r w:rsidRPr="00416E8C">
              <w:rPr>
                <w:rFonts w:ascii="Times New Roman" w:hAnsi="Times New Roman" w:cs="Times New Roman"/>
              </w:rPr>
              <w:t>Executive-level strategic security governance</w:t>
            </w:r>
          </w:p>
        </w:tc>
      </w:tr>
      <w:tr w:rsidR="00C41D1F" w14:paraId="7EB0E721" w14:textId="77777777" w:rsidTr="00561675">
        <w:tc>
          <w:tcPr>
            <w:tcW w:w="4148" w:type="dxa"/>
            <w:vAlign w:val="center"/>
          </w:tcPr>
          <w:p w14:paraId="1F2B11E8" w14:textId="61BF8864" w:rsidR="00C41D1F" w:rsidRPr="00416E8C" w:rsidRDefault="00C41D1F" w:rsidP="00C41D1F">
            <w:pPr>
              <w:rPr>
                <w:rFonts w:ascii="Times New Roman" w:hAnsi="Times New Roman" w:cs="Times New Roman"/>
              </w:rPr>
            </w:pPr>
            <w:r w:rsidRPr="00416E8C">
              <w:rPr>
                <w:rFonts w:ascii="Times New Roman" w:hAnsi="Times New Roman" w:cs="Times New Roman"/>
              </w:rPr>
              <w:t>APO (Align, Plan and Organize)</w:t>
            </w:r>
          </w:p>
        </w:tc>
        <w:tc>
          <w:tcPr>
            <w:tcW w:w="4148" w:type="dxa"/>
            <w:vAlign w:val="center"/>
          </w:tcPr>
          <w:p w14:paraId="525AC127" w14:textId="0BE05FAA" w:rsidR="00C41D1F" w:rsidRPr="00416E8C" w:rsidRDefault="00C41D1F" w:rsidP="00C41D1F">
            <w:pPr>
              <w:rPr>
                <w:rFonts w:ascii="Times New Roman" w:hAnsi="Times New Roman" w:cs="Times New Roman"/>
              </w:rPr>
            </w:pPr>
            <w:r w:rsidRPr="00416E8C">
              <w:rPr>
                <w:rFonts w:ascii="Times New Roman" w:hAnsi="Times New Roman" w:cs="Times New Roman"/>
              </w:rPr>
              <w:t>Security policy development and strategic planning</w:t>
            </w:r>
          </w:p>
        </w:tc>
      </w:tr>
      <w:tr w:rsidR="00C41D1F" w14:paraId="4DFDB7EE" w14:textId="77777777" w:rsidTr="00561675">
        <w:tc>
          <w:tcPr>
            <w:tcW w:w="4148" w:type="dxa"/>
            <w:vAlign w:val="center"/>
          </w:tcPr>
          <w:p w14:paraId="639FE7C1" w14:textId="39C2AF7C" w:rsidR="00C41D1F" w:rsidRPr="00416E8C" w:rsidRDefault="00C41D1F" w:rsidP="00C41D1F">
            <w:pPr>
              <w:rPr>
                <w:rFonts w:ascii="Times New Roman" w:hAnsi="Times New Roman" w:cs="Times New Roman"/>
              </w:rPr>
            </w:pPr>
            <w:r w:rsidRPr="00416E8C">
              <w:rPr>
                <w:rFonts w:ascii="Times New Roman" w:hAnsi="Times New Roman" w:cs="Times New Roman"/>
              </w:rPr>
              <w:t>BAI (Build, Acquire and Implement)</w:t>
            </w:r>
          </w:p>
        </w:tc>
        <w:tc>
          <w:tcPr>
            <w:tcW w:w="4148" w:type="dxa"/>
            <w:vAlign w:val="center"/>
          </w:tcPr>
          <w:p w14:paraId="088AC03E" w14:textId="7CD300C2" w:rsidR="00C41D1F" w:rsidRPr="00416E8C" w:rsidRDefault="00C41D1F" w:rsidP="00C41D1F">
            <w:pPr>
              <w:rPr>
                <w:rFonts w:ascii="Times New Roman" w:hAnsi="Times New Roman" w:cs="Times New Roman"/>
              </w:rPr>
            </w:pPr>
            <w:r w:rsidRPr="00416E8C">
              <w:rPr>
                <w:rFonts w:ascii="Times New Roman" w:hAnsi="Times New Roman" w:cs="Times New Roman"/>
              </w:rPr>
              <w:t>Secure cloud deployment and technology selection</w:t>
            </w:r>
          </w:p>
        </w:tc>
      </w:tr>
      <w:tr w:rsidR="00C41D1F" w14:paraId="276C912E" w14:textId="77777777" w:rsidTr="00561675">
        <w:tc>
          <w:tcPr>
            <w:tcW w:w="4148" w:type="dxa"/>
            <w:vAlign w:val="center"/>
          </w:tcPr>
          <w:p w14:paraId="19860226" w14:textId="45D11514" w:rsidR="00C41D1F" w:rsidRPr="00416E8C" w:rsidRDefault="00C41D1F" w:rsidP="00C41D1F">
            <w:pPr>
              <w:rPr>
                <w:rFonts w:ascii="Times New Roman" w:hAnsi="Times New Roman" w:cs="Times New Roman"/>
              </w:rPr>
            </w:pPr>
            <w:r w:rsidRPr="00416E8C">
              <w:rPr>
                <w:rFonts w:ascii="Times New Roman" w:hAnsi="Times New Roman" w:cs="Times New Roman"/>
              </w:rPr>
              <w:t>DSS (Deliver, Service and Support)</w:t>
            </w:r>
          </w:p>
        </w:tc>
        <w:tc>
          <w:tcPr>
            <w:tcW w:w="4148" w:type="dxa"/>
            <w:vAlign w:val="center"/>
          </w:tcPr>
          <w:p w14:paraId="450D39BB" w14:textId="01226AD3" w:rsidR="00C41D1F" w:rsidRPr="00416E8C" w:rsidRDefault="00C41D1F" w:rsidP="00C41D1F">
            <w:pPr>
              <w:rPr>
                <w:rFonts w:ascii="Times New Roman" w:hAnsi="Times New Roman" w:cs="Times New Roman"/>
              </w:rPr>
            </w:pPr>
            <w:r w:rsidRPr="00416E8C">
              <w:rPr>
                <w:rFonts w:ascii="Times New Roman" w:hAnsi="Times New Roman" w:cs="Times New Roman"/>
              </w:rPr>
              <w:t>Operational security and access management</w:t>
            </w:r>
          </w:p>
        </w:tc>
      </w:tr>
      <w:tr w:rsidR="00C41D1F" w14:paraId="3869C9BC" w14:textId="77777777" w:rsidTr="00561675">
        <w:tc>
          <w:tcPr>
            <w:tcW w:w="4148" w:type="dxa"/>
            <w:vAlign w:val="center"/>
          </w:tcPr>
          <w:p w14:paraId="0B0A47D0" w14:textId="2068C9DD" w:rsidR="00C41D1F" w:rsidRPr="00416E8C" w:rsidRDefault="00C41D1F" w:rsidP="00C41D1F">
            <w:pPr>
              <w:rPr>
                <w:rFonts w:ascii="Times New Roman" w:hAnsi="Times New Roman" w:cs="Times New Roman"/>
              </w:rPr>
            </w:pPr>
            <w:r w:rsidRPr="00416E8C">
              <w:rPr>
                <w:rFonts w:ascii="Times New Roman" w:hAnsi="Times New Roman" w:cs="Times New Roman"/>
              </w:rPr>
              <w:t>MEA (Monitor, Evaluate and Assess)</w:t>
            </w:r>
          </w:p>
        </w:tc>
        <w:tc>
          <w:tcPr>
            <w:tcW w:w="4148" w:type="dxa"/>
            <w:vAlign w:val="center"/>
          </w:tcPr>
          <w:p w14:paraId="2471AF96" w14:textId="6F14F960" w:rsidR="00C41D1F" w:rsidRPr="00416E8C" w:rsidRDefault="00C41D1F" w:rsidP="00C41D1F">
            <w:pPr>
              <w:rPr>
                <w:rFonts w:ascii="Times New Roman" w:hAnsi="Times New Roman" w:cs="Times New Roman"/>
              </w:rPr>
            </w:pPr>
            <w:r w:rsidRPr="00416E8C">
              <w:rPr>
                <w:rFonts w:ascii="Times New Roman" w:hAnsi="Times New Roman" w:cs="Times New Roman"/>
              </w:rPr>
              <w:t>Compliance and audit management</w:t>
            </w:r>
          </w:p>
        </w:tc>
      </w:tr>
    </w:tbl>
    <w:p w14:paraId="74983FA2" w14:textId="77777777" w:rsidR="00C41D1F" w:rsidRDefault="00C41D1F" w:rsidP="00C41D1F">
      <w:pPr>
        <w:rPr>
          <w:rFonts w:ascii="Times New Roman" w:hAnsi="Times New Roman" w:cs="Times New Roman"/>
          <w:sz w:val="24"/>
          <w:szCs w:val="28"/>
        </w:rPr>
      </w:pPr>
    </w:p>
    <w:p w14:paraId="20084E47" w14:textId="043534FA" w:rsid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This model strengthens the division of responsibilities and safety accountability across organizational departments.</w:t>
      </w:r>
    </w:p>
    <w:p w14:paraId="74EFCA6C" w14:textId="77777777" w:rsidR="00C41D1F" w:rsidRPr="00C41D1F" w:rsidRDefault="00C41D1F" w:rsidP="00C41D1F">
      <w:pPr>
        <w:pStyle w:val="2"/>
        <w:rPr>
          <w:rFonts w:hint="eastAsia"/>
        </w:rPr>
      </w:pPr>
      <w:r w:rsidRPr="00C41D1F">
        <w:t>3.4 NIST Cybersecurity Framework</w:t>
      </w:r>
    </w:p>
    <w:p w14:paraId="23CC90A6" w14:textId="7672055E"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NIST CSF defines network risk management with five core functions: identification, protection, detection, response, and recovery</w:t>
      </w:r>
      <w:r>
        <w:rPr>
          <w:rFonts w:ascii="Times New Roman" w:hAnsi="Times New Roman" w:cs="Times New Roman" w:hint="eastAsia"/>
          <w:sz w:val="24"/>
          <w:szCs w:val="28"/>
        </w:rPr>
        <w:t xml:space="preserve"> </w:t>
      </w:r>
      <w:r>
        <w:rPr>
          <w:rFonts w:ascii="Times New Roman" w:hAnsi="Times New Roman" w:cs="Times New Roman"/>
          <w:sz w:val="24"/>
          <w:szCs w:val="28"/>
        </w:rPr>
        <w:fldChar w:fldCharType="begin"/>
      </w:r>
      <w:r>
        <w:rPr>
          <w:rFonts w:ascii="Times New Roman" w:hAnsi="Times New Roman" w:cs="Times New Roman"/>
          <w:sz w:val="24"/>
          <w:szCs w:val="28"/>
        </w:rPr>
        <w:instrText xml:space="preserve"> ADDIN ZOTERO_ITEM CSL_CITATION {"citationID":"pWMG5tit","properties":{"formattedCitation":"[10]","plainCitation":"[10]","noteIndex":0},"citationItems":[{"id":330,"uris":["http://zotero.org/users/local/p3tV44H5/items/VG7B4E69"],"itemData":{"id":330,"type":"chapter","container-title":"Research anthology on business aspects of cybersecurity","page":"39–55","publisher":"IGI Global","source":"Google Scholar","title":"The NIST cybersecurity framework","URL":"https://www.igi-global.com/chapter/the-nist-cybersecurity-framework/288672","author":[{"family":"White","given":"Gregory B."},{"family":"Sjelin","given":"Natalie"}],"accessed":{"date-parts":[["2025",11,9]]},"issued":{"date-parts":[["2022"]]}}}],"schema":"https://github.com/citation-style-language/schema/raw/master/csl-citation.json"} </w:instrText>
      </w:r>
      <w:r>
        <w:rPr>
          <w:rFonts w:ascii="Times New Roman" w:hAnsi="Times New Roman" w:cs="Times New Roman"/>
          <w:sz w:val="24"/>
          <w:szCs w:val="28"/>
        </w:rPr>
        <w:fldChar w:fldCharType="separate"/>
      </w:r>
      <w:r w:rsidRPr="00C41D1F">
        <w:rPr>
          <w:rFonts w:ascii="Times New Roman" w:hAnsi="Times New Roman" w:cs="Times New Roman" w:hint="eastAsia"/>
          <w:sz w:val="24"/>
        </w:rPr>
        <w:t>[10]</w:t>
      </w:r>
      <w:r>
        <w:rPr>
          <w:rFonts w:ascii="Times New Roman" w:hAnsi="Times New Roman" w:cs="Times New Roman"/>
          <w:sz w:val="24"/>
          <w:szCs w:val="28"/>
        </w:rPr>
        <w:fldChar w:fldCharType="end"/>
      </w:r>
      <w:r>
        <w:rPr>
          <w:rFonts w:ascii="Times New Roman" w:hAnsi="Times New Roman" w:cs="Times New Roman" w:hint="eastAsia"/>
          <w:sz w:val="24"/>
          <w:szCs w:val="28"/>
        </w:rPr>
        <w:t xml:space="preserve">. </w:t>
      </w:r>
    </w:p>
    <w:p w14:paraId="0CDF4115" w14:textId="77777777"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NIST emphasizes:</w:t>
      </w:r>
    </w:p>
    <w:p w14:paraId="4C40615F" w14:textId="604AEB81"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Asset identification</w:t>
      </w:r>
    </w:p>
    <w:p w14:paraId="417E11D0" w14:textId="4F275BCF"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Network access and behavior monitoring</w:t>
      </w:r>
    </w:p>
    <w:p w14:paraId="16C90053" w14:textId="1D70B200"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Intrusion detection response capability</w:t>
      </w:r>
    </w:p>
    <w:p w14:paraId="7444742C" w14:textId="77F982C3" w:rsidR="00C41D1F" w:rsidRDefault="00C41D1F" w:rsidP="00C41D1F">
      <w:pPr>
        <w:pStyle w:val="a9"/>
        <w:numPr>
          <w:ilvl w:val="0"/>
          <w:numId w:val="2"/>
        </w:numPr>
        <w:rPr>
          <w:rFonts w:ascii="Times New Roman" w:hAnsi="Times New Roman" w:cs="Times New Roman"/>
          <w:sz w:val="24"/>
          <w:szCs w:val="28"/>
        </w:rPr>
      </w:pPr>
      <w:r w:rsidRPr="00C41D1F">
        <w:rPr>
          <w:rFonts w:ascii="Times New Roman" w:hAnsi="Times New Roman" w:cs="Times New Roman" w:hint="eastAsia"/>
          <w:sz w:val="24"/>
          <w:szCs w:val="28"/>
        </w:rPr>
        <w:t>Business continuity and disaster recovery</w:t>
      </w:r>
    </w:p>
    <w:p w14:paraId="490CA7E4" w14:textId="77777777" w:rsidR="00C41D1F" w:rsidRDefault="00C41D1F" w:rsidP="00C41D1F">
      <w:pPr>
        <w:pStyle w:val="target"/>
        <w:shd w:val="clear" w:color="auto" w:fill="FFFFFF"/>
        <w:spacing w:before="0" w:beforeAutospacing="0" w:after="0" w:afterAutospacing="0" w:line="315" w:lineRule="atLeast"/>
        <w:rPr>
          <w:rFonts w:ascii="Segoe UI" w:hAnsi="Segoe UI" w:cs="Segoe UI"/>
          <w:color w:val="2A2B2E"/>
          <w:sz w:val="21"/>
          <w:szCs w:val="21"/>
        </w:rPr>
      </w:pPr>
    </w:p>
    <w:p w14:paraId="231B45FD" w14:textId="2B660B77" w:rsidR="00C41D1F" w:rsidRDefault="00C41D1F" w:rsidP="00C41D1F">
      <w:pPr>
        <w:pStyle w:val="target"/>
        <w:shd w:val="clear" w:color="auto" w:fill="FFFFFF"/>
        <w:spacing w:before="0" w:beforeAutospacing="0" w:after="0" w:afterAutospacing="0" w:line="315" w:lineRule="atLeast"/>
        <w:rPr>
          <w:rFonts w:ascii="Times New Roman" w:hAnsi="Times New Roman" w:cs="Times New Roman"/>
          <w:color w:val="2A2B2E"/>
        </w:rPr>
      </w:pPr>
      <w:r w:rsidRPr="00C41D1F">
        <w:rPr>
          <w:rFonts w:ascii="Times New Roman" w:hAnsi="Times New Roman" w:cs="Times New Roman"/>
          <w:color w:val="2A2B2E"/>
        </w:rPr>
        <w:t>For a wireless and BYOD dense environment like NG, NIST is an important reference for enhancing organizational security resilience.</w:t>
      </w:r>
    </w:p>
    <w:p w14:paraId="4E29013E" w14:textId="5FB003AD" w:rsidR="00C41D1F" w:rsidRDefault="00C41D1F" w:rsidP="00C41D1F">
      <w:pPr>
        <w:pStyle w:val="1"/>
        <w:rPr>
          <w:rFonts w:hint="eastAsia"/>
        </w:rPr>
      </w:pPr>
      <w:r>
        <w:rPr>
          <w:rFonts w:hint="eastAsia"/>
        </w:rPr>
        <w:t>4.</w:t>
      </w:r>
      <w:r w:rsidRPr="00C41D1F">
        <w:t>NG Safety Governance and Compliance System Design</w:t>
      </w:r>
    </w:p>
    <w:p w14:paraId="1C427F04" w14:textId="77777777"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Based on the aforementioned framework analysis, this chapter proposes security governance strategies and compliance solutions for NG wireless networks, cloud services, and BYOD usage scenarios.</w:t>
      </w:r>
    </w:p>
    <w:p w14:paraId="369ECD93" w14:textId="77777777" w:rsidR="00C41D1F" w:rsidRPr="00C41D1F" w:rsidRDefault="00C41D1F" w:rsidP="00C41D1F">
      <w:pPr>
        <w:pStyle w:val="2"/>
        <w:rPr>
          <w:rFonts w:hint="eastAsia"/>
        </w:rPr>
      </w:pPr>
      <w:r w:rsidRPr="00C41D1F">
        <w:lastRenderedPageBreak/>
        <w:t>4.1 Governance and Compliance Structure</w:t>
      </w:r>
    </w:p>
    <w:p w14:paraId="70851A12" w14:textId="2B3A3D1D" w:rsid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 xml:space="preserve">Information security governance ensures that the strategic goals of an enterprise are consistent with information protection measures </w:t>
      </w:r>
      <w:r w:rsidRPr="00C41D1F">
        <w:rPr>
          <w:rFonts w:ascii="Times New Roman" w:hAnsi="Times New Roman" w:cs="Times New Roman"/>
          <w:sz w:val="24"/>
          <w:szCs w:val="28"/>
        </w:rPr>
        <w:fldChar w:fldCharType="begin"/>
      </w:r>
      <w:r w:rsidRPr="00C41D1F">
        <w:rPr>
          <w:rFonts w:ascii="Times New Roman" w:hAnsi="Times New Roman" w:cs="Times New Roman"/>
          <w:sz w:val="24"/>
          <w:szCs w:val="28"/>
        </w:rPr>
        <w:instrText xml:space="preserve"> ADDIN ZOTERO_ITEM CSL_CITATION {"citationID":"FmUWeAyv","properties":{"formattedCitation":"[11]","plainCitation":"[11]","noteIndex":0},"citationItems":[{"id":331,"uris":["http://zotero.org/users/local/p3tV44H5/items/4CYSUFCD"],"itemData":{"id":331,"type":"paper-conference","container-title":"Proceedings of the 15th Multi-Conference on Systemics, Cybernetics and Informatics, WMSCI 2011: Volume III","page":"275–279","publisher":"International Institute of Informatics and Systemics (IIIS)","source":"Google Scholar","title":"The enterprise information security policy as a strategic business policy within the corporate strategic plan","URL":"https://eprints.qut.edu.au/51493/","author":[{"family":"Corpuz","given":"Maria"}],"accessed":{"date-parts":[["2025",11,9]]},"issued":{"date-parts":[["2011"]]}}}],"schema":"https://github.com/citation-style-language/schema/raw/master/csl-citation.json"} </w:instrText>
      </w:r>
      <w:r w:rsidRPr="00C41D1F">
        <w:rPr>
          <w:rFonts w:ascii="Times New Roman" w:hAnsi="Times New Roman" w:cs="Times New Roman"/>
          <w:sz w:val="24"/>
          <w:szCs w:val="28"/>
        </w:rPr>
        <w:fldChar w:fldCharType="separate"/>
      </w:r>
      <w:r w:rsidRPr="00C41D1F">
        <w:rPr>
          <w:rFonts w:ascii="Times New Roman" w:eastAsia="等线" w:hAnsi="Times New Roman" w:cs="Times New Roman"/>
          <w:sz w:val="24"/>
          <w:szCs w:val="28"/>
        </w:rPr>
        <w:t>[11]</w:t>
      </w:r>
      <w:r w:rsidRPr="00C41D1F">
        <w:rPr>
          <w:rFonts w:ascii="Times New Roman" w:hAnsi="Times New Roman" w:cs="Times New Roman"/>
          <w:sz w:val="24"/>
          <w:szCs w:val="28"/>
        </w:rPr>
        <w:fldChar w:fldCharType="end"/>
      </w:r>
      <w:r w:rsidRPr="00C41D1F">
        <w:rPr>
          <w:rFonts w:ascii="Times New Roman" w:hAnsi="Times New Roman" w:cs="Times New Roman"/>
          <w:sz w:val="24"/>
          <w:szCs w:val="28"/>
        </w:rPr>
        <w:t>. NG should adopt a multi-tier governance structure based on ISO 27001 and COBIT.</w:t>
      </w:r>
    </w:p>
    <w:p w14:paraId="2A2B3B86" w14:textId="77777777" w:rsidR="00AE3590" w:rsidRDefault="00AE3590" w:rsidP="00C41D1F">
      <w:pPr>
        <w:rPr>
          <w:rFonts w:ascii="Times New Roman" w:hAnsi="Times New Roman" w:cs="Times New Roman"/>
          <w:sz w:val="24"/>
          <w:szCs w:val="28"/>
        </w:rPr>
      </w:pPr>
    </w:p>
    <w:p w14:paraId="0BBEB9AF" w14:textId="77777777" w:rsidR="00C41D1F" w:rsidRPr="00C41D1F" w:rsidRDefault="00C41D1F" w:rsidP="00C41D1F">
      <w:pPr>
        <w:rPr>
          <w:rFonts w:ascii="Times New Roman" w:hAnsi="Times New Roman" w:cs="Times New Roman"/>
          <w:sz w:val="24"/>
          <w:szCs w:val="28"/>
        </w:rPr>
      </w:pPr>
      <w:r w:rsidRPr="00C41D1F">
        <w:rPr>
          <w:rFonts w:ascii="Times New Roman" w:hAnsi="Times New Roman" w:cs="Times New Roman"/>
          <w:sz w:val="24"/>
          <w:szCs w:val="28"/>
        </w:rPr>
        <w:t>Apply ISO 27001 Clause 5: Leadership</w:t>
      </w:r>
    </w:p>
    <w:p w14:paraId="4BAC538C" w14:textId="77777777" w:rsidR="00AE3590" w:rsidRPr="00AE3590"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The fundamental problem of NG lies in the lack of top-level design. The success of information security depends on the promotion of the top management</w:t>
      </w:r>
    </w:p>
    <w:p w14:paraId="015FC8E0" w14:textId="3F8CFF19" w:rsidR="00C41D1F"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Obtain commitment: </w:t>
      </w:r>
      <w:r w:rsidR="002E23BE" w:rsidRPr="002E23BE">
        <w:rPr>
          <w:rFonts w:ascii="Times New Roman" w:hAnsi="Times New Roman" w:cs="Times New Roman"/>
          <w:sz w:val="24"/>
          <w:szCs w:val="28"/>
        </w:rPr>
        <w:t>NG’s top management must demonstrate leadership and take ultimate responsibility for the effectiveness of the ISMS</w:t>
      </w:r>
      <w:r>
        <w:rPr>
          <w:rFonts w:ascii="Times New Roman" w:hAnsi="Times New Roman" w:cs="Times New Roman" w:hint="eastAsia"/>
          <w:sz w:val="24"/>
          <w:szCs w:val="28"/>
        </w:rPr>
        <w:t>.</w:t>
      </w:r>
    </w:p>
    <w:p w14:paraId="662A5199" w14:textId="272FBAE2" w:rsidR="00AE3590"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Unified strategy: </w:t>
      </w:r>
      <w:r w:rsidR="002E23BE" w:rsidRPr="002E23BE">
        <w:rPr>
          <w:rFonts w:ascii="Times New Roman" w:hAnsi="Times New Roman" w:cs="Times New Roman"/>
          <w:sz w:val="24"/>
          <w:szCs w:val="28"/>
        </w:rPr>
        <w:t>Management must ensure that information security policies and objectives, such as IP protection, align with NG’s core business strategy, including global expansion and brand reputation.</w:t>
      </w:r>
    </w:p>
    <w:p w14:paraId="147E191D" w14:textId="1F641520" w:rsidR="00AE3590"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Resource guarantee: </w:t>
      </w:r>
      <w:r w:rsidR="002E23BE" w:rsidRPr="002E23BE">
        <w:rPr>
          <w:rFonts w:ascii="Times New Roman" w:hAnsi="Times New Roman" w:cs="Times New Roman"/>
          <w:sz w:val="24"/>
          <w:szCs w:val="28"/>
        </w:rPr>
        <w:t>Management must commit resources for the ISMS, including appointing a CISO and establishing a dedicated security team.</w:t>
      </w:r>
    </w:p>
    <w:p w14:paraId="25D560BD" w14:textId="508EC375" w:rsidR="00AE3590" w:rsidRPr="00AE3590" w:rsidRDefault="00AE3590" w:rsidP="00AE3590">
      <w:pPr>
        <w:pStyle w:val="a9"/>
        <w:numPr>
          <w:ilvl w:val="0"/>
          <w:numId w:val="3"/>
        </w:numPr>
        <w:rPr>
          <w:rFonts w:ascii="Times New Roman" w:hAnsi="Times New Roman" w:cs="Times New Roman"/>
          <w:sz w:val="24"/>
          <w:szCs w:val="28"/>
        </w:rPr>
      </w:pPr>
      <w:r w:rsidRPr="00AE3590">
        <w:rPr>
          <w:rFonts w:ascii="Times New Roman" w:hAnsi="Times New Roman" w:cs="Times New Roman" w:hint="eastAsia"/>
          <w:sz w:val="24"/>
          <w:szCs w:val="28"/>
        </w:rPr>
        <w:t xml:space="preserve">Establish governance structure: </w:t>
      </w:r>
      <w:r w:rsidR="005C7A56" w:rsidRPr="005C7A56">
        <w:rPr>
          <w:rFonts w:ascii="Times New Roman" w:hAnsi="Times New Roman" w:cs="Times New Roman" w:hint="eastAsia"/>
          <w:sz w:val="24"/>
          <w:szCs w:val="28"/>
        </w:rPr>
        <w:t>ISMS Committee: Establish an Information Security Management Committee (ISMS-SC) led by the CISO, including IT, legal, HR, compliance, and key business units (especially R&amp;D)</w:t>
      </w:r>
      <w:r w:rsidR="002E23BE" w:rsidRPr="002E23BE">
        <w:rPr>
          <w:rFonts w:ascii="Times New Roman" w:hAnsi="Times New Roman" w:cs="Times New Roman"/>
          <w:sz w:val="24"/>
          <w:szCs w:val="28"/>
        </w:rPr>
        <w:t>.</w:t>
      </w:r>
    </w:p>
    <w:p w14:paraId="1C81D202" w14:textId="77777777" w:rsidR="00AE3590" w:rsidRDefault="00AE3590" w:rsidP="00AE3590">
      <w:pPr>
        <w:pStyle w:val="target"/>
        <w:shd w:val="clear" w:color="auto" w:fill="FFFFFF"/>
        <w:spacing w:before="0" w:beforeAutospacing="0" w:after="0" w:afterAutospacing="0" w:line="315" w:lineRule="atLeast"/>
        <w:rPr>
          <w:rFonts w:ascii="Times New Roman" w:hAnsi="Times New Roman" w:cs="Times New Roman"/>
          <w:color w:val="2A2B2E"/>
        </w:rPr>
      </w:pPr>
    </w:p>
    <w:p w14:paraId="6A6CD202" w14:textId="2D6F28ED" w:rsidR="00AE3590" w:rsidRPr="00AE3590" w:rsidRDefault="00AE3590" w:rsidP="00AE3590">
      <w:pPr>
        <w:pStyle w:val="target"/>
        <w:shd w:val="clear" w:color="auto" w:fill="FFFFFF"/>
        <w:spacing w:before="0" w:beforeAutospacing="0" w:after="0" w:afterAutospacing="0" w:line="315" w:lineRule="atLeast"/>
        <w:rPr>
          <w:rFonts w:ascii="Times New Roman" w:hAnsi="Times New Roman" w:cs="Times New Roman"/>
          <w:color w:val="2A2B2E"/>
        </w:rPr>
      </w:pPr>
      <w:r w:rsidRPr="00AE3590">
        <w:rPr>
          <w:rFonts w:ascii="Times New Roman" w:hAnsi="Times New Roman" w:cs="Times New Roman"/>
          <w:color w:val="2A2B2E"/>
        </w:rPr>
        <w:t>This governance model ensures clear accountability and supports risk priority decision-making.</w:t>
      </w:r>
    </w:p>
    <w:p w14:paraId="7D916FA6" w14:textId="77777777" w:rsidR="00C41D1F" w:rsidRDefault="00C41D1F" w:rsidP="00C41D1F">
      <w:pPr>
        <w:rPr>
          <w:rFonts w:hint="eastAsia"/>
        </w:rPr>
      </w:pPr>
    </w:p>
    <w:p w14:paraId="6AB2DE65" w14:textId="5E3660B8" w:rsidR="00AE3590" w:rsidRDefault="00AE3590" w:rsidP="00AE3590">
      <w:pPr>
        <w:jc w:val="center"/>
        <w:rPr>
          <w:rFonts w:ascii="Times New Roman" w:hAnsi="Times New Roman" w:cs="Times New Roman"/>
        </w:rPr>
      </w:pPr>
      <w:r w:rsidRPr="00AE3590">
        <w:rPr>
          <w:rFonts w:ascii="Times New Roman" w:hAnsi="Times New Roman" w:cs="Times New Roman"/>
        </w:rPr>
        <w:t>Table 4.</w:t>
      </w:r>
      <w:r w:rsidRPr="00AE3590">
        <w:rPr>
          <w:rFonts w:ascii="Times New Roman" w:eastAsia="宋体" w:hAnsi="Times New Roman" w:cs="Times New Roman"/>
          <w:color w:val="2A2B2E"/>
          <w:kern w:val="0"/>
          <w:szCs w:val="21"/>
        </w:rPr>
        <w:t xml:space="preserve"> </w:t>
      </w:r>
      <w:r w:rsidRPr="00AE3590">
        <w:rPr>
          <w:rFonts w:ascii="Times New Roman" w:hAnsi="Times New Roman" w:cs="Times New Roman"/>
        </w:rPr>
        <w:t>NG suggests a governance structure</w:t>
      </w:r>
    </w:p>
    <w:tbl>
      <w:tblPr>
        <w:tblStyle w:val="af"/>
        <w:tblW w:w="0" w:type="auto"/>
        <w:tblLook w:val="04A0" w:firstRow="1" w:lastRow="0" w:firstColumn="1" w:lastColumn="0" w:noHBand="0" w:noVBand="1"/>
      </w:tblPr>
      <w:tblGrid>
        <w:gridCol w:w="4148"/>
        <w:gridCol w:w="4148"/>
      </w:tblGrid>
      <w:tr w:rsidR="00AE3590" w14:paraId="2ADAEB4E" w14:textId="77777777" w:rsidTr="00AE0C36">
        <w:tc>
          <w:tcPr>
            <w:tcW w:w="4148" w:type="dxa"/>
            <w:vAlign w:val="center"/>
          </w:tcPr>
          <w:p w14:paraId="2691FF01" w14:textId="28BFCE90" w:rsidR="00AE3590" w:rsidRPr="00416E8C" w:rsidRDefault="00AE3590" w:rsidP="00AE3590">
            <w:pPr>
              <w:jc w:val="center"/>
              <w:rPr>
                <w:rFonts w:ascii="Times New Roman" w:hAnsi="Times New Roman" w:cs="Times New Roman"/>
              </w:rPr>
            </w:pPr>
            <w:r w:rsidRPr="00416E8C">
              <w:rPr>
                <w:rFonts w:ascii="Times New Roman" w:hAnsi="Times New Roman" w:cs="Times New Roman"/>
              </w:rPr>
              <w:t>Level</w:t>
            </w:r>
          </w:p>
        </w:tc>
        <w:tc>
          <w:tcPr>
            <w:tcW w:w="4148" w:type="dxa"/>
            <w:vAlign w:val="center"/>
          </w:tcPr>
          <w:p w14:paraId="49F082E8" w14:textId="616439BC" w:rsidR="00AE3590" w:rsidRPr="00416E8C" w:rsidRDefault="00AE3590" w:rsidP="00AE3590">
            <w:pPr>
              <w:jc w:val="center"/>
              <w:rPr>
                <w:rFonts w:ascii="Times New Roman" w:hAnsi="Times New Roman" w:cs="Times New Roman"/>
              </w:rPr>
            </w:pPr>
            <w:r w:rsidRPr="00416E8C">
              <w:rPr>
                <w:rFonts w:ascii="Times New Roman" w:hAnsi="Times New Roman" w:cs="Times New Roman"/>
              </w:rPr>
              <w:t>Responsibility</w:t>
            </w:r>
          </w:p>
        </w:tc>
      </w:tr>
      <w:tr w:rsidR="00AE3590" w14:paraId="0728E01E" w14:textId="77777777" w:rsidTr="00AE0C36">
        <w:tc>
          <w:tcPr>
            <w:tcW w:w="4148" w:type="dxa"/>
            <w:vAlign w:val="center"/>
          </w:tcPr>
          <w:p w14:paraId="2B81CDD4" w14:textId="5D07CFD1" w:rsidR="00AE3590" w:rsidRPr="00416E8C" w:rsidRDefault="00AE3590" w:rsidP="00AE3590">
            <w:pPr>
              <w:rPr>
                <w:rFonts w:ascii="Times New Roman" w:hAnsi="Times New Roman" w:cs="Times New Roman"/>
              </w:rPr>
            </w:pPr>
            <w:r w:rsidRPr="00416E8C">
              <w:rPr>
                <w:rFonts w:ascii="Times New Roman" w:hAnsi="Times New Roman" w:cs="Times New Roman"/>
              </w:rPr>
              <w:t>Executive Committee</w:t>
            </w:r>
          </w:p>
        </w:tc>
        <w:tc>
          <w:tcPr>
            <w:tcW w:w="4148" w:type="dxa"/>
            <w:vAlign w:val="center"/>
          </w:tcPr>
          <w:p w14:paraId="2DC2043A" w14:textId="0FBC5BB2" w:rsidR="00AE3590" w:rsidRPr="00416E8C" w:rsidRDefault="00AE3590" w:rsidP="00AE3590">
            <w:pPr>
              <w:rPr>
                <w:rFonts w:ascii="Times New Roman" w:hAnsi="Times New Roman" w:cs="Times New Roman"/>
              </w:rPr>
            </w:pPr>
            <w:r w:rsidRPr="00416E8C">
              <w:rPr>
                <w:rFonts w:ascii="Times New Roman" w:hAnsi="Times New Roman" w:cs="Times New Roman"/>
              </w:rPr>
              <w:t>Strategic oversight, compliance enforcement, resource allocation</w:t>
            </w:r>
          </w:p>
        </w:tc>
      </w:tr>
      <w:tr w:rsidR="00AE3590" w14:paraId="3BA67AD1" w14:textId="77777777" w:rsidTr="00AE0C36">
        <w:tc>
          <w:tcPr>
            <w:tcW w:w="4148" w:type="dxa"/>
            <w:vAlign w:val="center"/>
          </w:tcPr>
          <w:p w14:paraId="462A9778" w14:textId="48167C2D" w:rsidR="00AE3590" w:rsidRPr="00416E8C" w:rsidRDefault="00AE3590" w:rsidP="00AE3590">
            <w:pPr>
              <w:rPr>
                <w:rFonts w:ascii="Times New Roman" w:hAnsi="Times New Roman" w:cs="Times New Roman"/>
              </w:rPr>
            </w:pPr>
            <w:r w:rsidRPr="00416E8C">
              <w:rPr>
                <w:rFonts w:ascii="Times New Roman" w:hAnsi="Times New Roman" w:cs="Times New Roman"/>
              </w:rPr>
              <w:t>Chief Information Security Officer (CISO)</w:t>
            </w:r>
          </w:p>
        </w:tc>
        <w:tc>
          <w:tcPr>
            <w:tcW w:w="4148" w:type="dxa"/>
            <w:vAlign w:val="center"/>
          </w:tcPr>
          <w:p w14:paraId="6B01B5C0" w14:textId="21A6B340" w:rsidR="00AE3590" w:rsidRPr="00416E8C" w:rsidRDefault="00AE3590" w:rsidP="00AE3590">
            <w:pPr>
              <w:rPr>
                <w:rFonts w:ascii="Times New Roman" w:hAnsi="Times New Roman" w:cs="Times New Roman"/>
              </w:rPr>
            </w:pPr>
            <w:r w:rsidRPr="00416E8C">
              <w:rPr>
                <w:rFonts w:ascii="Times New Roman" w:hAnsi="Times New Roman" w:cs="Times New Roman"/>
              </w:rPr>
              <w:t>Security governance leadership, ISMS implementation</w:t>
            </w:r>
          </w:p>
        </w:tc>
      </w:tr>
      <w:tr w:rsidR="00AE3590" w14:paraId="1CF42769" w14:textId="77777777" w:rsidTr="00AE0C36">
        <w:tc>
          <w:tcPr>
            <w:tcW w:w="4148" w:type="dxa"/>
            <w:vAlign w:val="center"/>
          </w:tcPr>
          <w:p w14:paraId="7CC26556" w14:textId="13375D1E" w:rsidR="00AE3590" w:rsidRPr="00416E8C" w:rsidRDefault="00AE3590" w:rsidP="00AE3590">
            <w:pPr>
              <w:rPr>
                <w:rFonts w:ascii="Times New Roman" w:hAnsi="Times New Roman" w:cs="Times New Roman"/>
              </w:rPr>
            </w:pPr>
            <w:r w:rsidRPr="00416E8C">
              <w:rPr>
                <w:rFonts w:ascii="Times New Roman" w:hAnsi="Times New Roman" w:cs="Times New Roman"/>
              </w:rPr>
              <w:t>IT Security Committee</w:t>
            </w:r>
          </w:p>
        </w:tc>
        <w:tc>
          <w:tcPr>
            <w:tcW w:w="4148" w:type="dxa"/>
            <w:vAlign w:val="center"/>
          </w:tcPr>
          <w:p w14:paraId="48B68409" w14:textId="4DFC0A96" w:rsidR="00AE3590" w:rsidRPr="00416E8C" w:rsidRDefault="00AE3590" w:rsidP="00AE3590">
            <w:pPr>
              <w:rPr>
                <w:rFonts w:ascii="Times New Roman" w:hAnsi="Times New Roman" w:cs="Times New Roman"/>
              </w:rPr>
            </w:pPr>
            <w:r w:rsidRPr="00416E8C">
              <w:rPr>
                <w:rFonts w:ascii="Times New Roman" w:hAnsi="Times New Roman" w:cs="Times New Roman"/>
              </w:rPr>
              <w:t>Policy development and performance evaluation</w:t>
            </w:r>
          </w:p>
        </w:tc>
      </w:tr>
      <w:tr w:rsidR="00AE3590" w14:paraId="3EC51FF5" w14:textId="77777777" w:rsidTr="00AE0C36">
        <w:tc>
          <w:tcPr>
            <w:tcW w:w="4148" w:type="dxa"/>
            <w:vAlign w:val="center"/>
          </w:tcPr>
          <w:p w14:paraId="5D98AE53" w14:textId="592EE94B" w:rsidR="00AE3590" w:rsidRPr="00416E8C" w:rsidRDefault="00AE3590" w:rsidP="00AE3590">
            <w:pPr>
              <w:rPr>
                <w:rFonts w:ascii="Times New Roman" w:hAnsi="Times New Roman" w:cs="Times New Roman"/>
              </w:rPr>
            </w:pPr>
            <w:r w:rsidRPr="00416E8C">
              <w:rPr>
                <w:rFonts w:ascii="Times New Roman" w:hAnsi="Times New Roman" w:cs="Times New Roman"/>
              </w:rPr>
              <w:t>Technical Team</w:t>
            </w:r>
          </w:p>
        </w:tc>
        <w:tc>
          <w:tcPr>
            <w:tcW w:w="4148" w:type="dxa"/>
            <w:vAlign w:val="center"/>
          </w:tcPr>
          <w:p w14:paraId="4564956C" w14:textId="77B8C30D" w:rsidR="00AE3590" w:rsidRPr="00416E8C" w:rsidRDefault="00AE3590" w:rsidP="00AE3590">
            <w:pPr>
              <w:rPr>
                <w:rFonts w:ascii="Times New Roman" w:hAnsi="Times New Roman" w:cs="Times New Roman"/>
              </w:rPr>
            </w:pPr>
            <w:r w:rsidRPr="00416E8C">
              <w:rPr>
                <w:rFonts w:ascii="Times New Roman" w:hAnsi="Times New Roman" w:cs="Times New Roman"/>
              </w:rPr>
              <w:t>Security operations and implementation of protection mechanisms</w:t>
            </w:r>
          </w:p>
        </w:tc>
      </w:tr>
      <w:tr w:rsidR="00AE3590" w14:paraId="6D509A98" w14:textId="77777777" w:rsidTr="00AE0C36">
        <w:tc>
          <w:tcPr>
            <w:tcW w:w="4148" w:type="dxa"/>
            <w:vAlign w:val="center"/>
          </w:tcPr>
          <w:p w14:paraId="2B67DE09" w14:textId="061FBDA4" w:rsidR="00AE3590" w:rsidRPr="00416E8C" w:rsidRDefault="00AE3590" w:rsidP="00AE3590">
            <w:pPr>
              <w:rPr>
                <w:rFonts w:ascii="Times New Roman" w:hAnsi="Times New Roman" w:cs="Times New Roman"/>
              </w:rPr>
            </w:pPr>
            <w:r w:rsidRPr="00416E8C">
              <w:rPr>
                <w:rFonts w:ascii="Times New Roman" w:hAnsi="Times New Roman" w:cs="Times New Roman"/>
              </w:rPr>
              <w:t>End Users (Employees/Customers)</w:t>
            </w:r>
          </w:p>
        </w:tc>
        <w:tc>
          <w:tcPr>
            <w:tcW w:w="4148" w:type="dxa"/>
            <w:vAlign w:val="center"/>
          </w:tcPr>
          <w:p w14:paraId="4ABDC58D" w14:textId="0ABAF00F" w:rsidR="00AE3590" w:rsidRPr="00416E8C" w:rsidRDefault="00AE3590" w:rsidP="00AE3590">
            <w:pPr>
              <w:rPr>
                <w:rFonts w:ascii="Times New Roman" w:hAnsi="Times New Roman" w:cs="Times New Roman"/>
              </w:rPr>
            </w:pPr>
            <w:r w:rsidRPr="00416E8C">
              <w:rPr>
                <w:rFonts w:ascii="Times New Roman" w:hAnsi="Times New Roman" w:cs="Times New Roman"/>
              </w:rPr>
              <w:t>Adherence to security policies and usage guidelines</w:t>
            </w:r>
          </w:p>
        </w:tc>
      </w:tr>
    </w:tbl>
    <w:p w14:paraId="47BF4F6D" w14:textId="77777777" w:rsidR="00AE3590" w:rsidRPr="00AE3590" w:rsidRDefault="00AE3590" w:rsidP="00DF58A6">
      <w:pPr>
        <w:pStyle w:val="2"/>
        <w:rPr>
          <w:rFonts w:hint="eastAsia"/>
        </w:rPr>
      </w:pPr>
      <w:r w:rsidRPr="00AE3590">
        <w:t>4.2 Security Policy Design</w:t>
      </w:r>
    </w:p>
    <w:p w14:paraId="129B03B2" w14:textId="2F12242E" w:rsidR="00AE3590" w:rsidRPr="00AE3590"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The strategy defines the acceptable behavioral norms for the organization and guides safe operations</w:t>
      </w:r>
      <w:r w:rsidRPr="00AE3590">
        <w:rPr>
          <w:rFonts w:ascii="Times New Roman" w:hAnsi="Times New Roman" w:cs="Times New Roman" w:hint="eastAsia"/>
          <w:sz w:val="24"/>
          <w:szCs w:val="28"/>
        </w:rPr>
        <w:t xml:space="preserve"> </w:t>
      </w:r>
      <w:r w:rsidRPr="00AE3590">
        <w:rPr>
          <w:rFonts w:ascii="Times New Roman" w:hAnsi="Times New Roman" w:cs="Times New Roman"/>
          <w:sz w:val="24"/>
          <w:szCs w:val="28"/>
        </w:rPr>
        <w:fldChar w:fldCharType="begin"/>
      </w:r>
      <w:r w:rsidRPr="00AE3590">
        <w:rPr>
          <w:rFonts w:ascii="Times New Roman" w:hAnsi="Times New Roman" w:cs="Times New Roman"/>
          <w:sz w:val="24"/>
          <w:szCs w:val="28"/>
        </w:rPr>
        <w:instrText xml:space="preserve"> ADDIN ZOTERO_ITEM CSL_CITATION {"citationID":"9O4HAFZc","properties":{"formattedCitation":"[12]","plainCitation":"[12]","noteIndex":0},"citationItems":[{"id":333,"uris":["http://zotero.org/users/local/p3tV44H5/items/LCZL6YE3"],"itemData":{"id":333,"type":"book","publisher":"Pearson IT Certification","source":"Google Scholar","title":"Developing cybersecurity programs and policies","URL":"https://books.google.com/books?hl=zh-CN&amp;lr=&amp;id=zgNkDwAAQBAJ&amp;oi=fnd&amp;pg=PT24&amp;dq=Policy+Development+in+Cybersecurity+Management&amp;ots=A7_oELQBMn&amp;sig=T1Cy1LKgSX5KlnYorzWxU_MLJWs","author":[{"family":"Santos","given":"Omar"}],"accessed":{"date-parts":[["2025",11,9]]},"issued":{"date-parts":[["2018"]]}}}],"schema":"https://github.com/citation-style-language/schema/raw/master/csl-citation.json"} </w:instrText>
      </w:r>
      <w:r w:rsidRPr="00AE3590">
        <w:rPr>
          <w:rFonts w:ascii="Times New Roman" w:hAnsi="Times New Roman" w:cs="Times New Roman"/>
          <w:sz w:val="24"/>
          <w:szCs w:val="28"/>
        </w:rPr>
        <w:fldChar w:fldCharType="separate"/>
      </w:r>
      <w:r w:rsidRPr="00AE3590">
        <w:rPr>
          <w:rFonts w:ascii="Times New Roman" w:hAnsi="Times New Roman" w:cs="Times New Roman" w:hint="eastAsia"/>
          <w:sz w:val="24"/>
          <w:szCs w:val="28"/>
        </w:rPr>
        <w:t>[12]</w:t>
      </w:r>
      <w:r w:rsidRPr="00AE3590">
        <w:rPr>
          <w:rFonts w:ascii="Times New Roman" w:hAnsi="Times New Roman" w:cs="Times New Roman"/>
          <w:sz w:val="24"/>
          <w:szCs w:val="28"/>
        </w:rPr>
        <w:fldChar w:fldCharType="end"/>
      </w:r>
      <w:r w:rsidRPr="00AE3590">
        <w:rPr>
          <w:rFonts w:ascii="Times New Roman" w:hAnsi="Times New Roman" w:cs="Times New Roman" w:hint="eastAsia"/>
          <w:sz w:val="24"/>
          <w:szCs w:val="28"/>
        </w:rPr>
        <w:t xml:space="preserve">. </w:t>
      </w:r>
      <w:r w:rsidR="002E23BE" w:rsidRPr="002E23BE">
        <w:rPr>
          <w:rFonts w:ascii="Times New Roman" w:hAnsi="Times New Roman" w:cs="Times New Roman"/>
          <w:sz w:val="24"/>
          <w:szCs w:val="28"/>
        </w:rPr>
        <w:t>Per ISO 27001 Annex A.5.1, NG must draft a top-level “General Information Security Strategy” approved by top management, serving as the foundation for all lower-level strategies and communicated to all employees and relevant parties.</w:t>
      </w:r>
    </w:p>
    <w:p w14:paraId="5383444B" w14:textId="77777777" w:rsidR="00AE3590" w:rsidRPr="00AE3590" w:rsidRDefault="00AE3590" w:rsidP="00AE3590">
      <w:pPr>
        <w:rPr>
          <w:rFonts w:ascii="Times New Roman" w:hAnsi="Times New Roman" w:cs="Times New Roman"/>
          <w:sz w:val="24"/>
          <w:szCs w:val="28"/>
        </w:rPr>
      </w:pPr>
    </w:p>
    <w:p w14:paraId="73A5E73B" w14:textId="77777777" w:rsidR="00AE3590" w:rsidRPr="00AE3590"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NG should formulate the following core strategies:</w:t>
      </w:r>
    </w:p>
    <w:p w14:paraId="09ACB408" w14:textId="1CEDAC22"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lastRenderedPageBreak/>
        <w:t>BYOD Acceptable Use Policy (AUP): Specifies the rules for employees and customers regarding the use of personal devices.</w:t>
      </w:r>
    </w:p>
    <w:p w14:paraId="55A4C1D9" w14:textId="43E0E05E"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Data Privacy Policy: Ensures compliance with global ethics and laws.</w:t>
      </w:r>
    </w:p>
    <w:p w14:paraId="6473CDEF" w14:textId="0A0C0788"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Access Control Strategy: Based on the principles of "zero trust" and "least privilege"</w:t>
      </w:r>
    </w:p>
    <w:p w14:paraId="5BD5FDA3" w14:textId="22987A6A"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Cloud Security Policy: Defines the obligations of the provider and the responsibilities of NG</w:t>
      </w:r>
    </w:p>
    <w:p w14:paraId="747C8037" w14:textId="357D4C8F" w:rsidR="00AE3590" w:rsidRPr="00AE3590" w:rsidRDefault="00AE3590" w:rsidP="00AE3590">
      <w:pPr>
        <w:pStyle w:val="a9"/>
        <w:numPr>
          <w:ilvl w:val="0"/>
          <w:numId w:val="4"/>
        </w:numPr>
        <w:rPr>
          <w:rFonts w:ascii="Times New Roman" w:hAnsi="Times New Roman" w:cs="Times New Roman"/>
          <w:sz w:val="24"/>
          <w:szCs w:val="28"/>
        </w:rPr>
      </w:pPr>
      <w:r w:rsidRPr="00AE3590">
        <w:rPr>
          <w:rFonts w:ascii="Times New Roman" w:hAnsi="Times New Roman" w:cs="Times New Roman" w:hint="eastAsia"/>
          <w:sz w:val="24"/>
          <w:szCs w:val="28"/>
        </w:rPr>
        <w:t>Password and Multi-Factor Authentication Policy: Enhances identity verification.</w:t>
      </w:r>
    </w:p>
    <w:p w14:paraId="28716D79" w14:textId="33469CF6" w:rsidR="00AE3590" w:rsidRDefault="00AE3590" w:rsidP="00AE3590">
      <w:pPr>
        <w:pStyle w:val="3"/>
        <w:rPr>
          <w:rFonts w:hint="eastAsia"/>
        </w:rPr>
      </w:pPr>
      <w:r>
        <w:rPr>
          <w:rFonts w:hint="eastAsia"/>
        </w:rPr>
        <w:t>4</w:t>
      </w:r>
      <w:r>
        <w:t>.2.1. Key Compliance: Ethics and Laws</w:t>
      </w:r>
    </w:p>
    <w:p w14:paraId="1C9B91B2" w14:textId="0C70C6B5" w:rsidR="00C41D1F" w:rsidRDefault="00AE3590" w:rsidP="00AE3590">
      <w:pPr>
        <w:rPr>
          <w:rFonts w:ascii="Times New Roman" w:hAnsi="Times New Roman" w:cs="Times New Roman"/>
          <w:sz w:val="24"/>
          <w:szCs w:val="28"/>
        </w:rPr>
      </w:pPr>
      <w:r w:rsidRPr="00AE3590">
        <w:rPr>
          <w:rFonts w:ascii="Times New Roman" w:hAnsi="Times New Roman" w:cs="Times New Roman"/>
          <w:sz w:val="24"/>
          <w:szCs w:val="28"/>
        </w:rPr>
        <w:t>As a "global" company, NG must base its policies design on a profound understanding of the ethics and laws of the places where it operates.</w:t>
      </w:r>
    </w:p>
    <w:p w14:paraId="617F0AE6" w14:textId="77777777" w:rsidR="00AE3590" w:rsidRDefault="00AE3590" w:rsidP="00AE3590">
      <w:pPr>
        <w:rPr>
          <w:rFonts w:ascii="Times New Roman" w:hAnsi="Times New Roman" w:cs="Times New Roman"/>
          <w:sz w:val="24"/>
          <w:szCs w:val="28"/>
        </w:rPr>
      </w:pPr>
    </w:p>
    <w:p w14:paraId="24DD6BFC" w14:textId="6CB2A8AF" w:rsidR="00AE3590" w:rsidRDefault="00AE3590" w:rsidP="00AE3590">
      <w:pPr>
        <w:pStyle w:val="a9"/>
        <w:numPr>
          <w:ilvl w:val="0"/>
          <w:numId w:val="5"/>
        </w:numPr>
        <w:rPr>
          <w:rFonts w:ascii="Times New Roman" w:hAnsi="Times New Roman" w:cs="Times New Roman"/>
          <w:sz w:val="24"/>
          <w:szCs w:val="28"/>
        </w:rPr>
      </w:pPr>
      <w:r w:rsidRPr="00AE3590">
        <w:rPr>
          <w:rFonts w:ascii="Times New Roman" w:hAnsi="Times New Roman" w:cs="Times New Roman"/>
          <w:sz w:val="24"/>
          <w:szCs w:val="28"/>
        </w:rPr>
        <w:t>Identify applicable laws: NG must comply with the laws of any jurisdiction in which it collects or processes citizens' data. Key regulations include:</w:t>
      </w:r>
    </w:p>
    <w:p w14:paraId="325FD5CB" w14:textId="2F6CB749" w:rsidR="00AE3590" w:rsidRDefault="002E23BE" w:rsidP="00AE3590">
      <w:pPr>
        <w:pStyle w:val="a9"/>
        <w:numPr>
          <w:ilvl w:val="0"/>
          <w:numId w:val="6"/>
        </w:numPr>
        <w:rPr>
          <w:rFonts w:ascii="Times New Roman" w:hAnsi="Times New Roman" w:cs="Times New Roman"/>
          <w:sz w:val="24"/>
          <w:szCs w:val="28"/>
        </w:rPr>
      </w:pPr>
      <w:r w:rsidRPr="002E23BE">
        <w:rPr>
          <w:rFonts w:ascii="Times New Roman" w:hAnsi="Times New Roman" w:cs="Times New Roman"/>
          <w:sz w:val="24"/>
          <w:szCs w:val="28"/>
        </w:rPr>
        <w:t>GDPR (EU): Requires a clear legal basis for data processing (e.g., consent) and grants data subjects strong rights, such as the right to be forgotten.</w:t>
      </w:r>
    </w:p>
    <w:p w14:paraId="4765110C" w14:textId="7ADFD984" w:rsidR="00AE3590" w:rsidRDefault="002E23BE" w:rsidP="00AE3590">
      <w:pPr>
        <w:pStyle w:val="a9"/>
        <w:numPr>
          <w:ilvl w:val="0"/>
          <w:numId w:val="6"/>
        </w:numPr>
        <w:rPr>
          <w:rFonts w:ascii="Times New Roman" w:hAnsi="Times New Roman" w:cs="Times New Roman"/>
          <w:sz w:val="24"/>
          <w:szCs w:val="28"/>
        </w:rPr>
      </w:pPr>
      <w:r w:rsidRPr="002E23BE">
        <w:rPr>
          <w:rFonts w:ascii="Times New Roman" w:hAnsi="Times New Roman" w:cs="Times New Roman" w:hint="eastAsia"/>
          <w:sz w:val="24"/>
          <w:szCs w:val="28"/>
        </w:rPr>
        <w:t>CCPA/CPRA (California, USA): Grants residents the right to know, delete, and opt out of the sale of their personal information</w:t>
      </w:r>
      <w:r w:rsidR="00AE3590" w:rsidRPr="00AE3590">
        <w:rPr>
          <w:rFonts w:ascii="Times New Roman" w:hAnsi="Times New Roman" w:cs="Times New Roman"/>
          <w:sz w:val="24"/>
          <w:szCs w:val="28"/>
        </w:rPr>
        <w:t>.</w:t>
      </w:r>
    </w:p>
    <w:p w14:paraId="39E78DA8" w14:textId="23061E5C" w:rsidR="00AE3590" w:rsidRDefault="002E23BE" w:rsidP="00AE3590">
      <w:pPr>
        <w:pStyle w:val="a9"/>
        <w:numPr>
          <w:ilvl w:val="0"/>
          <w:numId w:val="6"/>
        </w:numPr>
        <w:rPr>
          <w:rFonts w:ascii="Times New Roman" w:hAnsi="Times New Roman" w:cs="Times New Roman"/>
          <w:sz w:val="24"/>
          <w:szCs w:val="28"/>
        </w:rPr>
      </w:pPr>
      <w:r w:rsidRPr="002E23BE">
        <w:rPr>
          <w:rFonts w:ascii="Times New Roman" w:hAnsi="Times New Roman" w:cs="Times New Roman"/>
          <w:sz w:val="24"/>
          <w:szCs w:val="28"/>
        </w:rPr>
        <w:t>PIPL (China): Imposes strict conditions on personal data processing, especially cross-border transfers, requiring “separate consent” and, in some cases, government security assessment for large-scale data handling</w:t>
      </w:r>
      <w:r w:rsidR="00AE3590">
        <w:rPr>
          <w:rFonts w:ascii="Times New Roman" w:hAnsi="Times New Roman" w:cs="Times New Roman" w:hint="eastAsia"/>
          <w:sz w:val="24"/>
          <w:szCs w:val="28"/>
        </w:rPr>
        <w:t>.</w:t>
      </w:r>
    </w:p>
    <w:p w14:paraId="7A439E84" w14:textId="76EC6F4B" w:rsidR="00AE3590" w:rsidRPr="002E23BE" w:rsidRDefault="00AE3590" w:rsidP="00AE3590">
      <w:pPr>
        <w:pStyle w:val="a9"/>
        <w:numPr>
          <w:ilvl w:val="0"/>
          <w:numId w:val="5"/>
        </w:numPr>
        <w:rPr>
          <w:rFonts w:ascii="Times New Roman" w:hAnsi="Times New Roman" w:cs="Times New Roman"/>
          <w:sz w:val="24"/>
          <w:szCs w:val="24"/>
        </w:rPr>
      </w:pPr>
      <w:r w:rsidRPr="002E23BE">
        <w:rPr>
          <w:rFonts w:ascii="Times New Roman" w:hAnsi="Times New Roman" w:cs="Times New Roman"/>
          <w:sz w:val="24"/>
          <w:szCs w:val="24"/>
        </w:rPr>
        <w:t>Implement the principles of data governance:</w:t>
      </w:r>
    </w:p>
    <w:p w14:paraId="4682AC49" w14:textId="36EF0724" w:rsidR="00AE3590" w:rsidRPr="002E23BE" w:rsidRDefault="00AE3590" w:rsidP="00AE3590">
      <w:pPr>
        <w:pStyle w:val="a9"/>
        <w:numPr>
          <w:ilvl w:val="0"/>
          <w:numId w:val="7"/>
        </w:numPr>
        <w:rPr>
          <w:rFonts w:ascii="Times New Roman" w:hAnsi="Times New Roman" w:cs="Times New Roman"/>
          <w:sz w:val="24"/>
          <w:szCs w:val="24"/>
        </w:rPr>
      </w:pPr>
      <w:r w:rsidRPr="002E23BE">
        <w:rPr>
          <w:rFonts w:ascii="Times New Roman" w:hAnsi="Times New Roman" w:cs="Times New Roman"/>
          <w:sz w:val="24"/>
          <w:szCs w:val="24"/>
        </w:rPr>
        <w:t>Data Minimization: NG must ensure that only the data absolutely necessary to achieve a specific purpose is collected.</w:t>
      </w:r>
    </w:p>
    <w:p w14:paraId="2592B320" w14:textId="4F169E66" w:rsidR="00AE3590" w:rsidRPr="002E23BE" w:rsidRDefault="002E23BE" w:rsidP="00AE3590">
      <w:pPr>
        <w:pStyle w:val="target"/>
        <w:numPr>
          <w:ilvl w:val="0"/>
          <w:numId w:val="7"/>
        </w:numPr>
        <w:shd w:val="clear" w:color="auto" w:fill="FFFFFF"/>
        <w:spacing w:before="0" w:beforeAutospacing="0" w:after="0" w:afterAutospacing="0" w:line="315" w:lineRule="atLeast"/>
        <w:rPr>
          <w:rFonts w:ascii="Times New Roman" w:hAnsi="Times New Roman" w:cs="Times New Roman"/>
          <w:color w:val="2A2B2E"/>
        </w:rPr>
      </w:pPr>
      <w:r w:rsidRPr="002E23BE">
        <w:rPr>
          <w:rFonts w:ascii="Times New Roman" w:hAnsi="Times New Roman" w:cs="Times New Roman" w:hint="eastAsia"/>
          <w:color w:val="2A2B2E"/>
        </w:rPr>
        <w:t>Purpose Limitation: Collected data may only be used for its originally stated purpose (e.g., customer health data cannot be used for unrelated marketing).</w:t>
      </w:r>
    </w:p>
    <w:p w14:paraId="5251EE7D" w14:textId="71CFAF89" w:rsidR="00AE3590" w:rsidRPr="002E23BE" w:rsidRDefault="002E23BE" w:rsidP="00AE3590">
      <w:pPr>
        <w:pStyle w:val="target"/>
        <w:numPr>
          <w:ilvl w:val="0"/>
          <w:numId w:val="7"/>
        </w:numPr>
        <w:shd w:val="clear" w:color="auto" w:fill="FFFFFF"/>
        <w:spacing w:before="0" w:beforeAutospacing="0" w:after="0" w:afterAutospacing="0" w:line="315" w:lineRule="atLeast"/>
        <w:rPr>
          <w:rFonts w:ascii="Times New Roman" w:hAnsi="Times New Roman" w:cs="Times New Roman"/>
          <w:color w:val="2A2B2E"/>
        </w:rPr>
      </w:pPr>
      <w:r w:rsidRPr="002E23BE">
        <w:rPr>
          <w:rFonts w:ascii="Times New Roman" w:hAnsi="Times New Roman" w:cs="Times New Roman" w:hint="eastAsia"/>
          <w:color w:val="2A2B2E"/>
        </w:rPr>
        <w:t>Data Mapping: NG must map its data flows to identify where global customer and employee data is stored (e.g., cloud servers by country)</w:t>
      </w:r>
      <w:r w:rsidR="00AE3590" w:rsidRPr="002E23BE">
        <w:rPr>
          <w:rFonts w:ascii="Times New Roman" w:hAnsi="Times New Roman" w:cs="Times New Roman"/>
          <w:color w:val="2A2B2E"/>
        </w:rPr>
        <w:t>.</w:t>
      </w:r>
    </w:p>
    <w:p w14:paraId="78915167" w14:textId="77777777" w:rsidR="00AE3590" w:rsidRDefault="00AE3590" w:rsidP="00416E8C">
      <w:pPr>
        <w:rPr>
          <w:rFonts w:ascii="Times New Roman" w:hAnsi="Times New Roman" w:cs="Times New Roman"/>
          <w:sz w:val="24"/>
          <w:szCs w:val="28"/>
        </w:rPr>
      </w:pPr>
    </w:p>
    <w:p w14:paraId="1B93817B" w14:textId="252C87E9" w:rsidR="00416E8C" w:rsidRDefault="00416E8C" w:rsidP="00416E8C">
      <w:pPr>
        <w:jc w:val="center"/>
        <w:rPr>
          <w:rFonts w:ascii="Times New Roman" w:hAnsi="Times New Roman" w:cs="Times New Roman"/>
        </w:rPr>
      </w:pPr>
      <w:r w:rsidRPr="00416E8C">
        <w:rPr>
          <w:rFonts w:ascii="Times New Roman" w:hAnsi="Times New Roman" w:cs="Times New Roman" w:hint="eastAsia"/>
        </w:rPr>
        <w:t xml:space="preserve">Table 5. </w:t>
      </w:r>
      <w:proofErr w:type="spellStart"/>
      <w:r w:rsidRPr="00416E8C">
        <w:rPr>
          <w:rFonts w:ascii="Times New Roman" w:hAnsi="Times New Roman" w:cs="Times New Roman"/>
        </w:rPr>
        <w:t>NatureGreen</w:t>
      </w:r>
      <w:proofErr w:type="spellEnd"/>
      <w:r w:rsidRPr="00416E8C">
        <w:rPr>
          <w:rFonts w:ascii="Times New Roman" w:hAnsi="Times New Roman" w:cs="Times New Roman"/>
        </w:rPr>
        <w:t xml:space="preserve"> Compliance Obligation Matrix</w:t>
      </w:r>
    </w:p>
    <w:tbl>
      <w:tblPr>
        <w:tblStyle w:val="af"/>
        <w:tblW w:w="0" w:type="auto"/>
        <w:tblLook w:val="04A0" w:firstRow="1" w:lastRow="0" w:firstColumn="1" w:lastColumn="0" w:noHBand="0" w:noVBand="1"/>
      </w:tblPr>
      <w:tblGrid>
        <w:gridCol w:w="2765"/>
        <w:gridCol w:w="2765"/>
        <w:gridCol w:w="2766"/>
      </w:tblGrid>
      <w:tr w:rsidR="00416E8C" w14:paraId="6643E920" w14:textId="77777777" w:rsidTr="0086046F">
        <w:tc>
          <w:tcPr>
            <w:tcW w:w="2765" w:type="dxa"/>
            <w:vAlign w:val="center"/>
          </w:tcPr>
          <w:p w14:paraId="69A1AE0F" w14:textId="491B93A7" w:rsidR="00416E8C" w:rsidRPr="00416E8C" w:rsidRDefault="00416E8C" w:rsidP="00416E8C">
            <w:pPr>
              <w:jc w:val="center"/>
              <w:rPr>
                <w:rFonts w:ascii="Times New Roman" w:hAnsi="Times New Roman" w:cs="Times New Roman"/>
              </w:rPr>
            </w:pPr>
            <w:r w:rsidRPr="00416E8C">
              <w:rPr>
                <w:rFonts w:ascii="Times New Roman" w:hAnsi="Times New Roman" w:cs="Times New Roman"/>
              </w:rPr>
              <w:t>Regulation</w:t>
            </w:r>
          </w:p>
        </w:tc>
        <w:tc>
          <w:tcPr>
            <w:tcW w:w="2765" w:type="dxa"/>
            <w:vAlign w:val="center"/>
          </w:tcPr>
          <w:p w14:paraId="7A9F5415" w14:textId="01C2EF24" w:rsidR="00416E8C" w:rsidRPr="00416E8C" w:rsidRDefault="00416E8C" w:rsidP="00416E8C">
            <w:pPr>
              <w:jc w:val="center"/>
              <w:rPr>
                <w:rFonts w:ascii="Times New Roman" w:hAnsi="Times New Roman" w:cs="Times New Roman"/>
              </w:rPr>
            </w:pPr>
            <w:r w:rsidRPr="00416E8C">
              <w:rPr>
                <w:rFonts w:ascii="Times New Roman" w:hAnsi="Times New Roman" w:cs="Times New Roman"/>
              </w:rPr>
              <w:t>Key Requirements</w:t>
            </w:r>
          </w:p>
        </w:tc>
        <w:tc>
          <w:tcPr>
            <w:tcW w:w="2766" w:type="dxa"/>
            <w:vAlign w:val="center"/>
          </w:tcPr>
          <w:p w14:paraId="4D699347" w14:textId="1CCF0B85" w:rsidR="00416E8C" w:rsidRPr="00416E8C" w:rsidRDefault="00416E8C" w:rsidP="00416E8C">
            <w:pPr>
              <w:jc w:val="center"/>
              <w:rPr>
                <w:rFonts w:ascii="Times New Roman" w:hAnsi="Times New Roman" w:cs="Times New Roman"/>
              </w:rPr>
            </w:pPr>
            <w:r w:rsidRPr="00416E8C">
              <w:rPr>
                <w:rFonts w:ascii="Times New Roman" w:hAnsi="Times New Roman" w:cs="Times New Roman"/>
              </w:rPr>
              <w:t>NG’s Compliance Actions</w:t>
            </w:r>
          </w:p>
        </w:tc>
      </w:tr>
      <w:tr w:rsidR="00416E8C" w14:paraId="11B19F19" w14:textId="77777777" w:rsidTr="0086046F">
        <w:tc>
          <w:tcPr>
            <w:tcW w:w="2765" w:type="dxa"/>
            <w:vAlign w:val="center"/>
          </w:tcPr>
          <w:p w14:paraId="565364C3" w14:textId="74C0686A" w:rsidR="00416E8C" w:rsidRPr="00416E8C" w:rsidRDefault="00416E8C" w:rsidP="00416E8C">
            <w:pPr>
              <w:rPr>
                <w:rFonts w:ascii="Times New Roman" w:hAnsi="Times New Roman" w:cs="Times New Roman"/>
              </w:rPr>
            </w:pPr>
            <w:r w:rsidRPr="00416E8C">
              <w:rPr>
                <w:rFonts w:ascii="Times New Roman" w:hAnsi="Times New Roman" w:cs="Times New Roman"/>
              </w:rPr>
              <w:t>GDPR (European Union)</w:t>
            </w:r>
          </w:p>
        </w:tc>
        <w:tc>
          <w:tcPr>
            <w:tcW w:w="2765" w:type="dxa"/>
            <w:vAlign w:val="center"/>
          </w:tcPr>
          <w:p w14:paraId="584D7B82" w14:textId="1472ADEF" w:rsidR="00416E8C" w:rsidRPr="00416E8C" w:rsidRDefault="00416E8C" w:rsidP="00416E8C">
            <w:pPr>
              <w:rPr>
                <w:rFonts w:ascii="Times New Roman" w:hAnsi="Times New Roman" w:cs="Times New Roman"/>
              </w:rPr>
            </w:pPr>
            <w:r w:rsidRPr="00416E8C">
              <w:rPr>
                <w:rFonts w:ascii="Times New Roman" w:hAnsi="Times New Roman" w:cs="Times New Roman"/>
              </w:rPr>
              <w:t>Explicit consent from data subjects; Notify supervisory authority within 72 hours after a data breach</w:t>
            </w:r>
          </w:p>
        </w:tc>
        <w:tc>
          <w:tcPr>
            <w:tcW w:w="2766" w:type="dxa"/>
            <w:vAlign w:val="center"/>
          </w:tcPr>
          <w:p w14:paraId="2F880EEE" w14:textId="582E7FD6" w:rsidR="00416E8C" w:rsidRPr="00416E8C" w:rsidRDefault="002E23BE" w:rsidP="00416E8C">
            <w:pPr>
              <w:rPr>
                <w:rFonts w:ascii="Times New Roman" w:hAnsi="Times New Roman" w:cs="Times New Roman"/>
              </w:rPr>
            </w:pPr>
            <w:r w:rsidRPr="002E23BE">
              <w:rPr>
                <w:rFonts w:ascii="Times New Roman" w:hAnsi="Times New Roman" w:cs="Times New Roman" w:hint="eastAsia"/>
              </w:rPr>
              <w:t>Compliance Measures: Implement Privacy by Design, appoint a DPO, and ensure cloud providers comply with GDPR.</w:t>
            </w:r>
          </w:p>
        </w:tc>
      </w:tr>
      <w:tr w:rsidR="00416E8C" w14:paraId="57BE1A2D" w14:textId="77777777" w:rsidTr="0086046F">
        <w:tc>
          <w:tcPr>
            <w:tcW w:w="2765" w:type="dxa"/>
            <w:vAlign w:val="center"/>
          </w:tcPr>
          <w:p w14:paraId="6631455E" w14:textId="7D887CCF" w:rsidR="00416E8C" w:rsidRPr="00416E8C" w:rsidRDefault="00416E8C" w:rsidP="00416E8C">
            <w:pPr>
              <w:rPr>
                <w:rFonts w:ascii="Times New Roman" w:hAnsi="Times New Roman" w:cs="Times New Roman"/>
              </w:rPr>
            </w:pPr>
            <w:r w:rsidRPr="00416E8C">
              <w:rPr>
                <w:rFonts w:ascii="Times New Roman" w:hAnsi="Times New Roman" w:cs="Times New Roman"/>
              </w:rPr>
              <w:t>PIPL (China)</w:t>
            </w:r>
          </w:p>
        </w:tc>
        <w:tc>
          <w:tcPr>
            <w:tcW w:w="2765" w:type="dxa"/>
            <w:vAlign w:val="center"/>
          </w:tcPr>
          <w:p w14:paraId="0B3F0556" w14:textId="78290DA7" w:rsidR="00416E8C" w:rsidRPr="00416E8C" w:rsidRDefault="00416E8C" w:rsidP="00416E8C">
            <w:pPr>
              <w:rPr>
                <w:rFonts w:ascii="Times New Roman" w:hAnsi="Times New Roman" w:cs="Times New Roman"/>
              </w:rPr>
            </w:pPr>
            <w:r w:rsidRPr="00416E8C">
              <w:rPr>
                <w:rFonts w:ascii="Times New Roman" w:hAnsi="Times New Roman" w:cs="Times New Roman"/>
              </w:rPr>
              <w:t>Strict restrictions on cross-border data transfer; “Separate consent” required when processing sensitive personal information</w:t>
            </w:r>
          </w:p>
        </w:tc>
        <w:tc>
          <w:tcPr>
            <w:tcW w:w="2766" w:type="dxa"/>
            <w:vAlign w:val="center"/>
          </w:tcPr>
          <w:p w14:paraId="0BBC7416" w14:textId="59FDB4A1" w:rsidR="00416E8C" w:rsidRPr="00416E8C" w:rsidRDefault="00416E8C" w:rsidP="00416E8C">
            <w:pPr>
              <w:rPr>
                <w:rFonts w:ascii="Times New Roman" w:hAnsi="Times New Roman" w:cs="Times New Roman"/>
              </w:rPr>
            </w:pPr>
            <w:r w:rsidRPr="00416E8C">
              <w:rPr>
                <w:rFonts w:ascii="Times New Roman" w:hAnsi="Times New Roman" w:cs="Times New Roman"/>
              </w:rPr>
              <w:t>Prioritize local data storage within China; Obtain separate consent before transmission and conduct CAC security assessments if needed</w:t>
            </w:r>
          </w:p>
        </w:tc>
      </w:tr>
      <w:tr w:rsidR="00416E8C" w14:paraId="77EC39E8" w14:textId="77777777" w:rsidTr="0086046F">
        <w:tc>
          <w:tcPr>
            <w:tcW w:w="2765" w:type="dxa"/>
            <w:vAlign w:val="center"/>
          </w:tcPr>
          <w:p w14:paraId="32FF144E" w14:textId="75077328" w:rsidR="00416E8C" w:rsidRPr="00416E8C" w:rsidRDefault="00416E8C" w:rsidP="00416E8C">
            <w:pPr>
              <w:rPr>
                <w:rFonts w:ascii="Times New Roman" w:hAnsi="Times New Roman" w:cs="Times New Roman"/>
              </w:rPr>
            </w:pPr>
            <w:r w:rsidRPr="00416E8C">
              <w:rPr>
                <w:rFonts w:ascii="Times New Roman" w:hAnsi="Times New Roman" w:cs="Times New Roman"/>
              </w:rPr>
              <w:t>CCPA (California, USA)</w:t>
            </w:r>
          </w:p>
        </w:tc>
        <w:tc>
          <w:tcPr>
            <w:tcW w:w="2765" w:type="dxa"/>
            <w:vAlign w:val="center"/>
          </w:tcPr>
          <w:p w14:paraId="7EBAB3A6" w14:textId="39D9AA3C" w:rsidR="00416E8C" w:rsidRPr="00416E8C" w:rsidRDefault="00416E8C" w:rsidP="00416E8C">
            <w:pPr>
              <w:rPr>
                <w:rFonts w:ascii="Times New Roman" w:hAnsi="Times New Roman" w:cs="Times New Roman"/>
              </w:rPr>
            </w:pPr>
            <w:r w:rsidRPr="00416E8C">
              <w:rPr>
                <w:rFonts w:ascii="Times New Roman" w:hAnsi="Times New Roman" w:cs="Times New Roman"/>
              </w:rPr>
              <w:t xml:space="preserve">Provide a “Do Not Sell My </w:t>
            </w:r>
            <w:r w:rsidRPr="00416E8C">
              <w:rPr>
                <w:rFonts w:ascii="Times New Roman" w:hAnsi="Times New Roman" w:cs="Times New Roman"/>
              </w:rPr>
              <w:lastRenderedPageBreak/>
              <w:t>Personal Information” option; Transparency on what data is collected</w:t>
            </w:r>
          </w:p>
        </w:tc>
        <w:tc>
          <w:tcPr>
            <w:tcW w:w="2766" w:type="dxa"/>
            <w:vAlign w:val="center"/>
          </w:tcPr>
          <w:p w14:paraId="5B8AD3CD" w14:textId="6E649E6E" w:rsidR="00416E8C" w:rsidRPr="00416E8C" w:rsidRDefault="00416E8C" w:rsidP="00416E8C">
            <w:pPr>
              <w:rPr>
                <w:rFonts w:ascii="Times New Roman" w:hAnsi="Times New Roman" w:cs="Times New Roman"/>
              </w:rPr>
            </w:pPr>
            <w:r w:rsidRPr="00416E8C">
              <w:rPr>
                <w:rFonts w:ascii="Times New Roman" w:hAnsi="Times New Roman" w:cs="Times New Roman"/>
              </w:rPr>
              <w:lastRenderedPageBreak/>
              <w:t xml:space="preserve">Update website privacy </w:t>
            </w:r>
            <w:r w:rsidRPr="00416E8C">
              <w:rPr>
                <w:rFonts w:ascii="Times New Roman" w:hAnsi="Times New Roman" w:cs="Times New Roman"/>
              </w:rPr>
              <w:lastRenderedPageBreak/>
              <w:t>notices; Establish internal processes to respond to data subject requests (right to know, right to delete)</w:t>
            </w:r>
          </w:p>
        </w:tc>
      </w:tr>
    </w:tbl>
    <w:p w14:paraId="4D8F9A66" w14:textId="77777777" w:rsidR="00416E8C" w:rsidRDefault="00416E8C" w:rsidP="00416E8C">
      <w:pPr>
        <w:rPr>
          <w:rFonts w:ascii="Times New Roman" w:hAnsi="Times New Roman" w:cs="Times New Roman"/>
        </w:rPr>
      </w:pPr>
    </w:p>
    <w:p w14:paraId="61F1E5F5" w14:textId="55FF3D53" w:rsidR="00416E8C" w:rsidRPr="00416E8C" w:rsidRDefault="00416E8C" w:rsidP="00416E8C">
      <w:pPr>
        <w:jc w:val="center"/>
        <w:rPr>
          <w:rFonts w:ascii="Times New Roman" w:hAnsi="Times New Roman" w:cs="Times New Roman"/>
        </w:rPr>
      </w:pPr>
      <w:r>
        <w:rPr>
          <w:rFonts w:ascii="Times New Roman" w:hAnsi="Times New Roman" w:cs="Times New Roman" w:hint="eastAsia"/>
        </w:rPr>
        <w:t xml:space="preserve">Table </w:t>
      </w:r>
      <w:r w:rsidR="002A4B33">
        <w:rPr>
          <w:rFonts w:ascii="Times New Roman" w:hAnsi="Times New Roman" w:cs="Times New Roman" w:hint="eastAsia"/>
        </w:rPr>
        <w:t>6</w:t>
      </w:r>
      <w:r>
        <w:rPr>
          <w:rFonts w:ascii="Times New Roman" w:hAnsi="Times New Roman" w:cs="Times New Roman" w:hint="eastAsia"/>
        </w:rPr>
        <w:t>.</w:t>
      </w:r>
      <w:r w:rsidRPr="00416E8C">
        <w:rPr>
          <w:rFonts w:ascii="Segoe UI" w:eastAsia="宋体" w:hAnsi="Segoe UI" w:cs="Segoe UI"/>
          <w:color w:val="2A2B2E"/>
          <w:kern w:val="0"/>
          <w:szCs w:val="21"/>
        </w:rPr>
        <w:t xml:space="preserve"> </w:t>
      </w:r>
      <w:r w:rsidRPr="00416E8C">
        <w:rPr>
          <w:rFonts w:ascii="Times New Roman" w:hAnsi="Times New Roman" w:cs="Times New Roman"/>
        </w:rPr>
        <w:t>An example of BYOD security policy</w:t>
      </w:r>
    </w:p>
    <w:tbl>
      <w:tblPr>
        <w:tblStyle w:val="af"/>
        <w:tblW w:w="0" w:type="auto"/>
        <w:tblLook w:val="04A0" w:firstRow="1" w:lastRow="0" w:firstColumn="1" w:lastColumn="0" w:noHBand="0" w:noVBand="1"/>
      </w:tblPr>
      <w:tblGrid>
        <w:gridCol w:w="4148"/>
        <w:gridCol w:w="4148"/>
      </w:tblGrid>
      <w:tr w:rsidR="00416E8C" w14:paraId="4C955E0A" w14:textId="77777777" w:rsidTr="00EF049B">
        <w:tc>
          <w:tcPr>
            <w:tcW w:w="4148" w:type="dxa"/>
            <w:vAlign w:val="center"/>
          </w:tcPr>
          <w:p w14:paraId="78816061" w14:textId="70C1CF6A" w:rsidR="00416E8C" w:rsidRPr="00416E8C" w:rsidRDefault="00416E8C" w:rsidP="00416E8C">
            <w:pPr>
              <w:jc w:val="center"/>
              <w:rPr>
                <w:rFonts w:ascii="Times New Roman" w:hAnsi="Times New Roman" w:cs="Times New Roman"/>
              </w:rPr>
            </w:pPr>
            <w:r w:rsidRPr="00416E8C">
              <w:rPr>
                <w:rFonts w:ascii="Times New Roman" w:hAnsi="Times New Roman" w:cs="Times New Roman"/>
              </w:rPr>
              <w:t>Requirement</w:t>
            </w:r>
          </w:p>
        </w:tc>
        <w:tc>
          <w:tcPr>
            <w:tcW w:w="4148" w:type="dxa"/>
            <w:vAlign w:val="center"/>
          </w:tcPr>
          <w:p w14:paraId="165B6DF0" w14:textId="563F0D3E" w:rsidR="00416E8C" w:rsidRPr="00416E8C" w:rsidRDefault="00416E8C" w:rsidP="00416E8C">
            <w:pPr>
              <w:jc w:val="center"/>
              <w:rPr>
                <w:rFonts w:ascii="Times New Roman" w:hAnsi="Times New Roman" w:cs="Times New Roman"/>
              </w:rPr>
            </w:pPr>
            <w:r w:rsidRPr="00416E8C">
              <w:rPr>
                <w:rFonts w:ascii="Times New Roman" w:hAnsi="Times New Roman" w:cs="Times New Roman"/>
              </w:rPr>
              <w:t>Description</w:t>
            </w:r>
          </w:p>
        </w:tc>
      </w:tr>
      <w:tr w:rsidR="00416E8C" w14:paraId="3800A54C" w14:textId="77777777" w:rsidTr="00EF049B">
        <w:tc>
          <w:tcPr>
            <w:tcW w:w="4148" w:type="dxa"/>
            <w:vAlign w:val="center"/>
          </w:tcPr>
          <w:p w14:paraId="194574E9" w14:textId="4BEBE78D" w:rsidR="00416E8C" w:rsidRPr="00416E8C" w:rsidRDefault="00416E8C" w:rsidP="00416E8C">
            <w:pPr>
              <w:rPr>
                <w:rFonts w:ascii="Times New Roman" w:hAnsi="Times New Roman" w:cs="Times New Roman"/>
              </w:rPr>
            </w:pPr>
            <w:r w:rsidRPr="00416E8C">
              <w:rPr>
                <w:rFonts w:ascii="Times New Roman" w:hAnsi="Times New Roman" w:cs="Times New Roman"/>
              </w:rPr>
              <w:t>Device Registration</w:t>
            </w:r>
          </w:p>
        </w:tc>
        <w:tc>
          <w:tcPr>
            <w:tcW w:w="4148" w:type="dxa"/>
            <w:vAlign w:val="center"/>
          </w:tcPr>
          <w:p w14:paraId="18A2C8DE" w14:textId="341EF8DF" w:rsidR="00416E8C" w:rsidRPr="00416E8C" w:rsidRDefault="00416E8C" w:rsidP="00416E8C">
            <w:pPr>
              <w:rPr>
                <w:rFonts w:ascii="Times New Roman" w:hAnsi="Times New Roman" w:cs="Times New Roman"/>
              </w:rPr>
            </w:pPr>
            <w:r w:rsidRPr="00416E8C">
              <w:rPr>
                <w:rFonts w:ascii="Times New Roman" w:hAnsi="Times New Roman" w:cs="Times New Roman"/>
              </w:rPr>
              <w:t>Personal devices must be enrolled in a Mobile Application Management (MAM) or Mobile Device Management (MDM) solution before accessing corporate resources.</w:t>
            </w:r>
          </w:p>
        </w:tc>
      </w:tr>
      <w:tr w:rsidR="00416E8C" w14:paraId="493AFA37" w14:textId="77777777" w:rsidTr="00EF049B">
        <w:tc>
          <w:tcPr>
            <w:tcW w:w="4148" w:type="dxa"/>
            <w:vAlign w:val="center"/>
          </w:tcPr>
          <w:p w14:paraId="0BD21460" w14:textId="233E4507" w:rsidR="00416E8C" w:rsidRPr="00416E8C" w:rsidRDefault="00416E8C" w:rsidP="00416E8C">
            <w:pPr>
              <w:rPr>
                <w:rFonts w:ascii="Times New Roman" w:hAnsi="Times New Roman" w:cs="Times New Roman"/>
              </w:rPr>
            </w:pPr>
            <w:r w:rsidRPr="00416E8C">
              <w:rPr>
                <w:rFonts w:ascii="Times New Roman" w:hAnsi="Times New Roman" w:cs="Times New Roman"/>
              </w:rPr>
              <w:t>Encryption</w:t>
            </w:r>
          </w:p>
        </w:tc>
        <w:tc>
          <w:tcPr>
            <w:tcW w:w="4148" w:type="dxa"/>
            <w:vAlign w:val="center"/>
          </w:tcPr>
          <w:p w14:paraId="15647075" w14:textId="26EAD1FF" w:rsidR="00416E8C" w:rsidRPr="00416E8C" w:rsidRDefault="00416E8C" w:rsidP="00416E8C">
            <w:pPr>
              <w:rPr>
                <w:rFonts w:ascii="Times New Roman" w:hAnsi="Times New Roman" w:cs="Times New Roman"/>
              </w:rPr>
            </w:pPr>
            <w:r w:rsidRPr="00416E8C">
              <w:rPr>
                <w:rFonts w:ascii="Times New Roman" w:hAnsi="Times New Roman" w:cs="Times New Roman"/>
              </w:rPr>
              <w:t>Devices must enable full-disk encryption or secure container-based encryption to protect data at rest.</w:t>
            </w:r>
          </w:p>
        </w:tc>
      </w:tr>
      <w:tr w:rsidR="00416E8C" w14:paraId="0334761B" w14:textId="77777777" w:rsidTr="00EF049B">
        <w:tc>
          <w:tcPr>
            <w:tcW w:w="4148" w:type="dxa"/>
            <w:vAlign w:val="center"/>
          </w:tcPr>
          <w:p w14:paraId="769DF548" w14:textId="1986DCCF" w:rsidR="00416E8C" w:rsidRPr="00416E8C" w:rsidRDefault="00416E8C" w:rsidP="00416E8C">
            <w:pPr>
              <w:rPr>
                <w:rFonts w:ascii="Times New Roman" w:hAnsi="Times New Roman" w:cs="Times New Roman"/>
              </w:rPr>
            </w:pPr>
            <w:r w:rsidRPr="00416E8C">
              <w:rPr>
                <w:rFonts w:ascii="Times New Roman" w:hAnsi="Times New Roman" w:cs="Times New Roman"/>
              </w:rPr>
              <w:t>Antivirus/Malware Protection</w:t>
            </w:r>
          </w:p>
        </w:tc>
        <w:tc>
          <w:tcPr>
            <w:tcW w:w="4148" w:type="dxa"/>
            <w:vAlign w:val="center"/>
          </w:tcPr>
          <w:p w14:paraId="24D7BB2D" w14:textId="65D1BB60" w:rsidR="00416E8C" w:rsidRPr="00416E8C" w:rsidRDefault="00416E8C" w:rsidP="00416E8C">
            <w:pPr>
              <w:rPr>
                <w:rFonts w:ascii="Times New Roman" w:hAnsi="Times New Roman" w:cs="Times New Roman"/>
              </w:rPr>
            </w:pPr>
            <w:r w:rsidRPr="00416E8C">
              <w:rPr>
                <w:rFonts w:ascii="Times New Roman" w:hAnsi="Times New Roman" w:cs="Times New Roman"/>
              </w:rPr>
              <w:t>Up-to-date antivirus or anti-malware software must be installed and maintained where applicable.</w:t>
            </w:r>
          </w:p>
        </w:tc>
      </w:tr>
      <w:tr w:rsidR="00416E8C" w14:paraId="2C6A0850" w14:textId="77777777" w:rsidTr="00EF049B">
        <w:tc>
          <w:tcPr>
            <w:tcW w:w="4148" w:type="dxa"/>
            <w:vAlign w:val="center"/>
          </w:tcPr>
          <w:p w14:paraId="0EA3AB99" w14:textId="3A0E4B56" w:rsidR="00416E8C" w:rsidRPr="00416E8C" w:rsidRDefault="00416E8C" w:rsidP="00416E8C">
            <w:pPr>
              <w:rPr>
                <w:rFonts w:ascii="Times New Roman" w:hAnsi="Times New Roman" w:cs="Times New Roman"/>
              </w:rPr>
            </w:pPr>
            <w:r w:rsidRPr="00416E8C">
              <w:rPr>
                <w:rFonts w:ascii="Times New Roman" w:hAnsi="Times New Roman" w:cs="Times New Roman"/>
              </w:rPr>
              <w:t>Data Isolation</w:t>
            </w:r>
          </w:p>
        </w:tc>
        <w:tc>
          <w:tcPr>
            <w:tcW w:w="4148" w:type="dxa"/>
            <w:vAlign w:val="center"/>
          </w:tcPr>
          <w:p w14:paraId="37FAD27E" w14:textId="516CE693" w:rsidR="00416E8C" w:rsidRPr="00416E8C" w:rsidRDefault="00416E8C" w:rsidP="00416E8C">
            <w:pPr>
              <w:rPr>
                <w:rFonts w:ascii="Times New Roman" w:hAnsi="Times New Roman" w:cs="Times New Roman"/>
              </w:rPr>
            </w:pPr>
            <w:r w:rsidRPr="00416E8C">
              <w:rPr>
                <w:rFonts w:ascii="Times New Roman" w:hAnsi="Times New Roman" w:cs="Times New Roman"/>
              </w:rPr>
              <w:t>Corporate data and applications must be containerized and strictly separated from personal data.</w:t>
            </w:r>
          </w:p>
        </w:tc>
      </w:tr>
      <w:tr w:rsidR="00416E8C" w14:paraId="7BC4470A" w14:textId="77777777" w:rsidTr="00EF049B">
        <w:tc>
          <w:tcPr>
            <w:tcW w:w="4148" w:type="dxa"/>
            <w:vAlign w:val="center"/>
          </w:tcPr>
          <w:p w14:paraId="7ACDA50C" w14:textId="59D6886B" w:rsidR="00416E8C" w:rsidRPr="00416E8C" w:rsidRDefault="00416E8C" w:rsidP="00416E8C">
            <w:pPr>
              <w:rPr>
                <w:rFonts w:ascii="Times New Roman" w:hAnsi="Times New Roman" w:cs="Times New Roman"/>
              </w:rPr>
            </w:pPr>
            <w:r w:rsidRPr="00416E8C">
              <w:rPr>
                <w:rFonts w:ascii="Times New Roman" w:hAnsi="Times New Roman" w:cs="Times New Roman"/>
              </w:rPr>
              <w:t>Monitoring Consent</w:t>
            </w:r>
          </w:p>
        </w:tc>
        <w:tc>
          <w:tcPr>
            <w:tcW w:w="4148" w:type="dxa"/>
            <w:vAlign w:val="center"/>
          </w:tcPr>
          <w:p w14:paraId="3E41C235" w14:textId="163C43BF" w:rsidR="00416E8C" w:rsidRPr="00416E8C" w:rsidRDefault="00416E8C" w:rsidP="00416E8C">
            <w:pPr>
              <w:rPr>
                <w:rFonts w:ascii="Times New Roman" w:hAnsi="Times New Roman" w:cs="Times New Roman"/>
              </w:rPr>
            </w:pPr>
            <w:r w:rsidRPr="00416E8C">
              <w:rPr>
                <w:rFonts w:ascii="Times New Roman" w:hAnsi="Times New Roman" w:cs="Times New Roman"/>
              </w:rPr>
              <w:t>Users must consent to corporate security monitoring only within the “work container,” ensuring personal privacy is protected.</w:t>
            </w:r>
          </w:p>
        </w:tc>
      </w:tr>
      <w:tr w:rsidR="00416E8C" w14:paraId="3E5820EF" w14:textId="77777777" w:rsidTr="00EF049B">
        <w:tc>
          <w:tcPr>
            <w:tcW w:w="4148" w:type="dxa"/>
            <w:vAlign w:val="center"/>
          </w:tcPr>
          <w:p w14:paraId="10184806" w14:textId="20FFA5D2" w:rsidR="00416E8C" w:rsidRPr="00416E8C" w:rsidRDefault="00416E8C" w:rsidP="00416E8C">
            <w:pPr>
              <w:rPr>
                <w:rFonts w:ascii="Times New Roman" w:hAnsi="Times New Roman" w:cs="Times New Roman"/>
              </w:rPr>
            </w:pPr>
            <w:r w:rsidRPr="00416E8C">
              <w:rPr>
                <w:rFonts w:ascii="Times New Roman" w:hAnsi="Times New Roman" w:cs="Times New Roman"/>
              </w:rPr>
              <w:t>Remote Wipe</w:t>
            </w:r>
          </w:p>
        </w:tc>
        <w:tc>
          <w:tcPr>
            <w:tcW w:w="4148" w:type="dxa"/>
            <w:vAlign w:val="center"/>
          </w:tcPr>
          <w:p w14:paraId="0E8FD12B" w14:textId="0A891BF2" w:rsidR="00416E8C" w:rsidRPr="00416E8C" w:rsidRDefault="00416E8C" w:rsidP="00416E8C">
            <w:pPr>
              <w:rPr>
                <w:rFonts w:ascii="Times New Roman" w:hAnsi="Times New Roman" w:cs="Times New Roman"/>
              </w:rPr>
            </w:pPr>
            <w:r w:rsidRPr="00416E8C">
              <w:rPr>
                <w:rFonts w:ascii="Times New Roman" w:hAnsi="Times New Roman" w:cs="Times New Roman"/>
              </w:rPr>
              <w:t>Users must acknowledge that the organization has the right to remotely wipe the corporate container if the device is lost or when employment ends.</w:t>
            </w:r>
          </w:p>
        </w:tc>
      </w:tr>
    </w:tbl>
    <w:p w14:paraId="2EC6B1B1" w14:textId="77777777" w:rsidR="00416E8C" w:rsidRDefault="00416E8C" w:rsidP="00416E8C">
      <w:pPr>
        <w:rPr>
          <w:rFonts w:ascii="Times New Roman" w:hAnsi="Times New Roman" w:cs="Times New Roman"/>
        </w:rPr>
      </w:pPr>
    </w:p>
    <w:p w14:paraId="5B3ECEFB" w14:textId="77777777" w:rsidR="00416E8C" w:rsidRPr="00DF58A6" w:rsidRDefault="00416E8C" w:rsidP="00DF58A6">
      <w:pPr>
        <w:pStyle w:val="2"/>
        <w:rPr>
          <w:rFonts w:hint="eastAsia"/>
        </w:rPr>
      </w:pPr>
      <w:r w:rsidRPr="00DF58A6">
        <w:t>4.3 Risk Management</w:t>
      </w:r>
    </w:p>
    <w:p w14:paraId="514FDEB8" w14:textId="36BC02B4" w:rsidR="00416E8C" w:rsidRPr="00416E8C" w:rsidRDefault="002E23BE" w:rsidP="00416E8C">
      <w:pPr>
        <w:rPr>
          <w:rFonts w:ascii="Times New Roman" w:hAnsi="Times New Roman" w:cs="Times New Roman"/>
          <w:sz w:val="24"/>
          <w:szCs w:val="28"/>
        </w:rPr>
      </w:pPr>
      <w:r w:rsidRPr="002E23BE">
        <w:rPr>
          <w:rFonts w:ascii="Times New Roman" w:hAnsi="Times New Roman" w:cs="Times New Roman"/>
          <w:b/>
          <w:bCs/>
          <w:sz w:val="24"/>
          <w:szCs w:val="28"/>
        </w:rPr>
        <w:t>Risk Management:</w:t>
      </w:r>
      <w:r w:rsidRPr="002E23BE">
        <w:rPr>
          <w:rFonts w:ascii="Times New Roman" w:hAnsi="Times New Roman" w:cs="Times New Roman"/>
          <w:sz w:val="24"/>
          <w:szCs w:val="28"/>
        </w:rPr>
        <w:t xml:space="preserve"> Encompassing threat analysis, vulnerability identification, and mitigation planning, risk management is central to ISMS. NG must implement a formal, repeatable risk assessment process in compliance with ISO 27001 Clause 6.1.2</w:t>
      </w:r>
      <w:r w:rsidR="00416E8C" w:rsidRPr="00416E8C">
        <w:rPr>
          <w:rFonts w:ascii="Times New Roman" w:hAnsi="Times New Roman" w:cs="Times New Roman" w:hint="eastAsia"/>
          <w:sz w:val="24"/>
          <w:szCs w:val="28"/>
        </w:rPr>
        <w:t>.</w:t>
      </w:r>
    </w:p>
    <w:p w14:paraId="42C3DC51" w14:textId="77777777" w:rsidR="00416E8C" w:rsidRPr="00416E8C" w:rsidRDefault="00416E8C" w:rsidP="00416E8C">
      <w:pPr>
        <w:rPr>
          <w:rFonts w:ascii="Times New Roman" w:hAnsi="Times New Roman" w:cs="Times New Roman"/>
          <w:sz w:val="24"/>
          <w:szCs w:val="28"/>
        </w:rPr>
      </w:pPr>
    </w:p>
    <w:p w14:paraId="2A7F0D5A" w14:textId="2C5420C7" w:rsidR="00416E8C" w:rsidRDefault="00416E8C" w:rsidP="00416E8C">
      <w:pPr>
        <w:rPr>
          <w:rFonts w:ascii="Times New Roman" w:hAnsi="Times New Roman" w:cs="Times New Roman"/>
          <w:sz w:val="24"/>
          <w:szCs w:val="28"/>
        </w:rPr>
      </w:pPr>
      <w:r w:rsidRPr="00416E8C">
        <w:rPr>
          <w:rFonts w:ascii="Times New Roman" w:hAnsi="Times New Roman" w:cs="Times New Roman" w:hint="eastAsia"/>
          <w:sz w:val="24"/>
          <w:szCs w:val="28"/>
        </w:rPr>
        <w:t>Risk management process:</w:t>
      </w:r>
      <w:r>
        <w:rPr>
          <w:rFonts w:ascii="Times New Roman" w:hAnsi="Times New Roman" w:cs="Times New Roman" w:hint="eastAsia"/>
          <w:sz w:val="24"/>
          <w:szCs w:val="28"/>
        </w:rPr>
        <w:t xml:space="preserve"> D</w:t>
      </w:r>
      <w:r w:rsidRPr="00416E8C">
        <w:rPr>
          <w:rFonts w:ascii="Times New Roman" w:hAnsi="Times New Roman" w:cs="Times New Roman" w:hint="eastAsia"/>
          <w:sz w:val="24"/>
          <w:szCs w:val="28"/>
        </w:rPr>
        <w:t>entification</w:t>
      </w:r>
      <w:r>
        <w:rPr>
          <w:rFonts w:ascii="Times New Roman" w:hAnsi="Times New Roman" w:cs="Times New Roman" w:hint="eastAsia"/>
          <w:sz w:val="24"/>
          <w:szCs w:val="28"/>
        </w:rPr>
        <w:t xml:space="preserve">, </w:t>
      </w:r>
      <w:r w:rsidRPr="00416E8C">
        <w:rPr>
          <w:rFonts w:ascii="Times New Roman" w:hAnsi="Times New Roman" w:cs="Times New Roman" w:hint="eastAsia"/>
          <w:sz w:val="24"/>
          <w:szCs w:val="28"/>
        </w:rPr>
        <w:t>Assessment</w:t>
      </w:r>
      <w:r>
        <w:rPr>
          <w:rFonts w:ascii="Times New Roman" w:hAnsi="Times New Roman" w:cs="Times New Roman" w:hint="eastAsia"/>
          <w:sz w:val="24"/>
          <w:szCs w:val="28"/>
        </w:rPr>
        <w:t xml:space="preserve">, </w:t>
      </w:r>
      <w:r w:rsidRPr="00416E8C">
        <w:rPr>
          <w:rFonts w:ascii="Times New Roman" w:hAnsi="Times New Roman" w:cs="Times New Roman" w:hint="eastAsia"/>
          <w:sz w:val="24"/>
          <w:szCs w:val="28"/>
        </w:rPr>
        <w:t>Handling</w:t>
      </w:r>
      <w:r>
        <w:rPr>
          <w:rFonts w:ascii="Times New Roman" w:hAnsi="Times New Roman" w:cs="Times New Roman" w:hint="eastAsia"/>
          <w:sz w:val="24"/>
          <w:szCs w:val="28"/>
        </w:rPr>
        <w:t xml:space="preserve">, </w:t>
      </w:r>
      <w:r w:rsidRPr="00416E8C">
        <w:rPr>
          <w:rFonts w:ascii="Times New Roman" w:hAnsi="Times New Roman" w:cs="Times New Roman" w:hint="eastAsia"/>
          <w:sz w:val="24"/>
          <w:szCs w:val="28"/>
        </w:rPr>
        <w:t>Monitoring</w:t>
      </w:r>
      <w:r>
        <w:rPr>
          <w:rFonts w:ascii="Times New Roman" w:hAnsi="Times New Roman" w:cs="Times New Roman" w:hint="eastAsia"/>
          <w:sz w:val="24"/>
          <w:szCs w:val="28"/>
        </w:rPr>
        <w:t xml:space="preserve"> and </w:t>
      </w:r>
      <w:r w:rsidRPr="00416E8C">
        <w:rPr>
          <w:rFonts w:ascii="Times New Roman" w:hAnsi="Times New Roman" w:cs="Times New Roman" w:hint="eastAsia"/>
          <w:sz w:val="24"/>
          <w:szCs w:val="28"/>
        </w:rPr>
        <w:t>Improvement</w:t>
      </w:r>
      <w:r>
        <w:rPr>
          <w:rFonts w:ascii="Times New Roman" w:hAnsi="Times New Roman" w:cs="Times New Roman" w:hint="eastAsia"/>
          <w:sz w:val="24"/>
          <w:szCs w:val="28"/>
        </w:rPr>
        <w:t>.</w:t>
      </w:r>
    </w:p>
    <w:p w14:paraId="3F0EF5E4" w14:textId="77777777" w:rsidR="00416E8C" w:rsidRDefault="00416E8C" w:rsidP="00416E8C">
      <w:pPr>
        <w:rPr>
          <w:rFonts w:ascii="Times New Roman" w:hAnsi="Times New Roman" w:cs="Times New Roman"/>
          <w:sz w:val="24"/>
          <w:szCs w:val="28"/>
        </w:rPr>
      </w:pPr>
    </w:p>
    <w:p w14:paraId="48B3E82B" w14:textId="3BFC09CA" w:rsidR="00416E8C" w:rsidRDefault="00416E8C" w:rsidP="00416E8C">
      <w:pPr>
        <w:rPr>
          <w:rFonts w:ascii="Times New Roman" w:hAnsi="Times New Roman" w:cs="Times New Roman"/>
          <w:sz w:val="24"/>
          <w:szCs w:val="28"/>
        </w:rPr>
      </w:pPr>
      <w:r w:rsidRPr="00416E8C">
        <w:rPr>
          <w:rFonts w:ascii="Times New Roman" w:hAnsi="Times New Roman" w:cs="Times New Roman"/>
          <w:sz w:val="24"/>
          <w:szCs w:val="28"/>
        </w:rPr>
        <w:t>The risk assessment of NG must give priority to the specific high-risk areas in the case</w:t>
      </w:r>
      <w:r>
        <w:rPr>
          <w:rFonts w:ascii="Times New Roman" w:hAnsi="Times New Roman" w:cs="Times New Roman" w:hint="eastAsia"/>
          <w:sz w:val="24"/>
          <w:szCs w:val="28"/>
        </w:rPr>
        <w:t>:</w:t>
      </w:r>
    </w:p>
    <w:p w14:paraId="4199FF1F" w14:textId="7E2A1FCF" w:rsidR="00416E8C" w:rsidRDefault="00416E8C" w:rsidP="00416E8C">
      <w:pPr>
        <w:pStyle w:val="a9"/>
        <w:numPr>
          <w:ilvl w:val="0"/>
          <w:numId w:val="9"/>
        </w:numPr>
        <w:rPr>
          <w:rFonts w:ascii="Times New Roman" w:hAnsi="Times New Roman" w:cs="Times New Roman"/>
          <w:sz w:val="24"/>
          <w:szCs w:val="28"/>
        </w:rPr>
      </w:pPr>
      <w:r w:rsidRPr="00416E8C">
        <w:rPr>
          <w:rFonts w:ascii="Times New Roman" w:hAnsi="Times New Roman" w:cs="Times New Roman" w:hint="eastAsia"/>
          <w:sz w:val="24"/>
          <w:szCs w:val="28"/>
        </w:rPr>
        <w:t xml:space="preserve">BYOD Risk (R-001): </w:t>
      </w:r>
      <w:r w:rsidR="002E23BE" w:rsidRPr="002E23BE">
        <w:rPr>
          <w:rFonts w:ascii="Times New Roman" w:hAnsi="Times New Roman" w:cs="Times New Roman" w:hint="eastAsia"/>
          <w:sz w:val="24"/>
          <w:szCs w:val="28"/>
        </w:rPr>
        <w:t>BYOD Risks: Allowing personal devices to access the network exposes NG to device loss, malware, and leakage of enterprise data (e.g., IP) from controlled to uncontrolled applications</w:t>
      </w:r>
      <w:r>
        <w:rPr>
          <w:rFonts w:ascii="Times New Roman" w:hAnsi="Times New Roman" w:cs="Times New Roman" w:hint="eastAsia"/>
          <w:sz w:val="24"/>
          <w:szCs w:val="28"/>
        </w:rPr>
        <w:t>.</w:t>
      </w:r>
    </w:p>
    <w:p w14:paraId="43B327C7" w14:textId="1475F054" w:rsidR="00416E8C" w:rsidRDefault="00416E8C" w:rsidP="00416E8C">
      <w:pPr>
        <w:pStyle w:val="a9"/>
        <w:numPr>
          <w:ilvl w:val="0"/>
          <w:numId w:val="9"/>
        </w:numPr>
        <w:rPr>
          <w:rFonts w:ascii="Times New Roman" w:hAnsi="Times New Roman" w:cs="Times New Roman"/>
          <w:sz w:val="24"/>
          <w:szCs w:val="28"/>
        </w:rPr>
      </w:pPr>
      <w:r w:rsidRPr="00416E8C">
        <w:rPr>
          <w:rFonts w:ascii="Times New Roman" w:hAnsi="Times New Roman" w:cs="Times New Roman" w:hint="eastAsia"/>
          <w:sz w:val="24"/>
          <w:szCs w:val="28"/>
        </w:rPr>
        <w:t xml:space="preserve">Cloud Services and IP Risk (R-002): </w:t>
      </w:r>
      <w:r w:rsidR="005C7A56" w:rsidRPr="005C7A56">
        <w:rPr>
          <w:rFonts w:ascii="Times New Roman" w:hAnsi="Times New Roman" w:cs="Times New Roman" w:hint="eastAsia"/>
          <w:sz w:val="24"/>
          <w:szCs w:val="28"/>
        </w:rPr>
        <w:t xml:space="preserve">NG stores valuable IP in the cloud and must assess shared responsibilities in IaaS, PaaS, and SaaS models, retaining ultimate </w:t>
      </w:r>
      <w:r w:rsidR="005C7A56" w:rsidRPr="005C7A56">
        <w:rPr>
          <w:rFonts w:ascii="Times New Roman" w:hAnsi="Times New Roman" w:cs="Times New Roman" w:hint="eastAsia"/>
          <w:sz w:val="24"/>
          <w:szCs w:val="28"/>
        </w:rPr>
        <w:lastRenderedPageBreak/>
        <w:t>responsibility for IP security.</w:t>
      </w:r>
    </w:p>
    <w:p w14:paraId="350EF839" w14:textId="6748DE72" w:rsidR="002A4B33" w:rsidRPr="005C7A56" w:rsidRDefault="002A4B33" w:rsidP="00416E8C">
      <w:pPr>
        <w:pStyle w:val="a9"/>
        <w:numPr>
          <w:ilvl w:val="0"/>
          <w:numId w:val="9"/>
        </w:numPr>
        <w:rPr>
          <w:rFonts w:ascii="Times New Roman" w:hAnsi="Times New Roman" w:cs="Times New Roman"/>
          <w:sz w:val="24"/>
          <w:szCs w:val="28"/>
        </w:rPr>
      </w:pPr>
      <w:r w:rsidRPr="005C7A56">
        <w:rPr>
          <w:rFonts w:ascii="Times New Roman" w:hAnsi="Times New Roman" w:cs="Times New Roman"/>
          <w:sz w:val="24"/>
          <w:szCs w:val="28"/>
        </w:rPr>
        <w:t xml:space="preserve">Wireless Network Risk (R-003): </w:t>
      </w:r>
      <w:r w:rsidR="005C7A56" w:rsidRPr="005C7A56">
        <w:rPr>
          <w:rFonts w:ascii="Times New Roman" w:hAnsi="Times New Roman" w:cs="Times New Roman"/>
          <w:sz w:val="24"/>
          <w:szCs w:val="28"/>
        </w:rPr>
        <w:t>With 95% wireless coverage, NG faces a large attack surface, including weak encryption, “Evil Twin” access points, and man-in-the-middle attacks.</w:t>
      </w:r>
    </w:p>
    <w:p w14:paraId="1671A0ED" w14:textId="77777777" w:rsidR="00416E8C" w:rsidRDefault="00416E8C" w:rsidP="00416E8C">
      <w:pPr>
        <w:rPr>
          <w:rFonts w:ascii="Times New Roman" w:hAnsi="Times New Roman" w:cs="Times New Roman"/>
          <w:sz w:val="24"/>
          <w:szCs w:val="28"/>
        </w:rPr>
      </w:pPr>
    </w:p>
    <w:p w14:paraId="5706810B" w14:textId="4B6002E5" w:rsidR="002A4B33" w:rsidRPr="002A4B33" w:rsidRDefault="002A4B33" w:rsidP="002A4B33">
      <w:pPr>
        <w:jc w:val="center"/>
        <w:rPr>
          <w:rFonts w:ascii="Times New Roman" w:hAnsi="Times New Roman" w:cs="Times New Roman"/>
        </w:rPr>
      </w:pPr>
      <w:r w:rsidRPr="002A4B33">
        <w:rPr>
          <w:rFonts w:ascii="Times New Roman" w:hAnsi="Times New Roman" w:cs="Times New Roman" w:hint="eastAsia"/>
        </w:rPr>
        <w:t>Table 7.</w:t>
      </w:r>
      <w:r w:rsidRPr="002A4B33">
        <w:rPr>
          <w:rFonts w:ascii="Segoe UI" w:eastAsia="宋体" w:hAnsi="Segoe UI" w:cs="Segoe UI"/>
          <w:color w:val="2A2B2E"/>
          <w:kern w:val="0"/>
          <w:sz w:val="18"/>
          <w:szCs w:val="18"/>
        </w:rPr>
        <w:t xml:space="preserve"> </w:t>
      </w:r>
      <w:proofErr w:type="spellStart"/>
      <w:r w:rsidRPr="002A4B33">
        <w:rPr>
          <w:rFonts w:ascii="Times New Roman" w:hAnsi="Times New Roman" w:cs="Times New Roman"/>
        </w:rPr>
        <w:t>NatureGreen</w:t>
      </w:r>
      <w:proofErr w:type="spellEnd"/>
      <w:r w:rsidRPr="002A4B33">
        <w:rPr>
          <w:rFonts w:ascii="Times New Roman" w:hAnsi="Times New Roman" w:cs="Times New Roman"/>
        </w:rPr>
        <w:t xml:space="preserve"> Critical Risk Register</w:t>
      </w:r>
    </w:p>
    <w:tbl>
      <w:tblPr>
        <w:tblStyle w:val="af"/>
        <w:tblW w:w="0" w:type="auto"/>
        <w:tblLook w:val="04A0" w:firstRow="1" w:lastRow="0" w:firstColumn="1" w:lastColumn="0" w:noHBand="0" w:noVBand="1"/>
      </w:tblPr>
      <w:tblGrid>
        <w:gridCol w:w="795"/>
        <w:gridCol w:w="1535"/>
        <w:gridCol w:w="1366"/>
        <w:gridCol w:w="1406"/>
        <w:gridCol w:w="1041"/>
        <w:gridCol w:w="2153"/>
      </w:tblGrid>
      <w:tr w:rsidR="002A4B33" w14:paraId="7705908C" w14:textId="77777777" w:rsidTr="00872B38">
        <w:tc>
          <w:tcPr>
            <w:tcW w:w="1382" w:type="dxa"/>
            <w:vAlign w:val="center"/>
          </w:tcPr>
          <w:p w14:paraId="25D8F09C" w14:textId="497F4E90"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Risk ID</w:t>
            </w:r>
          </w:p>
        </w:tc>
        <w:tc>
          <w:tcPr>
            <w:tcW w:w="1382" w:type="dxa"/>
            <w:vAlign w:val="center"/>
          </w:tcPr>
          <w:p w14:paraId="0E9358AE" w14:textId="33F5B372"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Asset</w:t>
            </w:r>
          </w:p>
        </w:tc>
        <w:tc>
          <w:tcPr>
            <w:tcW w:w="1383" w:type="dxa"/>
            <w:vAlign w:val="center"/>
          </w:tcPr>
          <w:p w14:paraId="45BDD40B" w14:textId="73F1DAAD"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Threat</w:t>
            </w:r>
          </w:p>
        </w:tc>
        <w:tc>
          <w:tcPr>
            <w:tcW w:w="1383" w:type="dxa"/>
            <w:vAlign w:val="center"/>
          </w:tcPr>
          <w:p w14:paraId="1E7C72C1" w14:textId="205F1CE1"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Vulnerability</w:t>
            </w:r>
          </w:p>
        </w:tc>
        <w:tc>
          <w:tcPr>
            <w:tcW w:w="1383" w:type="dxa"/>
            <w:vAlign w:val="center"/>
          </w:tcPr>
          <w:p w14:paraId="274B17E7" w14:textId="7BE3AB4B"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Inherent Risk Level</w:t>
            </w:r>
          </w:p>
        </w:tc>
        <w:tc>
          <w:tcPr>
            <w:tcW w:w="1383" w:type="dxa"/>
            <w:vAlign w:val="center"/>
          </w:tcPr>
          <w:p w14:paraId="06E0BED4" w14:textId="682F47FE"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Recommended Controls (Risk Treatment)</w:t>
            </w:r>
          </w:p>
        </w:tc>
      </w:tr>
      <w:tr w:rsidR="002A4B33" w14:paraId="352D1D86" w14:textId="77777777" w:rsidTr="00872B38">
        <w:tc>
          <w:tcPr>
            <w:tcW w:w="1382" w:type="dxa"/>
            <w:vAlign w:val="center"/>
          </w:tcPr>
          <w:p w14:paraId="2B873A48" w14:textId="78E9BCE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R-001</w:t>
            </w:r>
          </w:p>
        </w:tc>
        <w:tc>
          <w:tcPr>
            <w:tcW w:w="1382" w:type="dxa"/>
            <w:vAlign w:val="center"/>
          </w:tcPr>
          <w:p w14:paraId="7DD39386" w14:textId="3A00DDC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Global Customer Database</w:t>
            </w:r>
          </w:p>
        </w:tc>
        <w:tc>
          <w:tcPr>
            <w:tcW w:w="1383" w:type="dxa"/>
            <w:vAlign w:val="center"/>
          </w:tcPr>
          <w:p w14:paraId="38CF84CD" w14:textId="4E482E6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External attacker moves laterally through compromised employee personal devices</w:t>
            </w:r>
          </w:p>
        </w:tc>
        <w:tc>
          <w:tcPr>
            <w:tcW w:w="1383" w:type="dxa"/>
            <w:vAlign w:val="center"/>
          </w:tcPr>
          <w:p w14:paraId="0C266F89" w14:textId="4229C1F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BYOD devices allowed direct access to internal network; lack of device security posture visibility</w:t>
            </w:r>
          </w:p>
        </w:tc>
        <w:tc>
          <w:tcPr>
            <w:tcW w:w="1383" w:type="dxa"/>
            <w:vAlign w:val="center"/>
          </w:tcPr>
          <w:p w14:paraId="3991A40D" w14:textId="57042888"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Very High</w:t>
            </w:r>
          </w:p>
        </w:tc>
        <w:tc>
          <w:tcPr>
            <w:tcW w:w="1383" w:type="dxa"/>
            <w:vAlign w:val="center"/>
          </w:tcPr>
          <w:p w14:paraId="234F52ED" w14:textId="5593BB8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WPA3-Enterprise, network segmentation, Zero Trust Network Access (ZTNA), MAM/containerization</w:t>
            </w:r>
          </w:p>
        </w:tc>
      </w:tr>
      <w:tr w:rsidR="002A4B33" w14:paraId="4C749FC8" w14:textId="77777777" w:rsidTr="00872B38">
        <w:tc>
          <w:tcPr>
            <w:tcW w:w="1382" w:type="dxa"/>
            <w:vAlign w:val="center"/>
          </w:tcPr>
          <w:p w14:paraId="1ED265D7" w14:textId="1F8E06E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R-002</w:t>
            </w:r>
          </w:p>
        </w:tc>
        <w:tc>
          <w:tcPr>
            <w:tcW w:w="1382" w:type="dxa"/>
            <w:vAlign w:val="center"/>
          </w:tcPr>
          <w:p w14:paraId="08999983" w14:textId="26AAC19A"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Intellectual Property (R&amp;D Design Files)</w:t>
            </w:r>
          </w:p>
        </w:tc>
        <w:tc>
          <w:tcPr>
            <w:tcW w:w="1383" w:type="dxa"/>
            <w:vAlign w:val="center"/>
          </w:tcPr>
          <w:p w14:paraId="07A2F71B" w14:textId="7FD1FEF1"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Employees leak IP via personal cloud storage, intentional or accidental</w:t>
            </w:r>
          </w:p>
        </w:tc>
        <w:tc>
          <w:tcPr>
            <w:tcW w:w="1383" w:type="dxa"/>
            <w:vAlign w:val="center"/>
          </w:tcPr>
          <w:p w14:paraId="11EE8959" w14:textId="362E6720"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High-value IP stored in cloud services without data leakage monitoring</w:t>
            </w:r>
          </w:p>
        </w:tc>
        <w:tc>
          <w:tcPr>
            <w:tcW w:w="1383" w:type="dxa"/>
            <w:vAlign w:val="center"/>
          </w:tcPr>
          <w:p w14:paraId="0717DA33" w14:textId="2D370EF8"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Very High</w:t>
            </w:r>
          </w:p>
        </w:tc>
        <w:tc>
          <w:tcPr>
            <w:tcW w:w="1383" w:type="dxa"/>
            <w:vAlign w:val="center"/>
          </w:tcPr>
          <w:p w14:paraId="391A9937" w14:textId="3445F97D"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CASB, DLP solutions, strong access control</w:t>
            </w:r>
          </w:p>
        </w:tc>
      </w:tr>
      <w:tr w:rsidR="002A4B33" w14:paraId="272FA004" w14:textId="77777777" w:rsidTr="00872B38">
        <w:tc>
          <w:tcPr>
            <w:tcW w:w="1382" w:type="dxa"/>
            <w:vAlign w:val="center"/>
          </w:tcPr>
          <w:p w14:paraId="31229C77" w14:textId="7B810F7E"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R-003</w:t>
            </w:r>
          </w:p>
        </w:tc>
        <w:tc>
          <w:tcPr>
            <w:tcW w:w="1382" w:type="dxa"/>
            <w:vAlign w:val="center"/>
          </w:tcPr>
          <w:p w14:paraId="17D94EC9" w14:textId="213C41D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Corporate Network Access</w:t>
            </w:r>
          </w:p>
        </w:tc>
        <w:tc>
          <w:tcPr>
            <w:tcW w:w="1383" w:type="dxa"/>
            <w:vAlign w:val="center"/>
          </w:tcPr>
          <w:p w14:paraId="06B0286D" w14:textId="1FB7CD79"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Attackers set up “evil twin” Wi-Fi near HQ</w:t>
            </w:r>
          </w:p>
        </w:tc>
        <w:tc>
          <w:tcPr>
            <w:tcW w:w="1383" w:type="dxa"/>
            <w:vAlign w:val="center"/>
          </w:tcPr>
          <w:p w14:paraId="2F0B81F0" w14:textId="69525D0B"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95% wireless network; potential reliance on weak PSK authentication</w:t>
            </w:r>
          </w:p>
        </w:tc>
        <w:tc>
          <w:tcPr>
            <w:tcW w:w="1383" w:type="dxa"/>
            <w:vAlign w:val="center"/>
          </w:tcPr>
          <w:p w14:paraId="6784B1B2" w14:textId="17C850C8"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High</w:t>
            </w:r>
          </w:p>
        </w:tc>
        <w:tc>
          <w:tcPr>
            <w:tcW w:w="1383" w:type="dxa"/>
            <w:vAlign w:val="center"/>
          </w:tcPr>
          <w:p w14:paraId="68A1EDE0" w14:textId="7ACFBDB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Enforce WPA3-Enterprise (802.1X), Network Access Control (NAC)</w:t>
            </w:r>
          </w:p>
        </w:tc>
      </w:tr>
      <w:tr w:rsidR="002A4B33" w14:paraId="6CDA9963" w14:textId="77777777" w:rsidTr="00872B38">
        <w:tc>
          <w:tcPr>
            <w:tcW w:w="1382" w:type="dxa"/>
            <w:vAlign w:val="center"/>
          </w:tcPr>
          <w:p w14:paraId="691A73AC" w14:textId="0EAD9350"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R-004</w:t>
            </w:r>
          </w:p>
        </w:tc>
        <w:tc>
          <w:tcPr>
            <w:tcW w:w="1382" w:type="dxa"/>
            <w:vAlign w:val="center"/>
          </w:tcPr>
          <w:p w14:paraId="36D46C7F" w14:textId="33F90D59"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Internal Threats</w:t>
            </w:r>
          </w:p>
        </w:tc>
        <w:tc>
          <w:tcPr>
            <w:tcW w:w="1383" w:type="dxa"/>
            <w:vAlign w:val="center"/>
          </w:tcPr>
          <w:p w14:paraId="0E5303E7" w14:textId="7481EC6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Disgruntled or careless employees</w:t>
            </w:r>
          </w:p>
        </w:tc>
        <w:tc>
          <w:tcPr>
            <w:tcW w:w="1383" w:type="dxa"/>
            <w:vAlign w:val="center"/>
          </w:tcPr>
          <w:p w14:paraId="21C97E80" w14:textId="3756A919"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Poor enforcement of least privilege principle</w:t>
            </w:r>
          </w:p>
        </w:tc>
        <w:tc>
          <w:tcPr>
            <w:tcW w:w="1383" w:type="dxa"/>
            <w:vAlign w:val="center"/>
          </w:tcPr>
          <w:p w14:paraId="4A06B636" w14:textId="12A1E5C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Medium</w:t>
            </w:r>
          </w:p>
        </w:tc>
        <w:tc>
          <w:tcPr>
            <w:tcW w:w="1383" w:type="dxa"/>
            <w:vAlign w:val="center"/>
          </w:tcPr>
          <w:p w14:paraId="7E891AEB" w14:textId="67F9820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RBAC, auditing and logging</w:t>
            </w:r>
          </w:p>
        </w:tc>
      </w:tr>
      <w:tr w:rsidR="002A4B33" w14:paraId="04F58F24" w14:textId="77777777" w:rsidTr="00872B38">
        <w:tc>
          <w:tcPr>
            <w:tcW w:w="1382" w:type="dxa"/>
            <w:vAlign w:val="center"/>
          </w:tcPr>
          <w:p w14:paraId="193B5A16" w14:textId="69FEF660"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R-005</w:t>
            </w:r>
          </w:p>
        </w:tc>
        <w:tc>
          <w:tcPr>
            <w:tcW w:w="1382" w:type="dxa"/>
            <w:vAlign w:val="center"/>
          </w:tcPr>
          <w:p w14:paraId="14FBBFDB" w14:textId="753EAFEA"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Phishing/Social Engineering</w:t>
            </w:r>
          </w:p>
        </w:tc>
        <w:tc>
          <w:tcPr>
            <w:tcW w:w="1383" w:type="dxa"/>
            <w:vAlign w:val="center"/>
          </w:tcPr>
          <w:p w14:paraId="18FC0170" w14:textId="00EFAB8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Fraudulent emails targeting employees and customers</w:t>
            </w:r>
          </w:p>
        </w:tc>
        <w:tc>
          <w:tcPr>
            <w:tcW w:w="1383" w:type="dxa"/>
            <w:vAlign w:val="center"/>
          </w:tcPr>
          <w:p w14:paraId="16CFE71A" w14:textId="059530B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Lack of security awareness</w:t>
            </w:r>
          </w:p>
        </w:tc>
        <w:tc>
          <w:tcPr>
            <w:tcW w:w="1383" w:type="dxa"/>
            <w:vAlign w:val="center"/>
          </w:tcPr>
          <w:p w14:paraId="40E199E0" w14:textId="4779C26E"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Medium</w:t>
            </w:r>
          </w:p>
        </w:tc>
        <w:tc>
          <w:tcPr>
            <w:tcW w:w="1383" w:type="dxa"/>
            <w:vAlign w:val="center"/>
          </w:tcPr>
          <w:p w14:paraId="29D90084" w14:textId="2524C9EA"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Mitigation: Security awareness training, anti-phishing technical controls</w:t>
            </w:r>
          </w:p>
        </w:tc>
      </w:tr>
    </w:tbl>
    <w:p w14:paraId="2E463953" w14:textId="2F9179D5" w:rsidR="002A4B33" w:rsidRPr="00416E8C" w:rsidRDefault="002A4B33" w:rsidP="00416E8C">
      <w:pPr>
        <w:rPr>
          <w:rFonts w:ascii="Times New Roman" w:hAnsi="Times New Roman" w:cs="Times New Roman"/>
          <w:sz w:val="24"/>
          <w:szCs w:val="28"/>
        </w:rPr>
      </w:pPr>
    </w:p>
    <w:p w14:paraId="28CD4563" w14:textId="77777777" w:rsidR="002A4B33" w:rsidRPr="002A4B33" w:rsidRDefault="002A4B33" w:rsidP="002A4B33">
      <w:pPr>
        <w:pStyle w:val="2"/>
        <w:rPr>
          <w:rFonts w:hint="eastAsia"/>
        </w:rPr>
      </w:pPr>
      <w:r w:rsidRPr="002A4B33">
        <w:lastRenderedPageBreak/>
        <w:t>4.4 Protection Mechanism</w:t>
      </w:r>
    </w:p>
    <w:p w14:paraId="13D3121C" w14:textId="0E3055CC" w:rsidR="002A4B33" w:rsidRDefault="002A4B33" w:rsidP="002A4B33">
      <w:pPr>
        <w:pStyle w:val="3"/>
        <w:rPr>
          <w:rFonts w:hint="eastAsia"/>
        </w:rPr>
      </w:pPr>
      <w:r>
        <w:rPr>
          <w:rFonts w:hint="eastAsia"/>
        </w:rPr>
        <w:t>4</w:t>
      </w:r>
      <w:r w:rsidRPr="002A4B33">
        <w:t>.4.1. Core Architecture Principles: Adopt "Zero Trust Architecture (ZTNA)"</w:t>
      </w:r>
    </w:p>
    <w:p w14:paraId="32542774" w14:textId="4CB7C76E" w:rsidR="002A4B33" w:rsidRPr="005C7A56" w:rsidRDefault="005C7A56" w:rsidP="002A4B33">
      <w:pPr>
        <w:rPr>
          <w:rFonts w:ascii="Times New Roman" w:hAnsi="Times New Roman" w:cs="Times New Roman"/>
          <w:sz w:val="24"/>
          <w:szCs w:val="28"/>
        </w:rPr>
      </w:pPr>
      <w:r w:rsidRPr="005C7A56">
        <w:rPr>
          <w:rFonts w:ascii="Times New Roman" w:hAnsi="Times New Roman" w:cs="Times New Roman"/>
          <w:sz w:val="24"/>
          <w:szCs w:val="28"/>
        </w:rPr>
        <w:t>Network Security Model: NG’s environment (95% wireless, cloud-first, BYOD) renders traditional “castle-moat” security ineffective; internal networks must be treated as untrusted.</w:t>
      </w:r>
    </w:p>
    <w:p w14:paraId="2C22B8CB" w14:textId="77777777" w:rsidR="002A4B33" w:rsidRPr="002A4B33" w:rsidRDefault="002A4B33" w:rsidP="002A4B33">
      <w:pPr>
        <w:rPr>
          <w:rFonts w:ascii="Times New Roman" w:hAnsi="Times New Roman" w:cs="Times New Roman"/>
          <w:sz w:val="24"/>
          <w:szCs w:val="28"/>
        </w:rPr>
      </w:pPr>
    </w:p>
    <w:p w14:paraId="0D795151" w14:textId="7E762E4E" w:rsidR="002A4B33" w:rsidRPr="005C7A56" w:rsidRDefault="005C7A56" w:rsidP="002A4B33">
      <w:pPr>
        <w:rPr>
          <w:rFonts w:ascii="Times New Roman" w:hAnsi="Times New Roman" w:cs="Times New Roman"/>
          <w:sz w:val="24"/>
          <w:szCs w:val="28"/>
        </w:rPr>
      </w:pPr>
      <w:r w:rsidRPr="005C7A56">
        <w:rPr>
          <w:rFonts w:ascii="Times New Roman" w:hAnsi="Times New Roman" w:cs="Times New Roman"/>
          <w:sz w:val="24"/>
          <w:szCs w:val="28"/>
        </w:rPr>
        <w:t>According to NIST SP 800-207, ZTNA addresses BYOD and cloud environments, enforcing the principles of “never trust, always verify” and strict least-privilege access.</w:t>
      </w:r>
    </w:p>
    <w:p w14:paraId="5E72903C" w14:textId="551F02FA" w:rsidR="002A4B33" w:rsidRPr="002A4B33" w:rsidRDefault="002A4B33" w:rsidP="002A4B33">
      <w:pPr>
        <w:pStyle w:val="3"/>
        <w:rPr>
          <w:rFonts w:hint="eastAsia"/>
        </w:rPr>
      </w:pPr>
      <w:r>
        <w:rPr>
          <w:rFonts w:hint="eastAsia"/>
        </w:rPr>
        <w:t>4</w:t>
      </w:r>
      <w:r w:rsidRPr="002A4B33">
        <w:t>.4.2. BYOD Protection: MAM and Containerization (for R-001)</w:t>
      </w:r>
    </w:p>
    <w:p w14:paraId="6B42EFCC" w14:textId="7777777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sz w:val="24"/>
          <w:szCs w:val="28"/>
        </w:rPr>
        <w:t>Question: How can BYOD be allowed while protecting enterprise data and respecting employee privacy?</w:t>
      </w:r>
    </w:p>
    <w:p w14:paraId="59FCCA7B" w14:textId="7C9358E8" w:rsidR="002A4B33" w:rsidRDefault="002A4B33" w:rsidP="002A4B33">
      <w:pPr>
        <w:rPr>
          <w:rFonts w:ascii="Times New Roman" w:hAnsi="Times New Roman" w:cs="Times New Roman"/>
          <w:sz w:val="24"/>
          <w:szCs w:val="28"/>
        </w:rPr>
      </w:pPr>
      <w:r w:rsidRPr="002A4B33">
        <w:rPr>
          <w:rFonts w:ascii="Times New Roman" w:hAnsi="Times New Roman" w:cs="Times New Roman"/>
          <w:sz w:val="24"/>
          <w:szCs w:val="28"/>
        </w:rPr>
        <w:t>Solution Comparison (MDM vs. MAM)</w:t>
      </w:r>
      <w:r>
        <w:rPr>
          <w:rFonts w:ascii="Times New Roman" w:hAnsi="Times New Roman" w:cs="Times New Roman" w:hint="eastAsia"/>
          <w:sz w:val="24"/>
          <w:szCs w:val="28"/>
        </w:rPr>
        <w:t xml:space="preserve"> see as Table 8:</w:t>
      </w:r>
    </w:p>
    <w:p w14:paraId="329F248A" w14:textId="77777777" w:rsidR="002A4B33" w:rsidRDefault="002A4B33" w:rsidP="002A4B33">
      <w:pPr>
        <w:rPr>
          <w:rFonts w:ascii="Times New Roman" w:hAnsi="Times New Roman" w:cs="Times New Roman"/>
          <w:sz w:val="24"/>
          <w:szCs w:val="28"/>
        </w:rPr>
      </w:pPr>
    </w:p>
    <w:p w14:paraId="07FD1C20" w14:textId="14A3FC49" w:rsidR="002A4B33" w:rsidRPr="002A4B33" w:rsidRDefault="002A4B33" w:rsidP="002A4B33">
      <w:pPr>
        <w:jc w:val="center"/>
        <w:rPr>
          <w:rFonts w:ascii="Times New Roman" w:hAnsi="Times New Roman" w:cs="Times New Roman"/>
        </w:rPr>
      </w:pPr>
      <w:r w:rsidRPr="002A4B33">
        <w:rPr>
          <w:rFonts w:ascii="Times New Roman" w:hAnsi="Times New Roman" w:cs="Times New Roman" w:hint="eastAsia"/>
        </w:rPr>
        <w:t xml:space="preserve">Table 8. </w:t>
      </w:r>
      <w:r w:rsidRPr="002A4B33">
        <w:rPr>
          <w:rFonts w:ascii="Times New Roman" w:hAnsi="Times New Roman" w:cs="Times New Roman"/>
        </w:rPr>
        <w:t>MDM vs. MAM</w:t>
      </w:r>
    </w:p>
    <w:tbl>
      <w:tblPr>
        <w:tblStyle w:val="af"/>
        <w:tblW w:w="0" w:type="auto"/>
        <w:tblLook w:val="04A0" w:firstRow="1" w:lastRow="0" w:firstColumn="1" w:lastColumn="0" w:noHBand="0" w:noVBand="1"/>
      </w:tblPr>
      <w:tblGrid>
        <w:gridCol w:w="2765"/>
        <w:gridCol w:w="2765"/>
        <w:gridCol w:w="2766"/>
      </w:tblGrid>
      <w:tr w:rsidR="002A4B33" w14:paraId="38E42537" w14:textId="77777777" w:rsidTr="003E5734">
        <w:tc>
          <w:tcPr>
            <w:tcW w:w="2765" w:type="dxa"/>
            <w:vAlign w:val="center"/>
          </w:tcPr>
          <w:p w14:paraId="44B91168" w14:textId="28BFFDA6"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Aspect</w:t>
            </w:r>
          </w:p>
        </w:tc>
        <w:tc>
          <w:tcPr>
            <w:tcW w:w="2765" w:type="dxa"/>
            <w:vAlign w:val="center"/>
          </w:tcPr>
          <w:p w14:paraId="0ADD9F06" w14:textId="687282B3"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Mobile Device Management (MDM)</w:t>
            </w:r>
          </w:p>
        </w:tc>
        <w:tc>
          <w:tcPr>
            <w:tcW w:w="2766" w:type="dxa"/>
            <w:vAlign w:val="center"/>
          </w:tcPr>
          <w:p w14:paraId="732A4D4B" w14:textId="0C0CEC1D" w:rsidR="002A4B33" w:rsidRPr="002A4B33" w:rsidRDefault="002A4B33" w:rsidP="002A4B33">
            <w:pPr>
              <w:jc w:val="center"/>
              <w:rPr>
                <w:rFonts w:ascii="Times New Roman" w:hAnsi="Times New Roman" w:cs="Times New Roman"/>
                <w:sz w:val="24"/>
                <w:szCs w:val="28"/>
              </w:rPr>
            </w:pPr>
            <w:r w:rsidRPr="002A4B33">
              <w:rPr>
                <w:rFonts w:ascii="Times New Roman" w:hAnsi="Times New Roman" w:cs="Times New Roman"/>
              </w:rPr>
              <w:t>Mobile Application Management (MAM) / Containerization</w:t>
            </w:r>
          </w:p>
        </w:tc>
      </w:tr>
      <w:tr w:rsidR="002A4B33" w14:paraId="4337D8EB" w14:textId="77777777" w:rsidTr="003E5734">
        <w:tc>
          <w:tcPr>
            <w:tcW w:w="2765" w:type="dxa"/>
            <w:vAlign w:val="center"/>
          </w:tcPr>
          <w:p w14:paraId="23748945" w14:textId="66CADB4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Function</w:t>
            </w:r>
          </w:p>
        </w:tc>
        <w:tc>
          <w:tcPr>
            <w:tcW w:w="2765" w:type="dxa"/>
            <w:vAlign w:val="center"/>
          </w:tcPr>
          <w:p w14:paraId="48C2F12F" w14:textId="0F4AAB87"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Manages the entire mobile device (settings, apps, data)</w:t>
            </w:r>
          </w:p>
        </w:tc>
        <w:tc>
          <w:tcPr>
            <w:tcW w:w="2766" w:type="dxa"/>
            <w:vAlign w:val="center"/>
          </w:tcPr>
          <w:p w14:paraId="79AB7F19" w14:textId="3EA31C21"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Manages only corporate apps and data through secure containers</w:t>
            </w:r>
          </w:p>
        </w:tc>
      </w:tr>
      <w:tr w:rsidR="002A4B33" w14:paraId="0CAEE294" w14:textId="77777777" w:rsidTr="003E5734">
        <w:tc>
          <w:tcPr>
            <w:tcW w:w="2765" w:type="dxa"/>
            <w:vAlign w:val="center"/>
          </w:tcPr>
          <w:p w14:paraId="50898C82" w14:textId="127AFFC6"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Control Scope</w:t>
            </w:r>
          </w:p>
        </w:tc>
        <w:tc>
          <w:tcPr>
            <w:tcW w:w="2765" w:type="dxa"/>
            <w:vAlign w:val="center"/>
          </w:tcPr>
          <w:p w14:paraId="47E02899" w14:textId="13B303FB"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Full device control</w:t>
            </w:r>
          </w:p>
        </w:tc>
        <w:tc>
          <w:tcPr>
            <w:tcW w:w="2766" w:type="dxa"/>
            <w:vAlign w:val="center"/>
          </w:tcPr>
          <w:p w14:paraId="7D825975" w14:textId="55AC7EB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Limited to corporate environment on the device</w:t>
            </w:r>
          </w:p>
        </w:tc>
      </w:tr>
      <w:tr w:rsidR="002A4B33" w14:paraId="0E41D175" w14:textId="77777777" w:rsidTr="003E5734">
        <w:tc>
          <w:tcPr>
            <w:tcW w:w="2765" w:type="dxa"/>
            <w:vAlign w:val="center"/>
          </w:tcPr>
          <w:p w14:paraId="2C371205" w14:textId="5586E83C"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Privacy Impact</w:t>
            </w:r>
          </w:p>
        </w:tc>
        <w:tc>
          <w:tcPr>
            <w:tcW w:w="2765" w:type="dxa"/>
            <w:vAlign w:val="center"/>
          </w:tcPr>
          <w:p w14:paraId="57BB23E1" w14:textId="33881BE4"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High (can oversee most apps and configurations, more intrusive)</w:t>
            </w:r>
          </w:p>
        </w:tc>
        <w:tc>
          <w:tcPr>
            <w:tcW w:w="2766" w:type="dxa"/>
            <w:vAlign w:val="center"/>
          </w:tcPr>
          <w:p w14:paraId="415C5551" w14:textId="07A2C85B"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Low (protects personal privacy by separating personal and corporate data)</w:t>
            </w:r>
          </w:p>
        </w:tc>
      </w:tr>
      <w:tr w:rsidR="002A4B33" w14:paraId="2198441E" w14:textId="77777777" w:rsidTr="003E5734">
        <w:tc>
          <w:tcPr>
            <w:tcW w:w="2765" w:type="dxa"/>
            <w:vAlign w:val="center"/>
          </w:tcPr>
          <w:p w14:paraId="0E0D1E7E" w14:textId="0AED0C53"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Remote Wipe</w:t>
            </w:r>
          </w:p>
        </w:tc>
        <w:tc>
          <w:tcPr>
            <w:tcW w:w="2765" w:type="dxa"/>
            <w:vAlign w:val="center"/>
          </w:tcPr>
          <w:p w14:paraId="285788F6" w14:textId="42FE87A5"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Wipes the entire device</w:t>
            </w:r>
          </w:p>
        </w:tc>
        <w:tc>
          <w:tcPr>
            <w:tcW w:w="2766" w:type="dxa"/>
            <w:vAlign w:val="center"/>
          </w:tcPr>
          <w:p w14:paraId="412E2041" w14:textId="39A6A753"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Wipes only the corporate container/application data</w:t>
            </w:r>
          </w:p>
        </w:tc>
      </w:tr>
      <w:tr w:rsidR="002A4B33" w14:paraId="34976DC3" w14:textId="77777777" w:rsidTr="003E5734">
        <w:tc>
          <w:tcPr>
            <w:tcW w:w="2765" w:type="dxa"/>
            <w:vAlign w:val="center"/>
          </w:tcPr>
          <w:p w14:paraId="6979F8F4" w14:textId="496DE196"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Suitable Scenario for NG</w:t>
            </w:r>
          </w:p>
        </w:tc>
        <w:tc>
          <w:tcPr>
            <w:tcW w:w="2765" w:type="dxa"/>
            <w:vAlign w:val="center"/>
          </w:tcPr>
          <w:p w14:paraId="0750A27A" w14:textId="17740772"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Company-issued devices</w:t>
            </w:r>
          </w:p>
        </w:tc>
        <w:tc>
          <w:tcPr>
            <w:tcW w:w="2766" w:type="dxa"/>
            <w:vAlign w:val="center"/>
          </w:tcPr>
          <w:p w14:paraId="3B75E322" w14:textId="594E4C9F" w:rsidR="002A4B33" w:rsidRPr="002A4B33" w:rsidRDefault="002A4B33" w:rsidP="002A4B33">
            <w:pPr>
              <w:rPr>
                <w:rFonts w:ascii="Times New Roman" w:hAnsi="Times New Roman" w:cs="Times New Roman"/>
                <w:sz w:val="24"/>
                <w:szCs w:val="28"/>
              </w:rPr>
            </w:pPr>
            <w:r w:rsidRPr="002A4B33">
              <w:rPr>
                <w:rFonts w:ascii="Times New Roman" w:hAnsi="Times New Roman" w:cs="Times New Roman"/>
              </w:rPr>
              <w:t>BYOD (employees’ and customers’ personal devices)</w:t>
            </w:r>
          </w:p>
        </w:tc>
      </w:tr>
    </w:tbl>
    <w:p w14:paraId="6DB94E28" w14:textId="77777777" w:rsidR="002A4B33" w:rsidRPr="002A4B33" w:rsidRDefault="002A4B33" w:rsidP="002A4B33">
      <w:pPr>
        <w:rPr>
          <w:rFonts w:ascii="Times New Roman" w:hAnsi="Times New Roman" w:cs="Times New Roman"/>
          <w:sz w:val="24"/>
          <w:szCs w:val="28"/>
        </w:rPr>
      </w:pPr>
    </w:p>
    <w:p w14:paraId="5157CFFA" w14:textId="7B66B914" w:rsidR="002A4B33" w:rsidRPr="002A4B33" w:rsidRDefault="002A4B33" w:rsidP="002A4B33">
      <w:pPr>
        <w:pStyle w:val="3"/>
        <w:rPr>
          <w:rFonts w:hint="eastAsia"/>
        </w:rPr>
      </w:pPr>
      <w:r>
        <w:rPr>
          <w:rFonts w:hint="eastAsia"/>
        </w:rPr>
        <w:t>4</w:t>
      </w:r>
      <w:r w:rsidRPr="002A4B33">
        <w:t>.4.3. Cloud Security and IP Protection (Response to R-002)</w:t>
      </w:r>
    </w:p>
    <w:p w14:paraId="2B32DAB9" w14:textId="77777777" w:rsidR="002A4B33" w:rsidRDefault="002A4B33" w:rsidP="002A4B33">
      <w:pPr>
        <w:rPr>
          <w:rFonts w:ascii="Times New Roman" w:hAnsi="Times New Roman" w:cs="Times New Roman"/>
          <w:sz w:val="24"/>
          <w:szCs w:val="28"/>
        </w:rPr>
      </w:pPr>
      <w:r w:rsidRPr="002A4B33">
        <w:rPr>
          <w:rFonts w:ascii="Times New Roman" w:hAnsi="Times New Roman" w:cs="Times New Roman"/>
          <w:sz w:val="24"/>
          <w:szCs w:val="28"/>
        </w:rPr>
        <w:t>Risk: NG's IP is stored in the cloud, lacking visibility and data leakage control.</w:t>
      </w:r>
    </w:p>
    <w:p w14:paraId="20BDFE57" w14:textId="428E7E44" w:rsidR="00C361ED" w:rsidRPr="002A4B33" w:rsidRDefault="00C361ED" w:rsidP="002A4B33">
      <w:pPr>
        <w:rPr>
          <w:rFonts w:ascii="Times New Roman" w:hAnsi="Times New Roman" w:cs="Times New Roman"/>
          <w:sz w:val="24"/>
          <w:szCs w:val="28"/>
        </w:rPr>
      </w:pPr>
    </w:p>
    <w:p w14:paraId="555B7553" w14:textId="1FD86A2C" w:rsidR="00416E8C" w:rsidRDefault="00C361ED" w:rsidP="00416E8C">
      <w:pPr>
        <w:rPr>
          <w:rFonts w:ascii="Times New Roman" w:hAnsi="Times New Roman" w:cs="Times New Roman"/>
          <w:sz w:val="24"/>
          <w:szCs w:val="28"/>
        </w:rPr>
      </w:pPr>
      <w:r w:rsidRPr="00C361ED">
        <w:rPr>
          <w:rFonts w:ascii="Times New Roman" w:hAnsi="Times New Roman" w:cs="Times New Roman" w:hint="eastAsia"/>
          <w:sz w:val="24"/>
          <w:szCs w:val="28"/>
        </w:rPr>
        <w:t>Solution: Cloud Access Security Broker (CASB)</w:t>
      </w:r>
      <w:r>
        <w:rPr>
          <w:rFonts w:ascii="Times New Roman" w:hAnsi="Times New Roman" w:cs="Times New Roman" w:hint="eastAsia"/>
          <w:sz w:val="24"/>
          <w:szCs w:val="28"/>
        </w:rPr>
        <w:t>:</w:t>
      </w:r>
    </w:p>
    <w:p w14:paraId="2F55A01B" w14:textId="1E8F9D61" w:rsidR="00C361ED" w:rsidRDefault="00C361ED" w:rsidP="00416E8C">
      <w:pPr>
        <w:rPr>
          <w:rFonts w:ascii="Times New Roman" w:hAnsi="Times New Roman" w:cs="Times New Roman"/>
          <w:sz w:val="24"/>
          <w:szCs w:val="28"/>
        </w:rPr>
      </w:pPr>
      <w:r w:rsidRPr="00C361ED">
        <w:rPr>
          <w:rFonts w:ascii="Times New Roman" w:hAnsi="Times New Roman" w:cs="Times New Roman" w:hint="eastAsia"/>
          <w:sz w:val="24"/>
          <w:szCs w:val="28"/>
        </w:rPr>
        <w:t xml:space="preserve">The CASB is a security enforcement point located between the users of the NG and the cloud service provider. It provides the NG with four </w:t>
      </w:r>
      <w:r w:rsidRPr="00C361ED">
        <w:rPr>
          <w:rFonts w:ascii="Times New Roman" w:hAnsi="Times New Roman" w:cs="Times New Roman"/>
          <w:sz w:val="24"/>
          <w:szCs w:val="28"/>
        </w:rPr>
        <w:t>core</w:t>
      </w:r>
      <w:r>
        <w:rPr>
          <w:rFonts w:ascii="Times New Roman" w:hAnsi="Times New Roman" w:cs="Times New Roman" w:hint="eastAsia"/>
          <w:sz w:val="24"/>
          <w:szCs w:val="28"/>
        </w:rPr>
        <w:t xml:space="preserve"> </w:t>
      </w:r>
      <w:r w:rsidRPr="00C361ED">
        <w:rPr>
          <w:rFonts w:ascii="Times New Roman" w:hAnsi="Times New Roman" w:cs="Times New Roman" w:hint="eastAsia"/>
          <w:sz w:val="24"/>
          <w:szCs w:val="28"/>
        </w:rPr>
        <w:t>capabilities:</w:t>
      </w:r>
    </w:p>
    <w:p w14:paraId="0876DAA4" w14:textId="069546EB" w:rsidR="00C361ED"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lastRenderedPageBreak/>
        <w:t>Visibility: Identifying all cloud applications used by NG employees, including unauthorized "shadow IT" that has not been approved by IT</w:t>
      </w:r>
      <w:r>
        <w:rPr>
          <w:rFonts w:ascii="Times New Roman" w:hAnsi="Times New Roman" w:cs="Times New Roman" w:hint="eastAsia"/>
          <w:sz w:val="24"/>
          <w:szCs w:val="28"/>
        </w:rPr>
        <w:t>.</w:t>
      </w:r>
    </w:p>
    <w:p w14:paraId="307002CF" w14:textId="6D337845" w:rsidR="00C361ED"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t>Compliance: Assessing whether cloud services comply with the NG's compliance requirements (such as GDPR, PIIPL)</w:t>
      </w:r>
      <w:r>
        <w:rPr>
          <w:rFonts w:ascii="Times New Roman" w:hAnsi="Times New Roman" w:cs="Times New Roman" w:hint="eastAsia"/>
          <w:sz w:val="24"/>
          <w:szCs w:val="28"/>
        </w:rPr>
        <w:t>.</w:t>
      </w:r>
    </w:p>
    <w:p w14:paraId="2B04C3DA" w14:textId="5C47AD09" w:rsidR="00C361ED"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t>Data Security: Applying data loss prevention (DLP) policies to sensitive data entering or leaving the cloud (especially IPs)</w:t>
      </w:r>
      <w:r>
        <w:rPr>
          <w:rFonts w:ascii="Times New Roman" w:hAnsi="Times New Roman" w:cs="Times New Roman" w:hint="eastAsia"/>
          <w:sz w:val="24"/>
          <w:szCs w:val="28"/>
        </w:rPr>
        <w:t>.</w:t>
      </w:r>
    </w:p>
    <w:p w14:paraId="05EB69A1" w14:textId="47807DF6" w:rsidR="00C361ED" w:rsidRPr="005C7A56" w:rsidRDefault="00C361ED" w:rsidP="00C361ED">
      <w:pPr>
        <w:pStyle w:val="a9"/>
        <w:numPr>
          <w:ilvl w:val="0"/>
          <w:numId w:val="10"/>
        </w:numPr>
        <w:rPr>
          <w:rFonts w:ascii="Times New Roman" w:hAnsi="Times New Roman" w:cs="Times New Roman"/>
          <w:sz w:val="24"/>
          <w:szCs w:val="28"/>
        </w:rPr>
      </w:pPr>
      <w:r w:rsidRPr="00C361ED">
        <w:rPr>
          <w:rFonts w:ascii="Times New Roman" w:hAnsi="Times New Roman" w:cs="Times New Roman" w:hint="eastAsia"/>
          <w:sz w:val="24"/>
          <w:szCs w:val="28"/>
        </w:rPr>
        <w:t>Threat Protection: Detecting abnormal behaviors (for example, an employee suddenly downloading a large number of IP documents from an unusual location) and automatically mitigating threats</w:t>
      </w:r>
      <w:r>
        <w:rPr>
          <w:rFonts w:ascii="Times New Roman" w:hAnsi="Times New Roman" w:cs="Times New Roman" w:hint="eastAsia"/>
          <w:sz w:val="24"/>
          <w:szCs w:val="28"/>
        </w:rPr>
        <w:t>.</w:t>
      </w:r>
    </w:p>
    <w:p w14:paraId="329472AD" w14:textId="77777777" w:rsidR="00C361ED" w:rsidRDefault="00C361ED" w:rsidP="00C361ED">
      <w:pPr>
        <w:pStyle w:val="3"/>
        <w:rPr>
          <w:rFonts w:hint="eastAsia"/>
        </w:rPr>
      </w:pPr>
      <w:r>
        <w:t>4.4.4. Wireless Network Security (Dealing with R-003)</w:t>
      </w:r>
    </w:p>
    <w:p w14:paraId="7F3B75A0" w14:textId="1218769D" w:rsidR="00C361ED" w:rsidRDefault="00C361ED" w:rsidP="00C361ED">
      <w:pPr>
        <w:rPr>
          <w:rFonts w:ascii="Times New Roman" w:hAnsi="Times New Roman" w:cs="Times New Roman"/>
          <w:sz w:val="24"/>
          <w:szCs w:val="28"/>
        </w:rPr>
      </w:pPr>
      <w:r w:rsidRPr="00C361ED">
        <w:rPr>
          <w:rFonts w:ascii="Times New Roman" w:hAnsi="Times New Roman" w:cs="Times New Roman"/>
          <w:sz w:val="24"/>
          <w:szCs w:val="28"/>
        </w:rPr>
        <w:t>Risk: 95% of wireless networks are a huge vulnerable entry point</w:t>
      </w:r>
      <w:r>
        <w:rPr>
          <w:rFonts w:ascii="Times New Roman" w:hAnsi="Times New Roman" w:cs="Times New Roman" w:hint="eastAsia"/>
          <w:sz w:val="24"/>
          <w:szCs w:val="28"/>
        </w:rPr>
        <w:t>.</w:t>
      </w:r>
    </w:p>
    <w:p w14:paraId="27ED179B" w14:textId="20C2E800" w:rsidR="00C361ED" w:rsidRDefault="00C361ED" w:rsidP="00C361ED">
      <w:pPr>
        <w:rPr>
          <w:rFonts w:ascii="Times New Roman" w:hAnsi="Times New Roman" w:cs="Times New Roman"/>
          <w:sz w:val="24"/>
          <w:szCs w:val="28"/>
        </w:rPr>
      </w:pPr>
      <w:r w:rsidRPr="00C361ED">
        <w:rPr>
          <w:rFonts w:ascii="Times New Roman" w:hAnsi="Times New Roman" w:cs="Times New Roman"/>
          <w:sz w:val="24"/>
          <w:szCs w:val="28"/>
        </w:rPr>
        <w:t>Solution</w:t>
      </w:r>
      <w:r>
        <w:rPr>
          <w:rFonts w:ascii="Times New Roman" w:hAnsi="Times New Roman" w:cs="Times New Roman" w:hint="eastAsia"/>
          <w:sz w:val="24"/>
          <w:szCs w:val="28"/>
        </w:rPr>
        <w:t>:</w:t>
      </w:r>
    </w:p>
    <w:p w14:paraId="089B3D9D" w14:textId="2267FA4E" w:rsidR="00C361ED" w:rsidRDefault="00C361ED" w:rsidP="00C361ED">
      <w:pPr>
        <w:pStyle w:val="a9"/>
        <w:numPr>
          <w:ilvl w:val="0"/>
          <w:numId w:val="13"/>
        </w:numPr>
        <w:rPr>
          <w:rFonts w:ascii="Times New Roman" w:hAnsi="Times New Roman" w:cs="Times New Roman"/>
          <w:sz w:val="24"/>
          <w:szCs w:val="28"/>
        </w:rPr>
      </w:pPr>
      <w:r w:rsidRPr="00C361ED">
        <w:rPr>
          <w:rFonts w:ascii="Times New Roman" w:hAnsi="Times New Roman" w:cs="Times New Roman" w:hint="eastAsia"/>
          <w:sz w:val="24"/>
          <w:szCs w:val="28"/>
        </w:rPr>
        <w:t xml:space="preserve">Enforce WPA3-Enterprise (802.1X): </w:t>
      </w:r>
      <w:r w:rsidR="005C7A56" w:rsidRPr="005C7A56">
        <w:rPr>
          <w:rFonts w:ascii="Times New Roman" w:hAnsi="Times New Roman" w:cs="Times New Roman"/>
          <w:sz w:val="24"/>
          <w:szCs w:val="28"/>
        </w:rPr>
        <w:t>NG must replace WPA2-Personal with WPA3-Enterprise, requiring each user/device to authenticate with unique credentials or certificates, eliminating password-sharing risks and enabling identity-based access control</w:t>
      </w:r>
      <w:r w:rsidRPr="00C361ED">
        <w:rPr>
          <w:rFonts w:ascii="Times New Roman" w:hAnsi="Times New Roman" w:cs="Times New Roman" w:hint="eastAsia"/>
          <w:sz w:val="24"/>
          <w:szCs w:val="28"/>
        </w:rPr>
        <w:t>.</w:t>
      </w:r>
    </w:p>
    <w:p w14:paraId="01FC870B" w14:textId="772E2ADC" w:rsidR="00C361ED" w:rsidRDefault="00C361ED" w:rsidP="00C361ED">
      <w:pPr>
        <w:pStyle w:val="a9"/>
        <w:numPr>
          <w:ilvl w:val="0"/>
          <w:numId w:val="13"/>
        </w:numPr>
        <w:rPr>
          <w:rFonts w:ascii="Times New Roman" w:hAnsi="Times New Roman" w:cs="Times New Roman"/>
          <w:sz w:val="24"/>
          <w:szCs w:val="28"/>
        </w:rPr>
      </w:pPr>
      <w:r w:rsidRPr="00C361ED">
        <w:rPr>
          <w:rFonts w:ascii="Times New Roman" w:hAnsi="Times New Roman" w:cs="Times New Roman" w:hint="eastAsia"/>
          <w:sz w:val="24"/>
          <w:szCs w:val="28"/>
        </w:rPr>
        <w:t xml:space="preserve">Wireless Network Segmentation (Network Segmentation): </w:t>
      </w:r>
      <w:r w:rsidR="005C7A56" w:rsidRPr="005C7A56">
        <w:rPr>
          <w:rFonts w:ascii="Times New Roman" w:hAnsi="Times New Roman" w:cs="Times New Roman" w:hint="eastAsia"/>
          <w:sz w:val="24"/>
          <w:szCs w:val="28"/>
        </w:rPr>
        <w:t>BYOD devices and core servers must be on separate networks, using 802.1X and VLANs to enforce strict segmentation</w:t>
      </w:r>
      <w:r w:rsidRPr="00C361ED">
        <w:rPr>
          <w:rFonts w:ascii="Times New Roman" w:hAnsi="Times New Roman" w:cs="Times New Roman" w:hint="eastAsia"/>
          <w:sz w:val="24"/>
          <w:szCs w:val="28"/>
        </w:rPr>
        <w:t>:</w:t>
      </w:r>
    </w:p>
    <w:p w14:paraId="712DB73E" w14:textId="5339B685" w:rsidR="00C361ED" w:rsidRDefault="00C361ED" w:rsidP="00C361ED">
      <w:pPr>
        <w:pStyle w:val="a9"/>
        <w:numPr>
          <w:ilvl w:val="0"/>
          <w:numId w:val="14"/>
        </w:numPr>
        <w:rPr>
          <w:rFonts w:ascii="Times New Roman" w:hAnsi="Times New Roman" w:cs="Times New Roman"/>
          <w:sz w:val="24"/>
          <w:szCs w:val="28"/>
        </w:rPr>
      </w:pPr>
      <w:r w:rsidRPr="00C361ED">
        <w:rPr>
          <w:rFonts w:ascii="Times New Roman" w:hAnsi="Times New Roman" w:cs="Times New Roman" w:hint="eastAsia"/>
          <w:sz w:val="24"/>
          <w:szCs w:val="28"/>
        </w:rPr>
        <w:t>Enterprise Network (Corporate-Secure): For company-owned devices. Use WPA3-Enterprise. Access internal resources.</w:t>
      </w:r>
    </w:p>
    <w:p w14:paraId="56551B0D" w14:textId="67DDDFEC" w:rsidR="00C361ED" w:rsidRDefault="00C361ED" w:rsidP="00C361ED">
      <w:pPr>
        <w:pStyle w:val="a9"/>
        <w:numPr>
          <w:ilvl w:val="0"/>
          <w:numId w:val="14"/>
        </w:numPr>
        <w:rPr>
          <w:rFonts w:ascii="Times New Roman" w:hAnsi="Times New Roman" w:cs="Times New Roman"/>
          <w:sz w:val="24"/>
          <w:szCs w:val="28"/>
        </w:rPr>
      </w:pPr>
      <w:r w:rsidRPr="00C361ED">
        <w:rPr>
          <w:rFonts w:ascii="Times New Roman" w:hAnsi="Times New Roman" w:cs="Times New Roman" w:hint="eastAsia"/>
          <w:sz w:val="24"/>
          <w:szCs w:val="28"/>
        </w:rPr>
        <w:t>BYOD Network (BYOD-Zone): For employee personal devices (managed by MAM container). Use WPA3-Enterprise. Subject to ZTNA restrictions, can only access specific applications.</w:t>
      </w:r>
    </w:p>
    <w:p w14:paraId="60518371" w14:textId="3065831D" w:rsidR="00C361ED" w:rsidRDefault="00C361ED" w:rsidP="00C361ED">
      <w:pPr>
        <w:pStyle w:val="a9"/>
        <w:numPr>
          <w:ilvl w:val="0"/>
          <w:numId w:val="14"/>
        </w:numPr>
        <w:rPr>
          <w:rFonts w:ascii="Times New Roman" w:hAnsi="Times New Roman" w:cs="Times New Roman"/>
          <w:sz w:val="24"/>
          <w:szCs w:val="28"/>
        </w:rPr>
      </w:pPr>
      <w:r w:rsidRPr="00C361ED">
        <w:rPr>
          <w:rFonts w:ascii="Times New Roman" w:hAnsi="Times New Roman" w:cs="Times New Roman" w:hint="eastAsia"/>
          <w:sz w:val="24"/>
          <w:szCs w:val="28"/>
        </w:rPr>
        <w:t>Guest Network (Guest-Public): For customers and visitors. Completely isolated, only provides internet access, no connection to the internal network.</w:t>
      </w:r>
    </w:p>
    <w:p w14:paraId="0724470C" w14:textId="77777777" w:rsidR="00C361ED" w:rsidRDefault="00C361ED" w:rsidP="00C361ED">
      <w:pPr>
        <w:pStyle w:val="target"/>
        <w:spacing w:before="0" w:beforeAutospacing="0" w:after="0" w:afterAutospacing="0"/>
        <w:rPr>
          <w:rFonts w:ascii="Times New Roman" w:hAnsi="Times New Roman" w:cs="Times New Roman"/>
          <w:color w:val="2A2B2E"/>
        </w:rPr>
      </w:pPr>
    </w:p>
    <w:p w14:paraId="41598B24" w14:textId="1FF4F790" w:rsidR="00416E8C" w:rsidRDefault="00C361ED" w:rsidP="00C361ED">
      <w:pPr>
        <w:pStyle w:val="target"/>
        <w:spacing w:before="0" w:beforeAutospacing="0" w:after="0" w:afterAutospacing="0"/>
        <w:rPr>
          <w:rFonts w:ascii="Times New Roman" w:hAnsi="Times New Roman" w:cs="Times New Roman"/>
          <w:color w:val="2A2B2E"/>
        </w:rPr>
      </w:pPr>
      <w:r w:rsidRPr="00C361ED">
        <w:rPr>
          <w:rFonts w:ascii="Times New Roman" w:hAnsi="Times New Roman" w:cs="Times New Roman"/>
          <w:color w:val="2A2B2E"/>
        </w:rPr>
        <w:t>Data Leakage prevention (DLP) control in a BYOD environment can significantly reduce the risk of data leakage</w:t>
      </w:r>
      <w:r>
        <w:rPr>
          <w:rFonts w:ascii="Times New Roman" w:hAnsi="Times New Roman" w:cs="Times New Roman" w:hint="eastAsia"/>
          <w:color w:val="2A2B2E"/>
        </w:rPr>
        <w:t xml:space="preserve"> </w:t>
      </w:r>
      <w:r>
        <w:rPr>
          <w:rFonts w:ascii="Times New Roman" w:hAnsi="Times New Roman" w:cs="Times New Roman"/>
          <w:color w:val="2A2B2E"/>
        </w:rPr>
        <w:fldChar w:fldCharType="begin"/>
      </w:r>
      <w:r w:rsidR="00E52B6B">
        <w:rPr>
          <w:rFonts w:ascii="Times New Roman" w:hAnsi="Times New Roman" w:cs="Times New Roman"/>
          <w:color w:val="2A2B2E"/>
        </w:rPr>
        <w:instrText xml:space="preserve"> ADDIN ZOTERO_ITEM CSL_CITATION {"citationID":"EMHgGSiX","properties":{"formattedCitation":"[13]","plainCitation":"[13]","noteIndex":0},"citationItems":[{"id":341,"uris":["http://zotero.org/users/local/p3tV44H5/items/VYSDE4GT"],"itemData":{"id":341,"type":"article-journal","container-title":"Network Security","issue":"12","note":"publisher: Elsevier","page":"5–8","source":"Google Scholar","title":"BYOD security challenges: control and protect your most sensitive data","title-short":"BYOD security challenges","volume":"2012","author":[{"family":"Morrow","given":"Bill"}],"issued":{"date-parts":[["2012"]]}}}],"schema":"https://github.com/citation-style-language/schema/raw/master/csl-citation.json"} </w:instrText>
      </w:r>
      <w:r>
        <w:rPr>
          <w:rFonts w:ascii="Times New Roman" w:hAnsi="Times New Roman" w:cs="Times New Roman"/>
          <w:color w:val="2A2B2E"/>
        </w:rPr>
        <w:fldChar w:fldCharType="separate"/>
      </w:r>
      <w:r w:rsidR="00E52B6B" w:rsidRPr="00E52B6B">
        <w:rPr>
          <w:rFonts w:ascii="Times New Roman" w:hAnsi="Times New Roman" w:cs="Times New Roman" w:hint="eastAsia"/>
        </w:rPr>
        <w:t>[13]</w:t>
      </w:r>
      <w:r>
        <w:rPr>
          <w:rFonts w:ascii="Times New Roman" w:hAnsi="Times New Roman" w:cs="Times New Roman"/>
          <w:color w:val="2A2B2E"/>
        </w:rPr>
        <w:fldChar w:fldCharType="end"/>
      </w:r>
      <w:r>
        <w:rPr>
          <w:rFonts w:ascii="Times New Roman" w:hAnsi="Times New Roman" w:cs="Times New Roman" w:hint="eastAsia"/>
          <w:color w:val="2A2B2E"/>
        </w:rPr>
        <w:t xml:space="preserve">. </w:t>
      </w:r>
      <w:r w:rsidRPr="00C361ED">
        <w:rPr>
          <w:rFonts w:ascii="Times New Roman" w:hAnsi="Times New Roman" w:cs="Times New Roman"/>
          <w:color w:val="2A2B2E"/>
        </w:rPr>
        <w:t xml:space="preserve">Combining technology and process defense can enhance the overall security maturity of an </w:t>
      </w:r>
      <w:r>
        <w:rPr>
          <w:rFonts w:ascii="Times New Roman" w:hAnsi="Times New Roman" w:cs="Times New Roman"/>
          <w:color w:val="2A2B2E"/>
        </w:rPr>
        <w:t>organization</w:t>
      </w:r>
      <w:r>
        <w:rPr>
          <w:rFonts w:ascii="Times New Roman" w:hAnsi="Times New Roman" w:cs="Times New Roman" w:hint="eastAsia"/>
          <w:color w:val="2A2B2E"/>
        </w:rPr>
        <w:t>.</w:t>
      </w:r>
    </w:p>
    <w:p w14:paraId="2B791973" w14:textId="77777777" w:rsidR="00C361ED" w:rsidRPr="00C361ED" w:rsidRDefault="00C361ED" w:rsidP="00BC5131">
      <w:pPr>
        <w:pStyle w:val="2"/>
        <w:rPr>
          <w:rFonts w:hint="eastAsia"/>
        </w:rPr>
      </w:pPr>
      <w:r w:rsidRPr="00C361ED">
        <w:t xml:space="preserve">4.5 </w:t>
      </w:r>
      <w:r w:rsidRPr="00BC5131">
        <w:rPr>
          <w:rStyle w:val="20"/>
        </w:rPr>
        <w:t>Emergency</w:t>
      </w:r>
      <w:r w:rsidRPr="00C361ED">
        <w:t xml:space="preserve"> and Incident Response Planning</w:t>
      </w:r>
    </w:p>
    <w:p w14:paraId="0BDB6286" w14:textId="0FCB36E9" w:rsidR="00C361ED" w:rsidRDefault="00BC5131" w:rsidP="00C361ED">
      <w:pPr>
        <w:pStyle w:val="target"/>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To minimize the impact of security incidents, NG must develop detailed contingency plans, and institutions such as NIST have provided guiding frameworks for this.</w:t>
      </w:r>
    </w:p>
    <w:p w14:paraId="45FDAEC2" w14:textId="49B600A9" w:rsidR="00BC5131" w:rsidRDefault="00BC5131" w:rsidP="00BC5131">
      <w:pPr>
        <w:pStyle w:val="target"/>
        <w:numPr>
          <w:ilvl w:val="0"/>
          <w:numId w:val="16"/>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Business Continuity Plan (BCP): Focuses on maintaining core business functions during disasters.</w:t>
      </w:r>
    </w:p>
    <w:p w14:paraId="6328507F" w14:textId="1F4A5B57" w:rsidR="00BC5131" w:rsidRDefault="00BC5131" w:rsidP="00BC5131">
      <w:pPr>
        <w:pStyle w:val="target"/>
        <w:numPr>
          <w:ilvl w:val="0"/>
          <w:numId w:val="16"/>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Disaster Recovery Plan (DRP): Concentrates on restoring IT infrastructure.</w:t>
      </w:r>
    </w:p>
    <w:p w14:paraId="2422C88B" w14:textId="30EA111E" w:rsidR="00BC5131" w:rsidRDefault="00BC5131" w:rsidP="00BC5131">
      <w:pPr>
        <w:pStyle w:val="target"/>
        <w:numPr>
          <w:ilvl w:val="0"/>
          <w:numId w:val="16"/>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Incident Response Plan (IRP): Defines the steps for detection, response, and recovery from security incidents (such as data breaches).</w:t>
      </w:r>
    </w:p>
    <w:p w14:paraId="678A2476" w14:textId="77777777" w:rsidR="00BC5131" w:rsidRDefault="00BC5131" w:rsidP="00BC5131">
      <w:pPr>
        <w:pStyle w:val="target"/>
        <w:spacing w:before="0" w:beforeAutospacing="0" w:after="0" w:afterAutospacing="0"/>
        <w:rPr>
          <w:rFonts w:ascii="Times New Roman" w:hAnsi="Times New Roman" w:cs="Times New Roman"/>
          <w:color w:val="2A2B2E"/>
        </w:rPr>
      </w:pPr>
    </w:p>
    <w:p w14:paraId="24ACD892" w14:textId="70C99E60" w:rsidR="00BC5131" w:rsidRDefault="00BC5131" w:rsidP="00BC5131">
      <w:pPr>
        <w:pStyle w:val="target"/>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In the cloud environment, the responsibility for DR: NG must clearly understand its DR responsibilities under different cloud models:</w:t>
      </w:r>
    </w:p>
    <w:p w14:paraId="4E8B174E" w14:textId="3024093A" w:rsidR="00BC5131" w:rsidRDefault="00BC5131" w:rsidP="00BC5131">
      <w:pPr>
        <w:pStyle w:val="target"/>
        <w:numPr>
          <w:ilvl w:val="0"/>
          <w:numId w:val="17"/>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lastRenderedPageBreak/>
        <w:t>SaaS (Software as a Service): The supplier is responsible for most of the DR, but NG still needs to be responsible for the backup of its data and configurations.</w:t>
      </w:r>
    </w:p>
    <w:p w14:paraId="6A8439FF" w14:textId="2F882C85" w:rsidR="00BC5131" w:rsidRDefault="00BC5131" w:rsidP="00BC5131">
      <w:pPr>
        <w:pStyle w:val="target"/>
        <w:numPr>
          <w:ilvl w:val="0"/>
          <w:numId w:val="17"/>
        </w:numPr>
        <w:spacing w:before="0" w:beforeAutospacing="0" w:after="0" w:afterAutospacing="0"/>
        <w:rPr>
          <w:rFonts w:ascii="Times New Roman" w:hAnsi="Times New Roman" w:cs="Times New Roman"/>
          <w:color w:val="2A2B2E"/>
        </w:rPr>
      </w:pPr>
      <w:r w:rsidRPr="00BC5131">
        <w:rPr>
          <w:rFonts w:ascii="Times New Roman" w:hAnsi="Times New Roman" w:cs="Times New Roman" w:hint="eastAsia"/>
          <w:color w:val="2A2B2E"/>
        </w:rPr>
        <w:t>IaaS (Infrastructure as a Service): NG bears the majority of the responsibility, including the backup, replication, and recovery testing of operating systems, applications, and data.</w:t>
      </w:r>
    </w:p>
    <w:p w14:paraId="7E82CD32" w14:textId="77777777" w:rsidR="00BC5131" w:rsidRDefault="00BC5131" w:rsidP="00BC5131">
      <w:pPr>
        <w:pStyle w:val="target"/>
        <w:spacing w:before="0" w:beforeAutospacing="0" w:after="0" w:afterAutospacing="0"/>
        <w:rPr>
          <w:rFonts w:ascii="Times New Roman" w:hAnsi="Times New Roman" w:cs="Times New Roman"/>
          <w:color w:val="2A2B2E"/>
        </w:rPr>
      </w:pPr>
    </w:p>
    <w:p w14:paraId="5589001A" w14:textId="754756E8" w:rsidR="00BC5131" w:rsidRDefault="005C7A56" w:rsidP="00BC5131">
      <w:pPr>
        <w:pStyle w:val="target"/>
        <w:spacing w:before="0" w:beforeAutospacing="0" w:after="0" w:afterAutospacing="0"/>
        <w:rPr>
          <w:rFonts w:ascii="Times New Roman" w:hAnsi="Times New Roman" w:cs="Times New Roman"/>
          <w:color w:val="2A2B2E"/>
        </w:rPr>
      </w:pPr>
      <w:r w:rsidRPr="005C7A56">
        <w:rPr>
          <w:rFonts w:ascii="Times New Roman" w:hAnsi="Times New Roman" w:cs="Times New Roman" w:hint="eastAsia"/>
          <w:color w:val="2A2B2E"/>
        </w:rPr>
        <w:t>Disaster Recovery: NG must define clear RTO (maximum downtime) and RPO (maximum data loss) for critical systems and conduct quarterly simulation exercises to test the emergency plan.</w:t>
      </w:r>
    </w:p>
    <w:p w14:paraId="3F93C277" w14:textId="112590D8" w:rsidR="00BC5131" w:rsidRDefault="00BC5131" w:rsidP="00BC5131">
      <w:pPr>
        <w:pStyle w:val="2"/>
        <w:numPr>
          <w:ilvl w:val="1"/>
          <w:numId w:val="10"/>
        </w:numPr>
        <w:rPr>
          <w:rFonts w:hint="eastAsia"/>
        </w:rPr>
      </w:pPr>
      <w:r w:rsidRPr="00BC5131">
        <w:t>Service Level Agreement (SLA)</w:t>
      </w:r>
    </w:p>
    <w:p w14:paraId="718509C5" w14:textId="119764EE" w:rsidR="00BC5131" w:rsidRDefault="00BC5131" w:rsidP="00BC5131">
      <w:pPr>
        <w:rPr>
          <w:rFonts w:ascii="Times New Roman" w:eastAsia="宋体" w:hAnsi="Times New Roman" w:cs="Times New Roman"/>
          <w:color w:val="2A2B2E"/>
          <w:kern w:val="0"/>
          <w:sz w:val="24"/>
          <w:szCs w:val="24"/>
        </w:rPr>
      </w:pPr>
      <w:r w:rsidRPr="00BC5131">
        <w:rPr>
          <w:rFonts w:ascii="Times New Roman" w:hAnsi="Times New Roman" w:cs="Times New Roman"/>
          <w:color w:val="2A2B2E"/>
          <w:sz w:val="24"/>
          <w:szCs w:val="24"/>
        </w:rPr>
        <w:t>Cloud service providers should meet the security requirements of NG through SLA. Standard cloud SLAs mainly focus on "availability" (such as 99.9% uptime)</w:t>
      </w:r>
      <w:r>
        <w:rPr>
          <w:rFonts w:ascii="Times New Roman" w:hAnsi="Times New Roman" w:cs="Times New Roman" w:hint="eastAsia"/>
          <w:color w:val="2A2B2E"/>
        </w:rPr>
        <w:t xml:space="preserve"> </w:t>
      </w:r>
      <w:r>
        <w:rPr>
          <w:rFonts w:ascii="Times New Roman" w:hAnsi="Times New Roman" w:cs="Times New Roman"/>
          <w:color w:val="2A2B2E"/>
        </w:rPr>
        <w:fldChar w:fldCharType="begin"/>
      </w:r>
      <w:r w:rsidR="00E52B6B">
        <w:rPr>
          <w:rFonts w:ascii="Times New Roman" w:hAnsi="Times New Roman" w:cs="Times New Roman"/>
          <w:color w:val="2A2B2E"/>
        </w:rPr>
        <w:instrText xml:space="preserve"> ADDIN ZOTERO_ITEM CSL_CITATION {"citationID":"x6LgaSwr","properties":{"formattedCitation":"[14]","plainCitation":"[14]","noteIndex":0},"citationItems":[{"id":346,"uris":["http://zotero.org/users/local/p3tV44H5/items/8Y4W9N53"],"itemData":{"id":346,"type":"paper-conference","container-title":"2009 IEEE international conference on services computing","page":"517–520","publisher":"IEEE","source":"Google Scholar","title":"Cloud security issues","URL":"https://ieeexplore.ieee.org/abstract/document/5283911/","author":[{"family":"Kandukuri","given":"Balachandra Reddy"},{"family":"Rakshit","given":"Atanu"}],"accessed":{"date-parts":[["2025",11,9]]},"issued":{"date-parts":[["2009"]]}}}],"schema":"https://github.com/citation-style-language/schema/raw/master/csl-citation.json"} </w:instrText>
      </w:r>
      <w:r>
        <w:rPr>
          <w:rFonts w:ascii="Times New Roman" w:hAnsi="Times New Roman" w:cs="Times New Roman"/>
          <w:color w:val="2A2B2E"/>
        </w:rPr>
        <w:fldChar w:fldCharType="separate"/>
      </w:r>
      <w:r w:rsidR="00E52B6B" w:rsidRPr="00E52B6B">
        <w:rPr>
          <w:rFonts w:ascii="Times New Roman" w:hAnsi="Times New Roman" w:cs="Times New Roman" w:hint="eastAsia"/>
          <w:sz w:val="24"/>
        </w:rPr>
        <w:t>[14]</w:t>
      </w:r>
      <w:r>
        <w:rPr>
          <w:rFonts w:ascii="Times New Roman" w:hAnsi="Times New Roman" w:cs="Times New Roman"/>
          <w:color w:val="2A2B2E"/>
        </w:rPr>
        <w:fldChar w:fldCharType="end"/>
      </w:r>
      <w:r w:rsidRPr="00BC5131">
        <w:rPr>
          <w:rFonts w:ascii="Times New Roman" w:hAnsi="Times New Roman" w:cs="Times New Roman"/>
          <w:color w:val="2A2B2E"/>
          <w:sz w:val="24"/>
          <w:szCs w:val="24"/>
        </w:rPr>
        <w:t>.</w:t>
      </w:r>
      <w:r>
        <w:rPr>
          <w:rFonts w:ascii="Times New Roman" w:hAnsi="Times New Roman" w:cs="Times New Roman" w:hint="eastAsia"/>
          <w:color w:val="2A2B2E"/>
        </w:rPr>
        <w:t xml:space="preserve"> </w:t>
      </w:r>
      <w:r w:rsidRPr="00BC5131">
        <w:rPr>
          <w:rFonts w:ascii="Times New Roman" w:eastAsia="宋体" w:hAnsi="Times New Roman" w:cs="Times New Roman" w:hint="eastAsia"/>
          <w:color w:val="2A2B2E"/>
          <w:kern w:val="0"/>
          <w:sz w:val="24"/>
          <w:szCs w:val="24"/>
        </w:rPr>
        <w:t>This is not enough for NG, as its main concerns are security and IP protection.</w:t>
      </w:r>
      <w:r w:rsidRPr="00BC5131">
        <w:rPr>
          <w:rFonts w:ascii="Segoe UI" w:eastAsia="宋体" w:hAnsi="Segoe UI" w:cs="Segoe UI"/>
          <w:color w:val="2A2B2E"/>
          <w:kern w:val="0"/>
          <w:szCs w:val="21"/>
        </w:rPr>
        <w:t xml:space="preserve"> </w:t>
      </w:r>
      <w:r w:rsidRPr="00BC5131">
        <w:rPr>
          <w:rFonts w:ascii="Times New Roman" w:eastAsia="宋体" w:hAnsi="Times New Roman" w:cs="Times New Roman"/>
          <w:color w:val="2A2B2E"/>
          <w:kern w:val="0"/>
          <w:sz w:val="24"/>
          <w:szCs w:val="24"/>
        </w:rPr>
        <w:t>Key contents of NG security SLA</w:t>
      </w:r>
      <w:r>
        <w:rPr>
          <w:rFonts w:ascii="Times New Roman" w:eastAsia="宋体" w:hAnsi="Times New Roman" w:cs="Times New Roman" w:hint="eastAsia"/>
          <w:color w:val="2A2B2E"/>
          <w:kern w:val="0"/>
          <w:sz w:val="24"/>
          <w:szCs w:val="24"/>
        </w:rPr>
        <w:t xml:space="preserve"> as Table 9.</w:t>
      </w:r>
    </w:p>
    <w:p w14:paraId="7B473DE0" w14:textId="77777777" w:rsidR="00BC5131" w:rsidRDefault="00BC5131" w:rsidP="00BC5131">
      <w:pPr>
        <w:rPr>
          <w:rFonts w:ascii="Times New Roman" w:eastAsia="宋体" w:hAnsi="Times New Roman" w:cs="Times New Roman"/>
          <w:color w:val="2A2B2E"/>
          <w:kern w:val="0"/>
          <w:sz w:val="24"/>
          <w:szCs w:val="24"/>
        </w:rPr>
      </w:pPr>
    </w:p>
    <w:p w14:paraId="4971DE30" w14:textId="2BE3DB03" w:rsidR="00BC5131" w:rsidRDefault="00BC5131" w:rsidP="00BC5131">
      <w:pPr>
        <w:jc w:val="center"/>
        <w:rPr>
          <w:rFonts w:ascii="Times New Roman" w:eastAsia="宋体" w:hAnsi="Times New Roman" w:cs="Times New Roman"/>
          <w:color w:val="2A2B2E"/>
          <w:kern w:val="0"/>
          <w:szCs w:val="21"/>
        </w:rPr>
      </w:pPr>
      <w:r w:rsidRPr="00BC5131">
        <w:rPr>
          <w:rFonts w:ascii="Times New Roman" w:eastAsia="宋体" w:hAnsi="Times New Roman" w:cs="Times New Roman" w:hint="eastAsia"/>
          <w:color w:val="2A2B2E"/>
          <w:kern w:val="0"/>
          <w:szCs w:val="21"/>
        </w:rPr>
        <w:t xml:space="preserve">Table 9. </w:t>
      </w:r>
      <w:r w:rsidRPr="00BC5131">
        <w:rPr>
          <w:rFonts w:ascii="Times New Roman" w:eastAsia="宋体" w:hAnsi="Times New Roman" w:cs="Times New Roman"/>
          <w:color w:val="2A2B2E"/>
          <w:kern w:val="0"/>
          <w:szCs w:val="21"/>
        </w:rPr>
        <w:t>Key contents of NG security SLA</w:t>
      </w:r>
    </w:p>
    <w:tbl>
      <w:tblPr>
        <w:tblStyle w:val="af"/>
        <w:tblW w:w="0" w:type="auto"/>
        <w:tblLook w:val="04A0" w:firstRow="1" w:lastRow="0" w:firstColumn="1" w:lastColumn="0" w:noHBand="0" w:noVBand="1"/>
      </w:tblPr>
      <w:tblGrid>
        <w:gridCol w:w="4148"/>
        <w:gridCol w:w="4148"/>
      </w:tblGrid>
      <w:tr w:rsidR="00BC5131" w14:paraId="29681FB0" w14:textId="77777777" w:rsidTr="006E6FF9">
        <w:tc>
          <w:tcPr>
            <w:tcW w:w="4148" w:type="dxa"/>
            <w:vAlign w:val="center"/>
          </w:tcPr>
          <w:p w14:paraId="5B631121" w14:textId="7A57EBA9" w:rsidR="00BC5131" w:rsidRPr="00BC5131" w:rsidRDefault="00BC5131" w:rsidP="00BC5131">
            <w:pPr>
              <w:jc w:val="center"/>
              <w:rPr>
                <w:rFonts w:ascii="Times New Roman" w:eastAsia="宋体" w:hAnsi="Times New Roman" w:cs="Times New Roman"/>
                <w:color w:val="2A2B2E"/>
                <w:kern w:val="0"/>
                <w:szCs w:val="21"/>
              </w:rPr>
            </w:pPr>
            <w:r w:rsidRPr="00BC5131">
              <w:rPr>
                <w:rFonts w:ascii="Times New Roman" w:hAnsi="Times New Roman" w:cs="Times New Roman"/>
              </w:rPr>
              <w:t>SLA Item</w:t>
            </w:r>
          </w:p>
        </w:tc>
        <w:tc>
          <w:tcPr>
            <w:tcW w:w="4148" w:type="dxa"/>
            <w:vAlign w:val="center"/>
          </w:tcPr>
          <w:p w14:paraId="02950186" w14:textId="19F8B43F" w:rsidR="00BC5131" w:rsidRPr="00BC5131" w:rsidRDefault="00BC5131" w:rsidP="00BC5131">
            <w:pPr>
              <w:jc w:val="center"/>
              <w:rPr>
                <w:rFonts w:ascii="Times New Roman" w:eastAsia="宋体" w:hAnsi="Times New Roman" w:cs="Times New Roman"/>
                <w:color w:val="2A2B2E"/>
                <w:kern w:val="0"/>
                <w:szCs w:val="21"/>
              </w:rPr>
            </w:pPr>
            <w:r w:rsidRPr="00BC5131">
              <w:rPr>
                <w:rFonts w:ascii="Times New Roman" w:hAnsi="Times New Roman" w:cs="Times New Roman"/>
              </w:rPr>
              <w:t>Objective</w:t>
            </w:r>
          </w:p>
        </w:tc>
      </w:tr>
      <w:tr w:rsidR="00BC5131" w14:paraId="14E4CEE1" w14:textId="77777777" w:rsidTr="006E6FF9">
        <w:tc>
          <w:tcPr>
            <w:tcW w:w="4148" w:type="dxa"/>
            <w:vAlign w:val="center"/>
          </w:tcPr>
          <w:p w14:paraId="1A946AA6" w14:textId="7527A67B"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Availability Guarantee</w:t>
            </w:r>
          </w:p>
        </w:tc>
        <w:tc>
          <w:tcPr>
            <w:tcW w:w="4148" w:type="dxa"/>
            <w:vAlign w:val="center"/>
          </w:tcPr>
          <w:p w14:paraId="4ACC2644" w14:textId="0D2AB579"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 99.9%, aligned with Business Impact Analysis (BIA)</w:t>
            </w:r>
          </w:p>
        </w:tc>
      </w:tr>
      <w:tr w:rsidR="00BC5131" w14:paraId="5CEEA428" w14:textId="77777777" w:rsidTr="006E6FF9">
        <w:tc>
          <w:tcPr>
            <w:tcW w:w="4148" w:type="dxa"/>
            <w:vAlign w:val="center"/>
          </w:tcPr>
          <w:p w14:paraId="28E14EDA" w14:textId="3A808EF1"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Security Responsibilities</w:t>
            </w:r>
          </w:p>
        </w:tc>
        <w:tc>
          <w:tcPr>
            <w:tcW w:w="4148" w:type="dxa"/>
            <w:vAlign w:val="center"/>
          </w:tcPr>
          <w:p w14:paraId="669AD51D" w14:textId="70F87EED"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Clearly defined shared responsibility model (IaaS / PaaS / SaaS)</w:t>
            </w:r>
          </w:p>
        </w:tc>
      </w:tr>
      <w:tr w:rsidR="00BC5131" w14:paraId="64DF49E5" w14:textId="77777777" w:rsidTr="006E6FF9">
        <w:tc>
          <w:tcPr>
            <w:tcW w:w="4148" w:type="dxa"/>
            <w:vAlign w:val="center"/>
          </w:tcPr>
          <w:p w14:paraId="4A1C7E94" w14:textId="082A3FF7"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Data Protection</w:t>
            </w:r>
          </w:p>
        </w:tc>
        <w:tc>
          <w:tcPr>
            <w:tcW w:w="4148" w:type="dxa"/>
            <w:vAlign w:val="center"/>
          </w:tcPr>
          <w:p w14:paraId="4230CAC2" w14:textId="57E48F91"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Encryption standards for data in transit and at rest; data retention policies</w:t>
            </w:r>
          </w:p>
        </w:tc>
      </w:tr>
      <w:tr w:rsidR="00BC5131" w14:paraId="59E58F38" w14:textId="77777777" w:rsidTr="006E6FF9">
        <w:tc>
          <w:tcPr>
            <w:tcW w:w="4148" w:type="dxa"/>
            <w:vAlign w:val="center"/>
          </w:tcPr>
          <w:p w14:paraId="6522B2BA" w14:textId="76648749"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Compliance</w:t>
            </w:r>
          </w:p>
        </w:tc>
        <w:tc>
          <w:tcPr>
            <w:tcW w:w="4148" w:type="dxa"/>
            <w:vAlign w:val="center"/>
          </w:tcPr>
          <w:p w14:paraId="7F2F6FEB" w14:textId="09A70504"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Must comply with GDPR, PIPL, ISO 27001 and other relevant certifications</w:t>
            </w:r>
          </w:p>
        </w:tc>
      </w:tr>
      <w:tr w:rsidR="00BC5131" w14:paraId="41D69EEF" w14:textId="77777777" w:rsidTr="006E6FF9">
        <w:tc>
          <w:tcPr>
            <w:tcW w:w="4148" w:type="dxa"/>
            <w:vAlign w:val="center"/>
          </w:tcPr>
          <w:p w14:paraId="56B43321" w14:textId="677829EA"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Breach Notification</w:t>
            </w:r>
          </w:p>
        </w:tc>
        <w:tc>
          <w:tcPr>
            <w:tcW w:w="4148" w:type="dxa"/>
            <w:vAlign w:val="center"/>
          </w:tcPr>
          <w:p w14:paraId="5A1A6662" w14:textId="07ECF072"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Notify NG within a defined timeframe (e.g., within 24 hours of incident discovery)</w:t>
            </w:r>
          </w:p>
        </w:tc>
      </w:tr>
      <w:tr w:rsidR="00BC5131" w14:paraId="7B071FE3" w14:textId="77777777" w:rsidTr="006E6FF9">
        <w:tc>
          <w:tcPr>
            <w:tcW w:w="4148" w:type="dxa"/>
            <w:vAlign w:val="center"/>
          </w:tcPr>
          <w:p w14:paraId="0956AADF" w14:textId="27D0F140"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Response Time (</w:t>
            </w:r>
            <w:proofErr w:type="spellStart"/>
            <w:r w:rsidRPr="00BC5131">
              <w:rPr>
                <w:rFonts w:ascii="Times New Roman" w:hAnsi="Times New Roman" w:cs="Times New Roman"/>
              </w:rPr>
              <w:t>secSLA</w:t>
            </w:r>
            <w:proofErr w:type="spellEnd"/>
            <w:r w:rsidRPr="00BC5131">
              <w:rPr>
                <w:rFonts w:ascii="Times New Roman" w:hAnsi="Times New Roman" w:cs="Times New Roman"/>
              </w:rPr>
              <w:t>)</w:t>
            </w:r>
          </w:p>
        </w:tc>
        <w:tc>
          <w:tcPr>
            <w:tcW w:w="4148" w:type="dxa"/>
            <w:vAlign w:val="center"/>
          </w:tcPr>
          <w:p w14:paraId="5CE5E821" w14:textId="15C3E1B2"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Threat Detection Time (TTD) &lt; X minutes; Threat Response Time (TTR) &lt; Y hours</w:t>
            </w:r>
          </w:p>
        </w:tc>
      </w:tr>
      <w:tr w:rsidR="00BC5131" w14:paraId="4F332427" w14:textId="77777777" w:rsidTr="006E6FF9">
        <w:tc>
          <w:tcPr>
            <w:tcW w:w="4148" w:type="dxa"/>
            <w:vAlign w:val="center"/>
          </w:tcPr>
          <w:p w14:paraId="1F8B8F42" w14:textId="16B61B0B"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Penalties for Non-Compliance</w:t>
            </w:r>
          </w:p>
        </w:tc>
        <w:tc>
          <w:tcPr>
            <w:tcW w:w="4148" w:type="dxa"/>
            <w:vAlign w:val="center"/>
          </w:tcPr>
          <w:p w14:paraId="4803A739" w14:textId="6338435F" w:rsidR="00BC5131" w:rsidRPr="00BC5131" w:rsidRDefault="00BC5131" w:rsidP="00BC5131">
            <w:pPr>
              <w:rPr>
                <w:rFonts w:ascii="Times New Roman" w:eastAsia="宋体" w:hAnsi="Times New Roman" w:cs="Times New Roman"/>
                <w:color w:val="2A2B2E"/>
                <w:kern w:val="0"/>
                <w:szCs w:val="21"/>
              </w:rPr>
            </w:pPr>
            <w:r w:rsidRPr="00BC5131">
              <w:rPr>
                <w:rFonts w:ascii="Times New Roman" w:hAnsi="Times New Roman" w:cs="Times New Roman"/>
              </w:rPr>
              <w:t>Service credits or financial penalties for SLA violations, especially security breaches</w:t>
            </w:r>
          </w:p>
        </w:tc>
      </w:tr>
    </w:tbl>
    <w:p w14:paraId="5FE71607" w14:textId="0508CC58" w:rsidR="00BC5131" w:rsidRPr="00BC5131" w:rsidRDefault="00BC5131" w:rsidP="00BC5131">
      <w:pPr>
        <w:pStyle w:val="1"/>
        <w:rPr>
          <w:rFonts w:hint="eastAsia"/>
        </w:rPr>
      </w:pPr>
      <w:r>
        <w:rPr>
          <w:rFonts w:hint="eastAsia"/>
        </w:rPr>
        <w:t>5.</w:t>
      </w:r>
      <w:r w:rsidRPr="00BC5131">
        <w:t>Why must safety regulations be constantly updated</w:t>
      </w:r>
    </w:p>
    <w:p w14:paraId="54510D39" w14:textId="55C6FD80" w:rsidR="00BC5131" w:rsidRPr="00BC5131" w:rsidRDefault="00BC5131" w:rsidP="00BC5131">
      <w:pPr>
        <w:rPr>
          <w:rFonts w:ascii="Times New Roman" w:eastAsia="宋体" w:hAnsi="Times New Roman" w:cs="Times New Roman"/>
          <w:color w:val="2A2B2E"/>
          <w:kern w:val="0"/>
          <w:sz w:val="24"/>
          <w:szCs w:val="24"/>
        </w:rPr>
      </w:pPr>
      <w:r w:rsidRPr="00BC5131">
        <w:rPr>
          <w:rFonts w:ascii="Times New Roman" w:eastAsia="宋体" w:hAnsi="Times New Roman" w:cs="Times New Roman"/>
          <w:color w:val="2A2B2E"/>
          <w:kern w:val="0"/>
          <w:sz w:val="24"/>
          <w:szCs w:val="24"/>
        </w:rPr>
        <w:t>As cyber threats evolve rapidly, outdated regulations and standards will increase the operational and reputational risks of enterprises</w:t>
      </w:r>
      <w:r w:rsidRPr="00BC5131">
        <w:rPr>
          <w:rFonts w:ascii="Times New Roman" w:eastAsia="宋体" w:hAnsi="Times New Roman" w:cs="Times New Roman" w:hint="eastAsia"/>
          <w:color w:val="2A2B2E"/>
          <w:kern w:val="0"/>
          <w:sz w:val="24"/>
          <w:szCs w:val="24"/>
        </w:rPr>
        <w:t xml:space="preserve"> </w:t>
      </w:r>
      <w:r w:rsidRPr="00BC5131">
        <w:rPr>
          <w:rFonts w:ascii="Times New Roman" w:eastAsia="宋体" w:hAnsi="Times New Roman" w:cs="Times New Roman"/>
          <w:color w:val="2A2B2E"/>
          <w:kern w:val="0"/>
          <w:sz w:val="24"/>
          <w:szCs w:val="24"/>
        </w:rPr>
        <w:fldChar w:fldCharType="begin"/>
      </w:r>
      <w:r w:rsidR="00E52B6B">
        <w:rPr>
          <w:rFonts w:ascii="Times New Roman" w:eastAsia="宋体" w:hAnsi="Times New Roman" w:cs="Times New Roman"/>
          <w:color w:val="2A2B2E"/>
          <w:kern w:val="0"/>
          <w:sz w:val="24"/>
          <w:szCs w:val="24"/>
        </w:rPr>
        <w:instrText xml:space="preserve"> ADDIN ZOTERO_ITEM CSL_CITATION {"citationID":"6b1YY5ZB","properties":{"formattedCitation":"[15]","plainCitation":"[15]","noteIndex":0},"citationItems":[{"id":356,"uris":["http://zotero.org/users/local/p3tV44H5/items/V8V5EYYQ"],"itemData":{"id":356,"type":"article-journal","source":"Google Scholar","title":"Evolution of cybersecurity risk management standardization: Comparison of the NIST Cybersecurity Framework version 1.1 and 2.0","title-short":"Evolution of cybersecurity risk management standardization","URL":"https://aaltodoc.aalto.fi/items/20b50bb1-617f-4c81-b069-e01695b870a2","author":[{"family":"Hätinen","given":"Matilda"}],"accessed":{"date-parts":[["2025",11,9]]},"issued":{"date-parts":[["2024"]]}}}],"schema":"https://github.com/citation-style-language/schema/raw/master/csl-citation.json"} </w:instrText>
      </w:r>
      <w:r w:rsidRPr="00BC5131">
        <w:rPr>
          <w:rFonts w:ascii="Times New Roman" w:eastAsia="宋体" w:hAnsi="Times New Roman" w:cs="Times New Roman"/>
          <w:color w:val="2A2B2E"/>
          <w:kern w:val="0"/>
          <w:sz w:val="24"/>
          <w:szCs w:val="24"/>
        </w:rPr>
        <w:fldChar w:fldCharType="separate"/>
      </w:r>
      <w:r w:rsidR="00E52B6B" w:rsidRPr="00E52B6B">
        <w:rPr>
          <w:rFonts w:ascii="Times New Roman" w:hAnsi="Times New Roman" w:cs="Times New Roman" w:hint="eastAsia"/>
          <w:sz w:val="24"/>
        </w:rPr>
        <w:t>[15]</w:t>
      </w:r>
      <w:r w:rsidRPr="00BC5131">
        <w:rPr>
          <w:rFonts w:ascii="Times New Roman" w:eastAsia="宋体" w:hAnsi="Times New Roman" w:cs="Times New Roman"/>
          <w:color w:val="2A2B2E"/>
          <w:kern w:val="0"/>
          <w:sz w:val="24"/>
          <w:szCs w:val="24"/>
        </w:rPr>
        <w:fldChar w:fldCharType="end"/>
      </w:r>
      <w:r w:rsidRPr="00BC5131">
        <w:rPr>
          <w:rFonts w:ascii="Times New Roman" w:eastAsia="宋体" w:hAnsi="Times New Roman" w:cs="Times New Roman" w:hint="eastAsia"/>
          <w:color w:val="2A2B2E"/>
          <w:kern w:val="0"/>
          <w:sz w:val="24"/>
          <w:szCs w:val="24"/>
        </w:rPr>
        <w:t xml:space="preserve">. </w:t>
      </w:r>
      <w:r w:rsidRPr="00BC5131">
        <w:rPr>
          <w:rFonts w:ascii="Times New Roman" w:eastAsia="宋体" w:hAnsi="Times New Roman" w:cs="Times New Roman"/>
          <w:color w:val="2A2B2E"/>
          <w:kern w:val="0"/>
          <w:sz w:val="24"/>
          <w:szCs w:val="24"/>
        </w:rPr>
        <w:t>The key reasons for updating regulations and standards include</w:t>
      </w:r>
      <w:r w:rsidRPr="00BC5131">
        <w:rPr>
          <w:rFonts w:ascii="Times New Roman" w:eastAsia="宋体" w:hAnsi="Times New Roman" w:cs="Times New Roman" w:hint="eastAsia"/>
          <w:color w:val="2A2B2E"/>
          <w:kern w:val="0"/>
          <w:sz w:val="24"/>
          <w:szCs w:val="24"/>
        </w:rPr>
        <w:t>:</w:t>
      </w:r>
    </w:p>
    <w:p w14:paraId="6FBDA649" w14:textId="4F0B78DD" w:rsidR="00BC5131" w:rsidRPr="00BC5131" w:rsidRDefault="00BC5131" w:rsidP="00BC5131">
      <w:pPr>
        <w:pStyle w:val="a9"/>
        <w:numPr>
          <w:ilvl w:val="0"/>
          <w:numId w:val="19"/>
        </w:numPr>
        <w:rPr>
          <w:rFonts w:ascii="Times New Roman" w:eastAsia="宋体" w:hAnsi="Times New Roman" w:cs="Times New Roman"/>
          <w:color w:val="2A2B2E"/>
          <w:kern w:val="0"/>
          <w:sz w:val="24"/>
          <w:szCs w:val="24"/>
        </w:rPr>
      </w:pPr>
      <w:r w:rsidRPr="00BC5131">
        <w:rPr>
          <w:rFonts w:ascii="Times New Roman" w:eastAsia="宋体" w:hAnsi="Times New Roman" w:cs="Times New Roman" w:hint="eastAsia"/>
          <w:color w:val="2A2B2E"/>
          <w:kern w:val="0"/>
          <w:sz w:val="24"/>
          <w:szCs w:val="24"/>
        </w:rPr>
        <w:lastRenderedPageBreak/>
        <w:t>E</w:t>
      </w:r>
      <w:r w:rsidRPr="00BC5131">
        <w:rPr>
          <w:rFonts w:ascii="Times New Roman" w:eastAsia="宋体" w:hAnsi="Times New Roman" w:cs="Times New Roman"/>
          <w:color w:val="2A2B2E"/>
          <w:kern w:val="0"/>
          <w:sz w:val="24"/>
          <w:szCs w:val="24"/>
        </w:rPr>
        <w:t>merging technologies</w:t>
      </w:r>
    </w:p>
    <w:p w14:paraId="1F2D0CCC" w14:textId="787C8A84" w:rsidR="00BC5131" w:rsidRPr="00BC5131" w:rsidRDefault="00BC5131" w:rsidP="00BC5131">
      <w:pPr>
        <w:pStyle w:val="target"/>
        <w:shd w:val="clear" w:color="auto" w:fill="FFFFFF"/>
        <w:spacing w:before="0" w:beforeAutospacing="0" w:after="0" w:afterAutospacing="0" w:line="315" w:lineRule="atLeast"/>
        <w:ind w:left="440"/>
        <w:rPr>
          <w:rFonts w:ascii="Times New Roman" w:hAnsi="Times New Roman" w:cs="Times New Roman"/>
          <w:color w:val="2A2B2E"/>
        </w:rPr>
      </w:pPr>
      <w:r w:rsidRPr="00BC5131">
        <w:rPr>
          <w:rFonts w:ascii="Times New Roman" w:hAnsi="Times New Roman" w:cs="Times New Roman"/>
          <w:color w:val="2A2B2E"/>
        </w:rPr>
        <w:t>The Internet of Things (IoT), artificial intelligence (AI), and cloud-native platforms have brought about complex new vulnerabilities that traditional security standards cannot fully cover</w:t>
      </w:r>
      <w:r w:rsidRPr="00BC5131">
        <w:rPr>
          <w:rFonts w:ascii="Times New Roman" w:hAnsi="Times New Roman" w:cs="Times New Roman" w:hint="eastAsia"/>
          <w:color w:val="2A2B2E"/>
        </w:rPr>
        <w:t xml:space="preserve"> </w:t>
      </w:r>
      <w:r w:rsidRPr="00BC5131">
        <w:rPr>
          <w:rFonts w:ascii="Times New Roman" w:hAnsi="Times New Roman" w:cs="Times New Roman"/>
          <w:color w:val="2A2B2E"/>
        </w:rPr>
        <w:fldChar w:fldCharType="begin"/>
      </w:r>
      <w:r w:rsidR="00E52B6B">
        <w:rPr>
          <w:rFonts w:ascii="Times New Roman" w:hAnsi="Times New Roman" w:cs="Times New Roman"/>
          <w:color w:val="2A2B2E"/>
        </w:rPr>
        <w:instrText xml:space="preserve"> ADDIN ZOTERO_ITEM CSL_CITATION {"citationID":"08O8VkqW","properties":{"formattedCitation":"[16]","plainCitation":"[16]","noteIndex":0},"citationItems":[{"id":348,"uris":["http://zotero.org/users/local/p3tV44H5/items/CBXLIXQ4"],"itemData":{"id":348,"type":"paper-conference","container-title":"IOP conference series: materials science and engineering","note":"issue: 2","page":"022062","publisher":"IOP Publishing","source":"Google Scholar","title":"Cyber security challenges and its emerging trends on latest technologies","URL":"https://iopscience.iop.org/article/10.1088/1757-899X/981/2/022062/meta","volume":"981","author":[{"family":"Rajasekharaiah","given":"K. M."},{"family":"Dule","given":"Chhaya S."},{"family":"Sudarshan","given":"E."}],"accessed":{"date-parts":[["2025",11,9]]},"issued":{"date-parts":[["2020"]]}}}],"schema":"https://github.com/citation-style-language/schema/raw/master/csl-citation.json"} </w:instrText>
      </w:r>
      <w:r w:rsidRPr="00BC5131">
        <w:rPr>
          <w:rFonts w:ascii="Times New Roman" w:hAnsi="Times New Roman" w:cs="Times New Roman"/>
          <w:color w:val="2A2B2E"/>
        </w:rPr>
        <w:fldChar w:fldCharType="separate"/>
      </w:r>
      <w:r w:rsidR="00E52B6B" w:rsidRPr="00E52B6B">
        <w:rPr>
          <w:rFonts w:ascii="Times New Roman" w:hAnsi="Times New Roman" w:cs="Times New Roman" w:hint="eastAsia"/>
        </w:rPr>
        <w:t>[16]</w:t>
      </w:r>
      <w:r w:rsidRPr="00BC5131">
        <w:rPr>
          <w:rFonts w:ascii="Times New Roman" w:hAnsi="Times New Roman" w:cs="Times New Roman"/>
          <w:color w:val="2A2B2E"/>
        </w:rPr>
        <w:fldChar w:fldCharType="end"/>
      </w:r>
      <w:r w:rsidRPr="00BC5131">
        <w:rPr>
          <w:rFonts w:ascii="Times New Roman" w:hAnsi="Times New Roman" w:cs="Times New Roman" w:hint="eastAsia"/>
          <w:color w:val="2A2B2E"/>
        </w:rPr>
        <w:t>.</w:t>
      </w:r>
    </w:p>
    <w:p w14:paraId="7B2415CC" w14:textId="77777777" w:rsidR="00BC5131" w:rsidRPr="00BC5131" w:rsidRDefault="00BC5131" w:rsidP="00BC5131">
      <w:pPr>
        <w:pStyle w:val="a9"/>
        <w:numPr>
          <w:ilvl w:val="0"/>
          <w:numId w:val="19"/>
        </w:numPr>
        <w:rPr>
          <w:rFonts w:ascii="Times New Roman" w:eastAsia="宋体" w:hAnsi="Times New Roman" w:cs="Times New Roman"/>
          <w:color w:val="2A2B2E"/>
          <w:kern w:val="0"/>
          <w:sz w:val="24"/>
          <w:szCs w:val="24"/>
        </w:rPr>
      </w:pPr>
      <w:r w:rsidRPr="00BC5131">
        <w:rPr>
          <w:rFonts w:ascii="Times New Roman" w:eastAsia="宋体" w:hAnsi="Times New Roman" w:cs="Times New Roman" w:hint="eastAsia"/>
          <w:color w:val="2A2B2E"/>
          <w:kern w:val="0"/>
          <w:sz w:val="24"/>
          <w:szCs w:val="24"/>
        </w:rPr>
        <w:t>New legal and ethical requirements</w:t>
      </w:r>
    </w:p>
    <w:p w14:paraId="4680D09C" w14:textId="70B948D6" w:rsidR="00BC5131" w:rsidRPr="00BC5131" w:rsidRDefault="00BC5131" w:rsidP="00BC5131">
      <w:pPr>
        <w:pStyle w:val="target"/>
        <w:shd w:val="clear" w:color="auto" w:fill="FFFFFF"/>
        <w:spacing w:before="0" w:beforeAutospacing="0" w:after="0" w:afterAutospacing="0" w:line="315" w:lineRule="atLeast"/>
        <w:ind w:left="440"/>
        <w:rPr>
          <w:rFonts w:ascii="Times New Roman" w:hAnsi="Times New Roman" w:cs="Times New Roman"/>
          <w:color w:val="2A2B2E"/>
        </w:rPr>
      </w:pPr>
      <w:r w:rsidRPr="00BC5131">
        <w:rPr>
          <w:rFonts w:ascii="Times New Roman" w:hAnsi="Times New Roman" w:cs="Times New Roman"/>
          <w:color w:val="2A2B2E"/>
        </w:rPr>
        <w:t>Global privacy regulations, such as GDPR and CCPA, require enterprises to safeguard users' data rights, enhance transparency and implement compliance measures</w:t>
      </w:r>
      <w:r w:rsidRPr="00BC5131">
        <w:rPr>
          <w:rFonts w:ascii="Times New Roman" w:hAnsi="Times New Roman" w:cs="Times New Roman" w:hint="eastAsia"/>
          <w:color w:val="2A2B2E"/>
        </w:rPr>
        <w:t xml:space="preserve"> </w:t>
      </w:r>
      <w:r w:rsidRPr="00BC5131">
        <w:rPr>
          <w:rFonts w:ascii="Times New Roman" w:hAnsi="Times New Roman" w:cs="Times New Roman"/>
          <w:color w:val="2A2B2E"/>
        </w:rPr>
        <w:fldChar w:fldCharType="begin"/>
      </w:r>
      <w:r w:rsidR="00E52B6B">
        <w:rPr>
          <w:rFonts w:ascii="Times New Roman" w:hAnsi="Times New Roman" w:cs="Times New Roman"/>
          <w:color w:val="2A2B2E"/>
        </w:rPr>
        <w:instrText xml:space="preserve"> ADDIN ZOTERO_ITEM CSL_CITATION {"citationID":"OhXvt5cI","properties":{"formattedCitation":"[17]","plainCitation":"[17]","noteIndex":0},"citationItems":[{"id":349,"uris":["http://zotero.org/users/local/p3tV44H5/items/TTF6HMX8"],"itemData":{"id":349,"type":"chapter","container-title":"Enterprise Information Systems","event-place":"Cham","ISBN":"978-3-030-75417-4","language":"en","note":"collection-title: Lecture Notes in Business Information Processing\nDOI: 10.1007/978-3-030-75418-1_41","page":"905-929","publisher":"Springer International Publishing","publisher-place":"Cham","source":"DOI.org (Crossref)","title":"GDPR Compliance Tools: Best Practice from RegTech","title-short":"GDPR Compliance Tools","URL":"https://link.springer.com/10.1007/978-3-030-75418-1_41","volume":"417","editor":[{"family":"Filipe","given":"Joaquim"},{"family":"Śmiałek","given":"Michał"},{"family":"Brodsky","given":"Alexander"},{"family":"Hammoudi","given":"Slimane"}],"author":[{"family":"Ryan","given":"Paul"},{"family":"Crane","given":"Martin"},{"family":"Brennan","given":"Rob"}],"accessed":{"date-parts":[["2025",11,9]]},"issued":{"date-parts":[["2021"]]}}}],"schema":"https://github.com/citation-style-language/schema/raw/master/csl-citation.json"} </w:instrText>
      </w:r>
      <w:r w:rsidRPr="00BC5131">
        <w:rPr>
          <w:rFonts w:ascii="Times New Roman" w:hAnsi="Times New Roman" w:cs="Times New Roman"/>
          <w:color w:val="2A2B2E"/>
        </w:rPr>
        <w:fldChar w:fldCharType="separate"/>
      </w:r>
      <w:r w:rsidR="00E52B6B" w:rsidRPr="00E52B6B">
        <w:rPr>
          <w:rFonts w:ascii="Times New Roman" w:hAnsi="Times New Roman" w:cs="Times New Roman" w:hint="eastAsia"/>
        </w:rPr>
        <w:t>[17]</w:t>
      </w:r>
      <w:r w:rsidRPr="00BC5131">
        <w:rPr>
          <w:rFonts w:ascii="Times New Roman" w:hAnsi="Times New Roman" w:cs="Times New Roman"/>
          <w:color w:val="2A2B2E"/>
        </w:rPr>
        <w:fldChar w:fldCharType="end"/>
      </w:r>
      <w:r w:rsidRPr="00BC5131">
        <w:rPr>
          <w:rFonts w:ascii="Times New Roman" w:hAnsi="Times New Roman" w:cs="Times New Roman" w:hint="eastAsia"/>
          <w:color w:val="2A2B2E"/>
        </w:rPr>
        <w:t>.</w:t>
      </w:r>
    </w:p>
    <w:p w14:paraId="7348B5EE" w14:textId="77777777" w:rsidR="00BC5131" w:rsidRPr="00BC5131" w:rsidRDefault="00BC5131" w:rsidP="00BC5131">
      <w:pPr>
        <w:pStyle w:val="a9"/>
        <w:numPr>
          <w:ilvl w:val="0"/>
          <w:numId w:val="19"/>
        </w:numPr>
        <w:rPr>
          <w:rFonts w:ascii="Times New Roman" w:eastAsia="宋体" w:hAnsi="Times New Roman" w:cs="Times New Roman"/>
          <w:color w:val="2A2B2E"/>
          <w:kern w:val="0"/>
          <w:sz w:val="24"/>
          <w:szCs w:val="24"/>
        </w:rPr>
      </w:pPr>
      <w:r w:rsidRPr="00BC5131">
        <w:rPr>
          <w:rFonts w:ascii="Times New Roman" w:eastAsia="宋体" w:hAnsi="Times New Roman" w:cs="Times New Roman" w:hint="eastAsia"/>
          <w:color w:val="2A2B2E"/>
          <w:kern w:val="0"/>
          <w:sz w:val="24"/>
          <w:szCs w:val="24"/>
        </w:rPr>
        <w:t>The means of cybercrime are becoming increasingly complex</w:t>
      </w:r>
    </w:p>
    <w:p w14:paraId="0B3B9C66" w14:textId="5882C68C" w:rsidR="00BC5131" w:rsidRPr="00BC5131" w:rsidRDefault="00BC5131" w:rsidP="00BC5131">
      <w:pPr>
        <w:pStyle w:val="target"/>
        <w:shd w:val="clear" w:color="auto" w:fill="FFFFFF"/>
        <w:spacing w:before="0" w:beforeAutospacing="0" w:after="0" w:afterAutospacing="0" w:line="315" w:lineRule="atLeast"/>
        <w:ind w:left="440"/>
        <w:rPr>
          <w:rFonts w:ascii="Times New Roman" w:hAnsi="Times New Roman" w:cs="Times New Roman"/>
          <w:color w:val="2A2B2E"/>
        </w:rPr>
      </w:pPr>
      <w:r w:rsidRPr="00BC5131">
        <w:rPr>
          <w:rFonts w:ascii="Times New Roman" w:hAnsi="Times New Roman" w:cs="Times New Roman"/>
          <w:color w:val="2A2B2E"/>
        </w:rPr>
        <w:t>Attackers employ advanced methods such as ransomware as a Service (RaaS), supply chain attacks, and AI-driven phishing attacks</w:t>
      </w:r>
      <w:r w:rsidR="002E23BE">
        <w:rPr>
          <w:rFonts w:ascii="Times New Roman" w:hAnsi="Times New Roman" w:cs="Times New Roman" w:hint="eastAsia"/>
          <w:color w:val="2A2B2E"/>
        </w:rPr>
        <w:t xml:space="preserve"> </w:t>
      </w:r>
      <w:r w:rsidR="002E23BE">
        <w:rPr>
          <w:rFonts w:ascii="Times New Roman" w:hAnsi="Times New Roman" w:cs="Times New Roman"/>
          <w:color w:val="2A2B2E"/>
        </w:rPr>
        <w:fldChar w:fldCharType="begin"/>
      </w:r>
      <w:r w:rsidR="00E52B6B">
        <w:rPr>
          <w:rFonts w:ascii="Times New Roman" w:hAnsi="Times New Roman" w:cs="Times New Roman"/>
          <w:color w:val="2A2B2E"/>
        </w:rPr>
        <w:instrText xml:space="preserve"> ADDIN ZOTERO_ITEM CSL_CITATION {"citationID":"jPoumyqA","properties":{"formattedCitation":"[18]","plainCitation":"[18]","noteIndex":0},"citationItems":[{"id":351,"uris":["http://zotero.org/users/local/p3tV44H5/items/QRF8EJ6G"],"itemData":{"id":351,"type":"article-journal","container-title":"Journal of International Studies (2071-8330)","issue":"2","source":"Google Scholar","title":"Cybersecurity and cybercrime: Current trends and threats.","title-short":"Cybersecurity and cybercrime","URL":"https://www.ceeol.com/search/article-detail?id=1273929","volume":"17","author":[{"family":"Kuzior","given":"Aleksandra"},{"family":"Tiutiunyk","given":"Inna"},{"family":"Zielińska","given":"Anetta"},{"family":"Kelemen","given":"Roland"}],"accessed":{"date-parts":[["2025",11,9]]},"issued":{"date-parts":[["2024"]]}}}],"schema":"https://github.com/citation-style-language/schema/raw/master/csl-citation.json"} </w:instrText>
      </w:r>
      <w:r w:rsidR="002E23BE">
        <w:rPr>
          <w:rFonts w:ascii="Times New Roman" w:hAnsi="Times New Roman" w:cs="Times New Roman"/>
          <w:color w:val="2A2B2E"/>
        </w:rPr>
        <w:fldChar w:fldCharType="separate"/>
      </w:r>
      <w:r w:rsidR="00E52B6B" w:rsidRPr="00E52B6B">
        <w:rPr>
          <w:rFonts w:ascii="Times New Roman" w:hAnsi="Times New Roman" w:cs="Times New Roman" w:hint="eastAsia"/>
        </w:rPr>
        <w:t>[18]</w:t>
      </w:r>
      <w:r w:rsidR="002E23BE">
        <w:rPr>
          <w:rFonts w:ascii="Times New Roman" w:hAnsi="Times New Roman" w:cs="Times New Roman"/>
          <w:color w:val="2A2B2E"/>
        </w:rPr>
        <w:fldChar w:fldCharType="end"/>
      </w:r>
      <w:r w:rsidR="002E23BE">
        <w:rPr>
          <w:rFonts w:ascii="Times New Roman" w:hAnsi="Times New Roman" w:cs="Times New Roman" w:hint="eastAsia"/>
          <w:color w:val="2A2B2E"/>
        </w:rPr>
        <w:t>.</w:t>
      </w:r>
    </w:p>
    <w:p w14:paraId="28377892" w14:textId="77777777" w:rsidR="00BC5131" w:rsidRPr="00BC5131" w:rsidRDefault="00BC5131" w:rsidP="00BC5131">
      <w:pPr>
        <w:pStyle w:val="a9"/>
        <w:ind w:left="440"/>
        <w:rPr>
          <w:rFonts w:ascii="Times New Roman" w:eastAsia="宋体" w:hAnsi="Times New Roman" w:cs="Times New Roman"/>
          <w:color w:val="2A2B2E"/>
          <w:kern w:val="0"/>
          <w:sz w:val="24"/>
          <w:szCs w:val="24"/>
        </w:rPr>
      </w:pPr>
    </w:p>
    <w:p w14:paraId="01873AA5" w14:textId="4FA0678E" w:rsidR="002E23BE" w:rsidRDefault="002E23BE" w:rsidP="00BC5131">
      <w:pPr>
        <w:rPr>
          <w:rFonts w:ascii="Times New Roman" w:eastAsia="宋体" w:hAnsi="Times New Roman" w:cs="Times New Roman"/>
          <w:color w:val="2A2B2E"/>
          <w:kern w:val="0"/>
          <w:sz w:val="24"/>
          <w:szCs w:val="24"/>
        </w:rPr>
      </w:pPr>
      <w:r w:rsidRPr="002E23BE">
        <w:rPr>
          <w:rFonts w:ascii="Times New Roman" w:hAnsi="Times New Roman" w:cs="Times New Roman"/>
          <w:color w:val="2A2B2E"/>
          <w:sz w:val="24"/>
          <w:szCs w:val="24"/>
        </w:rPr>
        <w:t xml:space="preserve">Thus: </w:t>
      </w:r>
      <w:r w:rsidRPr="002E23BE">
        <w:rPr>
          <w:rFonts w:ascii="Times New Roman" w:hAnsi="Times New Roman" w:cs="Times New Roman" w:hint="eastAsia"/>
          <w:color w:val="2A2B2E"/>
          <w:sz w:val="24"/>
          <w:szCs w:val="24"/>
        </w:rPr>
        <w:t xml:space="preserve"> </w:t>
      </w:r>
      <w:r w:rsidRPr="002E23BE">
        <w:rPr>
          <w:rFonts w:ascii="Times New Roman" w:hAnsi="Times New Roman" w:cs="Times New Roman"/>
          <w:color w:val="2A2B2E"/>
          <w:sz w:val="24"/>
          <w:szCs w:val="24"/>
        </w:rPr>
        <w:t>continue to update the standard to ensure that the organization to maintain the safety of the valid, legal and ethical operation</w:t>
      </w:r>
      <w:r w:rsidRPr="002E23BE">
        <w:rPr>
          <w:rFonts w:ascii="Times New Roman" w:hAnsi="Times New Roman" w:cs="Times New Roman" w:hint="eastAsia"/>
          <w:color w:val="2A2B2E"/>
          <w:sz w:val="24"/>
          <w:szCs w:val="24"/>
        </w:rPr>
        <w:t xml:space="preserve"> </w:t>
      </w:r>
      <w:r w:rsidRPr="002E23BE">
        <w:rPr>
          <w:rFonts w:ascii="Times New Roman" w:hAnsi="Times New Roman" w:cs="Times New Roman"/>
          <w:color w:val="2A2B2E"/>
          <w:sz w:val="24"/>
          <w:szCs w:val="24"/>
        </w:rPr>
        <w:fldChar w:fldCharType="begin"/>
      </w:r>
      <w:r w:rsidR="00E52B6B">
        <w:rPr>
          <w:rFonts w:ascii="Times New Roman" w:hAnsi="Times New Roman" w:cs="Times New Roman"/>
          <w:color w:val="2A2B2E"/>
          <w:sz w:val="24"/>
          <w:szCs w:val="24"/>
        </w:rPr>
        <w:instrText xml:space="preserve"> ADDIN ZOTERO_ITEM CSL_CITATION {"citationID":"ngByh39s","properties":{"formattedCitation":"[19]","plainCitation":"[19]","noteIndex":0},"citationItems":[{"id":353,"uris":["http://zotero.org/users/local/p3tV44H5/items/5A7K9IUT"],"itemData":{"id":353,"type":"paper-conference","container-title":"19th IEEE Computer Security Foundations Workshop (CSFW'06)","page":"13–pp","publisher":"IEEE","source":"Google Scholar","title":"Managing policy updates in security-typed languages","URL":"https://ieeexplore.ieee.org/abstract/document/1648719/","author":[{"family":"Swamy","given":"Nikhil"},{"family":"Hicks","given":"Michael"},{"family":"Tse","given":"Stephen"},{"family":"Zdancewic","given":"Steve"}],"accessed":{"date-parts":[["2025",11,9]]},"issued":{"date-parts":[["2006"]]}}}],"schema":"https://github.com/citation-style-language/schema/raw/master/csl-citation.json"} </w:instrText>
      </w:r>
      <w:r w:rsidRPr="002E23BE">
        <w:rPr>
          <w:rFonts w:ascii="Times New Roman" w:hAnsi="Times New Roman" w:cs="Times New Roman"/>
          <w:color w:val="2A2B2E"/>
          <w:sz w:val="24"/>
          <w:szCs w:val="24"/>
        </w:rPr>
        <w:fldChar w:fldCharType="separate"/>
      </w:r>
      <w:r w:rsidR="00E52B6B" w:rsidRPr="00E52B6B">
        <w:rPr>
          <w:rFonts w:ascii="Times New Roman" w:hAnsi="Times New Roman" w:cs="Times New Roman" w:hint="eastAsia"/>
          <w:sz w:val="24"/>
        </w:rPr>
        <w:t>[19]</w:t>
      </w:r>
      <w:r w:rsidRPr="002E23BE">
        <w:rPr>
          <w:rFonts w:ascii="Times New Roman" w:hAnsi="Times New Roman" w:cs="Times New Roman"/>
          <w:color w:val="2A2B2E"/>
          <w:sz w:val="24"/>
          <w:szCs w:val="24"/>
        </w:rPr>
        <w:fldChar w:fldCharType="end"/>
      </w:r>
      <w:r w:rsidRPr="002E23BE">
        <w:rPr>
          <w:rFonts w:ascii="Times New Roman" w:hAnsi="Times New Roman" w:cs="Times New Roman" w:hint="eastAsia"/>
          <w:color w:val="2A2B2E"/>
          <w:sz w:val="24"/>
          <w:szCs w:val="24"/>
        </w:rPr>
        <w:t xml:space="preserve">. </w:t>
      </w:r>
      <w:r w:rsidRPr="002E23BE">
        <w:rPr>
          <w:rFonts w:ascii="Times New Roman" w:eastAsia="宋体" w:hAnsi="Times New Roman" w:cs="Times New Roman" w:hint="eastAsia"/>
          <w:color w:val="2A2B2E"/>
          <w:kern w:val="0"/>
          <w:sz w:val="24"/>
          <w:szCs w:val="24"/>
        </w:rPr>
        <w:t>This reinforces the importance of proactive governance and compliance monitoring, helping NG adhere to laws, regulations and industry best practices on a global scale.</w:t>
      </w:r>
    </w:p>
    <w:p w14:paraId="35C32CCE" w14:textId="1B9ABAE6" w:rsidR="002E23BE" w:rsidRDefault="002E23BE" w:rsidP="002E23BE">
      <w:pPr>
        <w:pStyle w:val="1"/>
        <w:rPr>
          <w:rFonts w:hint="eastAsia"/>
        </w:rPr>
      </w:pPr>
      <w:r w:rsidRPr="00C401BA">
        <w:t>Conclusion</w:t>
      </w:r>
    </w:p>
    <w:p w14:paraId="2B75ABAB" w14:textId="1E1C5A4E" w:rsidR="0028330E" w:rsidRPr="0028330E" w:rsidRDefault="0028330E" w:rsidP="002E23BE">
      <w:pPr>
        <w:rPr>
          <w:rFonts w:ascii="Times New Roman" w:hAnsi="Times New Roman" w:cs="Times New Roman"/>
          <w:sz w:val="24"/>
          <w:szCs w:val="28"/>
        </w:rPr>
      </w:pPr>
      <w:r w:rsidRPr="0028330E">
        <w:rPr>
          <w:rFonts w:ascii="Times New Roman" w:hAnsi="Times New Roman" w:cs="Times New Roman"/>
          <w:sz w:val="24"/>
          <w:szCs w:val="28"/>
        </w:rPr>
        <w:t xml:space="preserve">This study develops a customized information security governance framework for </w:t>
      </w:r>
      <w:proofErr w:type="spellStart"/>
      <w:r w:rsidRPr="0028330E">
        <w:rPr>
          <w:rFonts w:ascii="Times New Roman" w:hAnsi="Times New Roman" w:cs="Times New Roman"/>
          <w:sz w:val="24"/>
          <w:szCs w:val="28"/>
        </w:rPr>
        <w:t>NatureGreen</w:t>
      </w:r>
      <w:proofErr w:type="spellEnd"/>
      <w:r w:rsidRPr="0028330E">
        <w:rPr>
          <w:rFonts w:ascii="Times New Roman" w:hAnsi="Times New Roman" w:cs="Times New Roman"/>
          <w:sz w:val="24"/>
          <w:szCs w:val="28"/>
        </w:rPr>
        <w:t xml:space="preserve"> (NG), addressing its 95% wireless coverage, multi-cloud, and BYOD environment, and specific risks such as lack of policies and data leakage. The framework integrates ISO 27001 ISMS leadership, COBIT IT governance, and ITIL service management, adopting a Zero Trust Architecture (ZTNA) with technical controls like MAM (BYOD), CASB (cloud/IP), and WPA3-Enterprise (wireless). This multi-layered strategy enables NG to manage risks, protect high-value IP, and comply with global regulations such as GDPR and PIPL. Security governance is ongoing; NG must continuously update standards to address emerging technologies (AI, IoT) and evolving cyber threats, ensuring resilience, compliance, and ethical operations globally.</w:t>
      </w:r>
    </w:p>
    <w:p w14:paraId="11FE30F8" w14:textId="720FAF80" w:rsidR="00C54C47" w:rsidRDefault="00C54C47" w:rsidP="00C54C47">
      <w:pPr>
        <w:pStyle w:val="1"/>
        <w:rPr>
          <w:rFonts w:hint="eastAsia"/>
        </w:rPr>
      </w:pPr>
      <w:r>
        <w:rPr>
          <w:rFonts w:hint="eastAsia"/>
        </w:rPr>
        <w:t>Reference</w:t>
      </w:r>
    </w:p>
    <w:p w14:paraId="1D9136BB" w14:textId="77777777" w:rsidR="00E52B6B" w:rsidRPr="00E52B6B" w:rsidRDefault="00C54C47" w:rsidP="00E52B6B">
      <w:pPr>
        <w:pStyle w:val="ae"/>
        <w:rPr>
          <w:rFonts w:hint="eastAsia"/>
        </w:rPr>
      </w:pPr>
      <w:r>
        <w:rPr>
          <w:rFonts w:hint="eastAsia"/>
        </w:rPr>
        <w:fldChar w:fldCharType="begin"/>
      </w:r>
      <w:r w:rsidR="00E52B6B">
        <w:rPr>
          <w:rFonts w:hint="eastAsia"/>
        </w:rPr>
        <w:instrText xml:space="preserve"> ADDIN ZOTERO_BIBL {"uncited":[],"omitted":[],"custom":[]} CSL_BIBLIOGRAPHY </w:instrText>
      </w:r>
      <w:r>
        <w:rPr>
          <w:rFonts w:hint="eastAsia"/>
        </w:rPr>
        <w:fldChar w:fldCharType="separate"/>
      </w:r>
      <w:r w:rsidR="00E52B6B" w:rsidRPr="00E52B6B">
        <w:t>[1]</w:t>
      </w:r>
      <w:r w:rsidR="00E52B6B" w:rsidRPr="00E52B6B">
        <w:tab/>
        <w:t xml:space="preserve">R. Anderson, </w:t>
      </w:r>
      <w:r w:rsidR="00E52B6B" w:rsidRPr="00E52B6B">
        <w:rPr>
          <w:i/>
          <w:iCs/>
        </w:rPr>
        <w:t>Security engineering: a guide to building dependable distributed systems</w:t>
      </w:r>
      <w:r w:rsidR="00E52B6B" w:rsidRPr="00E52B6B">
        <w:t>. John Wiley &amp; Sons, 2010. Accessed: Nov. 09, 2025. [Online]. Available: https://books.google.com/books?hl=zh-CN&amp;lr=&amp;id=eo4Otm_TcW8C&amp;oi=fnd&amp;pg=PT14&amp;dq=%5B1%5D+R.+Anderson,+%E2%80%9CSecurity+Engineering:+A+Guide+to+Building+Dependable+Distributed+Systems,%E2%80%9D+Wiley,+2020.&amp;ots=gDJJAOezd7&amp;sig=KpllgXoCI1dOhBom626iJIfGmys</w:t>
      </w:r>
    </w:p>
    <w:p w14:paraId="66ED70F5" w14:textId="77777777" w:rsidR="00E52B6B" w:rsidRPr="00E52B6B" w:rsidRDefault="00E52B6B" w:rsidP="00E52B6B">
      <w:pPr>
        <w:pStyle w:val="ae"/>
        <w:rPr>
          <w:rFonts w:hint="eastAsia"/>
        </w:rPr>
      </w:pPr>
      <w:r w:rsidRPr="00E52B6B">
        <w:t>[2]</w:t>
      </w:r>
      <w:r w:rsidRPr="00E52B6B">
        <w:tab/>
        <w:t xml:space="preserve">F. R. Bechara and S. B. Schuch, ‘Cybersecurity and global regulatory challenges’, </w:t>
      </w:r>
      <w:r w:rsidRPr="00E52B6B">
        <w:rPr>
          <w:i/>
          <w:iCs/>
        </w:rPr>
        <w:t>Journal of Financial Crime</w:t>
      </w:r>
      <w:r w:rsidRPr="00E52B6B">
        <w:t>, vol. 28, no. 2, pp. 359–374, 2021.</w:t>
      </w:r>
    </w:p>
    <w:p w14:paraId="3E135CB7" w14:textId="77777777" w:rsidR="00E52B6B" w:rsidRPr="00E52B6B" w:rsidRDefault="00E52B6B" w:rsidP="00E52B6B">
      <w:pPr>
        <w:pStyle w:val="ae"/>
        <w:rPr>
          <w:rFonts w:hint="eastAsia"/>
        </w:rPr>
      </w:pPr>
      <w:r w:rsidRPr="00E52B6B">
        <w:t>[3]</w:t>
      </w:r>
      <w:r w:rsidRPr="00E52B6B">
        <w:tab/>
        <w:t xml:space="preserve">G. Kambala, ‘Security implications of cloud-based enterprise applications: An in-depth </w:t>
      </w:r>
      <w:r w:rsidRPr="00E52B6B">
        <w:lastRenderedPageBreak/>
        <w:t xml:space="preserve">review’, </w:t>
      </w:r>
      <w:r w:rsidRPr="00E52B6B">
        <w:rPr>
          <w:i/>
          <w:iCs/>
        </w:rPr>
        <w:t>World Journal of Advanced Research and Reviews</w:t>
      </w:r>
      <w:r w:rsidRPr="00E52B6B">
        <w:t>, vol. 19, no. 3, pp. 1663–1676, 2023.</w:t>
      </w:r>
    </w:p>
    <w:p w14:paraId="07D8C009" w14:textId="77777777" w:rsidR="00E52B6B" w:rsidRPr="00E52B6B" w:rsidRDefault="00E52B6B" w:rsidP="00E52B6B">
      <w:pPr>
        <w:pStyle w:val="ae"/>
        <w:rPr>
          <w:rFonts w:hint="eastAsia"/>
        </w:rPr>
      </w:pPr>
      <w:r w:rsidRPr="00E52B6B">
        <w:t>[4]</w:t>
      </w:r>
      <w:r w:rsidRPr="00E52B6B">
        <w:tab/>
        <w:t xml:space="preserve">A. D. Veiga and J. H. P. Eloff, ‘An Information Security Governance Framework’, </w:t>
      </w:r>
      <w:r w:rsidRPr="00E52B6B">
        <w:rPr>
          <w:i/>
          <w:iCs/>
        </w:rPr>
        <w:t>Information Systems Management</w:t>
      </w:r>
      <w:r w:rsidRPr="00E52B6B">
        <w:t>, vol. 24, no. 4, pp. 361–372, Oct. 2007, doi: 10.1080/10580530701586136.</w:t>
      </w:r>
    </w:p>
    <w:p w14:paraId="214BCDCC" w14:textId="77777777" w:rsidR="00E52B6B" w:rsidRPr="00E52B6B" w:rsidRDefault="00E52B6B" w:rsidP="00E52B6B">
      <w:pPr>
        <w:pStyle w:val="ae"/>
        <w:rPr>
          <w:rFonts w:hint="eastAsia"/>
        </w:rPr>
      </w:pPr>
      <w:r w:rsidRPr="00E52B6B">
        <w:t>[5]</w:t>
      </w:r>
      <w:r w:rsidRPr="00E52B6B">
        <w:tab/>
        <w:t xml:space="preserve">R. Palanisamy, A. A. Norman, and L. Mat Kiah, ‘BYOD Security Risks and Mitigation Strategies: Insights from IT Security Experts’, </w:t>
      </w:r>
      <w:r w:rsidRPr="00E52B6B">
        <w:rPr>
          <w:i/>
          <w:iCs/>
        </w:rPr>
        <w:t>Journal of Organizational Computing and Electronic Commerce</w:t>
      </w:r>
      <w:r w:rsidRPr="00E52B6B">
        <w:t>, vol. 31, no. 4, pp. 320–342, Oct. 2021, doi: 10.1080/10919392.2022.2028530.</w:t>
      </w:r>
    </w:p>
    <w:p w14:paraId="7422CB3F" w14:textId="77777777" w:rsidR="00E52B6B" w:rsidRPr="00E52B6B" w:rsidRDefault="00E52B6B" w:rsidP="00E52B6B">
      <w:pPr>
        <w:pStyle w:val="ae"/>
        <w:rPr>
          <w:rFonts w:hint="eastAsia"/>
        </w:rPr>
      </w:pPr>
      <w:r w:rsidRPr="00E52B6B">
        <w:t>[6]</w:t>
      </w:r>
      <w:r w:rsidRPr="00E52B6B">
        <w:tab/>
        <w:t xml:space="preserve">K. Beckers, S. Faßbender, M. Heisel, J.-C. Küster, and H. Schmidt, ‘Supporting the Development and Documentation of ISO 27001 Information Security Management Systems through Security Requirements Engineering Approaches’, in </w:t>
      </w:r>
      <w:r w:rsidRPr="00E52B6B">
        <w:rPr>
          <w:i/>
          <w:iCs/>
        </w:rPr>
        <w:t>Engineering Secure Software and Systems</w:t>
      </w:r>
      <w:r w:rsidRPr="00E52B6B">
        <w:t>, vol. 7159, G. Barthe, B. Livshits, and R. Scandariato, Eds, in Lecture Notes in Computer Science, vol. 7159. , Berlin, Heidelberg: Springer Berlin Heidelberg, 2012, pp. 14–21. doi: 10.1007/978-3-642-28166-2_2.</w:t>
      </w:r>
    </w:p>
    <w:p w14:paraId="75DC1C4E" w14:textId="77777777" w:rsidR="00E52B6B" w:rsidRPr="00E52B6B" w:rsidRDefault="00E52B6B" w:rsidP="00E52B6B">
      <w:pPr>
        <w:pStyle w:val="ae"/>
        <w:rPr>
          <w:rFonts w:hint="eastAsia"/>
        </w:rPr>
      </w:pPr>
      <w:r w:rsidRPr="00E52B6B">
        <w:t>[7]</w:t>
      </w:r>
      <w:r w:rsidRPr="00E52B6B">
        <w:tab/>
        <w:t xml:space="preserve">A. Jøsang, ‘Governance and Information Security Management’, in </w:t>
      </w:r>
      <w:r w:rsidRPr="00E52B6B">
        <w:rPr>
          <w:i/>
          <w:iCs/>
        </w:rPr>
        <w:t>Cybersecurity</w:t>
      </w:r>
      <w:r w:rsidRPr="00E52B6B">
        <w:t>, Cham: Springer Nature Switzerland, 2025, pp. 377–403. doi: 10.1007/978-3-031-68483-8_18.</w:t>
      </w:r>
    </w:p>
    <w:p w14:paraId="1836D63F" w14:textId="77777777" w:rsidR="00E52B6B" w:rsidRPr="00E52B6B" w:rsidRDefault="00E52B6B" w:rsidP="00E52B6B">
      <w:pPr>
        <w:pStyle w:val="ae"/>
        <w:rPr>
          <w:rFonts w:hint="eastAsia"/>
        </w:rPr>
      </w:pPr>
      <w:r w:rsidRPr="00E52B6B">
        <w:t>[8]</w:t>
      </w:r>
      <w:r w:rsidRPr="00E52B6B">
        <w:tab/>
        <w:t xml:space="preserve">D. Pultorak, J. E. Nelson, and V. Pultorak, </w:t>
      </w:r>
      <w:r w:rsidRPr="00E52B6B">
        <w:rPr>
          <w:i/>
          <w:iCs/>
        </w:rPr>
        <w:t>Passing the ITIL® Foundation Exam</w:t>
      </w:r>
      <w:r w:rsidRPr="00E52B6B">
        <w:t>. Van Haren, 2017. Accessed: Nov. 09, 2025. [Online]. Available: https://books.google.com/books?hl=zh-CN&amp;lr=&amp;id=6WteAgAAQBAJ&amp;oi=fnd&amp;pg=PR5&amp;dq=Pultorak,+D.,+Nelson,+J.+E.,+%26+Pultorak,+V.+(1970).+Passing+the+ITIL%C2%AE+Foundation+Exam.+Van+Haren.&amp;ots=Kd_MeE-WYn&amp;sig=k7fCDgDhZUy951pZYtunHZVcypI</w:t>
      </w:r>
    </w:p>
    <w:p w14:paraId="0AC5F6BF" w14:textId="77777777" w:rsidR="00E52B6B" w:rsidRPr="00E52B6B" w:rsidRDefault="00E52B6B" w:rsidP="00E52B6B">
      <w:pPr>
        <w:pStyle w:val="ae"/>
        <w:rPr>
          <w:rFonts w:hint="eastAsia"/>
        </w:rPr>
      </w:pPr>
      <w:r w:rsidRPr="00E52B6B">
        <w:t>[9]</w:t>
      </w:r>
      <w:r w:rsidRPr="00E52B6B">
        <w:tab/>
        <w:t xml:space="preserve">I. S. Audit and C. Association, </w:t>
      </w:r>
      <w:r w:rsidRPr="00E52B6B">
        <w:rPr>
          <w:i/>
          <w:iCs/>
        </w:rPr>
        <w:t>COBIT® 2019 Framework: Governance and Management Objectives</w:t>
      </w:r>
      <w:r w:rsidRPr="00E52B6B">
        <w:t>. ISACA, 2018.</w:t>
      </w:r>
    </w:p>
    <w:p w14:paraId="6797B847" w14:textId="77777777" w:rsidR="00E52B6B" w:rsidRPr="00E52B6B" w:rsidRDefault="00E52B6B" w:rsidP="00E52B6B">
      <w:pPr>
        <w:pStyle w:val="ae"/>
        <w:rPr>
          <w:rFonts w:hint="eastAsia"/>
        </w:rPr>
      </w:pPr>
      <w:r w:rsidRPr="00E52B6B">
        <w:t>[10]</w:t>
      </w:r>
      <w:r w:rsidRPr="00E52B6B">
        <w:tab/>
        <w:t xml:space="preserve">G. B. White and N. Sjelin, ‘The NIST cybersecurity framework’, in </w:t>
      </w:r>
      <w:r w:rsidRPr="00E52B6B">
        <w:rPr>
          <w:i/>
          <w:iCs/>
        </w:rPr>
        <w:t>Research anthology on business aspects of cybersecurity</w:t>
      </w:r>
      <w:r w:rsidRPr="00E52B6B">
        <w:t>, IGI Global, 2022, pp. 39–55. Accessed: Nov. 09, 2025. [Online]. Available: https://www.igi-global.com/chapter/the-nist-cybersecurity-framework/288672</w:t>
      </w:r>
    </w:p>
    <w:p w14:paraId="42857327" w14:textId="77777777" w:rsidR="00E52B6B" w:rsidRPr="00E52B6B" w:rsidRDefault="00E52B6B" w:rsidP="00E52B6B">
      <w:pPr>
        <w:pStyle w:val="ae"/>
        <w:rPr>
          <w:rFonts w:hint="eastAsia"/>
        </w:rPr>
      </w:pPr>
      <w:r w:rsidRPr="00E52B6B">
        <w:t>[11]</w:t>
      </w:r>
      <w:r w:rsidRPr="00E52B6B">
        <w:tab/>
        <w:t xml:space="preserve">M. Corpuz, ‘The enterprise information security policy as a strategic business policy within the corporate strategic plan’, in </w:t>
      </w:r>
      <w:r w:rsidRPr="00E52B6B">
        <w:rPr>
          <w:i/>
          <w:iCs/>
        </w:rPr>
        <w:t>Proceedings of the 15th Multi-Conference on Systemics, Cybernetics and Informatics, WMSCI 2011: Volume III</w:t>
      </w:r>
      <w:r w:rsidRPr="00E52B6B">
        <w:t>, International Institute of Informatics and Systemics (IIIS), 2011, pp. 275–279. Accessed: Nov. 09, 2025. [Online]. Available: https://eprints.qut.edu.au/51493/</w:t>
      </w:r>
    </w:p>
    <w:p w14:paraId="149F8692" w14:textId="77777777" w:rsidR="00E52B6B" w:rsidRPr="00E52B6B" w:rsidRDefault="00E52B6B" w:rsidP="00E52B6B">
      <w:pPr>
        <w:pStyle w:val="ae"/>
        <w:rPr>
          <w:rFonts w:hint="eastAsia"/>
        </w:rPr>
      </w:pPr>
      <w:r w:rsidRPr="00E52B6B">
        <w:t>[12]</w:t>
      </w:r>
      <w:r w:rsidRPr="00E52B6B">
        <w:tab/>
        <w:t xml:space="preserve">O. Santos, </w:t>
      </w:r>
      <w:r w:rsidRPr="00E52B6B">
        <w:rPr>
          <w:i/>
          <w:iCs/>
        </w:rPr>
        <w:t>Developing cybersecurity programs and policies</w:t>
      </w:r>
      <w:r w:rsidRPr="00E52B6B">
        <w:t>. Pearson IT Certification, 2018. Accessed: Nov. 09, 2025. [Online]. Available: https://books.google.com/books?hl=zh-CN&amp;lr=&amp;id=zgNkDwAAQBAJ&amp;oi=fnd&amp;pg=PT24&amp;dq=Policy+Development+in+Cybersecurity+Management&amp;ots=A7_oELQBMn&amp;sig=T1Cy1LKgSX5KlnYorzWxU_MLJWs</w:t>
      </w:r>
    </w:p>
    <w:p w14:paraId="46FA5BFE" w14:textId="77777777" w:rsidR="00E52B6B" w:rsidRPr="00E52B6B" w:rsidRDefault="00E52B6B" w:rsidP="00E52B6B">
      <w:pPr>
        <w:pStyle w:val="ae"/>
        <w:rPr>
          <w:rFonts w:hint="eastAsia"/>
        </w:rPr>
      </w:pPr>
      <w:r w:rsidRPr="00E52B6B">
        <w:t>[13]</w:t>
      </w:r>
      <w:r w:rsidRPr="00E52B6B">
        <w:tab/>
        <w:t xml:space="preserve">B. Morrow, ‘BYOD security challenges: control and protect your most sensitive data’, </w:t>
      </w:r>
      <w:r w:rsidRPr="00E52B6B">
        <w:rPr>
          <w:i/>
          <w:iCs/>
        </w:rPr>
        <w:t>Network Security</w:t>
      </w:r>
      <w:r w:rsidRPr="00E52B6B">
        <w:t>, vol. 2012, no. 12, pp. 5–8, 2012.</w:t>
      </w:r>
    </w:p>
    <w:p w14:paraId="0DA7E7A8" w14:textId="77777777" w:rsidR="00E52B6B" w:rsidRPr="00E52B6B" w:rsidRDefault="00E52B6B" w:rsidP="00E52B6B">
      <w:pPr>
        <w:pStyle w:val="ae"/>
        <w:rPr>
          <w:rFonts w:hint="eastAsia"/>
        </w:rPr>
      </w:pPr>
      <w:r w:rsidRPr="00E52B6B">
        <w:t>[14]</w:t>
      </w:r>
      <w:r w:rsidRPr="00E52B6B">
        <w:tab/>
        <w:t xml:space="preserve">B. R. Kandukuri and A. Rakshit, ‘Cloud security issues’, in </w:t>
      </w:r>
      <w:r w:rsidRPr="00E52B6B">
        <w:rPr>
          <w:i/>
          <w:iCs/>
        </w:rPr>
        <w:t>2009 IEEE international conference on services computing</w:t>
      </w:r>
      <w:r w:rsidRPr="00E52B6B">
        <w:t>, IEEE, 2009, pp. 517–520. Accessed: Nov. 09, 2025. [Online]. Available: https://ieeexplore.ieee.org/abstract/document/5283911/</w:t>
      </w:r>
    </w:p>
    <w:p w14:paraId="7D6EDD56" w14:textId="77777777" w:rsidR="00E52B6B" w:rsidRPr="00E52B6B" w:rsidRDefault="00E52B6B" w:rsidP="00E52B6B">
      <w:pPr>
        <w:pStyle w:val="ae"/>
        <w:rPr>
          <w:rFonts w:hint="eastAsia"/>
        </w:rPr>
      </w:pPr>
      <w:r w:rsidRPr="00E52B6B">
        <w:t>[15]</w:t>
      </w:r>
      <w:r w:rsidRPr="00E52B6B">
        <w:tab/>
        <w:t xml:space="preserve">M. Hätinen, ‘Evolution of cybersecurity risk management standardization: Comparison of </w:t>
      </w:r>
      <w:r w:rsidRPr="00E52B6B">
        <w:lastRenderedPageBreak/>
        <w:t>the NIST Cybersecurity Framework version 1.1 and 2.0’, 2024, Accessed: Nov. 09, 2025. [Online]. Available: https://aaltodoc.aalto.fi/items/20b50bb1-617f-4c81-b069-e01695b870a2</w:t>
      </w:r>
    </w:p>
    <w:p w14:paraId="212E2D1F" w14:textId="77777777" w:rsidR="00E52B6B" w:rsidRPr="00E52B6B" w:rsidRDefault="00E52B6B" w:rsidP="00E52B6B">
      <w:pPr>
        <w:pStyle w:val="ae"/>
        <w:rPr>
          <w:rFonts w:hint="eastAsia"/>
        </w:rPr>
      </w:pPr>
      <w:r w:rsidRPr="00E52B6B">
        <w:t>[16]</w:t>
      </w:r>
      <w:r w:rsidRPr="00E52B6B">
        <w:tab/>
        <w:t xml:space="preserve">K. M. Rajasekharaiah, C. S. Dule, and E. Sudarshan, ‘Cyber security challenges and its emerging trends on latest technologies’, in </w:t>
      </w:r>
      <w:r w:rsidRPr="00E52B6B">
        <w:rPr>
          <w:i/>
          <w:iCs/>
        </w:rPr>
        <w:t>IOP conference series: materials science and engineering</w:t>
      </w:r>
      <w:r w:rsidRPr="00E52B6B">
        <w:t>, IOP Publishing, 2020, p. 022062. Accessed: Nov. 09, 2025. [Online]. Available: https://iopscience.iop.org/article/10.1088/1757-899X/981/2/022062/meta</w:t>
      </w:r>
    </w:p>
    <w:p w14:paraId="0385C1ED" w14:textId="77777777" w:rsidR="00E52B6B" w:rsidRPr="00E52B6B" w:rsidRDefault="00E52B6B" w:rsidP="00E52B6B">
      <w:pPr>
        <w:pStyle w:val="ae"/>
        <w:rPr>
          <w:rFonts w:hint="eastAsia"/>
        </w:rPr>
      </w:pPr>
      <w:r w:rsidRPr="00E52B6B">
        <w:t>[17]</w:t>
      </w:r>
      <w:r w:rsidRPr="00E52B6B">
        <w:tab/>
        <w:t xml:space="preserve">P. Ryan, M. Crane, and R. Brennan, ‘GDPR Compliance Tools: Best Practice from RegTech’, in </w:t>
      </w:r>
      <w:r w:rsidRPr="00E52B6B">
        <w:rPr>
          <w:i/>
          <w:iCs/>
        </w:rPr>
        <w:t>Enterprise Information Systems</w:t>
      </w:r>
      <w:r w:rsidRPr="00E52B6B">
        <w:t xml:space="preserve">, vol. 417, J. Filipe, M. </w:t>
      </w:r>
      <w:r w:rsidRPr="00E52B6B">
        <w:rPr>
          <w:rFonts w:ascii="Cambria" w:hAnsi="Cambria" w:cs="Cambria"/>
        </w:rPr>
        <w:t>Ś</w:t>
      </w:r>
      <w:r w:rsidRPr="00E52B6B">
        <w:t>mia</w:t>
      </w:r>
      <w:r w:rsidRPr="00E52B6B">
        <w:rPr>
          <w:rFonts w:ascii="Cambria" w:hAnsi="Cambria" w:cs="Cambria"/>
        </w:rPr>
        <w:t>ł</w:t>
      </w:r>
      <w:r w:rsidRPr="00E52B6B">
        <w:t>ek, A. Brodsky, and S. Hammoudi, Eds, in Lecture Notes in Business Information Processing, vol. 417. , Cham: Springer International Publishing, 2021, pp. 905</w:t>
      </w:r>
      <w:r w:rsidRPr="00E52B6B">
        <w:rPr>
          <w:rFonts w:ascii="等线" w:eastAsia="等线" w:hAnsi="等线" w:cs="等线" w:hint="eastAsia"/>
        </w:rPr>
        <w:t>–</w:t>
      </w:r>
      <w:r w:rsidRPr="00E52B6B">
        <w:t>929. doi: 10.1007/978-3-030-75418-1_41.</w:t>
      </w:r>
    </w:p>
    <w:p w14:paraId="3D6D5566" w14:textId="77777777" w:rsidR="00E52B6B" w:rsidRPr="00E52B6B" w:rsidRDefault="00E52B6B" w:rsidP="00E52B6B">
      <w:pPr>
        <w:pStyle w:val="ae"/>
        <w:rPr>
          <w:rFonts w:hint="eastAsia"/>
        </w:rPr>
      </w:pPr>
      <w:r w:rsidRPr="00E52B6B">
        <w:t>[18]</w:t>
      </w:r>
      <w:r w:rsidRPr="00E52B6B">
        <w:tab/>
        <w:t xml:space="preserve">A. Kuzior, I. Tiutiunyk, A. Zielińska, and R. Kelemen, ‘Cybersecurity and cybercrime: Current trends and threats.’, </w:t>
      </w:r>
      <w:r w:rsidRPr="00E52B6B">
        <w:rPr>
          <w:i/>
          <w:iCs/>
        </w:rPr>
        <w:t>Journal of International Studies (2071-8330)</w:t>
      </w:r>
      <w:r w:rsidRPr="00E52B6B">
        <w:t>, vol. 17, no. 2, 2024, Accessed: Nov. 09, 2025. [Online]. Available: https://www.ceeol.com/search/article-detail?id=1273929</w:t>
      </w:r>
    </w:p>
    <w:p w14:paraId="2671FBA7" w14:textId="77777777" w:rsidR="00E52B6B" w:rsidRPr="00E52B6B" w:rsidRDefault="00E52B6B" w:rsidP="00E52B6B">
      <w:pPr>
        <w:pStyle w:val="ae"/>
        <w:rPr>
          <w:rFonts w:hint="eastAsia"/>
        </w:rPr>
      </w:pPr>
      <w:r w:rsidRPr="00E52B6B">
        <w:t>[19]</w:t>
      </w:r>
      <w:r w:rsidRPr="00E52B6B">
        <w:tab/>
        <w:t xml:space="preserve">N. Swamy, M. Hicks, S. Tse, and S. Zdancewic, ‘Managing policy updates in security-typed languages’, in </w:t>
      </w:r>
      <w:r w:rsidRPr="00E52B6B">
        <w:rPr>
          <w:i/>
          <w:iCs/>
        </w:rPr>
        <w:t>19th IEEE Computer Security Foundations Workshop (CSFW’06)</w:t>
      </w:r>
      <w:r w:rsidRPr="00E52B6B">
        <w:t>, IEEE, 2006, pp. 13-pp. Accessed: Nov. 09, 2025. [Online]. Available: https://ieeexplore.ieee.org/abstract/document/1648719/</w:t>
      </w:r>
    </w:p>
    <w:p w14:paraId="0E663E40" w14:textId="30D32CB4" w:rsidR="00C54C47" w:rsidRPr="00C54C47" w:rsidRDefault="00C54C47" w:rsidP="00C54C47">
      <w:pPr>
        <w:rPr>
          <w:rFonts w:hint="eastAsia"/>
        </w:rPr>
      </w:pPr>
      <w:r>
        <w:rPr>
          <w:rFonts w:hint="eastAsia"/>
        </w:rPr>
        <w:fldChar w:fldCharType="end"/>
      </w:r>
    </w:p>
    <w:sectPr w:rsidR="00C54C47" w:rsidRPr="00C54C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0C7BF5" w14:textId="77777777" w:rsidR="001460E4" w:rsidRDefault="001460E4" w:rsidP="00E52B6B">
      <w:pPr>
        <w:rPr>
          <w:rFonts w:hint="eastAsia"/>
        </w:rPr>
      </w:pPr>
      <w:r>
        <w:separator/>
      </w:r>
    </w:p>
  </w:endnote>
  <w:endnote w:type="continuationSeparator" w:id="0">
    <w:p w14:paraId="43030585" w14:textId="77777777" w:rsidR="001460E4" w:rsidRDefault="001460E4" w:rsidP="00E52B6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857D12" w14:textId="77777777" w:rsidR="001460E4" w:rsidRDefault="001460E4" w:rsidP="00E52B6B">
      <w:pPr>
        <w:rPr>
          <w:rFonts w:hint="eastAsia"/>
        </w:rPr>
      </w:pPr>
      <w:r>
        <w:separator/>
      </w:r>
    </w:p>
  </w:footnote>
  <w:footnote w:type="continuationSeparator" w:id="0">
    <w:p w14:paraId="6E5F135F" w14:textId="77777777" w:rsidR="001460E4" w:rsidRDefault="001460E4" w:rsidP="00E52B6B">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523BF"/>
    <w:multiLevelType w:val="hybridMultilevel"/>
    <w:tmpl w:val="0D3AD22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2643C7A"/>
    <w:multiLevelType w:val="hybridMultilevel"/>
    <w:tmpl w:val="AFD4D5C8"/>
    <w:lvl w:ilvl="0" w:tplc="04090019">
      <w:start w:val="1"/>
      <w:numFmt w:val="lowerLetter"/>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2" w15:restartNumberingAfterBreak="0">
    <w:nsid w:val="15516B95"/>
    <w:multiLevelType w:val="hybridMultilevel"/>
    <w:tmpl w:val="21CCFED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24092340"/>
    <w:multiLevelType w:val="hybridMultilevel"/>
    <w:tmpl w:val="3356E74C"/>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BF80710"/>
    <w:multiLevelType w:val="hybridMultilevel"/>
    <w:tmpl w:val="3C82BF8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DFB43E2"/>
    <w:multiLevelType w:val="hybridMultilevel"/>
    <w:tmpl w:val="1174DD3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EB8015C"/>
    <w:multiLevelType w:val="hybridMultilevel"/>
    <w:tmpl w:val="CF6AB344"/>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7" w15:restartNumberingAfterBreak="0">
    <w:nsid w:val="31E6064F"/>
    <w:multiLevelType w:val="hybridMultilevel"/>
    <w:tmpl w:val="8DBE3052"/>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5F65846"/>
    <w:multiLevelType w:val="hybridMultilevel"/>
    <w:tmpl w:val="7EE2093A"/>
    <w:lvl w:ilvl="0" w:tplc="FFFFFFF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372B1EAB"/>
    <w:multiLevelType w:val="multilevel"/>
    <w:tmpl w:val="0AF0E106"/>
    <w:lvl w:ilvl="0">
      <w:start w:val="1"/>
      <w:numFmt w:val="decimal"/>
      <w:lvlText w:val="%1."/>
      <w:lvlJc w:val="left"/>
      <w:pPr>
        <w:ind w:left="440" w:hanging="440"/>
      </w:pPr>
    </w:lvl>
    <w:lvl w:ilvl="1">
      <w:start w:val="6"/>
      <w:numFmt w:val="decimal"/>
      <w:isLgl/>
      <w:lvlText w:val="%1.%2"/>
      <w:lvlJc w:val="left"/>
      <w:pPr>
        <w:ind w:left="608" w:hanging="60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3EFE4A76"/>
    <w:multiLevelType w:val="hybridMultilevel"/>
    <w:tmpl w:val="C2D28C38"/>
    <w:lvl w:ilvl="0" w:tplc="04090019">
      <w:start w:val="1"/>
      <w:numFmt w:val="lowerLetter"/>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11" w15:restartNumberingAfterBreak="0">
    <w:nsid w:val="629B3299"/>
    <w:multiLevelType w:val="hybridMultilevel"/>
    <w:tmpl w:val="E6CA63DC"/>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2" w15:restartNumberingAfterBreak="0">
    <w:nsid w:val="63FF7501"/>
    <w:multiLevelType w:val="hybridMultilevel"/>
    <w:tmpl w:val="90D8108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1581343"/>
    <w:multiLevelType w:val="hybridMultilevel"/>
    <w:tmpl w:val="9EA8FEFC"/>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4" w15:restartNumberingAfterBreak="0">
    <w:nsid w:val="742C7C48"/>
    <w:multiLevelType w:val="hybridMultilevel"/>
    <w:tmpl w:val="36BE84C6"/>
    <w:lvl w:ilvl="0" w:tplc="FFFFFFF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7463470D"/>
    <w:multiLevelType w:val="multilevel"/>
    <w:tmpl w:val="0B14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A8712B"/>
    <w:multiLevelType w:val="hybridMultilevel"/>
    <w:tmpl w:val="39608302"/>
    <w:lvl w:ilvl="0" w:tplc="FFFFFFFF">
      <w:start w:val="1"/>
      <w:numFmt w:val="decimal"/>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17" w15:restartNumberingAfterBreak="0">
    <w:nsid w:val="7E583923"/>
    <w:multiLevelType w:val="hybridMultilevel"/>
    <w:tmpl w:val="7A186872"/>
    <w:lvl w:ilvl="0" w:tplc="04090019">
      <w:start w:val="1"/>
      <w:numFmt w:val="lowerLetter"/>
      <w:lvlText w:val="%1)"/>
      <w:lvlJc w:val="left"/>
      <w:pPr>
        <w:ind w:left="880" w:hanging="440"/>
      </w:pPr>
    </w:lvl>
    <w:lvl w:ilvl="1" w:tplc="04090019" w:tentative="1">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18" w15:restartNumberingAfterBreak="0">
    <w:nsid w:val="7FEA19B7"/>
    <w:multiLevelType w:val="multilevel"/>
    <w:tmpl w:val="7398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092677">
    <w:abstractNumId w:val="0"/>
  </w:num>
  <w:num w:numId="2" w16cid:durableId="857700621">
    <w:abstractNumId w:val="5"/>
  </w:num>
  <w:num w:numId="3" w16cid:durableId="118185650">
    <w:abstractNumId w:val="4"/>
  </w:num>
  <w:num w:numId="4" w16cid:durableId="676663787">
    <w:abstractNumId w:val="2"/>
  </w:num>
  <w:num w:numId="5" w16cid:durableId="653488327">
    <w:abstractNumId w:val="12"/>
  </w:num>
  <w:num w:numId="6" w16cid:durableId="1769689016">
    <w:abstractNumId w:val="1"/>
  </w:num>
  <w:num w:numId="7" w16cid:durableId="912349004">
    <w:abstractNumId w:val="10"/>
  </w:num>
  <w:num w:numId="8" w16cid:durableId="83765815">
    <w:abstractNumId w:val="7"/>
  </w:num>
  <w:num w:numId="9" w16cid:durableId="1141115026">
    <w:abstractNumId w:val="11"/>
  </w:num>
  <w:num w:numId="10" w16cid:durableId="1260335317">
    <w:abstractNumId w:val="9"/>
  </w:num>
  <w:num w:numId="11" w16cid:durableId="1882284965">
    <w:abstractNumId w:val="14"/>
  </w:num>
  <w:num w:numId="12" w16cid:durableId="535848663">
    <w:abstractNumId w:val="18"/>
  </w:num>
  <w:num w:numId="13" w16cid:durableId="767383829">
    <w:abstractNumId w:val="8"/>
  </w:num>
  <w:num w:numId="14" w16cid:durableId="635986042">
    <w:abstractNumId w:val="17"/>
  </w:num>
  <w:num w:numId="15" w16cid:durableId="1744795012">
    <w:abstractNumId w:val="3"/>
  </w:num>
  <w:num w:numId="16" w16cid:durableId="1442064843">
    <w:abstractNumId w:val="6"/>
  </w:num>
  <w:num w:numId="17" w16cid:durableId="1622106025">
    <w:abstractNumId w:val="16"/>
  </w:num>
  <w:num w:numId="18" w16cid:durableId="697662110">
    <w:abstractNumId w:val="15"/>
  </w:num>
  <w:num w:numId="19" w16cid:durableId="5141484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5AD"/>
    <w:rsid w:val="00112011"/>
    <w:rsid w:val="001460E4"/>
    <w:rsid w:val="0028330E"/>
    <w:rsid w:val="002A4B33"/>
    <w:rsid w:val="002E23BE"/>
    <w:rsid w:val="00416E8C"/>
    <w:rsid w:val="00457BD9"/>
    <w:rsid w:val="004B202C"/>
    <w:rsid w:val="005975AD"/>
    <w:rsid w:val="005C7A56"/>
    <w:rsid w:val="008A4C1F"/>
    <w:rsid w:val="009D7217"/>
    <w:rsid w:val="00AE3590"/>
    <w:rsid w:val="00BC5131"/>
    <w:rsid w:val="00C361ED"/>
    <w:rsid w:val="00C41D1F"/>
    <w:rsid w:val="00C54C47"/>
    <w:rsid w:val="00CC5023"/>
    <w:rsid w:val="00CD36FA"/>
    <w:rsid w:val="00DF58A6"/>
    <w:rsid w:val="00E52B6B"/>
    <w:rsid w:val="00F56E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C9C5D"/>
  <w15:chartTrackingRefBased/>
  <w15:docId w15:val="{27A5A694-18B6-43BD-BC00-FD50E496A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975AD"/>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5975AD"/>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5975AD"/>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5975AD"/>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5975AD"/>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5975AD"/>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5975AD"/>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975AD"/>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975AD"/>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975AD"/>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5975AD"/>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5975AD"/>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5975AD"/>
    <w:rPr>
      <w:rFonts w:cstheme="majorBidi"/>
      <w:color w:val="2F5496" w:themeColor="accent1" w:themeShade="BF"/>
      <w:sz w:val="28"/>
      <w:szCs w:val="28"/>
    </w:rPr>
  </w:style>
  <w:style w:type="character" w:customStyle="1" w:styleId="50">
    <w:name w:val="标题 5 字符"/>
    <w:basedOn w:val="a0"/>
    <w:link w:val="5"/>
    <w:uiPriority w:val="9"/>
    <w:semiHidden/>
    <w:rsid w:val="005975AD"/>
    <w:rPr>
      <w:rFonts w:cstheme="majorBidi"/>
      <w:color w:val="2F5496" w:themeColor="accent1" w:themeShade="BF"/>
      <w:sz w:val="24"/>
      <w:szCs w:val="24"/>
    </w:rPr>
  </w:style>
  <w:style w:type="character" w:customStyle="1" w:styleId="60">
    <w:name w:val="标题 6 字符"/>
    <w:basedOn w:val="a0"/>
    <w:link w:val="6"/>
    <w:uiPriority w:val="9"/>
    <w:semiHidden/>
    <w:rsid w:val="005975AD"/>
    <w:rPr>
      <w:rFonts w:cstheme="majorBidi"/>
      <w:b/>
      <w:bCs/>
      <w:color w:val="2F5496" w:themeColor="accent1" w:themeShade="BF"/>
    </w:rPr>
  </w:style>
  <w:style w:type="character" w:customStyle="1" w:styleId="70">
    <w:name w:val="标题 7 字符"/>
    <w:basedOn w:val="a0"/>
    <w:link w:val="7"/>
    <w:uiPriority w:val="9"/>
    <w:semiHidden/>
    <w:rsid w:val="005975AD"/>
    <w:rPr>
      <w:rFonts w:cstheme="majorBidi"/>
      <w:b/>
      <w:bCs/>
      <w:color w:val="595959" w:themeColor="text1" w:themeTint="A6"/>
    </w:rPr>
  </w:style>
  <w:style w:type="character" w:customStyle="1" w:styleId="80">
    <w:name w:val="标题 8 字符"/>
    <w:basedOn w:val="a0"/>
    <w:link w:val="8"/>
    <w:uiPriority w:val="9"/>
    <w:semiHidden/>
    <w:rsid w:val="005975AD"/>
    <w:rPr>
      <w:rFonts w:cstheme="majorBidi"/>
      <w:color w:val="595959" w:themeColor="text1" w:themeTint="A6"/>
    </w:rPr>
  </w:style>
  <w:style w:type="character" w:customStyle="1" w:styleId="90">
    <w:name w:val="标题 9 字符"/>
    <w:basedOn w:val="a0"/>
    <w:link w:val="9"/>
    <w:uiPriority w:val="9"/>
    <w:semiHidden/>
    <w:rsid w:val="005975AD"/>
    <w:rPr>
      <w:rFonts w:eastAsiaTheme="majorEastAsia" w:cstheme="majorBidi"/>
      <w:color w:val="595959" w:themeColor="text1" w:themeTint="A6"/>
    </w:rPr>
  </w:style>
  <w:style w:type="paragraph" w:styleId="a3">
    <w:name w:val="Title"/>
    <w:basedOn w:val="a"/>
    <w:next w:val="a"/>
    <w:link w:val="a4"/>
    <w:uiPriority w:val="10"/>
    <w:qFormat/>
    <w:rsid w:val="005975AD"/>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975A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975AD"/>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975A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975AD"/>
    <w:pPr>
      <w:spacing w:before="160" w:after="160"/>
      <w:jc w:val="center"/>
    </w:pPr>
    <w:rPr>
      <w:i/>
      <w:iCs/>
      <w:color w:val="404040" w:themeColor="text1" w:themeTint="BF"/>
    </w:rPr>
  </w:style>
  <w:style w:type="character" w:customStyle="1" w:styleId="a8">
    <w:name w:val="引用 字符"/>
    <w:basedOn w:val="a0"/>
    <w:link w:val="a7"/>
    <w:uiPriority w:val="29"/>
    <w:rsid w:val="005975AD"/>
    <w:rPr>
      <w:i/>
      <w:iCs/>
      <w:color w:val="404040" w:themeColor="text1" w:themeTint="BF"/>
    </w:rPr>
  </w:style>
  <w:style w:type="paragraph" w:styleId="a9">
    <w:name w:val="List Paragraph"/>
    <w:basedOn w:val="a"/>
    <w:uiPriority w:val="34"/>
    <w:qFormat/>
    <w:rsid w:val="005975AD"/>
    <w:pPr>
      <w:ind w:left="720"/>
      <w:contextualSpacing/>
    </w:pPr>
  </w:style>
  <w:style w:type="character" w:styleId="aa">
    <w:name w:val="Intense Emphasis"/>
    <w:basedOn w:val="a0"/>
    <w:uiPriority w:val="21"/>
    <w:qFormat/>
    <w:rsid w:val="005975AD"/>
    <w:rPr>
      <w:i/>
      <w:iCs/>
      <w:color w:val="2F5496" w:themeColor="accent1" w:themeShade="BF"/>
    </w:rPr>
  </w:style>
  <w:style w:type="paragraph" w:styleId="ab">
    <w:name w:val="Intense Quote"/>
    <w:basedOn w:val="a"/>
    <w:next w:val="a"/>
    <w:link w:val="ac"/>
    <w:uiPriority w:val="30"/>
    <w:qFormat/>
    <w:rsid w:val="005975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5975AD"/>
    <w:rPr>
      <w:i/>
      <w:iCs/>
      <w:color w:val="2F5496" w:themeColor="accent1" w:themeShade="BF"/>
    </w:rPr>
  </w:style>
  <w:style w:type="character" w:styleId="ad">
    <w:name w:val="Intense Reference"/>
    <w:basedOn w:val="a0"/>
    <w:uiPriority w:val="32"/>
    <w:qFormat/>
    <w:rsid w:val="005975AD"/>
    <w:rPr>
      <w:b/>
      <w:bCs/>
      <w:smallCaps/>
      <w:color w:val="2F5496" w:themeColor="accent1" w:themeShade="BF"/>
      <w:spacing w:val="5"/>
    </w:rPr>
  </w:style>
  <w:style w:type="paragraph" w:styleId="ae">
    <w:name w:val="Bibliography"/>
    <w:basedOn w:val="a"/>
    <w:next w:val="a"/>
    <w:uiPriority w:val="37"/>
    <w:unhideWhenUsed/>
    <w:rsid w:val="00C54C47"/>
    <w:pPr>
      <w:tabs>
        <w:tab w:val="left" w:pos="384"/>
      </w:tabs>
      <w:ind w:left="384" w:hanging="384"/>
    </w:pPr>
  </w:style>
  <w:style w:type="table" w:styleId="af">
    <w:name w:val="Table Grid"/>
    <w:basedOn w:val="a1"/>
    <w:uiPriority w:val="39"/>
    <w:rsid w:val="00C54C4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rget">
    <w:name w:val="target"/>
    <w:basedOn w:val="a"/>
    <w:rsid w:val="00C41D1F"/>
    <w:pPr>
      <w:widowControl/>
      <w:spacing w:before="100" w:beforeAutospacing="1" w:after="100" w:afterAutospacing="1"/>
      <w:jc w:val="left"/>
    </w:pPr>
    <w:rPr>
      <w:rFonts w:ascii="宋体" w:eastAsia="宋体" w:hAnsi="宋体" w:cs="宋体"/>
      <w:kern w:val="0"/>
      <w:sz w:val="24"/>
      <w:szCs w:val="24"/>
    </w:rPr>
  </w:style>
  <w:style w:type="paragraph" w:styleId="af0">
    <w:name w:val="header"/>
    <w:basedOn w:val="a"/>
    <w:link w:val="af1"/>
    <w:uiPriority w:val="99"/>
    <w:unhideWhenUsed/>
    <w:rsid w:val="00E52B6B"/>
    <w:pPr>
      <w:tabs>
        <w:tab w:val="center" w:pos="4153"/>
        <w:tab w:val="right" w:pos="8306"/>
      </w:tabs>
      <w:snapToGrid w:val="0"/>
      <w:jc w:val="center"/>
    </w:pPr>
    <w:rPr>
      <w:sz w:val="18"/>
      <w:szCs w:val="18"/>
    </w:rPr>
  </w:style>
  <w:style w:type="character" w:customStyle="1" w:styleId="af1">
    <w:name w:val="页眉 字符"/>
    <w:basedOn w:val="a0"/>
    <w:link w:val="af0"/>
    <w:uiPriority w:val="99"/>
    <w:rsid w:val="00E52B6B"/>
    <w:rPr>
      <w:sz w:val="18"/>
      <w:szCs w:val="18"/>
    </w:rPr>
  </w:style>
  <w:style w:type="paragraph" w:styleId="af2">
    <w:name w:val="footer"/>
    <w:basedOn w:val="a"/>
    <w:link w:val="af3"/>
    <w:uiPriority w:val="99"/>
    <w:unhideWhenUsed/>
    <w:rsid w:val="00E52B6B"/>
    <w:pPr>
      <w:tabs>
        <w:tab w:val="center" w:pos="4153"/>
        <w:tab w:val="right" w:pos="8306"/>
      </w:tabs>
      <w:snapToGrid w:val="0"/>
      <w:jc w:val="left"/>
    </w:pPr>
    <w:rPr>
      <w:sz w:val="18"/>
      <w:szCs w:val="18"/>
    </w:rPr>
  </w:style>
  <w:style w:type="character" w:customStyle="1" w:styleId="af3">
    <w:name w:val="页脚 字符"/>
    <w:basedOn w:val="a0"/>
    <w:link w:val="af2"/>
    <w:uiPriority w:val="99"/>
    <w:rsid w:val="00E52B6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CA8FF-259F-4CC3-93FE-CBF7C684D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14</Pages>
  <Words>6660</Words>
  <Characters>37963</Characters>
  <Application>Microsoft Office Word</Application>
  <DocSecurity>0</DocSecurity>
  <Lines>316</Lines>
  <Paragraphs>89</Paragraphs>
  <ScaleCrop>false</ScaleCrop>
  <Company/>
  <LinksUpToDate>false</LinksUpToDate>
  <CharactersWithSpaces>44534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 rui</dc:creator>
  <cp:keywords/>
  <dc:description/>
  <cp:lastModifiedBy>guan rui</cp:lastModifiedBy>
  <cp:revision>4</cp:revision>
  <dcterms:created xsi:type="dcterms:W3CDTF">2025-11-09T16:55:00Z</dcterms:created>
  <dcterms:modified xsi:type="dcterms:W3CDTF">2025-11-12T15:50:00Z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id="M1Ef58q5"/&gt;&lt;style id="http://www.zotero.org/styles/ieee" locale="en-GB" hasBibliography="1" bibliographyStyleHasBeenSet="1"/&gt;&lt;prefs&gt;&lt;pref name="fieldType" value="Field"/&gt;&lt;/prefs&gt;&lt;/data&gt;</vt:lpwstr>
  </property>
</Properties>
</file>