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292BF2" w14:textId="0E5DA211" w:rsidR="00203E95" w:rsidRPr="00203E95" w:rsidRDefault="00266EFC" w:rsidP="001D0D8A">
      <w:pPr>
        <w:spacing w:line="480" w:lineRule="auto"/>
        <w:jc w:val="center"/>
        <w:rPr>
          <w:rFonts w:ascii="Times New Roman" w:hAnsi="Times New Roman" w:cs="Times New Roman"/>
        </w:rPr>
      </w:pPr>
      <w:r w:rsidRPr="00203E95">
        <w:rPr>
          <w:rFonts w:ascii="Times New Roman" w:hAnsi="Times New Roman" w:cs="Times New Roman"/>
        </w:rPr>
        <w:t xml:space="preserve">Can the concept of the ‘Polis Religion’ be applied to all religions in the Roman empire </w:t>
      </w:r>
      <w:r w:rsidR="00F754D6">
        <w:rPr>
          <w:rFonts w:ascii="Times New Roman" w:hAnsi="Times New Roman" w:cs="Times New Roman"/>
        </w:rPr>
        <w:t xml:space="preserve">ranging </w:t>
      </w:r>
      <w:r w:rsidR="001D0D8A">
        <w:rPr>
          <w:rFonts w:ascii="Times New Roman" w:hAnsi="Times New Roman" w:cs="Times New Roman"/>
        </w:rPr>
        <w:br/>
        <w:t xml:space="preserve">from </w:t>
      </w:r>
      <w:r w:rsidR="001D0D8A" w:rsidRPr="00203E95">
        <w:rPr>
          <w:rFonts w:ascii="Times New Roman" w:hAnsi="Times New Roman" w:cs="Times New Roman"/>
        </w:rPr>
        <w:t>the</w:t>
      </w:r>
      <w:r w:rsidRPr="00203E95">
        <w:rPr>
          <w:rFonts w:ascii="Times New Roman" w:hAnsi="Times New Roman" w:cs="Times New Roman"/>
        </w:rPr>
        <w:t xml:space="preserve"> 1</w:t>
      </w:r>
      <w:r w:rsidR="00F754D6" w:rsidRPr="00F754D6">
        <w:rPr>
          <w:rFonts w:ascii="Times New Roman" w:hAnsi="Times New Roman" w:cs="Times New Roman"/>
          <w:vertAlign w:val="superscript"/>
        </w:rPr>
        <w:t>st</w:t>
      </w:r>
      <w:r w:rsidR="00F754D6">
        <w:rPr>
          <w:rFonts w:ascii="Times New Roman" w:hAnsi="Times New Roman" w:cs="Times New Roman"/>
        </w:rPr>
        <w:t xml:space="preserve"> to the </w:t>
      </w:r>
      <w:r w:rsidRPr="00203E95">
        <w:rPr>
          <w:rFonts w:ascii="Times New Roman" w:hAnsi="Times New Roman" w:cs="Times New Roman"/>
        </w:rPr>
        <w:t>3rd century AD</w:t>
      </w:r>
      <w:r w:rsidR="009E358D" w:rsidRPr="00203E95">
        <w:rPr>
          <w:rFonts w:ascii="Times New Roman" w:hAnsi="Times New Roman" w:cs="Times New Roman"/>
        </w:rPr>
        <w:t>, and</w:t>
      </w:r>
      <w:r w:rsidRPr="00203E95">
        <w:rPr>
          <w:rFonts w:ascii="Times New Roman" w:hAnsi="Times New Roman" w:cs="Times New Roman"/>
        </w:rPr>
        <w:t xml:space="preserve"> </w:t>
      </w:r>
      <w:r w:rsidR="009E358D" w:rsidRPr="00203E95">
        <w:rPr>
          <w:rFonts w:ascii="Times New Roman" w:hAnsi="Times New Roman" w:cs="Times New Roman"/>
        </w:rPr>
        <w:t>c</w:t>
      </w:r>
      <w:r w:rsidRPr="00203E95">
        <w:rPr>
          <w:rFonts w:ascii="Times New Roman" w:hAnsi="Times New Roman" w:cs="Times New Roman"/>
        </w:rPr>
        <w:t>an we generalise for the whole Roman empire?</w:t>
      </w:r>
      <w:r w:rsidR="00DC5812">
        <w:rPr>
          <w:rFonts w:ascii="Times New Roman" w:hAnsi="Times New Roman" w:cs="Times New Roman"/>
        </w:rPr>
        <w:br/>
      </w:r>
    </w:p>
    <w:p w14:paraId="3CBD6E27" w14:textId="02A4FEE6" w:rsidR="004E4D7F" w:rsidRPr="00203E95" w:rsidRDefault="003D669F" w:rsidP="00203E95">
      <w:pPr>
        <w:spacing w:line="480" w:lineRule="auto"/>
        <w:rPr>
          <w:rFonts w:ascii="Times New Roman" w:hAnsi="Times New Roman" w:cs="Times New Roman"/>
        </w:rPr>
      </w:pPr>
      <w:r w:rsidRPr="00203E95">
        <w:rPr>
          <w:rFonts w:ascii="Times New Roman" w:hAnsi="Times New Roman" w:cs="Times New Roman"/>
        </w:rPr>
        <w:t>The conceptual idea of the polis religion is both fundamental to our understanding of how individuals function within the state</w:t>
      </w:r>
      <w:r w:rsidR="005C2E71" w:rsidRPr="00203E95">
        <w:rPr>
          <w:rFonts w:ascii="Times New Roman" w:hAnsi="Times New Roman" w:cs="Times New Roman"/>
        </w:rPr>
        <w:t xml:space="preserve"> from a religious context</w:t>
      </w:r>
      <w:r w:rsidRPr="00203E95">
        <w:rPr>
          <w:rFonts w:ascii="Times New Roman" w:hAnsi="Times New Roman" w:cs="Times New Roman"/>
        </w:rPr>
        <w:t>, but at the same time inversely contradictory and unhelpful in analysing displays of religious expression in and around the Roman empire, in both official and unofficial capacities.</w:t>
      </w:r>
      <w:r w:rsidR="00411BB5" w:rsidRPr="00203E95">
        <w:rPr>
          <w:rStyle w:val="FootnoteReference"/>
          <w:rFonts w:ascii="Times New Roman" w:hAnsi="Times New Roman" w:cs="Times New Roman"/>
        </w:rPr>
        <w:footnoteReference w:id="1"/>
      </w:r>
      <w:r w:rsidRPr="00203E95">
        <w:rPr>
          <w:rFonts w:ascii="Times New Roman" w:hAnsi="Times New Roman" w:cs="Times New Roman"/>
        </w:rPr>
        <w:t xml:space="preserve"> </w:t>
      </w:r>
      <w:r w:rsidR="007D6031" w:rsidRPr="00203E95">
        <w:rPr>
          <w:rFonts w:ascii="Times New Roman" w:hAnsi="Times New Roman" w:cs="Times New Roman"/>
        </w:rPr>
        <w:t xml:space="preserve">Before we may criticise or support the concept however, we should give sufficient definition to the phrase </w:t>
      </w:r>
      <w:r w:rsidR="004E4D7F" w:rsidRPr="00203E95">
        <w:rPr>
          <w:rFonts w:ascii="Times New Roman" w:hAnsi="Times New Roman" w:cs="Times New Roman"/>
        </w:rPr>
        <w:t xml:space="preserve">‘Polis Religion’, as </w:t>
      </w:r>
      <w:proofErr w:type="spellStart"/>
      <w:r w:rsidR="004E4D7F" w:rsidRPr="00203E95">
        <w:rPr>
          <w:rFonts w:ascii="Times New Roman" w:hAnsi="Times New Roman" w:cs="Times New Roman"/>
        </w:rPr>
        <w:t>Kindt</w:t>
      </w:r>
      <w:proofErr w:type="spellEnd"/>
      <w:r w:rsidR="004E4D7F" w:rsidRPr="00203E95">
        <w:rPr>
          <w:rFonts w:ascii="Times New Roman" w:hAnsi="Times New Roman" w:cs="Times New Roman"/>
        </w:rPr>
        <w:t xml:space="preserve"> defines it as</w:t>
      </w:r>
      <w:r w:rsidR="00203E95">
        <w:rPr>
          <w:rFonts w:ascii="Times New Roman" w:hAnsi="Times New Roman" w:cs="Times New Roman"/>
        </w:rPr>
        <w:t>:</w:t>
      </w:r>
      <w:r w:rsidR="004E4D7F" w:rsidRPr="00203E95">
        <w:rPr>
          <w:rFonts w:ascii="Times New Roman" w:hAnsi="Times New Roman" w:cs="Times New Roman"/>
        </w:rPr>
        <w:t xml:space="preserve"> </w:t>
      </w:r>
    </w:p>
    <w:p w14:paraId="3DCD020B" w14:textId="63F58EB3" w:rsidR="004E4D7F" w:rsidRPr="00203E95" w:rsidRDefault="004E4D7F" w:rsidP="00203E95">
      <w:pPr>
        <w:spacing w:line="480" w:lineRule="auto"/>
        <w:ind w:left="1134" w:right="1134"/>
        <w:rPr>
          <w:rFonts w:ascii="Times New Roman" w:hAnsi="Times New Roman" w:cs="Times New Roman"/>
        </w:rPr>
      </w:pPr>
      <w:r w:rsidRPr="00203E95">
        <w:rPr>
          <w:rFonts w:ascii="Times New Roman" w:hAnsi="Times New Roman" w:cs="Times New Roman"/>
        </w:rPr>
        <w:t>“the ‘embeddedness’ of Greek religion in the polis as the basic unit of Greek social and political life”</w:t>
      </w:r>
      <w:r w:rsidR="00411BB5" w:rsidRPr="00203E95">
        <w:rPr>
          <w:rStyle w:val="FootnoteReference"/>
          <w:rFonts w:ascii="Times New Roman" w:hAnsi="Times New Roman" w:cs="Times New Roman"/>
        </w:rPr>
        <w:footnoteReference w:id="2"/>
      </w:r>
      <w:r w:rsidRPr="00203E95">
        <w:rPr>
          <w:rFonts w:ascii="Times New Roman" w:hAnsi="Times New Roman" w:cs="Times New Roman"/>
        </w:rPr>
        <w:t xml:space="preserve"> </w:t>
      </w:r>
    </w:p>
    <w:p w14:paraId="07B77D1E" w14:textId="2C0CDE5A" w:rsidR="00F70D69" w:rsidRPr="00203E95" w:rsidRDefault="009E358D" w:rsidP="00203E95">
      <w:pPr>
        <w:spacing w:line="480" w:lineRule="auto"/>
        <w:rPr>
          <w:rFonts w:ascii="Times New Roman" w:hAnsi="Times New Roman" w:cs="Times New Roman"/>
        </w:rPr>
      </w:pPr>
      <w:r w:rsidRPr="00203E95">
        <w:rPr>
          <w:rFonts w:ascii="Times New Roman" w:hAnsi="Times New Roman" w:cs="Times New Roman"/>
        </w:rPr>
        <w:t xml:space="preserve">However, the term has been extended to refer to Religious-politic systems that are not encapsulated by the insula bubble of Greek polis-life. </w:t>
      </w:r>
      <w:r w:rsidR="00FC2063" w:rsidRPr="00203E95">
        <w:rPr>
          <w:rFonts w:ascii="Times New Roman" w:hAnsi="Times New Roman" w:cs="Times New Roman"/>
        </w:rPr>
        <w:t>The largest criticism that can be levelled at the concept of the ‘Polis Religion’</w:t>
      </w:r>
      <w:r w:rsidRPr="00203E95">
        <w:rPr>
          <w:rFonts w:ascii="Times New Roman" w:hAnsi="Times New Roman" w:cs="Times New Roman"/>
        </w:rPr>
        <w:t xml:space="preserve"> then</w:t>
      </w:r>
      <w:r w:rsidR="00FC2063" w:rsidRPr="00203E95">
        <w:rPr>
          <w:rFonts w:ascii="Times New Roman" w:hAnsi="Times New Roman" w:cs="Times New Roman"/>
        </w:rPr>
        <w:t>,</w:t>
      </w:r>
      <w:r w:rsidRPr="00203E95">
        <w:rPr>
          <w:rFonts w:ascii="Times New Roman" w:hAnsi="Times New Roman" w:cs="Times New Roman"/>
        </w:rPr>
        <w:t xml:space="preserve"> is</w:t>
      </w:r>
      <w:r w:rsidR="00FC2063" w:rsidRPr="00203E95">
        <w:rPr>
          <w:rFonts w:ascii="Times New Roman" w:hAnsi="Times New Roman" w:cs="Times New Roman"/>
        </w:rPr>
        <w:t xml:space="preserve"> at least </w:t>
      </w:r>
      <w:proofErr w:type="gramStart"/>
      <w:r w:rsidR="003D669F" w:rsidRPr="00203E95">
        <w:rPr>
          <w:rFonts w:ascii="Times New Roman" w:hAnsi="Times New Roman" w:cs="Times New Roman"/>
        </w:rPr>
        <w:t>in regard to</w:t>
      </w:r>
      <w:proofErr w:type="gramEnd"/>
      <w:r w:rsidR="00FC2063" w:rsidRPr="00203E95">
        <w:rPr>
          <w:rFonts w:ascii="Times New Roman" w:hAnsi="Times New Roman" w:cs="Times New Roman"/>
        </w:rPr>
        <w:t xml:space="preserve"> periods </w:t>
      </w:r>
      <w:r w:rsidR="00F07F5D" w:rsidRPr="00203E95">
        <w:rPr>
          <w:rFonts w:ascii="Times New Roman" w:hAnsi="Times New Roman" w:cs="Times New Roman"/>
        </w:rPr>
        <w:t>dominated</w:t>
      </w:r>
      <w:r w:rsidR="00FC2063" w:rsidRPr="00203E95">
        <w:rPr>
          <w:rFonts w:ascii="Times New Roman" w:hAnsi="Times New Roman" w:cs="Times New Roman"/>
        </w:rPr>
        <w:t xml:space="preserve"> by the Roman Empire</w:t>
      </w:r>
      <w:r w:rsidRPr="00203E95">
        <w:rPr>
          <w:rFonts w:ascii="Times New Roman" w:hAnsi="Times New Roman" w:cs="Times New Roman"/>
        </w:rPr>
        <w:t xml:space="preserve">, </w:t>
      </w:r>
      <w:r w:rsidR="00FC2063" w:rsidRPr="00203E95">
        <w:rPr>
          <w:rFonts w:ascii="Times New Roman" w:hAnsi="Times New Roman" w:cs="Times New Roman"/>
        </w:rPr>
        <w:t xml:space="preserve">perhaps that the conception of the polis as the greatest socio-economic structure that humans could achieve </w:t>
      </w:r>
      <w:r w:rsidR="003D669F" w:rsidRPr="00203E95">
        <w:rPr>
          <w:rFonts w:ascii="Times New Roman" w:hAnsi="Times New Roman" w:cs="Times New Roman"/>
        </w:rPr>
        <w:t>was</w:t>
      </w:r>
      <w:r w:rsidR="00FC2063" w:rsidRPr="00203E95">
        <w:rPr>
          <w:rFonts w:ascii="Times New Roman" w:hAnsi="Times New Roman" w:cs="Times New Roman"/>
        </w:rPr>
        <w:t xml:space="preserve"> no longer as valid as it once was. To a Greek audience up until the mid-point of the 2</w:t>
      </w:r>
      <w:r w:rsidR="00FC2063" w:rsidRPr="00203E95">
        <w:rPr>
          <w:rFonts w:ascii="Times New Roman" w:hAnsi="Times New Roman" w:cs="Times New Roman"/>
          <w:vertAlign w:val="superscript"/>
        </w:rPr>
        <w:t>nd</w:t>
      </w:r>
      <w:r w:rsidR="00FC2063" w:rsidRPr="00203E95">
        <w:rPr>
          <w:rFonts w:ascii="Times New Roman" w:hAnsi="Times New Roman" w:cs="Times New Roman"/>
        </w:rPr>
        <w:t xml:space="preserve"> century BCE, the very substructures of the polis were predicated on their independence and individuality and viewed as an insular space looking out at what was essentially a continent in the semi-permanent state of total war.</w:t>
      </w:r>
      <w:r w:rsidR="00277A7D" w:rsidRPr="00203E95">
        <w:rPr>
          <w:rStyle w:val="FootnoteReference"/>
          <w:rFonts w:ascii="Times New Roman" w:hAnsi="Times New Roman" w:cs="Times New Roman"/>
        </w:rPr>
        <w:footnoteReference w:id="3"/>
      </w:r>
      <w:r w:rsidR="00FC2063" w:rsidRPr="00203E95">
        <w:rPr>
          <w:rFonts w:ascii="Times New Roman" w:hAnsi="Times New Roman" w:cs="Times New Roman"/>
        </w:rPr>
        <w:t xml:space="preserve"> </w:t>
      </w:r>
      <w:r w:rsidR="00277A7D" w:rsidRPr="00203E95">
        <w:rPr>
          <w:rFonts w:ascii="Times New Roman" w:hAnsi="Times New Roman" w:cs="Times New Roman"/>
        </w:rPr>
        <w:t xml:space="preserve">Consequently, one could expect a certain degree of religious distinctiveness and individuality </w:t>
      </w:r>
      <w:r w:rsidR="00F70D69" w:rsidRPr="00203E95">
        <w:rPr>
          <w:rFonts w:ascii="Times New Roman" w:hAnsi="Times New Roman" w:cs="Times New Roman"/>
        </w:rPr>
        <w:t>in regard to</w:t>
      </w:r>
      <w:r w:rsidR="00277A7D" w:rsidRPr="00203E95">
        <w:rPr>
          <w:rFonts w:ascii="Times New Roman" w:hAnsi="Times New Roman" w:cs="Times New Roman"/>
        </w:rPr>
        <w:t xml:space="preserve"> religious festivals, local deities, and law</w:t>
      </w:r>
      <w:r w:rsidR="00F70D69" w:rsidRPr="00203E95">
        <w:rPr>
          <w:rFonts w:ascii="Times New Roman" w:hAnsi="Times New Roman" w:cs="Times New Roman"/>
        </w:rPr>
        <w:t xml:space="preserve"> which only complicates matter</w:t>
      </w:r>
      <w:r w:rsidR="005C2E71" w:rsidRPr="00203E95">
        <w:rPr>
          <w:rFonts w:ascii="Times New Roman" w:hAnsi="Times New Roman" w:cs="Times New Roman"/>
        </w:rPr>
        <w:t>s</w:t>
      </w:r>
      <w:r w:rsidR="00F70D69" w:rsidRPr="00203E95">
        <w:rPr>
          <w:rFonts w:ascii="Times New Roman" w:hAnsi="Times New Roman" w:cs="Times New Roman"/>
        </w:rPr>
        <w:t xml:space="preserve"> further</w:t>
      </w:r>
      <w:r w:rsidR="005C2E71" w:rsidRPr="00203E95">
        <w:rPr>
          <w:rFonts w:ascii="Times New Roman" w:hAnsi="Times New Roman" w:cs="Times New Roman"/>
        </w:rPr>
        <w:t>, at least in regards</w:t>
      </w:r>
      <w:r w:rsidR="00F70D69" w:rsidRPr="00203E95">
        <w:rPr>
          <w:rFonts w:ascii="Times New Roman" w:hAnsi="Times New Roman" w:cs="Times New Roman"/>
        </w:rPr>
        <w:t xml:space="preserve"> </w:t>
      </w:r>
      <w:r w:rsidR="005C2E71" w:rsidRPr="00203E95">
        <w:rPr>
          <w:rFonts w:ascii="Times New Roman" w:hAnsi="Times New Roman" w:cs="Times New Roman"/>
        </w:rPr>
        <w:t>to</w:t>
      </w:r>
      <w:r w:rsidR="00F70D69" w:rsidRPr="00203E95">
        <w:rPr>
          <w:rFonts w:ascii="Times New Roman" w:hAnsi="Times New Roman" w:cs="Times New Roman"/>
        </w:rPr>
        <w:t xml:space="preserve"> </w:t>
      </w:r>
      <w:r w:rsidR="005C2E71" w:rsidRPr="00203E95">
        <w:rPr>
          <w:rFonts w:ascii="Times New Roman" w:hAnsi="Times New Roman" w:cs="Times New Roman"/>
        </w:rPr>
        <w:t>establishing</w:t>
      </w:r>
      <w:r w:rsidR="00F70D69" w:rsidRPr="00203E95">
        <w:rPr>
          <w:rFonts w:ascii="Times New Roman" w:hAnsi="Times New Roman" w:cs="Times New Roman"/>
        </w:rPr>
        <w:t xml:space="preserve"> a linear narrative of religious affairs</w:t>
      </w:r>
      <w:r w:rsidR="00277A7D" w:rsidRPr="00203E95">
        <w:rPr>
          <w:rFonts w:ascii="Times New Roman" w:hAnsi="Times New Roman" w:cs="Times New Roman"/>
        </w:rPr>
        <w:t>.</w:t>
      </w:r>
      <w:r w:rsidR="002A3B76" w:rsidRPr="00203E95">
        <w:rPr>
          <w:rStyle w:val="FootnoteReference"/>
          <w:rFonts w:ascii="Times New Roman" w:hAnsi="Times New Roman" w:cs="Times New Roman"/>
        </w:rPr>
        <w:footnoteReference w:id="4"/>
      </w:r>
      <w:r w:rsidR="00277A7D" w:rsidRPr="00203E95">
        <w:rPr>
          <w:rFonts w:ascii="Times New Roman" w:hAnsi="Times New Roman" w:cs="Times New Roman"/>
        </w:rPr>
        <w:t xml:space="preserve"> </w:t>
      </w:r>
      <w:r w:rsidR="00FC2063" w:rsidRPr="00203E95">
        <w:rPr>
          <w:rFonts w:ascii="Times New Roman" w:hAnsi="Times New Roman" w:cs="Times New Roman"/>
        </w:rPr>
        <w:t xml:space="preserve">If one examines for </w:t>
      </w:r>
      <w:r w:rsidR="00277A7D" w:rsidRPr="00203E95">
        <w:rPr>
          <w:rFonts w:ascii="Times New Roman" w:hAnsi="Times New Roman" w:cs="Times New Roman"/>
        </w:rPr>
        <w:t>example</w:t>
      </w:r>
      <w:r w:rsidR="00F27DDC">
        <w:rPr>
          <w:rFonts w:ascii="Times New Roman" w:hAnsi="Times New Roman" w:cs="Times New Roman"/>
        </w:rPr>
        <w:t>,</w:t>
      </w:r>
      <w:r w:rsidR="00FC2063" w:rsidRPr="00203E95">
        <w:rPr>
          <w:rFonts w:ascii="Times New Roman" w:hAnsi="Times New Roman" w:cs="Times New Roman"/>
        </w:rPr>
        <w:t xml:space="preserve"> the works of Aristotle, there is a preconception that when he speaks of societal </w:t>
      </w:r>
      <w:r w:rsidR="00277A7D" w:rsidRPr="00203E95">
        <w:rPr>
          <w:rFonts w:ascii="Times New Roman" w:hAnsi="Times New Roman" w:cs="Times New Roman"/>
        </w:rPr>
        <w:t>structures</w:t>
      </w:r>
      <w:r w:rsidR="00FC2063" w:rsidRPr="00203E95">
        <w:rPr>
          <w:rFonts w:ascii="Times New Roman" w:hAnsi="Times New Roman" w:cs="Times New Roman"/>
        </w:rPr>
        <w:t xml:space="preserve"> in an overt </w:t>
      </w:r>
      <w:r w:rsidR="00F70D69" w:rsidRPr="00203E95">
        <w:rPr>
          <w:rFonts w:ascii="Times New Roman" w:hAnsi="Times New Roman" w:cs="Times New Roman"/>
        </w:rPr>
        <w:t>manner or</w:t>
      </w:r>
      <w:r w:rsidR="00FC2063" w:rsidRPr="00203E95">
        <w:rPr>
          <w:rFonts w:ascii="Times New Roman" w:hAnsi="Times New Roman" w:cs="Times New Roman"/>
        </w:rPr>
        <w:t xml:space="preserve"> makes a cursory discussion of the best political system, it </w:t>
      </w:r>
      <w:r w:rsidR="00277A7D" w:rsidRPr="00203E95">
        <w:rPr>
          <w:rFonts w:ascii="Times New Roman" w:hAnsi="Times New Roman" w:cs="Times New Roman"/>
        </w:rPr>
        <w:t xml:space="preserve">can only </w:t>
      </w:r>
      <w:r w:rsidR="00FC2063" w:rsidRPr="00203E95">
        <w:rPr>
          <w:rFonts w:ascii="Times New Roman" w:hAnsi="Times New Roman" w:cs="Times New Roman"/>
        </w:rPr>
        <w:t>exist within the chamber of thought that still imagines Polis’ to be th</w:t>
      </w:r>
      <w:r w:rsidR="00277A7D" w:rsidRPr="00203E95">
        <w:rPr>
          <w:rFonts w:ascii="Times New Roman" w:hAnsi="Times New Roman" w:cs="Times New Roman"/>
        </w:rPr>
        <w:t xml:space="preserve">e natural state of </w:t>
      </w:r>
      <w:r w:rsidR="005C2E71" w:rsidRPr="00203E95">
        <w:rPr>
          <w:rFonts w:ascii="Times New Roman" w:hAnsi="Times New Roman" w:cs="Times New Roman"/>
        </w:rPr>
        <w:t>civilisation.</w:t>
      </w:r>
      <w:r w:rsidR="000434CD" w:rsidRPr="00203E95">
        <w:rPr>
          <w:rStyle w:val="FootnoteReference"/>
          <w:rFonts w:ascii="Times New Roman" w:hAnsi="Times New Roman" w:cs="Times New Roman"/>
        </w:rPr>
        <w:footnoteReference w:id="5"/>
      </w:r>
      <w:r w:rsidR="005C2E71" w:rsidRPr="00203E95">
        <w:rPr>
          <w:rFonts w:ascii="Times New Roman" w:hAnsi="Times New Roman" w:cs="Times New Roman"/>
        </w:rPr>
        <w:t xml:space="preserve"> Not</w:t>
      </w:r>
      <w:r w:rsidR="00F70D69" w:rsidRPr="00203E95">
        <w:rPr>
          <w:rFonts w:ascii="Times New Roman" w:hAnsi="Times New Roman" w:cs="Times New Roman"/>
        </w:rPr>
        <w:t xml:space="preserve"> until the conquest of </w:t>
      </w:r>
      <w:r w:rsidR="00F70D69" w:rsidRPr="00203E95">
        <w:rPr>
          <w:rFonts w:ascii="Times New Roman" w:hAnsi="Times New Roman" w:cs="Times New Roman"/>
        </w:rPr>
        <w:lastRenderedPageBreak/>
        <w:t xml:space="preserve">Phillip II do we see a gradual degradation of individuality </w:t>
      </w:r>
      <w:r w:rsidR="00F27DDC">
        <w:rPr>
          <w:rFonts w:ascii="Times New Roman" w:hAnsi="Times New Roman" w:cs="Times New Roman"/>
        </w:rPr>
        <w:t>in</w:t>
      </w:r>
      <w:r w:rsidR="00F70D69" w:rsidRPr="00203E95">
        <w:rPr>
          <w:rFonts w:ascii="Times New Roman" w:hAnsi="Times New Roman" w:cs="Times New Roman"/>
        </w:rPr>
        <w:t xml:space="preserve"> city states, eventually concluding in the total dominance of the region in the 1</w:t>
      </w:r>
      <w:r w:rsidR="00F70D69" w:rsidRPr="00203E95">
        <w:rPr>
          <w:rFonts w:ascii="Times New Roman" w:hAnsi="Times New Roman" w:cs="Times New Roman"/>
          <w:vertAlign w:val="superscript"/>
        </w:rPr>
        <w:t>st</w:t>
      </w:r>
      <w:r w:rsidR="00F70D69" w:rsidRPr="00203E95">
        <w:rPr>
          <w:rFonts w:ascii="Times New Roman" w:hAnsi="Times New Roman" w:cs="Times New Roman"/>
        </w:rPr>
        <w:t xml:space="preserve"> century BCE.</w:t>
      </w:r>
      <w:r w:rsidR="000434CD" w:rsidRPr="00203E95">
        <w:rPr>
          <w:rStyle w:val="FootnoteReference"/>
          <w:rFonts w:ascii="Times New Roman" w:hAnsi="Times New Roman" w:cs="Times New Roman"/>
        </w:rPr>
        <w:footnoteReference w:id="6"/>
      </w:r>
      <w:r w:rsidR="00F70D69" w:rsidRPr="00203E95">
        <w:rPr>
          <w:rFonts w:ascii="Times New Roman" w:hAnsi="Times New Roman" w:cs="Times New Roman"/>
        </w:rPr>
        <w:t xml:space="preserve"> </w:t>
      </w:r>
    </w:p>
    <w:p w14:paraId="757799EB" w14:textId="7CFC3162" w:rsidR="003D669F" w:rsidRPr="00203E95" w:rsidRDefault="00266EFC" w:rsidP="00203E95">
      <w:pPr>
        <w:spacing w:line="480" w:lineRule="auto"/>
        <w:rPr>
          <w:rFonts w:ascii="Times New Roman" w:hAnsi="Times New Roman" w:cs="Times New Roman"/>
        </w:rPr>
      </w:pPr>
      <w:r w:rsidRPr="00203E95">
        <w:rPr>
          <w:rFonts w:ascii="Times New Roman" w:hAnsi="Times New Roman" w:cs="Times New Roman"/>
        </w:rPr>
        <w:t xml:space="preserve">While the overarching </w:t>
      </w:r>
      <w:r w:rsidR="003D669F" w:rsidRPr="00203E95">
        <w:rPr>
          <w:rFonts w:ascii="Times New Roman" w:hAnsi="Times New Roman" w:cs="Times New Roman"/>
        </w:rPr>
        <w:t>thought</w:t>
      </w:r>
      <w:r w:rsidRPr="00203E95">
        <w:rPr>
          <w:rFonts w:ascii="Times New Roman" w:hAnsi="Times New Roman" w:cs="Times New Roman"/>
        </w:rPr>
        <w:t xml:space="preserve"> of the </w:t>
      </w:r>
      <w:r w:rsidR="00F27DDC">
        <w:rPr>
          <w:rFonts w:ascii="Times New Roman" w:hAnsi="Times New Roman" w:cs="Times New Roman"/>
        </w:rPr>
        <w:t>‘</w:t>
      </w:r>
      <w:r w:rsidRPr="00203E95">
        <w:rPr>
          <w:rFonts w:ascii="Times New Roman" w:hAnsi="Times New Roman" w:cs="Times New Roman"/>
        </w:rPr>
        <w:t>Polis Religion</w:t>
      </w:r>
      <w:r w:rsidR="00F27DDC">
        <w:rPr>
          <w:rFonts w:ascii="Times New Roman" w:hAnsi="Times New Roman" w:cs="Times New Roman"/>
        </w:rPr>
        <w:t>’,</w:t>
      </w:r>
      <w:r w:rsidRPr="00203E95">
        <w:rPr>
          <w:rFonts w:ascii="Times New Roman" w:hAnsi="Times New Roman" w:cs="Times New Roman"/>
        </w:rPr>
        <w:t xml:space="preserve"> which dominates the hierarchy of religious activities within a society</w:t>
      </w:r>
      <w:r w:rsidR="00F27DDC">
        <w:rPr>
          <w:rFonts w:ascii="Times New Roman" w:hAnsi="Times New Roman" w:cs="Times New Roman"/>
        </w:rPr>
        <w:t>,</w:t>
      </w:r>
      <w:r w:rsidRPr="00203E95">
        <w:rPr>
          <w:rFonts w:ascii="Times New Roman" w:hAnsi="Times New Roman" w:cs="Times New Roman"/>
        </w:rPr>
        <w:t xml:space="preserve"> has found considerable acclaim throughout academic circles, </w:t>
      </w:r>
      <w:r w:rsidR="00F10ABF" w:rsidRPr="00203E95">
        <w:rPr>
          <w:rFonts w:ascii="Times New Roman" w:hAnsi="Times New Roman" w:cs="Times New Roman"/>
        </w:rPr>
        <w:t>primarily</w:t>
      </w:r>
      <w:r w:rsidRPr="00203E95">
        <w:rPr>
          <w:rFonts w:ascii="Times New Roman" w:hAnsi="Times New Roman" w:cs="Times New Roman"/>
        </w:rPr>
        <w:t xml:space="preserve"> for the fact is provides a useful in categorising to a degree the officiality that one cult has over another,</w:t>
      </w:r>
      <w:r w:rsidR="000434CD" w:rsidRPr="00203E95">
        <w:rPr>
          <w:rStyle w:val="FootnoteReference"/>
          <w:rFonts w:ascii="Times New Roman" w:hAnsi="Times New Roman" w:cs="Times New Roman"/>
        </w:rPr>
        <w:footnoteReference w:id="7"/>
      </w:r>
      <w:r w:rsidRPr="00203E95">
        <w:rPr>
          <w:rFonts w:ascii="Times New Roman" w:hAnsi="Times New Roman" w:cs="Times New Roman"/>
        </w:rPr>
        <w:t xml:space="preserve"> it has likewise also garnered no small amount of criticism, primarily for its attempt at explaining micro details of each cults in a larger formula into a principle of almost ‘meta-</w:t>
      </w:r>
      <w:proofErr w:type="spellStart"/>
      <w:r w:rsidRPr="00203E95">
        <w:rPr>
          <w:rFonts w:ascii="Times New Roman" w:hAnsi="Times New Roman" w:cs="Times New Roman"/>
        </w:rPr>
        <w:t>regliousity</w:t>
      </w:r>
      <w:proofErr w:type="spellEnd"/>
      <w:r w:rsidRPr="00203E95">
        <w:rPr>
          <w:rFonts w:ascii="Times New Roman" w:hAnsi="Times New Roman" w:cs="Times New Roman"/>
        </w:rPr>
        <w:t>’.</w:t>
      </w:r>
      <w:r w:rsidR="000434CD" w:rsidRPr="00203E95">
        <w:rPr>
          <w:rStyle w:val="FootnoteReference"/>
          <w:rFonts w:ascii="Times New Roman" w:hAnsi="Times New Roman" w:cs="Times New Roman"/>
        </w:rPr>
        <w:footnoteReference w:id="8"/>
      </w:r>
      <w:r w:rsidRPr="00203E95">
        <w:rPr>
          <w:rFonts w:ascii="Times New Roman" w:hAnsi="Times New Roman" w:cs="Times New Roman"/>
        </w:rPr>
        <w:t xml:space="preserve"> Certainly, if one argues that Rome’s largest religious centre</w:t>
      </w:r>
      <w:r w:rsidR="00F906F9" w:rsidRPr="00203E95">
        <w:rPr>
          <w:rFonts w:ascii="Times New Roman" w:hAnsi="Times New Roman" w:cs="Times New Roman"/>
        </w:rPr>
        <w:t xml:space="preserve"> is its conglomerate of cults dedicated to a myriad of pagan deities often with their own temples, then the concept of the Polis Religious is highly applicable. </w:t>
      </w:r>
      <w:r w:rsidR="002F0D58" w:rsidRPr="00203E95">
        <w:rPr>
          <w:rFonts w:ascii="Times New Roman" w:hAnsi="Times New Roman" w:cs="Times New Roman"/>
        </w:rPr>
        <w:t>For example, the</w:t>
      </w:r>
      <w:r w:rsidR="002F0D58" w:rsidRPr="00203E95">
        <w:rPr>
          <w:rFonts w:ascii="Times New Roman" w:hAnsi="Times New Roman" w:cs="Times New Roman"/>
          <w:i/>
        </w:rPr>
        <w:t xml:space="preserve"> Lex </w:t>
      </w:r>
      <w:proofErr w:type="spellStart"/>
      <w:r w:rsidR="002F0D58" w:rsidRPr="00203E95">
        <w:rPr>
          <w:rFonts w:ascii="Times New Roman" w:hAnsi="Times New Roman" w:cs="Times New Roman"/>
          <w:i/>
        </w:rPr>
        <w:t>Ursonensis</w:t>
      </w:r>
      <w:proofErr w:type="spellEnd"/>
      <w:r w:rsidR="002F0D58" w:rsidRPr="00203E95">
        <w:rPr>
          <w:rFonts w:ascii="Times New Roman" w:hAnsi="Times New Roman" w:cs="Times New Roman"/>
          <w:i/>
        </w:rPr>
        <w:t xml:space="preserve"> </w:t>
      </w:r>
      <w:r w:rsidR="002F0D58" w:rsidRPr="00203E95">
        <w:rPr>
          <w:rFonts w:ascii="Times New Roman" w:hAnsi="Times New Roman" w:cs="Times New Roman"/>
        </w:rPr>
        <w:t xml:space="preserve">leaves strong indications that some Roman colonies </w:t>
      </w:r>
      <w:r w:rsidR="00612B00" w:rsidRPr="00203E95">
        <w:rPr>
          <w:rFonts w:ascii="Times New Roman" w:hAnsi="Times New Roman" w:cs="Times New Roman"/>
        </w:rPr>
        <w:t>had</w:t>
      </w:r>
      <w:r w:rsidR="002F0D58" w:rsidRPr="00203E95">
        <w:rPr>
          <w:rFonts w:ascii="Times New Roman" w:hAnsi="Times New Roman" w:cs="Times New Roman"/>
        </w:rPr>
        <w:t xml:space="preserve"> religious functions controlled by the </w:t>
      </w:r>
      <w:r w:rsidR="00612B00" w:rsidRPr="00203E95">
        <w:rPr>
          <w:rFonts w:ascii="Times New Roman" w:hAnsi="Times New Roman" w:cs="Times New Roman"/>
        </w:rPr>
        <w:t>state</w:t>
      </w:r>
      <w:r w:rsidR="002F0D58" w:rsidRPr="00203E95">
        <w:rPr>
          <w:rFonts w:ascii="Times New Roman" w:hAnsi="Times New Roman" w:cs="Times New Roman"/>
        </w:rPr>
        <w:t>.</w:t>
      </w:r>
      <w:r w:rsidR="000434CD" w:rsidRPr="00203E95">
        <w:rPr>
          <w:rStyle w:val="FootnoteReference"/>
          <w:rFonts w:ascii="Times New Roman" w:hAnsi="Times New Roman" w:cs="Times New Roman"/>
        </w:rPr>
        <w:footnoteReference w:id="9"/>
      </w:r>
      <w:r w:rsidR="00612B00" w:rsidRPr="00203E95">
        <w:rPr>
          <w:rFonts w:ascii="Times New Roman" w:hAnsi="Times New Roman" w:cs="Times New Roman"/>
        </w:rPr>
        <w:t xml:space="preserve"> In the case of the </w:t>
      </w:r>
      <w:r w:rsidR="00612B00" w:rsidRPr="00203E95">
        <w:rPr>
          <w:rFonts w:ascii="Times New Roman" w:hAnsi="Times New Roman" w:cs="Times New Roman"/>
          <w:i/>
        </w:rPr>
        <w:t xml:space="preserve">Lex </w:t>
      </w:r>
      <w:proofErr w:type="spellStart"/>
      <w:r w:rsidR="00612B00" w:rsidRPr="00203E95">
        <w:rPr>
          <w:rFonts w:ascii="Times New Roman" w:hAnsi="Times New Roman" w:cs="Times New Roman"/>
          <w:i/>
        </w:rPr>
        <w:t>Ursonensis</w:t>
      </w:r>
      <w:proofErr w:type="spellEnd"/>
      <w:r w:rsidR="00612B00" w:rsidRPr="00203E95">
        <w:rPr>
          <w:rFonts w:ascii="Times New Roman" w:hAnsi="Times New Roman" w:cs="Times New Roman"/>
        </w:rPr>
        <w:t>, said society was Cologne, however we can extend the same principles onto many other societies under the Roman empire, including Rome itself.</w:t>
      </w:r>
      <w:r w:rsidR="00612B00" w:rsidRPr="00203E95">
        <w:rPr>
          <w:rStyle w:val="FootnoteReference"/>
          <w:rFonts w:ascii="Times New Roman" w:hAnsi="Times New Roman" w:cs="Times New Roman"/>
        </w:rPr>
        <w:footnoteReference w:id="10"/>
      </w:r>
      <w:r w:rsidR="009C0A38" w:rsidRPr="00203E95">
        <w:rPr>
          <w:rFonts w:ascii="Times New Roman" w:hAnsi="Times New Roman" w:cs="Times New Roman"/>
        </w:rPr>
        <w:t xml:space="preserve"> With this in mind, Rome’s colonial interests could be argued to represent the ideal of the ‘Polis Religion’ at its most </w:t>
      </w:r>
      <w:r w:rsidR="00D2358B" w:rsidRPr="00203E95">
        <w:rPr>
          <w:rFonts w:ascii="Times New Roman" w:hAnsi="Times New Roman" w:cs="Times New Roman"/>
        </w:rPr>
        <w:t>realistic</w:t>
      </w:r>
      <w:r w:rsidR="003D669F" w:rsidRPr="00203E95">
        <w:rPr>
          <w:rFonts w:ascii="Times New Roman" w:hAnsi="Times New Roman" w:cs="Times New Roman"/>
        </w:rPr>
        <w:t xml:space="preserve">, </w:t>
      </w:r>
      <w:r w:rsidR="005C2E71" w:rsidRPr="00203E95">
        <w:rPr>
          <w:rFonts w:ascii="Times New Roman" w:hAnsi="Times New Roman" w:cs="Times New Roman"/>
        </w:rPr>
        <w:t xml:space="preserve">with civic authorities </w:t>
      </w:r>
      <w:r w:rsidR="000C6704" w:rsidRPr="00203E95">
        <w:rPr>
          <w:rFonts w:ascii="Times New Roman" w:hAnsi="Times New Roman" w:cs="Times New Roman"/>
        </w:rPr>
        <w:t>taking</w:t>
      </w:r>
      <w:r w:rsidR="005C2E71" w:rsidRPr="00203E95">
        <w:rPr>
          <w:rFonts w:ascii="Times New Roman" w:hAnsi="Times New Roman" w:cs="Times New Roman"/>
        </w:rPr>
        <w:t xml:space="preserve"> control over the rituals of sacrifice, festival days</w:t>
      </w:r>
      <w:r w:rsidR="000C6704" w:rsidRPr="00203E95">
        <w:rPr>
          <w:rFonts w:ascii="Times New Roman" w:hAnsi="Times New Roman" w:cs="Times New Roman"/>
        </w:rPr>
        <w:t xml:space="preserve"> and matters of inducting </w:t>
      </w:r>
      <w:r w:rsidR="000434CD" w:rsidRPr="00203E95">
        <w:rPr>
          <w:rFonts w:ascii="Times New Roman" w:hAnsi="Times New Roman" w:cs="Times New Roman"/>
        </w:rPr>
        <w:t>priests</w:t>
      </w:r>
      <w:r w:rsidR="000C6704" w:rsidRPr="00203E95">
        <w:rPr>
          <w:rFonts w:ascii="Times New Roman" w:hAnsi="Times New Roman" w:cs="Times New Roman"/>
        </w:rPr>
        <w:t>.</w:t>
      </w:r>
      <w:r w:rsidR="000434CD" w:rsidRPr="00203E95">
        <w:rPr>
          <w:rStyle w:val="FootnoteReference"/>
          <w:rFonts w:ascii="Times New Roman" w:hAnsi="Times New Roman" w:cs="Times New Roman"/>
        </w:rPr>
        <w:footnoteReference w:id="11"/>
      </w:r>
      <w:r w:rsidR="000C6704" w:rsidRPr="00203E95">
        <w:rPr>
          <w:rFonts w:ascii="Times New Roman" w:hAnsi="Times New Roman" w:cs="Times New Roman"/>
        </w:rPr>
        <w:t xml:space="preserve"> On the other hand, one should also note that the centrism of the local polis religion maintains localised functions to </w:t>
      </w:r>
      <w:r w:rsidR="000434CD" w:rsidRPr="00203E95">
        <w:rPr>
          <w:rFonts w:ascii="Times New Roman" w:hAnsi="Times New Roman" w:cs="Times New Roman"/>
        </w:rPr>
        <w:t>its</w:t>
      </w:r>
      <w:r w:rsidR="000C6704" w:rsidRPr="00203E95">
        <w:rPr>
          <w:rFonts w:ascii="Times New Roman" w:hAnsi="Times New Roman" w:cs="Times New Roman"/>
        </w:rPr>
        <w:t xml:space="preserve"> society only, whereas some religious cults </w:t>
      </w:r>
      <w:r w:rsidR="000434CD" w:rsidRPr="00203E95">
        <w:rPr>
          <w:rFonts w:ascii="Times New Roman" w:hAnsi="Times New Roman" w:cs="Times New Roman"/>
        </w:rPr>
        <w:t>over</w:t>
      </w:r>
      <w:r w:rsidR="000C6704" w:rsidRPr="00203E95">
        <w:rPr>
          <w:rFonts w:ascii="Times New Roman" w:hAnsi="Times New Roman" w:cs="Times New Roman"/>
        </w:rPr>
        <w:t xml:space="preserve"> time transcended the holdings of single cities</w:t>
      </w:r>
      <w:r w:rsidR="000434CD" w:rsidRPr="00203E95">
        <w:rPr>
          <w:rFonts w:ascii="Times New Roman" w:hAnsi="Times New Roman" w:cs="Times New Roman"/>
        </w:rPr>
        <w:t xml:space="preserve"> </w:t>
      </w:r>
      <w:r w:rsidR="000C6704" w:rsidRPr="00203E95">
        <w:rPr>
          <w:rFonts w:ascii="Times New Roman" w:hAnsi="Times New Roman" w:cs="Times New Roman"/>
        </w:rPr>
        <w:t>becoming much larger</w:t>
      </w:r>
      <w:r w:rsidR="000434CD" w:rsidRPr="00203E95">
        <w:rPr>
          <w:rFonts w:ascii="Times New Roman" w:hAnsi="Times New Roman" w:cs="Times New Roman"/>
        </w:rPr>
        <w:t>,</w:t>
      </w:r>
      <w:r w:rsidR="000C6704" w:rsidRPr="00203E95">
        <w:rPr>
          <w:rFonts w:ascii="Times New Roman" w:hAnsi="Times New Roman" w:cs="Times New Roman"/>
        </w:rPr>
        <w:t xml:space="preserve"> Judaism and Mithraism for example.</w:t>
      </w:r>
      <w:r w:rsidR="000434CD" w:rsidRPr="00203E95">
        <w:rPr>
          <w:rStyle w:val="FootnoteReference"/>
          <w:rFonts w:ascii="Times New Roman" w:hAnsi="Times New Roman" w:cs="Times New Roman"/>
        </w:rPr>
        <w:footnoteReference w:id="12"/>
      </w:r>
      <w:r w:rsidR="000C6704" w:rsidRPr="00203E95">
        <w:rPr>
          <w:rFonts w:ascii="Times New Roman" w:hAnsi="Times New Roman" w:cs="Times New Roman"/>
        </w:rPr>
        <w:t xml:space="preserve"> </w:t>
      </w:r>
    </w:p>
    <w:p w14:paraId="595AFE85" w14:textId="6FE38B51" w:rsidR="000644E3" w:rsidRPr="00203E95" w:rsidRDefault="00D2358B" w:rsidP="00203E95">
      <w:pPr>
        <w:spacing w:line="480" w:lineRule="auto"/>
        <w:rPr>
          <w:rFonts w:ascii="Times New Roman" w:hAnsi="Times New Roman" w:cs="Times New Roman"/>
        </w:rPr>
      </w:pPr>
      <w:r w:rsidRPr="00203E95">
        <w:rPr>
          <w:rFonts w:ascii="Times New Roman" w:hAnsi="Times New Roman" w:cs="Times New Roman"/>
        </w:rPr>
        <w:t xml:space="preserve">The second application of the model of polis religion </w:t>
      </w:r>
      <w:r w:rsidR="000434CD" w:rsidRPr="00203E95">
        <w:rPr>
          <w:rFonts w:ascii="Times New Roman" w:hAnsi="Times New Roman" w:cs="Times New Roman"/>
        </w:rPr>
        <w:t>resides in</w:t>
      </w:r>
      <w:r w:rsidRPr="00203E95">
        <w:rPr>
          <w:rFonts w:ascii="Times New Roman" w:hAnsi="Times New Roman" w:cs="Times New Roman"/>
        </w:rPr>
        <w:t xml:space="preserve"> the </w:t>
      </w:r>
      <w:r w:rsidR="000434CD" w:rsidRPr="00203E95">
        <w:rPr>
          <w:rFonts w:ascii="Times New Roman" w:hAnsi="Times New Roman" w:cs="Times New Roman"/>
        </w:rPr>
        <w:t>‘</w:t>
      </w:r>
      <w:r w:rsidRPr="00203E95">
        <w:rPr>
          <w:rFonts w:ascii="Times New Roman" w:hAnsi="Times New Roman" w:cs="Times New Roman"/>
        </w:rPr>
        <w:t>Imperial Cult</w:t>
      </w:r>
      <w:r w:rsidR="000434CD" w:rsidRPr="00203E95">
        <w:rPr>
          <w:rFonts w:ascii="Times New Roman" w:hAnsi="Times New Roman" w:cs="Times New Roman"/>
        </w:rPr>
        <w:t>’</w:t>
      </w:r>
      <w:r w:rsidRPr="00203E95">
        <w:rPr>
          <w:rFonts w:ascii="Times New Roman" w:hAnsi="Times New Roman" w:cs="Times New Roman"/>
        </w:rPr>
        <w:t>, and perhaps the weakest. While the Imperial Cult</w:t>
      </w:r>
      <w:r w:rsidR="000434CD" w:rsidRPr="00203E95">
        <w:rPr>
          <w:rFonts w:ascii="Times New Roman" w:hAnsi="Times New Roman" w:cs="Times New Roman"/>
        </w:rPr>
        <w:t xml:space="preserve"> – the </w:t>
      </w:r>
      <w:r w:rsidR="00F27DDC">
        <w:rPr>
          <w:rFonts w:ascii="Times New Roman" w:hAnsi="Times New Roman" w:cs="Times New Roman"/>
        </w:rPr>
        <w:t>amorphous</w:t>
      </w:r>
      <w:r w:rsidR="00F32207" w:rsidRPr="00203E95">
        <w:rPr>
          <w:rFonts w:ascii="Times New Roman" w:hAnsi="Times New Roman" w:cs="Times New Roman"/>
        </w:rPr>
        <w:t xml:space="preserve"> model</w:t>
      </w:r>
      <w:r w:rsidR="000434CD" w:rsidRPr="00203E95">
        <w:rPr>
          <w:rFonts w:ascii="Times New Roman" w:hAnsi="Times New Roman" w:cs="Times New Roman"/>
        </w:rPr>
        <w:t xml:space="preserve"> of evidence given to dedications, prayers, and the like in service to the Emperor -</w:t>
      </w:r>
      <w:r w:rsidRPr="00203E95">
        <w:rPr>
          <w:rFonts w:ascii="Times New Roman" w:hAnsi="Times New Roman" w:cs="Times New Roman"/>
        </w:rPr>
        <w:t xml:space="preserve"> as its name suggests, does engage in some form of deification of the </w:t>
      </w:r>
      <w:r w:rsidR="000434CD" w:rsidRPr="00203E95">
        <w:rPr>
          <w:rFonts w:ascii="Times New Roman" w:hAnsi="Times New Roman" w:cs="Times New Roman"/>
        </w:rPr>
        <w:t>E</w:t>
      </w:r>
      <w:r w:rsidRPr="00203E95">
        <w:rPr>
          <w:rFonts w:ascii="Times New Roman" w:hAnsi="Times New Roman" w:cs="Times New Roman"/>
        </w:rPr>
        <w:t>mperor</w:t>
      </w:r>
      <w:r w:rsidR="000434CD" w:rsidRPr="00203E95">
        <w:rPr>
          <w:rFonts w:ascii="Times New Roman" w:hAnsi="Times New Roman" w:cs="Times New Roman"/>
        </w:rPr>
        <w:t>.</w:t>
      </w:r>
      <w:r w:rsidR="000434CD" w:rsidRPr="00203E95">
        <w:rPr>
          <w:rStyle w:val="FootnoteReference"/>
          <w:rFonts w:ascii="Times New Roman" w:hAnsi="Times New Roman" w:cs="Times New Roman"/>
        </w:rPr>
        <w:footnoteReference w:id="13"/>
      </w:r>
      <w:r w:rsidR="000434CD" w:rsidRPr="00203E95">
        <w:rPr>
          <w:rFonts w:ascii="Times New Roman" w:hAnsi="Times New Roman" w:cs="Times New Roman"/>
        </w:rPr>
        <w:t xml:space="preserve"> However, t</w:t>
      </w:r>
      <w:r w:rsidRPr="00203E95">
        <w:rPr>
          <w:rFonts w:ascii="Times New Roman" w:hAnsi="Times New Roman" w:cs="Times New Roman"/>
        </w:rPr>
        <w:t xml:space="preserve">he range of individual allegiance to the cult was </w:t>
      </w:r>
      <w:r w:rsidR="003D669F" w:rsidRPr="00203E95">
        <w:rPr>
          <w:rFonts w:ascii="Times New Roman" w:hAnsi="Times New Roman" w:cs="Times New Roman"/>
        </w:rPr>
        <w:t>arguably</w:t>
      </w:r>
      <w:r w:rsidRPr="00203E95">
        <w:rPr>
          <w:rFonts w:ascii="Times New Roman" w:hAnsi="Times New Roman" w:cs="Times New Roman"/>
        </w:rPr>
        <w:t xml:space="preserve"> cursory and </w:t>
      </w:r>
      <w:r w:rsidRPr="00203E95">
        <w:rPr>
          <w:rFonts w:ascii="Times New Roman" w:hAnsi="Times New Roman" w:cs="Times New Roman"/>
        </w:rPr>
        <w:lastRenderedPageBreak/>
        <w:t xml:space="preserve">politically motivated </w:t>
      </w:r>
      <w:r w:rsidR="003D669F" w:rsidRPr="00203E95">
        <w:rPr>
          <w:rFonts w:ascii="Times New Roman" w:hAnsi="Times New Roman" w:cs="Times New Roman"/>
        </w:rPr>
        <w:t xml:space="preserve">to many, </w:t>
      </w:r>
      <w:r w:rsidRPr="00203E95">
        <w:rPr>
          <w:rFonts w:ascii="Times New Roman" w:hAnsi="Times New Roman" w:cs="Times New Roman"/>
        </w:rPr>
        <w:t>rather than any true idea that the emperor could become elevated to an abstract state of worship.</w:t>
      </w:r>
      <w:r w:rsidR="000434CD" w:rsidRPr="00203E95">
        <w:rPr>
          <w:rStyle w:val="FootnoteReference"/>
          <w:rFonts w:ascii="Times New Roman" w:hAnsi="Times New Roman" w:cs="Times New Roman"/>
        </w:rPr>
        <w:footnoteReference w:id="14"/>
      </w:r>
      <w:r w:rsidRPr="00203E95">
        <w:rPr>
          <w:rFonts w:ascii="Times New Roman" w:hAnsi="Times New Roman" w:cs="Times New Roman"/>
        </w:rPr>
        <w:t xml:space="preserve"> Additionally, though there is some hierarchy of power established in the Imperial cult, </w:t>
      </w:r>
      <w:r w:rsidR="000434CD" w:rsidRPr="00203E95">
        <w:rPr>
          <w:rFonts w:ascii="Times New Roman" w:hAnsi="Times New Roman" w:cs="Times New Roman"/>
        </w:rPr>
        <w:t xml:space="preserve">as </w:t>
      </w:r>
      <w:r w:rsidRPr="00203E95">
        <w:rPr>
          <w:rFonts w:ascii="Times New Roman" w:hAnsi="Times New Roman" w:cs="Times New Roman"/>
        </w:rPr>
        <w:t xml:space="preserve">the tacit </w:t>
      </w:r>
      <w:r w:rsidR="003D669F" w:rsidRPr="00203E95">
        <w:rPr>
          <w:rFonts w:ascii="Times New Roman" w:hAnsi="Times New Roman" w:cs="Times New Roman"/>
        </w:rPr>
        <w:t>consent</w:t>
      </w:r>
      <w:r w:rsidRPr="00203E95">
        <w:rPr>
          <w:rFonts w:ascii="Times New Roman" w:hAnsi="Times New Roman" w:cs="Times New Roman"/>
        </w:rPr>
        <w:t xml:space="preserve"> of external societies to continue </w:t>
      </w:r>
      <w:r w:rsidR="003D669F" w:rsidRPr="00203E95">
        <w:rPr>
          <w:rFonts w:ascii="Times New Roman" w:hAnsi="Times New Roman" w:cs="Times New Roman"/>
        </w:rPr>
        <w:t>in</w:t>
      </w:r>
      <w:r w:rsidRPr="00203E95">
        <w:rPr>
          <w:rFonts w:ascii="Times New Roman" w:hAnsi="Times New Roman" w:cs="Times New Roman"/>
        </w:rPr>
        <w:t xml:space="preserve"> everyday personal religious festivals, </w:t>
      </w:r>
      <w:r w:rsidR="000434CD" w:rsidRPr="00203E95">
        <w:rPr>
          <w:rFonts w:ascii="Times New Roman" w:hAnsi="Times New Roman" w:cs="Times New Roman"/>
        </w:rPr>
        <w:t>or the construction</w:t>
      </w:r>
      <w:r w:rsidRPr="00203E95">
        <w:rPr>
          <w:rFonts w:ascii="Times New Roman" w:hAnsi="Times New Roman" w:cs="Times New Roman"/>
        </w:rPr>
        <w:t xml:space="preserve"> of temple to local deities</w:t>
      </w:r>
      <w:r w:rsidR="000434CD" w:rsidRPr="00203E95">
        <w:rPr>
          <w:rFonts w:ascii="Times New Roman" w:hAnsi="Times New Roman" w:cs="Times New Roman"/>
        </w:rPr>
        <w:t>. Additionally, the continued support of the</w:t>
      </w:r>
      <w:r w:rsidR="003D669F" w:rsidRPr="00203E95">
        <w:rPr>
          <w:rFonts w:ascii="Times New Roman" w:hAnsi="Times New Roman" w:cs="Times New Roman"/>
        </w:rPr>
        <w:t xml:space="preserve"> Capitoline Triad</w:t>
      </w:r>
      <w:r w:rsidR="00F10ABF" w:rsidRPr="00203E95">
        <w:rPr>
          <w:rFonts w:ascii="Times New Roman" w:hAnsi="Times New Roman" w:cs="Times New Roman"/>
        </w:rPr>
        <w:t>, while also acknowledging the power structures of Roman religious activity for the Imperial Cult;</w:t>
      </w:r>
      <w:r w:rsidR="002F0986" w:rsidRPr="00203E95">
        <w:rPr>
          <w:rStyle w:val="FootnoteReference"/>
          <w:rFonts w:ascii="Times New Roman" w:hAnsi="Times New Roman" w:cs="Times New Roman"/>
        </w:rPr>
        <w:footnoteReference w:id="15"/>
      </w:r>
      <w:r w:rsidR="00F10ABF" w:rsidRPr="00203E95">
        <w:rPr>
          <w:rFonts w:ascii="Times New Roman" w:hAnsi="Times New Roman" w:cs="Times New Roman"/>
        </w:rPr>
        <w:t xml:space="preserve"> when it’s possible that even its acknowledgement by external cities was purely a show of obedience</w:t>
      </w:r>
      <w:r w:rsidR="000434CD" w:rsidRPr="00203E95">
        <w:rPr>
          <w:rFonts w:ascii="Times New Roman" w:hAnsi="Times New Roman" w:cs="Times New Roman"/>
        </w:rPr>
        <w:t>, shows that the worship systems of the ‘cult of the Emperor’ was one that was based on strongly procedural ground at best</w:t>
      </w:r>
      <w:r w:rsidR="00F10ABF" w:rsidRPr="00203E95">
        <w:rPr>
          <w:rFonts w:ascii="Times New Roman" w:hAnsi="Times New Roman" w:cs="Times New Roman"/>
        </w:rPr>
        <w:t>.</w:t>
      </w:r>
      <w:r w:rsidR="000434CD" w:rsidRPr="00203E95">
        <w:rPr>
          <w:rStyle w:val="FootnoteReference"/>
          <w:rFonts w:ascii="Times New Roman" w:hAnsi="Times New Roman" w:cs="Times New Roman"/>
        </w:rPr>
        <w:footnoteReference w:id="16"/>
      </w:r>
      <w:r w:rsidR="00F10ABF" w:rsidRPr="00203E95">
        <w:rPr>
          <w:rFonts w:ascii="Times New Roman" w:hAnsi="Times New Roman" w:cs="Times New Roman"/>
        </w:rPr>
        <w:t xml:space="preserve"> </w:t>
      </w:r>
      <w:r w:rsidR="00041694" w:rsidRPr="00203E95">
        <w:rPr>
          <w:rFonts w:ascii="Times New Roman" w:hAnsi="Times New Roman" w:cs="Times New Roman"/>
        </w:rPr>
        <w:t xml:space="preserve">Consequently, one </w:t>
      </w:r>
      <w:r w:rsidR="000644E3" w:rsidRPr="00203E95">
        <w:rPr>
          <w:rFonts w:ascii="Times New Roman" w:hAnsi="Times New Roman" w:cs="Times New Roman"/>
        </w:rPr>
        <w:t xml:space="preserve">must acknowledge that the Imperial Cult </w:t>
      </w:r>
      <w:r w:rsidR="00F07F5D" w:rsidRPr="00203E95">
        <w:rPr>
          <w:rFonts w:ascii="Times New Roman" w:hAnsi="Times New Roman" w:cs="Times New Roman"/>
        </w:rPr>
        <w:t xml:space="preserve">in practice, at least to some extent, served </w:t>
      </w:r>
      <w:r w:rsidR="000644E3" w:rsidRPr="00203E95">
        <w:rPr>
          <w:rFonts w:ascii="Times New Roman" w:hAnsi="Times New Roman" w:cs="Times New Roman"/>
        </w:rPr>
        <w:t>as a conceptual devise to keep Rome’s overseas interest loyal</w:t>
      </w:r>
      <w:r w:rsidR="00F07F5D" w:rsidRPr="00203E95">
        <w:rPr>
          <w:rFonts w:ascii="Times New Roman" w:hAnsi="Times New Roman" w:cs="Times New Roman"/>
        </w:rPr>
        <w:t>.</w:t>
      </w:r>
      <w:r w:rsidR="003D669F" w:rsidRPr="00203E95">
        <w:rPr>
          <w:rFonts w:ascii="Times New Roman" w:hAnsi="Times New Roman" w:cs="Times New Roman"/>
        </w:rPr>
        <w:t xml:space="preserve"> Additionally, it served to abstract the imperial position into godhood, thereby extending his influence in the minds of whom actually directly believed in the god-hood of the </w:t>
      </w:r>
      <w:r w:rsidR="000434CD" w:rsidRPr="00203E95">
        <w:rPr>
          <w:rFonts w:ascii="Times New Roman" w:hAnsi="Times New Roman" w:cs="Times New Roman"/>
        </w:rPr>
        <w:t>E</w:t>
      </w:r>
      <w:r w:rsidR="003D669F" w:rsidRPr="00203E95">
        <w:rPr>
          <w:rFonts w:ascii="Times New Roman" w:hAnsi="Times New Roman" w:cs="Times New Roman"/>
        </w:rPr>
        <w:t>mperor.</w:t>
      </w:r>
      <w:r w:rsidR="000434CD" w:rsidRPr="00203E95">
        <w:rPr>
          <w:rStyle w:val="FootnoteReference"/>
          <w:rFonts w:ascii="Times New Roman" w:hAnsi="Times New Roman" w:cs="Times New Roman"/>
        </w:rPr>
        <w:footnoteReference w:id="17"/>
      </w:r>
      <w:r w:rsidR="003D669F" w:rsidRPr="00203E95">
        <w:rPr>
          <w:rFonts w:ascii="Times New Roman" w:hAnsi="Times New Roman" w:cs="Times New Roman"/>
        </w:rPr>
        <w:t xml:space="preserve">  </w:t>
      </w:r>
    </w:p>
    <w:p w14:paraId="656D4BC7" w14:textId="4FD912D6" w:rsidR="00B81A87" w:rsidRPr="00203E95" w:rsidRDefault="004662ED" w:rsidP="00203E95">
      <w:pPr>
        <w:spacing w:line="480" w:lineRule="auto"/>
        <w:rPr>
          <w:rFonts w:ascii="Times New Roman" w:hAnsi="Times New Roman" w:cs="Times New Roman"/>
        </w:rPr>
      </w:pPr>
      <w:r w:rsidRPr="00203E95">
        <w:rPr>
          <w:rFonts w:ascii="Times New Roman" w:hAnsi="Times New Roman" w:cs="Times New Roman"/>
        </w:rPr>
        <w:t>In conclusion, the model of the ‘Polis Religion’ is useful in indicat</w:t>
      </w:r>
      <w:r w:rsidR="00F27DDC">
        <w:rPr>
          <w:rFonts w:ascii="Times New Roman" w:hAnsi="Times New Roman" w:cs="Times New Roman"/>
        </w:rPr>
        <w:t>ing</w:t>
      </w:r>
      <w:r w:rsidRPr="00203E95">
        <w:rPr>
          <w:rFonts w:ascii="Times New Roman" w:hAnsi="Times New Roman" w:cs="Times New Roman"/>
        </w:rPr>
        <w:t xml:space="preserve"> hierarchies related to specific regions and cities, with a certain religion or festival relating to said religion dominating the space.</w:t>
      </w:r>
      <w:r w:rsidR="00F32207" w:rsidRPr="00203E95">
        <w:rPr>
          <w:rStyle w:val="FootnoteReference"/>
          <w:rFonts w:ascii="Times New Roman" w:hAnsi="Times New Roman" w:cs="Times New Roman"/>
        </w:rPr>
        <w:footnoteReference w:id="18"/>
      </w:r>
      <w:r w:rsidRPr="00203E95">
        <w:rPr>
          <w:rFonts w:ascii="Times New Roman" w:hAnsi="Times New Roman" w:cs="Times New Roman"/>
        </w:rPr>
        <w:t xml:space="preserve"> However, many other religions do not fit the broad category of ‘Polis Religion’ appropriately, or at all in the case of non-localised religions such as Christianity, Judaism, or Mithraism.</w:t>
      </w:r>
      <w:r w:rsidR="00F32207" w:rsidRPr="00203E95">
        <w:rPr>
          <w:rStyle w:val="FootnoteReference"/>
          <w:rFonts w:ascii="Times New Roman" w:hAnsi="Times New Roman" w:cs="Times New Roman"/>
        </w:rPr>
        <w:footnoteReference w:id="19"/>
      </w:r>
      <w:r w:rsidRPr="00203E95">
        <w:rPr>
          <w:rFonts w:ascii="Times New Roman" w:hAnsi="Times New Roman" w:cs="Times New Roman"/>
        </w:rPr>
        <w:t xml:space="preserve">  Additionally, one could argue that the name itself ‘Polis Religion’ belies a model designed to fit into a very small period of </w:t>
      </w:r>
      <w:r w:rsidR="0076798B" w:rsidRPr="00203E95">
        <w:rPr>
          <w:rFonts w:ascii="Times New Roman" w:hAnsi="Times New Roman" w:cs="Times New Roman"/>
        </w:rPr>
        <w:t>time</w:t>
      </w:r>
      <w:r w:rsidR="00F27DDC">
        <w:rPr>
          <w:rFonts w:ascii="Times New Roman" w:hAnsi="Times New Roman" w:cs="Times New Roman"/>
        </w:rPr>
        <w:t xml:space="preserve">, as it </w:t>
      </w:r>
      <w:r w:rsidRPr="00203E95">
        <w:rPr>
          <w:rFonts w:ascii="Times New Roman" w:hAnsi="Times New Roman" w:cs="Times New Roman"/>
        </w:rPr>
        <w:t xml:space="preserve">references the Polis – a </w:t>
      </w:r>
      <w:r w:rsidR="00F27DDC">
        <w:rPr>
          <w:rFonts w:ascii="Times New Roman" w:hAnsi="Times New Roman" w:cs="Times New Roman"/>
        </w:rPr>
        <w:t>economic societal structure</w:t>
      </w:r>
      <w:r w:rsidRPr="00203E95">
        <w:rPr>
          <w:rFonts w:ascii="Times New Roman" w:hAnsi="Times New Roman" w:cs="Times New Roman"/>
        </w:rPr>
        <w:t xml:space="preserve"> routed in a</w:t>
      </w:r>
      <w:bookmarkStart w:id="1" w:name="_GoBack"/>
      <w:bookmarkEnd w:id="1"/>
      <w:r w:rsidRPr="00203E95">
        <w:rPr>
          <w:rFonts w:ascii="Times New Roman" w:hAnsi="Times New Roman" w:cs="Times New Roman"/>
        </w:rPr>
        <w:t xml:space="preserve"> Classical Greek context </w:t>
      </w:r>
      <w:r w:rsidR="00022689" w:rsidRPr="00203E95">
        <w:rPr>
          <w:rFonts w:ascii="Times New Roman" w:hAnsi="Times New Roman" w:cs="Times New Roman"/>
        </w:rPr>
        <w:t>–</w:t>
      </w:r>
      <w:r w:rsidRPr="00203E95">
        <w:rPr>
          <w:rFonts w:ascii="Times New Roman" w:hAnsi="Times New Roman" w:cs="Times New Roman"/>
        </w:rPr>
        <w:t xml:space="preserve"> </w:t>
      </w:r>
      <w:r w:rsidR="00022689" w:rsidRPr="00203E95">
        <w:rPr>
          <w:rFonts w:ascii="Times New Roman" w:hAnsi="Times New Roman" w:cs="Times New Roman"/>
        </w:rPr>
        <w:t xml:space="preserve">which is </w:t>
      </w:r>
      <w:r w:rsidR="00F32207" w:rsidRPr="00203E95">
        <w:rPr>
          <w:rFonts w:ascii="Times New Roman" w:hAnsi="Times New Roman" w:cs="Times New Roman"/>
        </w:rPr>
        <w:t xml:space="preserve">an </w:t>
      </w:r>
      <w:r w:rsidR="00022689" w:rsidRPr="00203E95">
        <w:rPr>
          <w:rFonts w:ascii="Times New Roman" w:hAnsi="Times New Roman" w:cs="Times New Roman"/>
        </w:rPr>
        <w:t>uncomfortable fit</w:t>
      </w:r>
      <w:r w:rsidR="00F32207" w:rsidRPr="00203E95">
        <w:rPr>
          <w:rFonts w:ascii="Times New Roman" w:hAnsi="Times New Roman" w:cs="Times New Roman"/>
        </w:rPr>
        <w:t xml:space="preserve"> at best</w:t>
      </w:r>
      <w:r w:rsidR="00203E95" w:rsidRPr="00203E95">
        <w:rPr>
          <w:rFonts w:ascii="Times New Roman" w:hAnsi="Times New Roman" w:cs="Times New Roman"/>
        </w:rPr>
        <w:t xml:space="preserve"> and cannot be used in a generalising way onto other provinces into the Roman Empire</w:t>
      </w:r>
      <w:r w:rsidR="00022689" w:rsidRPr="00203E95">
        <w:rPr>
          <w:rFonts w:ascii="Times New Roman" w:hAnsi="Times New Roman" w:cs="Times New Roman"/>
        </w:rPr>
        <w:t xml:space="preserve">. </w:t>
      </w:r>
    </w:p>
    <w:p w14:paraId="3628B110" w14:textId="521D7F04" w:rsidR="00292A5E" w:rsidRDefault="00292A5E"/>
    <w:p w14:paraId="509E8BE0" w14:textId="6D68FEE4" w:rsidR="00292A5E" w:rsidRDefault="00292A5E"/>
    <w:p w14:paraId="70076DF5" w14:textId="68123707" w:rsidR="00292A5E" w:rsidRDefault="00292A5E"/>
    <w:p w14:paraId="546004CD" w14:textId="77777777" w:rsidR="00203E95" w:rsidRDefault="00203E95"/>
    <w:p w14:paraId="16DE2177" w14:textId="0C87E4C5" w:rsidR="002F0986" w:rsidRPr="00110E6E" w:rsidRDefault="00292A5E">
      <w:pPr>
        <w:rPr>
          <w:sz w:val="28"/>
        </w:rPr>
      </w:pPr>
      <w:r w:rsidRPr="00110E6E">
        <w:rPr>
          <w:sz w:val="28"/>
        </w:rPr>
        <w:lastRenderedPageBreak/>
        <w:t>Bib</w:t>
      </w:r>
      <w:r w:rsidR="00110E6E" w:rsidRPr="00110E6E">
        <w:rPr>
          <w:sz w:val="28"/>
        </w:rPr>
        <w:t>liography</w:t>
      </w:r>
      <w:r w:rsidR="00110E6E">
        <w:rPr>
          <w:sz w:val="28"/>
        </w:rPr>
        <w:br/>
      </w:r>
    </w:p>
    <w:p w14:paraId="7FF4400E" w14:textId="2675F3A4" w:rsidR="00A35769" w:rsidRDefault="002F0986">
      <w:proofErr w:type="spellStart"/>
      <w:r>
        <w:t>Rupke</w:t>
      </w:r>
      <w:proofErr w:type="spellEnd"/>
      <w:r>
        <w:t xml:space="preserve">, J. 2014. </w:t>
      </w:r>
      <w:r w:rsidRPr="003F4CC1">
        <w:rPr>
          <w:i/>
        </w:rPr>
        <w:t>From Jupiter to Christ: On the History of Religion in the Roman Imperial Period</w:t>
      </w:r>
      <w:r>
        <w:rPr>
          <w:i/>
        </w:rPr>
        <w:t xml:space="preserve">. </w:t>
      </w:r>
      <w:r>
        <w:t>Oxford University Press: Oxford</w:t>
      </w:r>
    </w:p>
    <w:p w14:paraId="35A6D0C5" w14:textId="14688D40" w:rsidR="00A35769" w:rsidRPr="00A35769" w:rsidRDefault="00A35769">
      <w:pPr>
        <w:rPr>
          <w:iCs/>
        </w:rPr>
      </w:pPr>
      <w:r>
        <w:rPr>
          <w:iCs/>
        </w:rPr>
        <w:t>Buckler</w:t>
      </w:r>
      <w:r w:rsidRPr="002950FB">
        <w:rPr>
          <w:iCs/>
        </w:rPr>
        <w:t xml:space="preserve">, J. </w:t>
      </w:r>
      <w:r>
        <w:rPr>
          <w:iCs/>
        </w:rPr>
        <w:t>1989</w:t>
      </w:r>
      <w:r w:rsidRPr="002950FB">
        <w:rPr>
          <w:iCs/>
        </w:rPr>
        <w:t xml:space="preserve">. </w:t>
      </w:r>
      <w:r>
        <w:rPr>
          <w:iCs/>
        </w:rPr>
        <w:t>Phillip II and the Sacred War</w:t>
      </w:r>
      <w:r w:rsidRPr="002950FB">
        <w:rPr>
          <w:iCs/>
        </w:rPr>
        <w:t>. Leiden,</w:t>
      </w:r>
      <w:r>
        <w:rPr>
          <w:iCs/>
        </w:rPr>
        <w:t xml:space="preserve"> E.J.</w:t>
      </w:r>
      <w:r w:rsidRPr="002950FB">
        <w:rPr>
          <w:iCs/>
        </w:rPr>
        <w:t xml:space="preserve"> Brill. </w:t>
      </w:r>
      <w:r>
        <w:rPr>
          <w:iCs/>
        </w:rPr>
        <w:t>58-114</w:t>
      </w:r>
    </w:p>
    <w:p w14:paraId="03CC480A" w14:textId="4521FE6A" w:rsidR="007D6031" w:rsidRDefault="007D6031">
      <w:proofErr w:type="spellStart"/>
      <w:r>
        <w:t>Rupke</w:t>
      </w:r>
      <w:proofErr w:type="spellEnd"/>
      <w:r>
        <w:t xml:space="preserve">, J. 2014. </w:t>
      </w:r>
      <w:r w:rsidRPr="003F4CC1">
        <w:rPr>
          <w:i/>
        </w:rPr>
        <w:t>From Jupiter to Christ: On the History of Religion in the Roman Imperial Period</w:t>
      </w:r>
      <w:r>
        <w:rPr>
          <w:i/>
        </w:rPr>
        <w:t xml:space="preserve">. </w:t>
      </w:r>
      <w:r>
        <w:t>Oxford University Press: Oxford</w:t>
      </w:r>
    </w:p>
    <w:p w14:paraId="00E54DF0" w14:textId="262EEB37" w:rsidR="007D6031" w:rsidRDefault="007D6031">
      <w:r>
        <w:t xml:space="preserve">Burkert, W. 1985. </w:t>
      </w:r>
      <w:r w:rsidRPr="00BD61E7">
        <w:rPr>
          <w:i/>
        </w:rPr>
        <w:t>Greek Religion.</w:t>
      </w:r>
      <w:r>
        <w:rPr>
          <w:i/>
        </w:rPr>
        <w:t xml:space="preserve"> </w:t>
      </w:r>
      <w:r>
        <w:t>Harvard University Press: Cambridge</w:t>
      </w:r>
    </w:p>
    <w:p w14:paraId="7AD206F7" w14:textId="266D9AE7" w:rsidR="00292A5E" w:rsidRDefault="007D6031">
      <w:proofErr w:type="spellStart"/>
      <w:r>
        <w:t>Kindt</w:t>
      </w:r>
      <w:proofErr w:type="spellEnd"/>
      <w:r>
        <w:t xml:space="preserve">, J. 2012. </w:t>
      </w:r>
      <w:r w:rsidRPr="003B4EBC">
        <w:rPr>
          <w:i/>
        </w:rPr>
        <w:t>Rethinking Greek Religion.</w:t>
      </w:r>
      <w:r>
        <w:rPr>
          <w:i/>
        </w:rPr>
        <w:t xml:space="preserve"> </w:t>
      </w:r>
      <w:r>
        <w:t xml:space="preserve">Cambridge University Press: Cambridge </w:t>
      </w:r>
    </w:p>
    <w:p w14:paraId="34F78CA7" w14:textId="6E5649FD" w:rsidR="00292A5E" w:rsidRDefault="00292A5E" w:rsidP="00292A5E">
      <w:r w:rsidRPr="00155F5C">
        <w:t>Inwood</w:t>
      </w:r>
      <w:r>
        <w:t>, C. 1990. ‘What is Polis Religion?’</w:t>
      </w:r>
      <w:r w:rsidRPr="00155F5C">
        <w:t xml:space="preserve"> </w:t>
      </w:r>
      <w:r>
        <w:t>in</w:t>
      </w:r>
      <w:r w:rsidRPr="00155F5C">
        <w:t xml:space="preserve"> Murray</w:t>
      </w:r>
      <w:r>
        <w:t xml:space="preserve">, O. &amp; </w:t>
      </w:r>
      <w:r w:rsidRPr="00155F5C">
        <w:t>Price</w:t>
      </w:r>
      <w:r>
        <w:t>, S.</w:t>
      </w:r>
      <w:r w:rsidRPr="00155F5C">
        <w:t xml:space="preserve"> (eds.), </w:t>
      </w:r>
      <w:r w:rsidRPr="00CE47A5">
        <w:rPr>
          <w:i/>
        </w:rPr>
        <w:t xml:space="preserve">The Greek City from Homer to Alexander. </w:t>
      </w:r>
      <w:r>
        <w:t xml:space="preserve">Oxford University Press: Oxford </w:t>
      </w:r>
      <w:r w:rsidRPr="00155F5C">
        <w:t>295-322.</w:t>
      </w:r>
      <w:r>
        <w:t xml:space="preserve"> </w:t>
      </w:r>
    </w:p>
    <w:p w14:paraId="17DBB923" w14:textId="0A39E202" w:rsidR="00292A5E" w:rsidRDefault="00292A5E" w:rsidP="00292A5E">
      <w:proofErr w:type="spellStart"/>
      <w:r w:rsidRPr="00380F3B">
        <w:t>Sourvinou</w:t>
      </w:r>
      <w:proofErr w:type="spellEnd"/>
      <w:r w:rsidRPr="00380F3B">
        <w:t>-Inwood, C</w:t>
      </w:r>
      <w:r>
        <w:t>. 2000. ‘</w:t>
      </w:r>
      <w:r w:rsidRPr="00380F3B">
        <w:t>Fur</w:t>
      </w:r>
      <w:r>
        <w:t>ther Aspects of Polis Religion’</w:t>
      </w:r>
      <w:r w:rsidRPr="00380F3B">
        <w:t xml:space="preserve"> in R. BUXTON(ed.), Oxford Readings in Greek Religion, Oxford</w:t>
      </w:r>
      <w:r>
        <w:t xml:space="preserve"> University Press: Oxford. </w:t>
      </w:r>
      <w:r w:rsidRPr="00380F3B">
        <w:t>38-55, first publi</w:t>
      </w:r>
      <w:r>
        <w:t>shed in AION(Arch) 10 (1988</w:t>
      </w:r>
      <w:r w:rsidR="003860A1">
        <w:t xml:space="preserve">), </w:t>
      </w:r>
      <w:r w:rsidR="003860A1" w:rsidRPr="00380F3B">
        <w:t>259</w:t>
      </w:r>
      <w:r w:rsidRPr="00380F3B">
        <w:t>-274.</w:t>
      </w:r>
    </w:p>
    <w:p w14:paraId="7885A0E7" w14:textId="0FCF27A4" w:rsidR="00D2017E" w:rsidRDefault="00D2017E" w:rsidP="00D2017E">
      <w:r>
        <w:t>Beard, M. North, J</w:t>
      </w:r>
      <w:r w:rsidR="003860A1">
        <w:t>, &amp;</w:t>
      </w:r>
      <w:r>
        <w:t xml:space="preserve"> Price, S. 1998</w:t>
      </w:r>
      <w:r w:rsidRPr="00407B4A">
        <w:rPr>
          <w:i/>
        </w:rPr>
        <w:t>. Religions of Rome</w:t>
      </w:r>
      <w:r>
        <w:t>. Cambridge University Press: Cambridge.</w:t>
      </w:r>
    </w:p>
    <w:p w14:paraId="339DCFC2" w14:textId="16C526E9" w:rsidR="000931FE" w:rsidRPr="000931FE" w:rsidRDefault="003860A1">
      <w:r>
        <w:t xml:space="preserve">Price, S.R.F. 1984. </w:t>
      </w:r>
      <w:r w:rsidRPr="006038E4">
        <w:rPr>
          <w:i/>
        </w:rPr>
        <w:t>Rituals and Power: The Roman Imperial Cult in Asia Minor.</w:t>
      </w:r>
      <w:r>
        <w:rPr>
          <w:i/>
        </w:rPr>
        <w:t xml:space="preserve"> </w:t>
      </w:r>
      <w:r>
        <w:t>Cambridge University Press: Cambridge.</w:t>
      </w:r>
    </w:p>
    <w:p w14:paraId="0E668910" w14:textId="21A4B87A" w:rsidR="000931FE" w:rsidRPr="00612B00" w:rsidRDefault="000931FE" w:rsidP="000931FE">
      <w:proofErr w:type="spellStart"/>
      <w:r>
        <w:rPr>
          <w:rFonts w:ascii="Verdana" w:hAnsi="Verdana"/>
          <w:color w:val="000000"/>
          <w:sz w:val="20"/>
          <w:szCs w:val="20"/>
        </w:rPr>
        <w:t>Neils</w:t>
      </w:r>
      <w:proofErr w:type="spellEnd"/>
      <w:r>
        <w:rPr>
          <w:rFonts w:ascii="Verdana" w:hAnsi="Verdana"/>
          <w:color w:val="000000"/>
          <w:sz w:val="20"/>
          <w:szCs w:val="20"/>
        </w:rPr>
        <w:t>, et al (1992). </w:t>
      </w:r>
      <w:r>
        <w:rPr>
          <w:rFonts w:ascii="Verdana" w:hAnsi="Verdana"/>
          <w:i/>
          <w:iCs/>
          <w:color w:val="000000"/>
          <w:sz w:val="20"/>
          <w:szCs w:val="20"/>
        </w:rPr>
        <w:t>Goddess and Polis: the Panathenaic Festival in Ancient Athen</w:t>
      </w:r>
      <w:r w:rsidR="007235AE">
        <w:rPr>
          <w:rFonts w:ascii="Verdana" w:hAnsi="Verdana"/>
          <w:i/>
          <w:iCs/>
          <w:color w:val="000000"/>
          <w:sz w:val="20"/>
          <w:szCs w:val="20"/>
        </w:rPr>
        <w:t>s</w:t>
      </w:r>
      <w:r>
        <w:rPr>
          <w:rFonts w:ascii="Verdana" w:hAnsi="Verdana"/>
          <w:color w:val="000000"/>
          <w:sz w:val="20"/>
          <w:szCs w:val="20"/>
        </w:rPr>
        <w:t xml:space="preserve">. Hood Museum of Art: Dartmouth College. </w:t>
      </w:r>
    </w:p>
    <w:sectPr w:rsidR="000931FE" w:rsidRPr="00612B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29F088" w14:textId="77777777" w:rsidR="009253E1" w:rsidRDefault="009253E1" w:rsidP="002F0D58">
      <w:pPr>
        <w:spacing w:after="0" w:line="240" w:lineRule="auto"/>
      </w:pPr>
      <w:r>
        <w:separator/>
      </w:r>
    </w:p>
  </w:endnote>
  <w:endnote w:type="continuationSeparator" w:id="0">
    <w:p w14:paraId="2AA0D1BA" w14:textId="77777777" w:rsidR="009253E1" w:rsidRDefault="009253E1" w:rsidP="002F0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B5C249" w14:textId="77777777" w:rsidR="009253E1" w:rsidRDefault="009253E1" w:rsidP="002F0D58">
      <w:pPr>
        <w:spacing w:after="0" w:line="240" w:lineRule="auto"/>
      </w:pPr>
      <w:r>
        <w:separator/>
      </w:r>
    </w:p>
  </w:footnote>
  <w:footnote w:type="continuationSeparator" w:id="0">
    <w:p w14:paraId="6CF58E42" w14:textId="77777777" w:rsidR="009253E1" w:rsidRDefault="009253E1" w:rsidP="002F0D58">
      <w:pPr>
        <w:spacing w:after="0" w:line="240" w:lineRule="auto"/>
      </w:pPr>
      <w:r>
        <w:continuationSeparator/>
      </w:r>
    </w:p>
  </w:footnote>
  <w:footnote w:id="1">
    <w:p w14:paraId="078AC4AF" w14:textId="21F53F46" w:rsidR="00411BB5" w:rsidRPr="00203E95" w:rsidRDefault="00411BB5" w:rsidP="00A35769">
      <w:pPr>
        <w:pStyle w:val="FootnoteText"/>
        <w:rPr>
          <w:rFonts w:asciiTheme="majorHAnsi" w:hAnsiTheme="majorHAnsi" w:cstheme="majorHAnsi"/>
        </w:rPr>
      </w:pPr>
      <w:r w:rsidRPr="00203E95">
        <w:rPr>
          <w:rStyle w:val="FootnoteReference"/>
          <w:rFonts w:asciiTheme="majorHAnsi" w:hAnsiTheme="majorHAnsi" w:cstheme="majorHAnsi"/>
        </w:rPr>
        <w:footnoteRef/>
      </w:r>
      <w:r w:rsidRPr="00203E95">
        <w:rPr>
          <w:rFonts w:asciiTheme="majorHAnsi" w:hAnsiTheme="majorHAnsi" w:cstheme="majorHAnsi"/>
        </w:rPr>
        <w:t xml:space="preserve"> </w:t>
      </w:r>
      <w:r w:rsidR="00A35769" w:rsidRPr="00203E95">
        <w:rPr>
          <w:rFonts w:asciiTheme="majorHAnsi" w:hAnsiTheme="majorHAnsi" w:cstheme="majorHAnsi"/>
        </w:rPr>
        <w:t>Beard, North &amp; Price 1998: 317</w:t>
      </w:r>
      <w:r w:rsidR="008C7BA4">
        <w:rPr>
          <w:rFonts w:asciiTheme="majorHAnsi" w:hAnsiTheme="majorHAnsi" w:cstheme="majorHAnsi"/>
        </w:rPr>
        <w:t>.</w:t>
      </w:r>
      <w:r w:rsidRPr="00203E95">
        <w:rPr>
          <w:rFonts w:asciiTheme="majorHAnsi" w:hAnsiTheme="majorHAnsi" w:cstheme="majorHAnsi"/>
        </w:rPr>
        <w:tab/>
      </w:r>
    </w:p>
  </w:footnote>
  <w:footnote w:id="2">
    <w:p w14:paraId="5E704ABB" w14:textId="454B8428" w:rsidR="00411BB5" w:rsidRPr="00203E95" w:rsidRDefault="00411BB5">
      <w:pPr>
        <w:pStyle w:val="FootnoteText"/>
        <w:rPr>
          <w:rFonts w:asciiTheme="majorHAnsi" w:hAnsiTheme="majorHAnsi" w:cstheme="majorHAnsi"/>
        </w:rPr>
      </w:pPr>
      <w:r w:rsidRPr="00203E95">
        <w:rPr>
          <w:rStyle w:val="FootnoteReference"/>
          <w:rFonts w:asciiTheme="majorHAnsi" w:hAnsiTheme="majorHAnsi" w:cstheme="majorHAnsi"/>
        </w:rPr>
        <w:footnoteRef/>
      </w:r>
      <w:r w:rsidRPr="00203E95">
        <w:rPr>
          <w:rFonts w:asciiTheme="majorHAnsi" w:hAnsiTheme="majorHAnsi" w:cstheme="majorHAnsi"/>
        </w:rPr>
        <w:t xml:space="preserve"> </w:t>
      </w:r>
      <w:bookmarkStart w:id="0" w:name="_Hlk510131718"/>
      <w:proofErr w:type="spellStart"/>
      <w:r w:rsidRPr="00203E95">
        <w:rPr>
          <w:rFonts w:asciiTheme="majorHAnsi" w:hAnsiTheme="majorHAnsi" w:cstheme="majorHAnsi"/>
        </w:rPr>
        <w:t>Kindt</w:t>
      </w:r>
      <w:proofErr w:type="spellEnd"/>
      <w:r w:rsidRPr="00203E95">
        <w:rPr>
          <w:rFonts w:asciiTheme="majorHAnsi" w:hAnsiTheme="majorHAnsi" w:cstheme="majorHAnsi"/>
        </w:rPr>
        <w:t xml:space="preserve"> </w:t>
      </w:r>
      <w:bookmarkEnd w:id="0"/>
      <w:r w:rsidRPr="00203E95">
        <w:rPr>
          <w:rFonts w:asciiTheme="majorHAnsi" w:hAnsiTheme="majorHAnsi" w:cstheme="majorHAnsi"/>
        </w:rPr>
        <w:t>2012: 13</w:t>
      </w:r>
      <w:r w:rsidR="00083DFF" w:rsidRPr="00203E95">
        <w:rPr>
          <w:rFonts w:asciiTheme="majorHAnsi" w:hAnsiTheme="majorHAnsi" w:cstheme="majorHAnsi"/>
        </w:rPr>
        <w:t>; Inwood 1990: 295.</w:t>
      </w:r>
    </w:p>
  </w:footnote>
  <w:footnote w:id="3">
    <w:p w14:paraId="7B29BBF3" w14:textId="0897482E" w:rsidR="00277A7D" w:rsidRPr="00203E95" w:rsidRDefault="00277A7D">
      <w:pPr>
        <w:pStyle w:val="FootnoteText"/>
        <w:rPr>
          <w:rFonts w:asciiTheme="majorHAnsi" w:hAnsiTheme="majorHAnsi" w:cstheme="majorHAnsi"/>
        </w:rPr>
      </w:pPr>
      <w:r w:rsidRPr="00203E95">
        <w:rPr>
          <w:rStyle w:val="FootnoteReference"/>
          <w:rFonts w:asciiTheme="majorHAnsi" w:hAnsiTheme="majorHAnsi" w:cstheme="majorHAnsi"/>
        </w:rPr>
        <w:footnoteRef/>
      </w:r>
      <w:r w:rsidRPr="00203E95">
        <w:rPr>
          <w:rFonts w:asciiTheme="majorHAnsi" w:hAnsiTheme="majorHAnsi" w:cstheme="majorHAnsi"/>
        </w:rPr>
        <w:t xml:space="preserve"> </w:t>
      </w:r>
      <w:r w:rsidR="00083DFF" w:rsidRPr="00203E95">
        <w:rPr>
          <w:rFonts w:asciiTheme="majorHAnsi" w:hAnsiTheme="majorHAnsi" w:cstheme="majorHAnsi"/>
        </w:rPr>
        <w:t>Pan-</w:t>
      </w:r>
      <w:r w:rsidR="00B3417B" w:rsidRPr="00203E95">
        <w:rPr>
          <w:rFonts w:asciiTheme="majorHAnsi" w:hAnsiTheme="majorHAnsi" w:cstheme="majorHAnsi"/>
        </w:rPr>
        <w:t>Hellenism,</w:t>
      </w:r>
      <w:r w:rsidR="00083DFF" w:rsidRPr="00203E95">
        <w:rPr>
          <w:rFonts w:asciiTheme="majorHAnsi" w:hAnsiTheme="majorHAnsi" w:cstheme="majorHAnsi"/>
        </w:rPr>
        <w:t xml:space="preserve"> as a general nebulous concept, being an exception (Buckler 1996:80-81).</w:t>
      </w:r>
    </w:p>
  </w:footnote>
  <w:footnote w:id="4">
    <w:p w14:paraId="5AD1F8D5" w14:textId="588933AD" w:rsidR="002A3B76" w:rsidRPr="00203E95" w:rsidRDefault="002A3B76">
      <w:pPr>
        <w:pStyle w:val="FootnoteText"/>
        <w:rPr>
          <w:rFonts w:asciiTheme="majorHAnsi" w:hAnsiTheme="majorHAnsi" w:cstheme="majorHAnsi"/>
        </w:rPr>
      </w:pPr>
      <w:r w:rsidRPr="00203E95">
        <w:rPr>
          <w:rStyle w:val="FootnoteReference"/>
          <w:rFonts w:asciiTheme="majorHAnsi" w:hAnsiTheme="majorHAnsi" w:cstheme="majorHAnsi"/>
        </w:rPr>
        <w:footnoteRef/>
      </w:r>
      <w:r w:rsidRPr="00203E95">
        <w:rPr>
          <w:rFonts w:asciiTheme="majorHAnsi" w:hAnsiTheme="majorHAnsi" w:cstheme="majorHAnsi"/>
        </w:rPr>
        <w:t xml:space="preserve"> </w:t>
      </w:r>
      <w:proofErr w:type="spellStart"/>
      <w:r w:rsidR="00A35769" w:rsidRPr="00203E95">
        <w:rPr>
          <w:rFonts w:asciiTheme="majorHAnsi" w:hAnsiTheme="majorHAnsi" w:cstheme="majorHAnsi"/>
        </w:rPr>
        <w:t>Kindt</w:t>
      </w:r>
      <w:proofErr w:type="spellEnd"/>
      <w:r w:rsidR="00A35769" w:rsidRPr="00203E95">
        <w:rPr>
          <w:rFonts w:asciiTheme="majorHAnsi" w:hAnsiTheme="majorHAnsi" w:cstheme="majorHAnsi"/>
        </w:rPr>
        <w:t xml:space="preserve"> 2012: 12</w:t>
      </w:r>
      <w:r w:rsidR="008C7BA4">
        <w:rPr>
          <w:rFonts w:asciiTheme="majorHAnsi" w:hAnsiTheme="majorHAnsi" w:cstheme="majorHAnsi"/>
        </w:rPr>
        <w:t>.</w:t>
      </w:r>
    </w:p>
  </w:footnote>
  <w:footnote w:id="5">
    <w:p w14:paraId="2F4CAF52" w14:textId="2290461F" w:rsidR="000434CD" w:rsidRPr="00203E95" w:rsidRDefault="000434CD">
      <w:pPr>
        <w:pStyle w:val="FootnoteText"/>
        <w:rPr>
          <w:rFonts w:asciiTheme="majorHAnsi" w:hAnsiTheme="majorHAnsi" w:cstheme="majorHAnsi"/>
        </w:rPr>
      </w:pPr>
      <w:r w:rsidRPr="00203E95">
        <w:rPr>
          <w:rStyle w:val="FootnoteReference"/>
          <w:rFonts w:asciiTheme="majorHAnsi" w:hAnsiTheme="majorHAnsi" w:cstheme="majorHAnsi"/>
        </w:rPr>
        <w:footnoteRef/>
      </w:r>
      <w:r w:rsidRPr="00203E95">
        <w:rPr>
          <w:rFonts w:asciiTheme="majorHAnsi" w:hAnsiTheme="majorHAnsi" w:cstheme="majorHAnsi"/>
        </w:rPr>
        <w:t xml:space="preserve"> </w:t>
      </w:r>
      <w:proofErr w:type="spellStart"/>
      <w:r w:rsidR="00A35769" w:rsidRPr="00203E95">
        <w:rPr>
          <w:rFonts w:asciiTheme="majorHAnsi" w:hAnsiTheme="majorHAnsi" w:cstheme="majorHAnsi"/>
        </w:rPr>
        <w:t>Aristot</w:t>
      </w:r>
      <w:proofErr w:type="spellEnd"/>
      <w:r w:rsidR="00A35769" w:rsidRPr="00203E95">
        <w:rPr>
          <w:rFonts w:asciiTheme="majorHAnsi" w:hAnsiTheme="majorHAnsi" w:cstheme="majorHAnsi"/>
        </w:rPr>
        <w:t xml:space="preserve">. </w:t>
      </w:r>
      <w:r w:rsidR="00A35769" w:rsidRPr="00203E95">
        <w:rPr>
          <w:rFonts w:asciiTheme="majorHAnsi" w:hAnsiTheme="majorHAnsi" w:cstheme="majorHAnsi"/>
          <w:i/>
        </w:rPr>
        <w:t>Pol</w:t>
      </w:r>
      <w:r w:rsidR="00A35769" w:rsidRPr="00203E95">
        <w:rPr>
          <w:rFonts w:asciiTheme="majorHAnsi" w:hAnsiTheme="majorHAnsi" w:cstheme="majorHAnsi"/>
        </w:rPr>
        <w:t>. 2.1263a- 2.1265b, 2.1271b</w:t>
      </w:r>
      <w:r w:rsidR="008C7BA4">
        <w:rPr>
          <w:rFonts w:asciiTheme="majorHAnsi" w:hAnsiTheme="majorHAnsi" w:cstheme="majorHAnsi"/>
        </w:rPr>
        <w:t>.</w:t>
      </w:r>
    </w:p>
  </w:footnote>
  <w:footnote w:id="6">
    <w:p w14:paraId="219C3AD0" w14:textId="13DED7AD" w:rsidR="000434CD" w:rsidRPr="00203E95" w:rsidRDefault="000434CD">
      <w:pPr>
        <w:pStyle w:val="FootnoteText"/>
        <w:rPr>
          <w:rFonts w:asciiTheme="majorHAnsi" w:hAnsiTheme="majorHAnsi" w:cstheme="majorHAnsi"/>
        </w:rPr>
      </w:pPr>
      <w:r w:rsidRPr="00203E95">
        <w:rPr>
          <w:rStyle w:val="FootnoteReference"/>
          <w:rFonts w:asciiTheme="majorHAnsi" w:hAnsiTheme="majorHAnsi" w:cstheme="majorHAnsi"/>
        </w:rPr>
        <w:footnoteRef/>
      </w:r>
      <w:r w:rsidRPr="00203E95">
        <w:rPr>
          <w:rFonts w:asciiTheme="majorHAnsi" w:hAnsiTheme="majorHAnsi" w:cstheme="majorHAnsi"/>
        </w:rPr>
        <w:t xml:space="preserve"> </w:t>
      </w:r>
      <w:r w:rsidR="00A35769" w:rsidRPr="00203E95">
        <w:rPr>
          <w:rFonts w:asciiTheme="majorHAnsi" w:hAnsiTheme="majorHAnsi" w:cstheme="majorHAnsi"/>
        </w:rPr>
        <w:t>Buckler 1996: 91</w:t>
      </w:r>
      <w:r w:rsidR="008C7BA4">
        <w:rPr>
          <w:rFonts w:asciiTheme="majorHAnsi" w:hAnsiTheme="majorHAnsi" w:cstheme="majorHAnsi"/>
        </w:rPr>
        <w:t>.</w:t>
      </w:r>
    </w:p>
  </w:footnote>
  <w:footnote w:id="7">
    <w:p w14:paraId="5A60C9EB" w14:textId="6704B51A" w:rsidR="000434CD" w:rsidRPr="00203E95" w:rsidRDefault="000434CD">
      <w:pPr>
        <w:pStyle w:val="FootnoteText"/>
        <w:rPr>
          <w:rFonts w:asciiTheme="majorHAnsi" w:hAnsiTheme="majorHAnsi" w:cstheme="majorHAnsi"/>
        </w:rPr>
      </w:pPr>
      <w:r w:rsidRPr="00203E95">
        <w:rPr>
          <w:rStyle w:val="FootnoteReference"/>
          <w:rFonts w:asciiTheme="majorHAnsi" w:hAnsiTheme="majorHAnsi" w:cstheme="majorHAnsi"/>
        </w:rPr>
        <w:footnoteRef/>
      </w:r>
      <w:r w:rsidRPr="00203E95">
        <w:rPr>
          <w:rFonts w:asciiTheme="majorHAnsi" w:hAnsiTheme="majorHAnsi" w:cstheme="majorHAnsi"/>
        </w:rPr>
        <w:t xml:space="preserve"> </w:t>
      </w:r>
      <w:r w:rsidR="00C82774" w:rsidRPr="00203E95">
        <w:rPr>
          <w:rFonts w:asciiTheme="majorHAnsi" w:hAnsiTheme="majorHAnsi" w:cstheme="majorHAnsi"/>
        </w:rPr>
        <w:t>Beard, North &amp; Price 1998: 320</w:t>
      </w:r>
      <w:r w:rsidR="008C7BA4">
        <w:rPr>
          <w:rFonts w:asciiTheme="majorHAnsi" w:hAnsiTheme="majorHAnsi" w:cstheme="majorHAnsi"/>
        </w:rPr>
        <w:t>.</w:t>
      </w:r>
    </w:p>
  </w:footnote>
  <w:footnote w:id="8">
    <w:p w14:paraId="7D69D9E6" w14:textId="57F0931E" w:rsidR="000434CD" w:rsidRPr="00203E95" w:rsidRDefault="000434CD">
      <w:pPr>
        <w:pStyle w:val="FootnoteText"/>
        <w:rPr>
          <w:rFonts w:asciiTheme="majorHAnsi" w:hAnsiTheme="majorHAnsi" w:cstheme="majorHAnsi"/>
        </w:rPr>
      </w:pPr>
      <w:r w:rsidRPr="00203E95">
        <w:rPr>
          <w:rStyle w:val="FootnoteReference"/>
          <w:rFonts w:asciiTheme="majorHAnsi" w:hAnsiTheme="majorHAnsi" w:cstheme="majorHAnsi"/>
        </w:rPr>
        <w:footnoteRef/>
      </w:r>
      <w:r w:rsidRPr="00203E95">
        <w:rPr>
          <w:rFonts w:asciiTheme="majorHAnsi" w:hAnsiTheme="majorHAnsi" w:cstheme="majorHAnsi"/>
        </w:rPr>
        <w:t xml:space="preserve"> </w:t>
      </w:r>
      <w:proofErr w:type="spellStart"/>
      <w:r w:rsidR="00083DFF" w:rsidRPr="00203E95">
        <w:rPr>
          <w:rFonts w:asciiTheme="majorHAnsi" w:hAnsiTheme="majorHAnsi" w:cstheme="majorHAnsi"/>
        </w:rPr>
        <w:t>Kindt</w:t>
      </w:r>
      <w:proofErr w:type="spellEnd"/>
      <w:r w:rsidR="00083DFF" w:rsidRPr="00203E95">
        <w:rPr>
          <w:rFonts w:asciiTheme="majorHAnsi" w:hAnsiTheme="majorHAnsi" w:cstheme="majorHAnsi"/>
        </w:rPr>
        <w:t xml:space="preserve"> 2012: 12</w:t>
      </w:r>
      <w:r w:rsidR="008C7BA4">
        <w:rPr>
          <w:rFonts w:asciiTheme="majorHAnsi" w:hAnsiTheme="majorHAnsi" w:cstheme="majorHAnsi"/>
        </w:rPr>
        <w:t>.</w:t>
      </w:r>
    </w:p>
  </w:footnote>
  <w:footnote w:id="9">
    <w:p w14:paraId="40B6A50F" w14:textId="3AA49B8F" w:rsidR="000434CD" w:rsidRPr="00203E95" w:rsidRDefault="000434CD">
      <w:pPr>
        <w:pStyle w:val="FootnoteText"/>
        <w:rPr>
          <w:rFonts w:asciiTheme="majorHAnsi" w:hAnsiTheme="majorHAnsi" w:cstheme="majorHAnsi"/>
        </w:rPr>
      </w:pPr>
      <w:r w:rsidRPr="00203E95">
        <w:rPr>
          <w:rStyle w:val="FootnoteReference"/>
          <w:rFonts w:asciiTheme="majorHAnsi" w:hAnsiTheme="majorHAnsi" w:cstheme="majorHAnsi"/>
        </w:rPr>
        <w:footnoteRef/>
      </w:r>
      <w:r w:rsidRPr="00203E95">
        <w:rPr>
          <w:rFonts w:asciiTheme="majorHAnsi" w:hAnsiTheme="majorHAnsi" w:cstheme="majorHAnsi"/>
        </w:rPr>
        <w:t xml:space="preserve"> </w:t>
      </w:r>
      <w:r w:rsidR="00374956" w:rsidRPr="00203E95">
        <w:rPr>
          <w:rFonts w:asciiTheme="majorHAnsi" w:hAnsiTheme="majorHAnsi" w:cstheme="majorHAnsi"/>
        </w:rPr>
        <w:t>Price 1984: 2</w:t>
      </w:r>
      <w:r w:rsidR="008C7BA4">
        <w:rPr>
          <w:rFonts w:asciiTheme="majorHAnsi" w:hAnsiTheme="majorHAnsi" w:cstheme="majorHAnsi"/>
        </w:rPr>
        <w:t>.</w:t>
      </w:r>
    </w:p>
  </w:footnote>
  <w:footnote w:id="10">
    <w:p w14:paraId="118C3E54" w14:textId="67498771" w:rsidR="00612B00" w:rsidRPr="00203E95" w:rsidRDefault="00612B00">
      <w:pPr>
        <w:pStyle w:val="FootnoteText"/>
        <w:rPr>
          <w:rFonts w:asciiTheme="majorHAnsi" w:hAnsiTheme="majorHAnsi" w:cstheme="majorHAnsi"/>
        </w:rPr>
      </w:pPr>
      <w:r w:rsidRPr="00203E95">
        <w:rPr>
          <w:rStyle w:val="FootnoteReference"/>
          <w:rFonts w:asciiTheme="majorHAnsi" w:hAnsiTheme="majorHAnsi" w:cstheme="majorHAnsi"/>
        </w:rPr>
        <w:footnoteRef/>
      </w:r>
      <w:r w:rsidRPr="00203E95">
        <w:rPr>
          <w:rFonts w:asciiTheme="majorHAnsi" w:hAnsiTheme="majorHAnsi" w:cstheme="majorHAnsi"/>
        </w:rPr>
        <w:t xml:space="preserve"> Rome itself show many signs of unique cultic practice, as well as temples, funerary beliefs and festivals</w:t>
      </w:r>
      <w:r w:rsidR="008E1C50">
        <w:rPr>
          <w:rFonts w:asciiTheme="majorHAnsi" w:hAnsiTheme="majorHAnsi" w:cstheme="majorHAnsi"/>
        </w:rPr>
        <w:t xml:space="preserve"> (</w:t>
      </w:r>
      <w:r w:rsidR="008E1C50" w:rsidRPr="00203E95">
        <w:rPr>
          <w:rFonts w:asciiTheme="majorHAnsi" w:hAnsiTheme="majorHAnsi" w:cstheme="majorHAnsi"/>
        </w:rPr>
        <w:t xml:space="preserve">Beard, North &amp; Price 1998: </w:t>
      </w:r>
      <w:r w:rsidR="008E1C50">
        <w:rPr>
          <w:rFonts w:asciiTheme="majorHAnsi" w:hAnsiTheme="majorHAnsi" w:cstheme="majorHAnsi"/>
        </w:rPr>
        <w:t>3)</w:t>
      </w:r>
      <w:r w:rsidRPr="00203E95">
        <w:rPr>
          <w:rFonts w:asciiTheme="majorHAnsi" w:hAnsiTheme="majorHAnsi" w:cstheme="majorHAnsi"/>
        </w:rPr>
        <w:t xml:space="preserve">. </w:t>
      </w:r>
    </w:p>
  </w:footnote>
  <w:footnote w:id="11">
    <w:p w14:paraId="4DDEB2D2" w14:textId="6D78D1F6" w:rsidR="000434CD" w:rsidRPr="00203E95" w:rsidRDefault="000434CD">
      <w:pPr>
        <w:pStyle w:val="FootnoteText"/>
        <w:rPr>
          <w:rFonts w:asciiTheme="majorHAnsi" w:hAnsiTheme="majorHAnsi" w:cstheme="majorHAnsi"/>
        </w:rPr>
      </w:pPr>
      <w:r w:rsidRPr="00203E95">
        <w:rPr>
          <w:rStyle w:val="FootnoteReference"/>
          <w:rFonts w:asciiTheme="majorHAnsi" w:hAnsiTheme="majorHAnsi" w:cstheme="majorHAnsi"/>
        </w:rPr>
        <w:footnoteRef/>
      </w:r>
      <w:r w:rsidRPr="00203E95">
        <w:rPr>
          <w:rFonts w:asciiTheme="majorHAnsi" w:hAnsiTheme="majorHAnsi" w:cstheme="majorHAnsi"/>
        </w:rPr>
        <w:t xml:space="preserve"> </w:t>
      </w:r>
      <w:proofErr w:type="spellStart"/>
      <w:r w:rsidR="0003601B" w:rsidRPr="00203E95">
        <w:rPr>
          <w:rFonts w:asciiTheme="majorHAnsi" w:hAnsiTheme="majorHAnsi" w:cstheme="majorHAnsi"/>
        </w:rPr>
        <w:t>Rupke</w:t>
      </w:r>
      <w:proofErr w:type="spellEnd"/>
      <w:r w:rsidR="0003601B" w:rsidRPr="00203E95">
        <w:rPr>
          <w:rFonts w:asciiTheme="majorHAnsi" w:hAnsiTheme="majorHAnsi" w:cstheme="majorHAnsi"/>
        </w:rPr>
        <w:t xml:space="preserve"> 2014: 116-</w:t>
      </w:r>
      <w:r w:rsidR="00B3417B" w:rsidRPr="00203E95">
        <w:rPr>
          <w:rFonts w:asciiTheme="majorHAnsi" w:hAnsiTheme="majorHAnsi" w:cstheme="majorHAnsi"/>
        </w:rPr>
        <w:t>24.</w:t>
      </w:r>
    </w:p>
  </w:footnote>
  <w:footnote w:id="12">
    <w:p w14:paraId="0D65B048" w14:textId="4C21BE8B" w:rsidR="000434CD" w:rsidRPr="00203E95" w:rsidRDefault="000434CD">
      <w:pPr>
        <w:pStyle w:val="FootnoteText"/>
        <w:rPr>
          <w:rFonts w:asciiTheme="majorHAnsi" w:hAnsiTheme="majorHAnsi" w:cstheme="majorHAnsi"/>
        </w:rPr>
      </w:pPr>
      <w:r w:rsidRPr="00203E95">
        <w:rPr>
          <w:rStyle w:val="FootnoteReference"/>
          <w:rFonts w:asciiTheme="majorHAnsi" w:hAnsiTheme="majorHAnsi" w:cstheme="majorHAnsi"/>
        </w:rPr>
        <w:footnoteRef/>
      </w:r>
      <w:r w:rsidRPr="00203E95">
        <w:rPr>
          <w:rFonts w:asciiTheme="majorHAnsi" w:hAnsiTheme="majorHAnsi" w:cstheme="majorHAnsi"/>
        </w:rPr>
        <w:t xml:space="preserve"> </w:t>
      </w:r>
      <w:proofErr w:type="spellStart"/>
      <w:r w:rsidR="00BD584D" w:rsidRPr="00203E95">
        <w:rPr>
          <w:rFonts w:asciiTheme="majorHAnsi" w:hAnsiTheme="majorHAnsi" w:cstheme="majorHAnsi"/>
        </w:rPr>
        <w:t>Rupke</w:t>
      </w:r>
      <w:proofErr w:type="spellEnd"/>
      <w:r w:rsidR="00BD584D" w:rsidRPr="00203E95">
        <w:rPr>
          <w:rFonts w:asciiTheme="majorHAnsi" w:hAnsiTheme="majorHAnsi" w:cstheme="majorHAnsi"/>
        </w:rPr>
        <w:t xml:space="preserve"> 2014: 120.</w:t>
      </w:r>
    </w:p>
  </w:footnote>
  <w:footnote w:id="13">
    <w:p w14:paraId="1110B50D" w14:textId="458FE43A" w:rsidR="000434CD" w:rsidRPr="00203E95" w:rsidRDefault="000434CD">
      <w:pPr>
        <w:pStyle w:val="FootnoteText"/>
        <w:rPr>
          <w:rFonts w:asciiTheme="majorHAnsi" w:hAnsiTheme="majorHAnsi" w:cstheme="majorHAnsi"/>
        </w:rPr>
      </w:pPr>
      <w:r w:rsidRPr="00203E95">
        <w:rPr>
          <w:rStyle w:val="FootnoteReference"/>
          <w:rFonts w:asciiTheme="majorHAnsi" w:hAnsiTheme="majorHAnsi" w:cstheme="majorHAnsi"/>
        </w:rPr>
        <w:footnoteRef/>
      </w:r>
      <w:r w:rsidRPr="00203E95">
        <w:rPr>
          <w:rFonts w:asciiTheme="majorHAnsi" w:hAnsiTheme="majorHAnsi" w:cstheme="majorHAnsi"/>
        </w:rPr>
        <w:t xml:space="preserve"> </w:t>
      </w:r>
      <w:r w:rsidR="002F0986" w:rsidRPr="00203E95">
        <w:rPr>
          <w:rFonts w:asciiTheme="majorHAnsi" w:hAnsiTheme="majorHAnsi" w:cstheme="majorHAnsi"/>
        </w:rPr>
        <w:t>Price 1984: 2, 29.</w:t>
      </w:r>
      <w:r w:rsidR="00537B77">
        <w:rPr>
          <w:rFonts w:asciiTheme="majorHAnsi" w:hAnsiTheme="majorHAnsi" w:cstheme="majorHAnsi"/>
        </w:rPr>
        <w:t xml:space="preserve"> </w:t>
      </w:r>
    </w:p>
  </w:footnote>
  <w:footnote w:id="14">
    <w:p w14:paraId="2A6B4EB6" w14:textId="1A84DE30" w:rsidR="000434CD" w:rsidRPr="00203E95" w:rsidRDefault="000434CD">
      <w:pPr>
        <w:pStyle w:val="FootnoteText"/>
        <w:rPr>
          <w:rFonts w:asciiTheme="majorHAnsi" w:hAnsiTheme="majorHAnsi" w:cstheme="majorHAnsi"/>
        </w:rPr>
      </w:pPr>
      <w:r w:rsidRPr="00203E95">
        <w:rPr>
          <w:rStyle w:val="FootnoteReference"/>
          <w:rFonts w:asciiTheme="majorHAnsi" w:hAnsiTheme="majorHAnsi" w:cstheme="majorHAnsi"/>
        </w:rPr>
        <w:footnoteRef/>
      </w:r>
      <w:r w:rsidRPr="00203E95">
        <w:rPr>
          <w:rFonts w:asciiTheme="majorHAnsi" w:hAnsiTheme="majorHAnsi" w:cstheme="majorHAnsi"/>
        </w:rPr>
        <w:t xml:space="preserve"> </w:t>
      </w:r>
      <w:r w:rsidR="002F0986" w:rsidRPr="00203E95">
        <w:rPr>
          <w:rFonts w:asciiTheme="majorHAnsi" w:hAnsiTheme="majorHAnsi" w:cstheme="majorHAnsi"/>
        </w:rPr>
        <w:t>Price 1984: 125-129.</w:t>
      </w:r>
    </w:p>
  </w:footnote>
  <w:footnote w:id="15">
    <w:p w14:paraId="460EC602" w14:textId="0CE2A450" w:rsidR="002F0986" w:rsidRPr="00203E95" w:rsidRDefault="002F0986">
      <w:pPr>
        <w:pStyle w:val="FootnoteText"/>
        <w:rPr>
          <w:rFonts w:asciiTheme="majorHAnsi" w:hAnsiTheme="majorHAnsi" w:cstheme="majorHAnsi"/>
        </w:rPr>
      </w:pPr>
      <w:r w:rsidRPr="00203E95">
        <w:rPr>
          <w:rStyle w:val="FootnoteReference"/>
          <w:rFonts w:asciiTheme="majorHAnsi" w:hAnsiTheme="majorHAnsi" w:cstheme="majorHAnsi"/>
        </w:rPr>
        <w:footnoteRef/>
      </w:r>
      <w:r w:rsidRPr="00203E95">
        <w:rPr>
          <w:rFonts w:asciiTheme="majorHAnsi" w:hAnsiTheme="majorHAnsi" w:cstheme="majorHAnsi"/>
        </w:rPr>
        <w:t xml:space="preserve"> </w:t>
      </w:r>
      <w:proofErr w:type="spellStart"/>
      <w:r w:rsidRPr="00203E95">
        <w:rPr>
          <w:rFonts w:asciiTheme="majorHAnsi" w:hAnsiTheme="majorHAnsi" w:cstheme="majorHAnsi"/>
        </w:rPr>
        <w:t>Kindt</w:t>
      </w:r>
      <w:proofErr w:type="spellEnd"/>
      <w:r w:rsidRPr="00203E95">
        <w:rPr>
          <w:rFonts w:asciiTheme="majorHAnsi" w:hAnsiTheme="majorHAnsi" w:cstheme="majorHAnsi"/>
        </w:rPr>
        <w:t xml:space="preserve"> 2012: 13; </w:t>
      </w:r>
      <w:proofErr w:type="spellStart"/>
      <w:r w:rsidRPr="00203E95">
        <w:rPr>
          <w:rFonts w:asciiTheme="majorHAnsi" w:hAnsiTheme="majorHAnsi" w:cstheme="majorHAnsi"/>
        </w:rPr>
        <w:t>Rupke</w:t>
      </w:r>
      <w:proofErr w:type="spellEnd"/>
      <w:r w:rsidRPr="00203E95">
        <w:rPr>
          <w:rFonts w:asciiTheme="majorHAnsi" w:hAnsiTheme="majorHAnsi" w:cstheme="majorHAnsi"/>
        </w:rPr>
        <w:t xml:space="preserve"> 2014: 124</w:t>
      </w:r>
      <w:r w:rsidR="000931FE" w:rsidRPr="00203E95">
        <w:rPr>
          <w:rFonts w:asciiTheme="majorHAnsi" w:hAnsiTheme="majorHAnsi" w:cstheme="majorHAnsi"/>
        </w:rPr>
        <w:t>.</w:t>
      </w:r>
    </w:p>
  </w:footnote>
  <w:footnote w:id="16">
    <w:p w14:paraId="017D2D79" w14:textId="5CC501CB" w:rsidR="000434CD" w:rsidRPr="00203E95" w:rsidRDefault="000434CD">
      <w:pPr>
        <w:pStyle w:val="FootnoteText"/>
        <w:rPr>
          <w:rFonts w:asciiTheme="majorHAnsi" w:hAnsiTheme="majorHAnsi" w:cstheme="majorHAnsi"/>
        </w:rPr>
      </w:pPr>
      <w:r w:rsidRPr="00203E95">
        <w:rPr>
          <w:rStyle w:val="FootnoteReference"/>
          <w:rFonts w:asciiTheme="majorHAnsi" w:hAnsiTheme="majorHAnsi" w:cstheme="majorHAnsi"/>
        </w:rPr>
        <w:footnoteRef/>
      </w:r>
      <w:r w:rsidRPr="00203E95">
        <w:rPr>
          <w:rFonts w:asciiTheme="majorHAnsi" w:hAnsiTheme="majorHAnsi" w:cstheme="majorHAnsi"/>
        </w:rPr>
        <w:t xml:space="preserve"> </w:t>
      </w:r>
      <w:proofErr w:type="spellStart"/>
      <w:r w:rsidR="000931FE" w:rsidRPr="00203E95">
        <w:rPr>
          <w:rFonts w:asciiTheme="majorHAnsi" w:hAnsiTheme="majorHAnsi" w:cstheme="majorHAnsi"/>
        </w:rPr>
        <w:t>Rupke</w:t>
      </w:r>
      <w:proofErr w:type="spellEnd"/>
      <w:r w:rsidR="000931FE" w:rsidRPr="00203E95">
        <w:rPr>
          <w:rFonts w:asciiTheme="majorHAnsi" w:hAnsiTheme="majorHAnsi" w:cstheme="majorHAnsi"/>
        </w:rPr>
        <w:t xml:space="preserve"> 2014: 120.</w:t>
      </w:r>
    </w:p>
  </w:footnote>
  <w:footnote w:id="17">
    <w:p w14:paraId="6051F8BF" w14:textId="1F65E151" w:rsidR="000434CD" w:rsidRPr="00203E95" w:rsidRDefault="000434CD">
      <w:pPr>
        <w:pStyle w:val="FootnoteText"/>
        <w:rPr>
          <w:rFonts w:asciiTheme="majorHAnsi" w:hAnsiTheme="majorHAnsi" w:cstheme="majorHAnsi"/>
        </w:rPr>
      </w:pPr>
      <w:r w:rsidRPr="00203E95">
        <w:rPr>
          <w:rStyle w:val="FootnoteReference"/>
          <w:rFonts w:asciiTheme="majorHAnsi" w:hAnsiTheme="majorHAnsi" w:cstheme="majorHAnsi"/>
        </w:rPr>
        <w:footnoteRef/>
      </w:r>
      <w:r w:rsidRPr="00203E95">
        <w:rPr>
          <w:rFonts w:asciiTheme="majorHAnsi" w:hAnsiTheme="majorHAnsi" w:cstheme="majorHAnsi"/>
        </w:rPr>
        <w:t xml:space="preserve"> </w:t>
      </w:r>
      <w:r w:rsidR="000931FE" w:rsidRPr="00203E95">
        <w:rPr>
          <w:rFonts w:asciiTheme="majorHAnsi" w:hAnsiTheme="majorHAnsi" w:cstheme="majorHAnsi"/>
        </w:rPr>
        <w:t>Price 1984: 240-248.</w:t>
      </w:r>
    </w:p>
  </w:footnote>
  <w:footnote w:id="18">
    <w:p w14:paraId="05E791FE" w14:textId="1405ECC7" w:rsidR="00F32207" w:rsidRPr="00203E95" w:rsidRDefault="00F32207">
      <w:pPr>
        <w:pStyle w:val="FootnoteText"/>
        <w:rPr>
          <w:rFonts w:asciiTheme="majorHAnsi" w:hAnsiTheme="majorHAnsi" w:cstheme="majorHAnsi"/>
        </w:rPr>
      </w:pPr>
      <w:r w:rsidRPr="00203E95">
        <w:rPr>
          <w:rStyle w:val="FootnoteReference"/>
          <w:rFonts w:asciiTheme="majorHAnsi" w:hAnsiTheme="majorHAnsi" w:cstheme="majorHAnsi"/>
        </w:rPr>
        <w:footnoteRef/>
      </w:r>
      <w:r w:rsidRPr="00203E95">
        <w:rPr>
          <w:rFonts w:asciiTheme="majorHAnsi" w:hAnsiTheme="majorHAnsi" w:cstheme="majorHAnsi"/>
        </w:rPr>
        <w:t xml:space="preserve"> </w:t>
      </w:r>
      <w:r w:rsidR="000931FE" w:rsidRPr="00203E95">
        <w:rPr>
          <w:rFonts w:asciiTheme="majorHAnsi" w:hAnsiTheme="majorHAnsi" w:cstheme="majorHAnsi"/>
        </w:rPr>
        <w:t>For example, the Panathenaea, and posthumous celebratory votive ceremonies</w:t>
      </w:r>
      <w:r w:rsidR="00E43950" w:rsidRPr="00203E95">
        <w:rPr>
          <w:rFonts w:asciiTheme="majorHAnsi" w:hAnsiTheme="majorHAnsi" w:cstheme="majorHAnsi"/>
        </w:rPr>
        <w:t xml:space="preserve"> (</w:t>
      </w:r>
      <w:proofErr w:type="spellStart"/>
      <w:r w:rsidR="00E43950" w:rsidRPr="00203E95">
        <w:rPr>
          <w:rFonts w:asciiTheme="majorHAnsi" w:hAnsiTheme="majorHAnsi" w:cstheme="majorHAnsi"/>
          <w:color w:val="000000"/>
        </w:rPr>
        <w:t>Neils</w:t>
      </w:r>
      <w:proofErr w:type="spellEnd"/>
      <w:r w:rsidR="00E43950" w:rsidRPr="00203E95">
        <w:rPr>
          <w:rFonts w:asciiTheme="majorHAnsi" w:hAnsiTheme="majorHAnsi" w:cstheme="majorHAnsi"/>
          <w:color w:val="000000"/>
        </w:rPr>
        <w:t xml:space="preserve"> 1992: 22)</w:t>
      </w:r>
      <w:r w:rsidR="000931FE" w:rsidRPr="00203E95">
        <w:rPr>
          <w:rFonts w:asciiTheme="majorHAnsi" w:hAnsiTheme="majorHAnsi" w:cstheme="majorHAnsi"/>
        </w:rPr>
        <w:t xml:space="preserve">. </w:t>
      </w:r>
    </w:p>
  </w:footnote>
  <w:footnote w:id="19">
    <w:p w14:paraId="32631A52" w14:textId="6E6E21FF" w:rsidR="00F32207" w:rsidRPr="00203E95" w:rsidRDefault="00F32207">
      <w:pPr>
        <w:pStyle w:val="FootnoteText"/>
        <w:rPr>
          <w:rFonts w:asciiTheme="majorHAnsi" w:hAnsiTheme="majorHAnsi" w:cstheme="majorHAnsi"/>
        </w:rPr>
      </w:pPr>
      <w:r w:rsidRPr="00203E95">
        <w:rPr>
          <w:rStyle w:val="FootnoteReference"/>
          <w:rFonts w:asciiTheme="majorHAnsi" w:hAnsiTheme="majorHAnsi" w:cstheme="majorHAnsi"/>
        </w:rPr>
        <w:footnoteRef/>
      </w:r>
      <w:r w:rsidRPr="00203E95">
        <w:rPr>
          <w:rFonts w:asciiTheme="majorHAnsi" w:hAnsiTheme="majorHAnsi" w:cstheme="majorHAnsi"/>
        </w:rPr>
        <w:t xml:space="preserve"> </w:t>
      </w:r>
      <w:proofErr w:type="spellStart"/>
      <w:r w:rsidR="009F6ADB" w:rsidRPr="00203E95">
        <w:rPr>
          <w:rFonts w:asciiTheme="majorHAnsi" w:hAnsiTheme="majorHAnsi" w:cstheme="majorHAnsi"/>
        </w:rPr>
        <w:t>Rupke</w:t>
      </w:r>
      <w:proofErr w:type="spellEnd"/>
      <w:r w:rsidR="009F6ADB" w:rsidRPr="00203E95">
        <w:rPr>
          <w:rFonts w:asciiTheme="majorHAnsi" w:hAnsiTheme="majorHAnsi" w:cstheme="majorHAnsi"/>
        </w:rPr>
        <w:t xml:space="preserve"> 2014: 120.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7IwNjM1NTAwMzYwMDdR0lEKTi0uzszPAykwqQUARPGXOSwAAAA="/>
  </w:docVars>
  <w:rsids>
    <w:rsidRoot w:val="00266EFC"/>
    <w:rsid w:val="00022689"/>
    <w:rsid w:val="0003601B"/>
    <w:rsid w:val="00041694"/>
    <w:rsid w:val="000434CD"/>
    <w:rsid w:val="000644E3"/>
    <w:rsid w:val="00083DFF"/>
    <w:rsid w:val="000931FE"/>
    <w:rsid w:val="000C6704"/>
    <w:rsid w:val="00110E6E"/>
    <w:rsid w:val="001D0D8A"/>
    <w:rsid w:val="00203E95"/>
    <w:rsid w:val="0025496D"/>
    <w:rsid w:val="00266EFC"/>
    <w:rsid w:val="00277A7D"/>
    <w:rsid w:val="00292A5E"/>
    <w:rsid w:val="002A3B76"/>
    <w:rsid w:val="002F0986"/>
    <w:rsid w:val="002F0D58"/>
    <w:rsid w:val="00374956"/>
    <w:rsid w:val="003860A1"/>
    <w:rsid w:val="003D669F"/>
    <w:rsid w:val="00411BB5"/>
    <w:rsid w:val="004662ED"/>
    <w:rsid w:val="004E4D7F"/>
    <w:rsid w:val="00537B77"/>
    <w:rsid w:val="005C2E71"/>
    <w:rsid w:val="00612B00"/>
    <w:rsid w:val="00650364"/>
    <w:rsid w:val="006C463B"/>
    <w:rsid w:val="006E3402"/>
    <w:rsid w:val="007235AE"/>
    <w:rsid w:val="007621C0"/>
    <w:rsid w:val="0076798B"/>
    <w:rsid w:val="007D6031"/>
    <w:rsid w:val="007F754D"/>
    <w:rsid w:val="008379CC"/>
    <w:rsid w:val="008C7BA4"/>
    <w:rsid w:val="008E1C50"/>
    <w:rsid w:val="009253E1"/>
    <w:rsid w:val="00967F80"/>
    <w:rsid w:val="009C0A38"/>
    <w:rsid w:val="009E358D"/>
    <w:rsid w:val="009F6ADB"/>
    <w:rsid w:val="00A35769"/>
    <w:rsid w:val="00A42E83"/>
    <w:rsid w:val="00A86863"/>
    <w:rsid w:val="00B3417B"/>
    <w:rsid w:val="00B81A87"/>
    <w:rsid w:val="00BD584D"/>
    <w:rsid w:val="00C82774"/>
    <w:rsid w:val="00D2017E"/>
    <w:rsid w:val="00D2358B"/>
    <w:rsid w:val="00D26F0F"/>
    <w:rsid w:val="00DC5812"/>
    <w:rsid w:val="00DF3380"/>
    <w:rsid w:val="00E43950"/>
    <w:rsid w:val="00F07F5D"/>
    <w:rsid w:val="00F10ABF"/>
    <w:rsid w:val="00F27DDC"/>
    <w:rsid w:val="00F32207"/>
    <w:rsid w:val="00F70D69"/>
    <w:rsid w:val="00F754D6"/>
    <w:rsid w:val="00F906F9"/>
    <w:rsid w:val="00FC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12A11"/>
  <w15:chartTrackingRefBased/>
  <w15:docId w15:val="{2016C381-3B8F-465C-AD24-26378074C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6E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F0D5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F0D5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F0D58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3D66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66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66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66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669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6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875C9-288D-489A-ADBA-16EA538FF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4</Pages>
  <Words>1088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Riddihough</dc:creator>
  <cp:keywords/>
  <dc:description/>
  <cp:lastModifiedBy>James Riddihough</cp:lastModifiedBy>
  <cp:revision>31</cp:revision>
  <dcterms:created xsi:type="dcterms:W3CDTF">2018-02-11T15:29:00Z</dcterms:created>
  <dcterms:modified xsi:type="dcterms:W3CDTF">2018-04-03T13:37:00Z</dcterms:modified>
</cp:coreProperties>
</file>