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C85CE6" w14:textId="77777777" w:rsidR="003D6595" w:rsidRPr="00542ADE" w:rsidRDefault="003D6595" w:rsidP="003D6595">
      <w:pPr>
        <w:spacing w:after="0" w:line="240" w:lineRule="auto"/>
        <w:rPr>
          <w:rFonts w:ascii="Arial" w:eastAsia="Calibri" w:hAnsi="Arial" w:cs="Arial"/>
          <w:color w:val="58595B"/>
          <w:sz w:val="32"/>
          <w:szCs w:val="32"/>
          <w:lang w:val="en-US"/>
        </w:rPr>
      </w:pPr>
      <w:bookmarkStart w:id="0" w:name="_Hlk70071817"/>
      <w:r w:rsidRPr="00542ADE">
        <w:rPr>
          <w:rFonts w:ascii="Arial" w:eastAsia="Calibri" w:hAnsi="Arial" w:cs="Arial"/>
          <w:color w:val="58595B"/>
          <w:sz w:val="32"/>
          <w:szCs w:val="32"/>
          <w:lang w:val="en-US"/>
        </w:rPr>
        <w:t>Qualification: CIPD Diploma in Applied Human Resources</w:t>
      </w:r>
    </w:p>
    <w:p w14:paraId="1DA09F33" w14:textId="77777777" w:rsidR="003D6595" w:rsidRPr="00542ADE" w:rsidRDefault="003D6595" w:rsidP="003D6595">
      <w:pPr>
        <w:spacing w:after="0" w:line="240" w:lineRule="auto"/>
        <w:rPr>
          <w:rFonts w:ascii="Arial" w:eastAsia="Calibri" w:hAnsi="Arial" w:cs="Arial"/>
          <w:color w:val="58595B"/>
          <w:sz w:val="32"/>
          <w:szCs w:val="32"/>
          <w:lang w:val="en-US"/>
        </w:rPr>
      </w:pPr>
    </w:p>
    <w:p w14:paraId="3608317C" w14:textId="3F990721" w:rsidR="003D6595" w:rsidRPr="00542ADE" w:rsidRDefault="003D6595" w:rsidP="003D6595">
      <w:pPr>
        <w:spacing w:after="0" w:line="240" w:lineRule="auto"/>
        <w:rPr>
          <w:rFonts w:ascii="Arial" w:eastAsia="Calibri" w:hAnsi="Arial" w:cs="Arial"/>
          <w:color w:val="58595B"/>
          <w:sz w:val="32"/>
          <w:szCs w:val="32"/>
          <w:lang w:val="en-US"/>
        </w:rPr>
      </w:pPr>
      <w:r w:rsidRPr="00542ADE">
        <w:rPr>
          <w:rFonts w:ascii="Arial" w:eastAsia="Calibri" w:hAnsi="Arial" w:cs="Arial"/>
          <w:color w:val="58595B"/>
          <w:sz w:val="32"/>
          <w:szCs w:val="32"/>
          <w:lang w:val="en-US"/>
        </w:rPr>
        <w:t xml:space="preserve">Module Name: </w:t>
      </w:r>
      <w:r>
        <w:rPr>
          <w:rFonts w:ascii="Arial" w:eastAsia="Calibri" w:hAnsi="Arial" w:cs="Arial"/>
          <w:color w:val="58595B"/>
          <w:sz w:val="32"/>
          <w:szCs w:val="32"/>
          <w:lang w:val="en-US"/>
        </w:rPr>
        <w:t>Introduction to Employment Law (5CELW)</w:t>
      </w:r>
    </w:p>
    <w:p w14:paraId="735F203C" w14:textId="77777777" w:rsidR="003D6595" w:rsidRPr="00542ADE" w:rsidRDefault="003D6595" w:rsidP="003D6595">
      <w:pPr>
        <w:spacing w:after="0" w:line="240" w:lineRule="auto"/>
        <w:rPr>
          <w:rFonts w:ascii="Arial" w:eastAsia="Calibri" w:hAnsi="Arial" w:cs="Arial"/>
          <w:color w:val="58595B"/>
          <w:sz w:val="32"/>
          <w:szCs w:val="32"/>
          <w:lang w:val="en-US"/>
        </w:rPr>
      </w:pPr>
    </w:p>
    <w:p w14:paraId="1BB0F9E3" w14:textId="1384BC38" w:rsidR="003D6595" w:rsidRPr="00542ADE" w:rsidRDefault="003D6595" w:rsidP="003D6595">
      <w:pPr>
        <w:spacing w:after="0" w:line="240" w:lineRule="auto"/>
        <w:rPr>
          <w:rFonts w:ascii="Arial" w:eastAsia="Calibri" w:hAnsi="Arial" w:cs="Arial"/>
          <w:color w:val="58595B"/>
          <w:sz w:val="32"/>
          <w:szCs w:val="32"/>
          <w:lang w:val="en-US"/>
        </w:rPr>
      </w:pPr>
      <w:r w:rsidRPr="00542ADE">
        <w:rPr>
          <w:rFonts w:ascii="Arial" w:eastAsia="Calibri" w:hAnsi="Arial" w:cs="Arial"/>
          <w:color w:val="58595B"/>
          <w:sz w:val="32"/>
          <w:szCs w:val="32"/>
          <w:lang w:val="en-US"/>
        </w:rPr>
        <w:t xml:space="preserve">Word Count: </w:t>
      </w:r>
      <w:r w:rsidR="00A63ED5">
        <w:rPr>
          <w:rFonts w:ascii="Arial" w:eastAsia="Calibri" w:hAnsi="Arial" w:cs="Arial"/>
          <w:color w:val="58595B"/>
          <w:sz w:val="32"/>
          <w:szCs w:val="32"/>
          <w:lang w:val="en-US"/>
        </w:rPr>
        <w:t>3,924 (excluding Title page, bibliography and text in tables)</w:t>
      </w:r>
    </w:p>
    <w:p w14:paraId="6F6F2FC9" w14:textId="77777777" w:rsidR="003D6595" w:rsidRPr="00542ADE" w:rsidRDefault="003D6595" w:rsidP="003D6595">
      <w:pPr>
        <w:spacing w:after="0" w:line="240" w:lineRule="auto"/>
        <w:rPr>
          <w:rFonts w:ascii="Arial" w:eastAsia="Calibri" w:hAnsi="Arial" w:cs="Arial"/>
          <w:color w:val="58595B"/>
          <w:sz w:val="32"/>
          <w:szCs w:val="32"/>
          <w:lang w:val="en-US"/>
        </w:rPr>
      </w:pPr>
    </w:p>
    <w:p w14:paraId="17892650" w14:textId="77777777" w:rsidR="003D6595" w:rsidRPr="00542ADE" w:rsidRDefault="003D6595" w:rsidP="003D6595">
      <w:pPr>
        <w:spacing w:after="0" w:line="240" w:lineRule="auto"/>
        <w:rPr>
          <w:rFonts w:ascii="Arial" w:eastAsia="Calibri" w:hAnsi="Arial" w:cs="Arial"/>
          <w:color w:val="58595B"/>
          <w:sz w:val="32"/>
          <w:szCs w:val="32"/>
          <w:lang w:val="en-US"/>
        </w:rPr>
      </w:pPr>
    </w:p>
    <w:p w14:paraId="038F7AF2" w14:textId="77777777" w:rsidR="003D6595" w:rsidRPr="00542ADE" w:rsidRDefault="003D6595" w:rsidP="003D6595">
      <w:pPr>
        <w:spacing w:after="0" w:line="240" w:lineRule="auto"/>
        <w:rPr>
          <w:rFonts w:ascii="Arial" w:eastAsia="Calibri" w:hAnsi="Arial" w:cs="Arial"/>
          <w:color w:val="58595B"/>
          <w:sz w:val="32"/>
          <w:szCs w:val="32"/>
          <w:lang w:val="en-US"/>
        </w:rPr>
      </w:pPr>
    </w:p>
    <w:p w14:paraId="326C4C03" w14:textId="77777777" w:rsidR="003D6595" w:rsidRPr="00542ADE" w:rsidRDefault="003D6595" w:rsidP="003D6595">
      <w:pPr>
        <w:spacing w:after="0" w:line="240" w:lineRule="auto"/>
        <w:rPr>
          <w:rFonts w:ascii="Arial" w:eastAsia="Calibri" w:hAnsi="Arial" w:cs="Arial"/>
          <w:color w:val="58595B"/>
          <w:sz w:val="32"/>
          <w:szCs w:val="32"/>
          <w:lang w:val="en-US"/>
        </w:rPr>
      </w:pPr>
    </w:p>
    <w:p w14:paraId="7FACEE78" w14:textId="77777777" w:rsidR="003D6595" w:rsidRPr="00542ADE" w:rsidRDefault="003D6595" w:rsidP="003D6595">
      <w:pPr>
        <w:spacing w:after="0" w:line="240" w:lineRule="auto"/>
        <w:rPr>
          <w:rFonts w:ascii="Arial" w:eastAsia="Calibri" w:hAnsi="Arial" w:cs="Arial"/>
          <w:color w:val="58595B"/>
          <w:sz w:val="32"/>
          <w:szCs w:val="32"/>
          <w:lang w:val="en-US"/>
        </w:rPr>
      </w:pPr>
    </w:p>
    <w:p w14:paraId="28457A90" w14:textId="77777777" w:rsidR="003D6595" w:rsidRPr="00542ADE" w:rsidRDefault="003D6595" w:rsidP="003D6595">
      <w:pPr>
        <w:spacing w:after="0" w:line="240" w:lineRule="auto"/>
        <w:rPr>
          <w:rFonts w:ascii="Arial" w:eastAsia="Calibri" w:hAnsi="Arial" w:cs="Arial"/>
          <w:color w:val="58595B"/>
          <w:sz w:val="32"/>
          <w:szCs w:val="32"/>
          <w:lang w:val="en-US"/>
        </w:rPr>
      </w:pPr>
      <w:r w:rsidRPr="00542ADE">
        <w:rPr>
          <w:rFonts w:ascii="Arial" w:eastAsia="Calibri" w:hAnsi="Arial" w:cs="Arial"/>
          <w:color w:val="58595B"/>
          <w:sz w:val="32"/>
          <w:szCs w:val="32"/>
          <w:lang w:val="en-US"/>
        </w:rPr>
        <w:t>Student Name: Lucy Moriarty</w:t>
      </w:r>
    </w:p>
    <w:p w14:paraId="0C7BC1A7" w14:textId="77777777" w:rsidR="003D6595" w:rsidRPr="00542ADE" w:rsidRDefault="003D6595" w:rsidP="003D6595">
      <w:pPr>
        <w:spacing w:after="0" w:line="240" w:lineRule="auto"/>
        <w:rPr>
          <w:rFonts w:ascii="Arial" w:eastAsia="Calibri" w:hAnsi="Arial" w:cs="Arial"/>
          <w:color w:val="58595B"/>
          <w:sz w:val="32"/>
          <w:szCs w:val="32"/>
          <w:lang w:val="en-US"/>
        </w:rPr>
      </w:pPr>
      <w:r w:rsidRPr="00542ADE">
        <w:rPr>
          <w:rFonts w:ascii="Arial" w:eastAsia="Calibri" w:hAnsi="Arial" w:cs="Arial"/>
          <w:color w:val="58595B"/>
          <w:sz w:val="32"/>
          <w:szCs w:val="32"/>
          <w:lang w:val="en-US"/>
        </w:rPr>
        <w:t>Student Number: 2014451</w:t>
      </w:r>
    </w:p>
    <w:p w14:paraId="02C0E742" w14:textId="77777777" w:rsidR="003D6595" w:rsidRPr="00542ADE" w:rsidRDefault="003D6595" w:rsidP="003D6595">
      <w:pPr>
        <w:spacing w:after="0" w:line="240" w:lineRule="auto"/>
        <w:rPr>
          <w:rFonts w:ascii="Arial" w:eastAsia="Calibri" w:hAnsi="Arial" w:cs="Arial"/>
          <w:color w:val="58595B"/>
          <w:sz w:val="32"/>
          <w:szCs w:val="32"/>
          <w:lang w:val="en-US"/>
        </w:rPr>
      </w:pPr>
      <w:r w:rsidRPr="00542ADE">
        <w:rPr>
          <w:rFonts w:ascii="Arial" w:eastAsia="Calibri" w:hAnsi="Arial" w:cs="Arial"/>
          <w:color w:val="58595B"/>
          <w:sz w:val="32"/>
          <w:szCs w:val="32"/>
          <w:lang w:val="en-US"/>
        </w:rPr>
        <w:t xml:space="preserve">CIPD Membership Number: </w:t>
      </w:r>
      <w:r w:rsidRPr="00542ADE">
        <w:rPr>
          <w:rFonts w:ascii="Arial" w:eastAsia="Calibri" w:hAnsi="Arial" w:cs="Times New Roman"/>
          <w:color w:val="595959" w:themeColor="text1" w:themeTint="A6"/>
          <w:sz w:val="32"/>
          <w:szCs w:val="32"/>
          <w:lang w:val="en-US"/>
        </w:rPr>
        <w:t>5749316X</w:t>
      </w:r>
    </w:p>
    <w:p w14:paraId="3D747C4F" w14:textId="77777777" w:rsidR="003D6595" w:rsidRPr="00542ADE" w:rsidRDefault="003D6595" w:rsidP="003D6595">
      <w:pPr>
        <w:spacing w:after="0" w:line="240" w:lineRule="auto"/>
        <w:rPr>
          <w:rFonts w:ascii="Arial" w:eastAsia="Calibri" w:hAnsi="Arial" w:cs="Arial"/>
          <w:color w:val="58595B"/>
          <w:sz w:val="32"/>
          <w:szCs w:val="32"/>
          <w:lang w:val="en-US"/>
        </w:rPr>
      </w:pPr>
    </w:p>
    <w:p w14:paraId="38D1B86C" w14:textId="77777777" w:rsidR="003D6595" w:rsidRPr="00542ADE" w:rsidRDefault="003D6595" w:rsidP="003D6595">
      <w:pPr>
        <w:spacing w:after="0" w:line="240" w:lineRule="auto"/>
        <w:rPr>
          <w:rFonts w:ascii="Arial" w:eastAsia="Calibri" w:hAnsi="Arial" w:cs="Arial"/>
          <w:color w:val="58595B"/>
          <w:sz w:val="32"/>
          <w:szCs w:val="32"/>
          <w:lang w:val="en-US"/>
        </w:rPr>
      </w:pPr>
    </w:p>
    <w:p w14:paraId="609CC9EB" w14:textId="77777777" w:rsidR="003D6595" w:rsidRPr="00542ADE" w:rsidRDefault="003D6595" w:rsidP="003D6595">
      <w:pPr>
        <w:spacing w:after="0" w:line="240" w:lineRule="auto"/>
        <w:rPr>
          <w:rFonts w:ascii="Arial" w:eastAsia="Calibri" w:hAnsi="Arial" w:cs="Arial"/>
          <w:color w:val="58595B"/>
          <w:sz w:val="32"/>
          <w:szCs w:val="32"/>
          <w:lang w:val="en-US"/>
        </w:rPr>
      </w:pPr>
    </w:p>
    <w:p w14:paraId="79FB2F88" w14:textId="77777777" w:rsidR="003D6595" w:rsidRPr="00542ADE" w:rsidRDefault="003D6595" w:rsidP="003D6595">
      <w:pPr>
        <w:spacing w:after="0" w:line="240" w:lineRule="auto"/>
        <w:rPr>
          <w:rFonts w:ascii="Arial" w:eastAsia="Calibri" w:hAnsi="Arial" w:cs="Arial"/>
          <w:color w:val="58595B"/>
          <w:sz w:val="32"/>
          <w:szCs w:val="32"/>
          <w:lang w:val="en-US"/>
        </w:rPr>
      </w:pPr>
      <w:r w:rsidRPr="00542ADE">
        <w:rPr>
          <w:rFonts w:ascii="Arial" w:eastAsia="Calibri" w:hAnsi="Arial" w:cs="Arial"/>
          <w:color w:val="58595B"/>
          <w:sz w:val="32"/>
          <w:szCs w:val="32"/>
          <w:lang w:val="en-US"/>
        </w:rPr>
        <w:t>By signing below, I confirm that the work/evidence presented is my own, unaided work. I understand the regulations pertaining to candidate malpractice and the action that may be taken as a result.</w:t>
      </w:r>
    </w:p>
    <w:p w14:paraId="345B7B94" w14:textId="77777777" w:rsidR="003D6595" w:rsidRPr="00542ADE" w:rsidRDefault="003D6595" w:rsidP="003D6595">
      <w:pPr>
        <w:spacing w:after="0" w:line="240" w:lineRule="auto"/>
        <w:rPr>
          <w:rFonts w:ascii="Arial" w:eastAsia="Calibri" w:hAnsi="Arial" w:cs="Arial"/>
          <w:color w:val="58595B"/>
          <w:sz w:val="32"/>
          <w:szCs w:val="32"/>
          <w:lang w:val="en-US"/>
        </w:rPr>
      </w:pPr>
    </w:p>
    <w:p w14:paraId="34A0AA51" w14:textId="77777777" w:rsidR="003D6595" w:rsidRPr="00542ADE" w:rsidRDefault="003D6595" w:rsidP="003D6595">
      <w:pPr>
        <w:spacing w:after="0" w:line="240" w:lineRule="auto"/>
        <w:rPr>
          <w:rFonts w:ascii="Arial" w:eastAsia="Calibri" w:hAnsi="Arial" w:cs="Arial"/>
          <w:color w:val="58595B"/>
          <w:sz w:val="32"/>
          <w:szCs w:val="32"/>
          <w:lang w:val="en-US"/>
        </w:rPr>
      </w:pPr>
      <w:r w:rsidRPr="00542ADE">
        <w:rPr>
          <w:rFonts w:ascii="Arial" w:eastAsia="Calibri" w:hAnsi="Arial" w:cs="Arial"/>
          <w:color w:val="58595B"/>
          <w:sz w:val="32"/>
          <w:szCs w:val="32"/>
          <w:lang w:val="en-US"/>
        </w:rPr>
        <w:t>Signed: Lucy Moriarty</w:t>
      </w:r>
    </w:p>
    <w:p w14:paraId="12B2BF31" w14:textId="4F6C0B40" w:rsidR="003D6595" w:rsidRDefault="003D6595" w:rsidP="003D6595">
      <w:pPr>
        <w:spacing w:after="0" w:line="240" w:lineRule="auto"/>
        <w:rPr>
          <w:rFonts w:ascii="Arial" w:eastAsia="Calibri" w:hAnsi="Arial" w:cs="Arial"/>
          <w:color w:val="58595B"/>
          <w:sz w:val="32"/>
          <w:szCs w:val="32"/>
          <w:lang w:val="en-US"/>
        </w:rPr>
      </w:pPr>
      <w:r w:rsidRPr="00542ADE">
        <w:rPr>
          <w:rFonts w:ascii="Arial" w:eastAsia="Calibri" w:hAnsi="Arial" w:cs="Arial"/>
          <w:color w:val="58595B"/>
          <w:sz w:val="32"/>
          <w:szCs w:val="32"/>
          <w:lang w:val="en-US"/>
        </w:rPr>
        <w:t xml:space="preserve">Date: </w:t>
      </w:r>
      <w:r w:rsidR="00A63ED5">
        <w:rPr>
          <w:rFonts w:ascii="Arial" w:eastAsia="Calibri" w:hAnsi="Arial" w:cs="Arial"/>
          <w:color w:val="58595B"/>
          <w:sz w:val="32"/>
          <w:szCs w:val="32"/>
          <w:lang w:val="en-US"/>
        </w:rPr>
        <w:t>23.04.2021</w:t>
      </w:r>
    </w:p>
    <w:p w14:paraId="334848D5" w14:textId="77777777" w:rsidR="003D6595" w:rsidRDefault="003D6595" w:rsidP="00AD4698">
      <w:pPr>
        <w:spacing w:after="0"/>
        <w:rPr>
          <w:b/>
          <w:bCs/>
        </w:rPr>
      </w:pPr>
    </w:p>
    <w:p w14:paraId="7917A828" w14:textId="77777777" w:rsidR="003D6595" w:rsidRDefault="003D6595" w:rsidP="00AD4698">
      <w:pPr>
        <w:spacing w:after="0"/>
        <w:rPr>
          <w:b/>
          <w:bCs/>
        </w:rPr>
      </w:pPr>
    </w:p>
    <w:p w14:paraId="27131863" w14:textId="77777777" w:rsidR="003D6595" w:rsidRDefault="003D6595" w:rsidP="00AD4698">
      <w:pPr>
        <w:spacing w:after="0"/>
        <w:rPr>
          <w:b/>
          <w:bCs/>
        </w:rPr>
      </w:pPr>
    </w:p>
    <w:p w14:paraId="3E0145FC" w14:textId="376FF0AE" w:rsidR="003D6595" w:rsidRDefault="003D6595" w:rsidP="00AD4698">
      <w:pPr>
        <w:spacing w:after="0"/>
        <w:rPr>
          <w:b/>
          <w:bCs/>
        </w:rPr>
      </w:pPr>
    </w:p>
    <w:p w14:paraId="5C711003" w14:textId="788023E5" w:rsidR="003D6595" w:rsidRDefault="003D6595" w:rsidP="00AD4698">
      <w:pPr>
        <w:spacing w:after="0"/>
        <w:rPr>
          <w:b/>
          <w:bCs/>
        </w:rPr>
      </w:pPr>
    </w:p>
    <w:p w14:paraId="66EDFC1A" w14:textId="52ED71A6" w:rsidR="003D6595" w:rsidRDefault="003D6595" w:rsidP="00AD4698">
      <w:pPr>
        <w:spacing w:after="0"/>
        <w:rPr>
          <w:b/>
          <w:bCs/>
        </w:rPr>
      </w:pPr>
    </w:p>
    <w:p w14:paraId="7A2DBEF9" w14:textId="48045636" w:rsidR="003D6595" w:rsidRDefault="003D6595" w:rsidP="00AD4698">
      <w:pPr>
        <w:spacing w:after="0"/>
        <w:rPr>
          <w:b/>
          <w:bCs/>
        </w:rPr>
      </w:pPr>
    </w:p>
    <w:p w14:paraId="696C23EA" w14:textId="74AAC117" w:rsidR="003D6595" w:rsidRDefault="003D6595" w:rsidP="00AD4698">
      <w:pPr>
        <w:spacing w:after="0"/>
        <w:rPr>
          <w:b/>
          <w:bCs/>
        </w:rPr>
      </w:pPr>
    </w:p>
    <w:p w14:paraId="55BE7D93" w14:textId="07E451BD" w:rsidR="003D6595" w:rsidRDefault="003D6595" w:rsidP="00AD4698">
      <w:pPr>
        <w:spacing w:after="0"/>
        <w:rPr>
          <w:b/>
          <w:bCs/>
        </w:rPr>
      </w:pPr>
    </w:p>
    <w:p w14:paraId="5D207143" w14:textId="40A5FA9F" w:rsidR="003D6595" w:rsidRDefault="003D6595" w:rsidP="00AD4698">
      <w:pPr>
        <w:spacing w:after="0"/>
        <w:rPr>
          <w:b/>
          <w:bCs/>
        </w:rPr>
      </w:pPr>
    </w:p>
    <w:p w14:paraId="3A8C7317" w14:textId="3927FE37" w:rsidR="003D6595" w:rsidRDefault="003D6595" w:rsidP="00AD4698">
      <w:pPr>
        <w:spacing w:after="0"/>
        <w:rPr>
          <w:b/>
          <w:bCs/>
        </w:rPr>
      </w:pPr>
    </w:p>
    <w:p w14:paraId="4E505B0C" w14:textId="7BC1B7BE" w:rsidR="003D6595" w:rsidRDefault="003D6595" w:rsidP="00AD4698">
      <w:pPr>
        <w:spacing w:after="0"/>
        <w:rPr>
          <w:b/>
          <w:bCs/>
        </w:rPr>
      </w:pPr>
    </w:p>
    <w:p w14:paraId="51B2F2CD" w14:textId="59198933" w:rsidR="003D6595" w:rsidRDefault="003D6595" w:rsidP="00AD4698">
      <w:pPr>
        <w:spacing w:after="0"/>
        <w:rPr>
          <w:b/>
          <w:bCs/>
        </w:rPr>
      </w:pPr>
    </w:p>
    <w:p w14:paraId="43B1447E" w14:textId="029D5CE2" w:rsidR="003D6595" w:rsidRDefault="003D6595" w:rsidP="00AD4698">
      <w:pPr>
        <w:spacing w:after="0"/>
        <w:rPr>
          <w:b/>
          <w:bCs/>
        </w:rPr>
      </w:pPr>
    </w:p>
    <w:p w14:paraId="6A010C09" w14:textId="4537AF7B" w:rsidR="003D6595" w:rsidRDefault="003D6595" w:rsidP="00AD4698">
      <w:pPr>
        <w:spacing w:after="0"/>
        <w:rPr>
          <w:b/>
          <w:bCs/>
        </w:rPr>
      </w:pPr>
    </w:p>
    <w:p w14:paraId="0453D5FB" w14:textId="1F44BEED" w:rsidR="003D6595" w:rsidRDefault="003D6595" w:rsidP="00AD4698">
      <w:pPr>
        <w:spacing w:after="0"/>
        <w:rPr>
          <w:b/>
          <w:bCs/>
        </w:rPr>
      </w:pPr>
    </w:p>
    <w:p w14:paraId="1C866D4E" w14:textId="77777777" w:rsidR="00A63ED5" w:rsidRDefault="00A63ED5" w:rsidP="00AD4698">
      <w:pPr>
        <w:spacing w:after="0"/>
        <w:rPr>
          <w:b/>
          <w:bCs/>
        </w:rPr>
      </w:pPr>
    </w:p>
    <w:p w14:paraId="30401322" w14:textId="7EF873FB" w:rsidR="00AD4698" w:rsidRPr="000F5BA9" w:rsidRDefault="002C75B7" w:rsidP="00AD4698">
      <w:pPr>
        <w:spacing w:after="0"/>
        <w:rPr>
          <w:b/>
          <w:bCs/>
        </w:rPr>
      </w:pPr>
      <w:r w:rsidRPr="000F5BA9">
        <w:rPr>
          <w:b/>
          <w:bCs/>
        </w:rPr>
        <w:lastRenderedPageBreak/>
        <w:t>1</w:t>
      </w:r>
      <w:r w:rsidR="001E5C45" w:rsidRPr="000F5BA9">
        <w:rPr>
          <w:b/>
          <w:bCs/>
        </w:rPr>
        <w:t>.1</w:t>
      </w:r>
      <w:bookmarkStart w:id="1" w:name="_GoBack"/>
      <w:bookmarkEnd w:id="1"/>
    </w:p>
    <w:p w14:paraId="3EFDB374" w14:textId="25FE84F9" w:rsidR="001E5C45" w:rsidRDefault="001E5C45" w:rsidP="001E5C45">
      <w:r>
        <w:t xml:space="preserve">Employment law regulations provides legal protection, which benefits both employees and employers. CIPD (2021) states that employment law creates a balance to the working relationship between the employee and employer, the expectations of both parties and the rights the employee is entitled to at work.  The legislation and laws regulate what happens in the workplace to ensure fairness and consistency and it influences a range of decisions particularly within HR and determines policies and procedures within the workplace. </w:t>
      </w:r>
    </w:p>
    <w:p w14:paraId="25DA43E1" w14:textId="77777777" w:rsidR="001E5C45" w:rsidRDefault="001E5C45" w:rsidP="001E5C45">
      <w:r>
        <w:t xml:space="preserve">Employers must abide by laws and legislation to protect the health and safety of their employees from abuse and poor working conditions, they must ensure that they follow correct dismissal procedures, pay correct wages and provide the basic rights such as equal pay, maternity/paternity, equal opportunities and statutory sick pay (SSP). It is vitally important for employers to follow employment regulations, ensuring that there aren’t any unethical practices being undertaken which can impact and damage the organisations image and reputation.  </w:t>
      </w:r>
    </w:p>
    <w:p w14:paraId="5B7E0E64" w14:textId="22FCF62E" w:rsidR="004E50CE" w:rsidRDefault="004E50CE" w:rsidP="00FB1744">
      <w:r>
        <w:t>There are three main sources of UK Employment Law, they are</w:t>
      </w:r>
      <w:r w:rsidR="00FB1744">
        <w:t>: C</w:t>
      </w:r>
      <w:r>
        <w:t xml:space="preserve">ommon </w:t>
      </w:r>
      <w:r w:rsidR="00FB1744">
        <w:t>L</w:t>
      </w:r>
      <w:r>
        <w:t>aw</w:t>
      </w:r>
      <w:r w:rsidR="00FB1744">
        <w:t xml:space="preserve"> </w:t>
      </w:r>
      <w:r>
        <w:t xml:space="preserve">this forms the legal ground of the employer/employee relationship, particularly through the contract of employment. Statutes which are passed by Parliament </w:t>
      </w:r>
      <w:r w:rsidR="00FB1744">
        <w:t xml:space="preserve">and </w:t>
      </w:r>
      <w:r>
        <w:t>European Law which is derived from the European Court of Justice.  However, as of 31</w:t>
      </w:r>
      <w:r w:rsidRPr="00FB1744">
        <w:rPr>
          <w:vertAlign w:val="superscript"/>
        </w:rPr>
        <w:t>st</w:t>
      </w:r>
      <w:r>
        <w:t xml:space="preserve"> December 2020 the UK is no longer a member of the European Union and as stated by the Government legislation website the EU legislation that had previously applied to the UK is now a part of the UK Domestic Legislation, which is controlled by the UK’s Parliaments and Assemblies. </w:t>
      </w:r>
      <w:r w:rsidR="0012017F">
        <w:t xml:space="preserve"> </w:t>
      </w:r>
    </w:p>
    <w:p w14:paraId="7AB393C8" w14:textId="3DFDEB4C" w:rsidR="003D53B9" w:rsidRDefault="00262251" w:rsidP="009B1180">
      <w:r>
        <w:t xml:space="preserve">According to CIPD (2021) </w:t>
      </w:r>
      <w:r w:rsidR="00471E93">
        <w:t>t</w:t>
      </w:r>
      <w:r w:rsidR="00454877">
        <w:t>he primary pieces of legislation which oversee the employee relationship are the:</w:t>
      </w:r>
    </w:p>
    <w:tbl>
      <w:tblPr>
        <w:tblStyle w:val="TableGrid"/>
        <w:tblW w:w="0" w:type="auto"/>
        <w:tblLook w:val="04A0" w:firstRow="1" w:lastRow="0" w:firstColumn="1" w:lastColumn="0" w:noHBand="0" w:noVBand="1"/>
      </w:tblPr>
      <w:tblGrid>
        <w:gridCol w:w="3539"/>
        <w:gridCol w:w="5477"/>
      </w:tblGrid>
      <w:tr w:rsidR="00073006" w14:paraId="13F6E28E" w14:textId="77777777" w:rsidTr="00265F5F">
        <w:tc>
          <w:tcPr>
            <w:tcW w:w="3539" w:type="dxa"/>
          </w:tcPr>
          <w:p w14:paraId="43E2F4EE" w14:textId="77777777" w:rsidR="00073006" w:rsidRPr="00D52E26" w:rsidRDefault="00073006" w:rsidP="00265F5F">
            <w:pPr>
              <w:rPr>
                <w:b/>
                <w:bCs/>
              </w:rPr>
            </w:pPr>
            <w:r w:rsidRPr="00D52E26">
              <w:rPr>
                <w:b/>
                <w:bCs/>
              </w:rPr>
              <w:t>Act</w:t>
            </w:r>
          </w:p>
        </w:tc>
        <w:tc>
          <w:tcPr>
            <w:tcW w:w="5477" w:type="dxa"/>
          </w:tcPr>
          <w:p w14:paraId="74DB1664" w14:textId="77777777" w:rsidR="00073006" w:rsidRPr="00D52E26" w:rsidRDefault="00073006" w:rsidP="00265F5F">
            <w:pPr>
              <w:rPr>
                <w:b/>
                <w:bCs/>
              </w:rPr>
            </w:pPr>
            <w:r w:rsidRPr="00D52E26">
              <w:rPr>
                <w:b/>
                <w:bCs/>
              </w:rPr>
              <w:t>Definition</w:t>
            </w:r>
          </w:p>
        </w:tc>
      </w:tr>
      <w:tr w:rsidR="00073006" w14:paraId="5AB48943" w14:textId="77777777" w:rsidTr="00265F5F">
        <w:tc>
          <w:tcPr>
            <w:tcW w:w="3539" w:type="dxa"/>
          </w:tcPr>
          <w:p w14:paraId="015E2E8B" w14:textId="77777777" w:rsidR="00073006" w:rsidRPr="003D53B9" w:rsidRDefault="00073006" w:rsidP="00265F5F">
            <w:pPr>
              <w:rPr>
                <w:b/>
                <w:bCs/>
              </w:rPr>
            </w:pPr>
            <w:r w:rsidRPr="003D53B9">
              <w:rPr>
                <w:b/>
                <w:bCs/>
              </w:rPr>
              <w:t>Equality Act (2010)</w:t>
            </w:r>
          </w:p>
        </w:tc>
        <w:tc>
          <w:tcPr>
            <w:tcW w:w="5477" w:type="dxa"/>
          </w:tcPr>
          <w:p w14:paraId="152C2C84" w14:textId="77777777" w:rsidR="00073006" w:rsidRDefault="00073006" w:rsidP="00265F5F">
            <w:r>
              <w:t>The act defines nine protected characteristics that are illegal to discriminate against</w:t>
            </w:r>
          </w:p>
        </w:tc>
      </w:tr>
      <w:tr w:rsidR="00073006" w14:paraId="60D51F49" w14:textId="77777777" w:rsidTr="00265F5F">
        <w:tc>
          <w:tcPr>
            <w:tcW w:w="3539" w:type="dxa"/>
          </w:tcPr>
          <w:p w14:paraId="5B02B55A" w14:textId="77777777" w:rsidR="00073006" w:rsidRPr="00D52E26" w:rsidRDefault="00073006" w:rsidP="00265F5F">
            <w:pPr>
              <w:rPr>
                <w:b/>
                <w:bCs/>
              </w:rPr>
            </w:pPr>
            <w:r w:rsidRPr="00D52E26">
              <w:rPr>
                <w:b/>
                <w:bCs/>
              </w:rPr>
              <w:t>Employment Rights Act (1996)</w:t>
            </w:r>
          </w:p>
        </w:tc>
        <w:tc>
          <w:tcPr>
            <w:tcW w:w="5477" w:type="dxa"/>
          </w:tcPr>
          <w:p w14:paraId="11F43655" w14:textId="77777777" w:rsidR="00073006" w:rsidRDefault="00073006" w:rsidP="00265F5F">
            <w:r>
              <w:t xml:space="preserve">The act manages </w:t>
            </w:r>
            <w:proofErr w:type="gramStart"/>
            <w:r>
              <w:t>the majority of</w:t>
            </w:r>
            <w:proofErr w:type="gramEnd"/>
            <w:r>
              <w:t xml:space="preserve"> the employment relationship and includes but is not limited to 8 entitlements</w:t>
            </w:r>
          </w:p>
        </w:tc>
      </w:tr>
      <w:tr w:rsidR="00073006" w14:paraId="2FED6947" w14:textId="77777777" w:rsidTr="00265F5F">
        <w:tc>
          <w:tcPr>
            <w:tcW w:w="3539" w:type="dxa"/>
          </w:tcPr>
          <w:p w14:paraId="6B1E2D80" w14:textId="77777777" w:rsidR="00073006" w:rsidRPr="00D52E26" w:rsidRDefault="00073006" w:rsidP="00265F5F">
            <w:pPr>
              <w:rPr>
                <w:b/>
                <w:bCs/>
              </w:rPr>
            </w:pPr>
            <w:r w:rsidRPr="00D52E26">
              <w:rPr>
                <w:b/>
                <w:bCs/>
              </w:rPr>
              <w:t>Employment Act (2002)</w:t>
            </w:r>
          </w:p>
        </w:tc>
        <w:tc>
          <w:tcPr>
            <w:tcW w:w="5477" w:type="dxa"/>
          </w:tcPr>
          <w:p w14:paraId="7FC47C9C" w14:textId="77777777" w:rsidR="00073006" w:rsidRDefault="00073006" w:rsidP="00265F5F">
            <w:r>
              <w:t>The act encourages employment relation cases to be settled within the workplace without the intervention of an employment tribunal</w:t>
            </w:r>
          </w:p>
        </w:tc>
      </w:tr>
      <w:tr w:rsidR="00073006" w14:paraId="4F76BC22" w14:textId="77777777" w:rsidTr="00265F5F">
        <w:tc>
          <w:tcPr>
            <w:tcW w:w="3539" w:type="dxa"/>
          </w:tcPr>
          <w:p w14:paraId="41ECA554" w14:textId="77777777" w:rsidR="00073006" w:rsidRPr="00D52E26" w:rsidRDefault="00073006" w:rsidP="00265F5F">
            <w:pPr>
              <w:rPr>
                <w:b/>
                <w:bCs/>
              </w:rPr>
            </w:pPr>
            <w:r w:rsidRPr="00D52E26">
              <w:rPr>
                <w:b/>
                <w:bCs/>
              </w:rPr>
              <w:t>Enterprise and Regulatory Reform Act (2013)</w:t>
            </w:r>
          </w:p>
        </w:tc>
        <w:tc>
          <w:tcPr>
            <w:tcW w:w="5477" w:type="dxa"/>
          </w:tcPr>
          <w:p w14:paraId="2E8F6DDE" w14:textId="77777777" w:rsidR="00073006" w:rsidRDefault="00073006" w:rsidP="00265F5F">
            <w:r>
              <w:t>The act reforms the regulatory conditions of small and medium sized businesses.</w:t>
            </w:r>
          </w:p>
        </w:tc>
      </w:tr>
      <w:tr w:rsidR="00073006" w14:paraId="075AE59E" w14:textId="77777777" w:rsidTr="00265F5F">
        <w:tc>
          <w:tcPr>
            <w:tcW w:w="3539" w:type="dxa"/>
          </w:tcPr>
          <w:p w14:paraId="191C4011" w14:textId="77777777" w:rsidR="00073006" w:rsidRPr="00D52E26" w:rsidRDefault="00073006" w:rsidP="00265F5F">
            <w:pPr>
              <w:rPr>
                <w:b/>
                <w:bCs/>
              </w:rPr>
            </w:pPr>
            <w:r w:rsidRPr="00D52E26">
              <w:rPr>
                <w:b/>
                <w:bCs/>
              </w:rPr>
              <w:t>Trade Union Act (2016)</w:t>
            </w:r>
          </w:p>
        </w:tc>
        <w:tc>
          <w:tcPr>
            <w:tcW w:w="5477" w:type="dxa"/>
          </w:tcPr>
          <w:p w14:paraId="6BD28C3D" w14:textId="77777777" w:rsidR="00073006" w:rsidRDefault="00073006" w:rsidP="00265F5F">
            <w:r>
              <w:t>An amendment to the “Trade Union and Labour Relations (Consolidation) Act 1992”, introducing new restrictions on trade unions and its members as to how and when they can take industrial action.</w:t>
            </w:r>
          </w:p>
        </w:tc>
      </w:tr>
    </w:tbl>
    <w:p w14:paraId="5A4F4231" w14:textId="5F1DC040" w:rsidR="00BF6426" w:rsidRDefault="00F80B4F" w:rsidP="009B1180">
      <w:r>
        <w:t xml:space="preserve">New laws pass through several stages before they become acts.  When proposed acts are in the initial stages they are know as Bills, Bills must be agreed by Parliament and given Royal Assent from the Queen. </w:t>
      </w:r>
      <w:r w:rsidR="002D3D02">
        <w:t>However, according to Taylor and Wilkinson (2016)</w:t>
      </w:r>
      <w:r>
        <w:t xml:space="preserve"> </w:t>
      </w:r>
      <w:r w:rsidR="00073006">
        <w:t>most of</w:t>
      </w:r>
      <w:r w:rsidR="002D3D02">
        <w:t xml:space="preserve"> Employment Law is made up of Statutes but not all of UK employment law is identified through statutes and some of the most important rights have not been decided by Parliament.  They are however devised by Common Law, which has been made up by judges who have ruled on “points of principles” in cases produced to them, this has then set the benchmark for similar future cases</w:t>
      </w:r>
      <w:r w:rsidR="001E3EC8">
        <w:t xml:space="preserve">.  This is known as ‘Doctrine of Precedent’ and requires the lower courts to follow the </w:t>
      </w:r>
      <w:r w:rsidR="00073006">
        <w:t>decisions</w:t>
      </w:r>
      <w:r w:rsidR="001E3EC8">
        <w:t xml:space="preserve"> made by the higher courts</w:t>
      </w:r>
      <w:r w:rsidR="00073006">
        <w:t xml:space="preserve"> on similar facts. </w:t>
      </w:r>
    </w:p>
    <w:p w14:paraId="1E287C8D" w14:textId="610431DE" w:rsidR="00BF6426" w:rsidRPr="000F5BA9" w:rsidRDefault="00BF6426" w:rsidP="009B1180">
      <w:pPr>
        <w:rPr>
          <w:b/>
          <w:bCs/>
        </w:rPr>
      </w:pPr>
      <w:r w:rsidRPr="000F5BA9">
        <w:rPr>
          <w:b/>
          <w:bCs/>
        </w:rPr>
        <w:lastRenderedPageBreak/>
        <w:t>1.2</w:t>
      </w:r>
    </w:p>
    <w:p w14:paraId="2B299628" w14:textId="3C56D072" w:rsidR="00936C3C" w:rsidRDefault="008E1C7C" w:rsidP="009B1180">
      <w:r>
        <w:t>There are two ways in which employment rights can be claimed and they are through the courts and tribunals. Employment tribunals were established in 1964 with the purpose of acknowledging appeals by employers against training levies and were know as industrial tribunals</w:t>
      </w:r>
      <w:r w:rsidR="00FB1744">
        <w:t xml:space="preserve"> until 1998.  </w:t>
      </w:r>
      <w:r w:rsidR="004E50CE">
        <w:t>Over the years there has been a rise in the introduction of legislation, and employment law has become one of the fastest changing areas of law in the UK and there are now over 80 specific types of claim that can be brought to a tribunal</w:t>
      </w:r>
      <w:r w:rsidR="00506325">
        <w:t xml:space="preserve"> Daniels (201</w:t>
      </w:r>
      <w:r w:rsidR="001A75B0">
        <w:t>9</w:t>
      </w:r>
      <w:r w:rsidR="00506325">
        <w:t>)</w:t>
      </w:r>
      <w:r w:rsidR="003233B6">
        <w:t xml:space="preserve">. </w:t>
      </w:r>
      <w:r w:rsidR="00E673A0">
        <w:t>Before</w:t>
      </w:r>
      <w:r w:rsidR="00936C3C">
        <w:t xml:space="preserve"> an employee can bring</w:t>
      </w:r>
      <w:r w:rsidR="00E673A0">
        <w:t xml:space="preserve"> a claim to tribunal, the</w:t>
      </w:r>
      <w:r w:rsidR="00936C3C">
        <w:t>y</w:t>
      </w:r>
      <w:r w:rsidR="00E673A0">
        <w:t xml:space="preserve"> will need to</w:t>
      </w:r>
      <w:r w:rsidR="00936C3C">
        <w:t xml:space="preserve"> have at least 2 years of continuous service.  </w:t>
      </w:r>
    </w:p>
    <w:p w14:paraId="5696B80A" w14:textId="0F4B1FCB" w:rsidR="00EB700D" w:rsidRDefault="00936C3C" w:rsidP="009B1180">
      <w:r>
        <w:t>The claimant will need to</w:t>
      </w:r>
      <w:r w:rsidR="00E673A0">
        <w:t xml:space="preserve"> contact </w:t>
      </w:r>
      <w:r w:rsidR="002D3D02">
        <w:t>the Advisory, Conciliation and Arbitration Service (A</w:t>
      </w:r>
      <w:r w:rsidR="00E673A0">
        <w:t>CAS</w:t>
      </w:r>
      <w:r w:rsidR="002D3D02">
        <w:t xml:space="preserve">) </w:t>
      </w:r>
      <w:r w:rsidR="00073006">
        <w:t>and complete an ET1 claim form.  ACAS will then contact the respondent</w:t>
      </w:r>
      <w:r w:rsidR="002D3D02">
        <w:t xml:space="preserve"> in order</w:t>
      </w:r>
      <w:r w:rsidR="00E673A0">
        <w:t xml:space="preserve"> to undertake an ‘early conciliation</w:t>
      </w:r>
      <w:r w:rsidR="002D3D02">
        <w:t xml:space="preserve">’, to </w:t>
      </w:r>
      <w:r w:rsidR="00E76854">
        <w:t xml:space="preserve">try to </w:t>
      </w:r>
      <w:r w:rsidR="002D3D02">
        <w:t xml:space="preserve">resolve the dispute </w:t>
      </w:r>
      <w:r w:rsidR="00E76854">
        <w:t xml:space="preserve">before reaching tribunal. </w:t>
      </w:r>
    </w:p>
    <w:p w14:paraId="28E366D5" w14:textId="1D6BD848" w:rsidR="00E76854" w:rsidRDefault="00E76854" w:rsidP="009B1180">
      <w:r>
        <w:t>The following disputes that can be hear by an Employment Tribunal are</w:t>
      </w:r>
    </w:p>
    <w:p w14:paraId="336A9FCE" w14:textId="4AB2815F" w:rsidR="00E76854" w:rsidRDefault="00E76854" w:rsidP="00E76854">
      <w:pPr>
        <w:pStyle w:val="ListParagraph"/>
        <w:numPr>
          <w:ilvl w:val="0"/>
          <w:numId w:val="9"/>
        </w:numPr>
      </w:pPr>
      <w:r>
        <w:t>Unfair Dismissal</w:t>
      </w:r>
    </w:p>
    <w:p w14:paraId="3D19ECAF" w14:textId="140E1A8A" w:rsidR="00E76854" w:rsidRDefault="00E76854" w:rsidP="00E76854">
      <w:pPr>
        <w:pStyle w:val="ListParagraph"/>
        <w:numPr>
          <w:ilvl w:val="0"/>
          <w:numId w:val="9"/>
        </w:numPr>
      </w:pPr>
      <w:r>
        <w:t>Discrimination</w:t>
      </w:r>
    </w:p>
    <w:p w14:paraId="0F411CED" w14:textId="683410D9" w:rsidR="00951292" w:rsidRDefault="00E76854" w:rsidP="00951292">
      <w:pPr>
        <w:pStyle w:val="ListParagraph"/>
        <w:numPr>
          <w:ilvl w:val="0"/>
          <w:numId w:val="9"/>
        </w:numPr>
      </w:pPr>
      <w:r>
        <w:t>Breach of Contract</w:t>
      </w:r>
    </w:p>
    <w:p w14:paraId="30773B7C" w14:textId="7278F697" w:rsidR="00DE25A5" w:rsidRDefault="00AD4698" w:rsidP="00951292">
      <w:pPr>
        <w:pStyle w:val="ListParagraph"/>
        <w:numPr>
          <w:ilvl w:val="0"/>
          <w:numId w:val="9"/>
        </w:numPr>
      </w:pPr>
      <w:r>
        <w:t>Unlawful deduction of wages</w:t>
      </w:r>
    </w:p>
    <w:p w14:paraId="2598F1CC" w14:textId="59898325" w:rsidR="00AD4698" w:rsidRDefault="00AD4698" w:rsidP="00951292">
      <w:pPr>
        <w:pStyle w:val="ListParagraph"/>
        <w:numPr>
          <w:ilvl w:val="0"/>
          <w:numId w:val="9"/>
        </w:numPr>
      </w:pPr>
      <w:r>
        <w:t>Redundancy payment</w:t>
      </w:r>
    </w:p>
    <w:p w14:paraId="0B790BA5" w14:textId="178DB02D" w:rsidR="00AD4698" w:rsidRDefault="007518A3" w:rsidP="00951292">
      <w:pPr>
        <w:pStyle w:val="ListParagraph"/>
        <w:numPr>
          <w:ilvl w:val="0"/>
          <w:numId w:val="9"/>
        </w:numPr>
      </w:pPr>
      <w:r>
        <w:t>Equal pay</w:t>
      </w:r>
    </w:p>
    <w:p w14:paraId="01BCCF63" w14:textId="031508B9" w:rsidR="00E76854" w:rsidRDefault="00951292" w:rsidP="000E2577">
      <w:r>
        <w:t>The claimant will have 3 months from the date of the dispute in which to make a claim to an employment tribunal, as stated by ACAS this is known as the ‘limitation date’.  Three months is the general rule for incidents such as unfair dismissal etc.  However, for cases such as redundancy payments and equal pay the claimant will have 6 months in which to issue a claim.</w:t>
      </w:r>
      <w:r w:rsidR="001E3EC8">
        <w:t xml:space="preserve">  A county court allows up to 6 years for a clam to be brought. </w:t>
      </w:r>
      <w:r w:rsidR="002F439A">
        <w:t>Employers can provide an out of court settlement to avoid the dispute reaching tribunal, the settlement amount must be agreed by both parties before the claim can be withdrawn.</w:t>
      </w:r>
      <w:r w:rsidR="007518A3">
        <w:t xml:space="preserve"> </w:t>
      </w:r>
    </w:p>
    <w:p w14:paraId="0EFEDB29" w14:textId="34264E69" w:rsidR="009B1180" w:rsidRDefault="0088185D" w:rsidP="009B1180">
      <w:r>
        <w:t xml:space="preserve">The </w:t>
      </w:r>
      <w:r w:rsidR="007D0E57">
        <w:t xml:space="preserve">UK court system </w:t>
      </w:r>
      <w:r w:rsidR="00550218">
        <w:t xml:space="preserve">is hierarchal and provides claimants with the right to appeal to higher courts against the outcomes of cases. </w:t>
      </w:r>
      <w:r w:rsidR="002F439A">
        <w:t>Although, claimants can only appeal in an error of law.</w:t>
      </w:r>
    </w:p>
    <w:p w14:paraId="30F6394C" w14:textId="5CEA735D" w:rsidR="00D52E26" w:rsidRPr="00AD63F4" w:rsidRDefault="00AD63F4" w:rsidP="009B1180">
      <w:pPr>
        <w:rPr>
          <w:b/>
          <w:bCs/>
          <w:u w:val="single"/>
        </w:rPr>
      </w:pPr>
      <w:r w:rsidRPr="00AD63F4">
        <w:rPr>
          <w:b/>
          <w:bCs/>
          <w:u w:val="single"/>
        </w:rPr>
        <w:t xml:space="preserve">The Employment Court Hierarchy </w:t>
      </w:r>
    </w:p>
    <w:p w14:paraId="7AEEE9E1" w14:textId="2958AA2D" w:rsidR="00550218" w:rsidRDefault="0057634B" w:rsidP="009B1180">
      <w:r w:rsidRPr="00AD63F4">
        <w:rPr>
          <w:b/>
          <w:bCs/>
          <w:noProof/>
          <w:u w:val="single"/>
        </w:rPr>
        <mc:AlternateContent>
          <mc:Choice Requires="wps">
            <w:drawing>
              <wp:anchor distT="0" distB="0" distL="114300" distR="114300" simplePos="0" relativeHeight="251667456" behindDoc="0" locked="0" layoutInCell="1" allowOverlap="1" wp14:anchorId="3B1D3BA8" wp14:editId="1C924049">
                <wp:simplePos x="0" y="0"/>
                <wp:positionH relativeFrom="column">
                  <wp:posOffset>-83820</wp:posOffset>
                </wp:positionH>
                <wp:positionV relativeFrom="paragraph">
                  <wp:posOffset>78105</wp:posOffset>
                </wp:positionV>
                <wp:extent cx="1562100" cy="342900"/>
                <wp:effectExtent l="0" t="0" r="19050" b="19050"/>
                <wp:wrapNone/>
                <wp:docPr id="7" name="Rectangle: Rounded Corners 7"/>
                <wp:cNvGraphicFramePr/>
                <a:graphic xmlns:a="http://schemas.openxmlformats.org/drawingml/2006/main">
                  <a:graphicData uri="http://schemas.microsoft.com/office/word/2010/wordprocessingShape">
                    <wps:wsp>
                      <wps:cNvSpPr/>
                      <wps:spPr>
                        <a:xfrm>
                          <a:off x="0" y="0"/>
                          <a:ext cx="1562100" cy="3429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A588AD" w14:textId="11F086D7" w:rsidR="006C07F1" w:rsidRPr="00AD63F4" w:rsidRDefault="006C07F1" w:rsidP="00AD63F4">
                            <w:pPr>
                              <w:jc w:val="center"/>
                              <w:rPr>
                                <w:color w:val="000000" w:themeColor="text1"/>
                                <w:sz w:val="28"/>
                                <w:szCs w:val="28"/>
                              </w:rPr>
                            </w:pPr>
                            <w:r w:rsidRPr="00AD63F4">
                              <w:rPr>
                                <w:color w:val="000000" w:themeColor="text1"/>
                                <w:sz w:val="28"/>
                                <w:szCs w:val="28"/>
                              </w:rPr>
                              <w:t>County Court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B1D3BA8" id="Rectangle: Rounded Corners 7" o:spid="_x0000_s1026" style="position:absolute;margin-left:-6.6pt;margin-top:6.15pt;width:123pt;height:27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" fillcolor="#4472c4 [3204]" strokecolor="#1f3763 [1604]" strokeweight="1pt">
                <v:stroke joinstyle="miter"/>
                <v:textbox>
                  <w:txbxContent>
                    <w:p w14:paraId="6DA588AD" w14:textId="11F086D7" w:rsidR="006C07F1" w:rsidRPr="00AD63F4" w:rsidRDefault="006C07F1" w:rsidP="00AD63F4">
                      <w:pPr>
                        <w:jc w:val="center"/>
                        <w:rPr>
                          <w:color w:val="000000" w:themeColor="text1"/>
                          <w:sz w:val="28"/>
                          <w:szCs w:val="28"/>
                        </w:rPr>
                      </w:pPr>
                      <w:r w:rsidRPr="00AD63F4">
                        <w:rPr>
                          <w:color w:val="000000" w:themeColor="text1"/>
                          <w:sz w:val="28"/>
                          <w:szCs w:val="28"/>
                        </w:rPr>
                        <w:t>County Court</w:t>
                      </w:r>
                    </w:p>
                  </w:txbxContent>
                </v:textbox>
              </v:roundrect>
            </w:pict>
          </mc:Fallback>
        </mc:AlternateContent>
      </w:r>
      <w:r w:rsidR="005038E4">
        <w:rPr>
          <w:noProof/>
        </w:rPr>
        <mc:AlternateContent>
          <mc:Choice Requires="wps">
            <w:drawing>
              <wp:anchor distT="0" distB="0" distL="114300" distR="114300" simplePos="0" relativeHeight="251666432" behindDoc="0" locked="0" layoutInCell="1" allowOverlap="1" wp14:anchorId="60AA2023" wp14:editId="71DB46E1">
                <wp:simplePos x="0" y="0"/>
                <wp:positionH relativeFrom="margin">
                  <wp:align>center</wp:align>
                </wp:positionH>
                <wp:positionV relativeFrom="paragraph">
                  <wp:posOffset>81915</wp:posOffset>
                </wp:positionV>
                <wp:extent cx="2362200" cy="358140"/>
                <wp:effectExtent l="0" t="0" r="19050" b="22860"/>
                <wp:wrapNone/>
                <wp:docPr id="6" name="Flowchart: Process 6"/>
                <wp:cNvGraphicFramePr/>
                <a:graphic xmlns:a="http://schemas.openxmlformats.org/drawingml/2006/main">
                  <a:graphicData uri="http://schemas.microsoft.com/office/word/2010/wordprocessingShape">
                    <wps:wsp>
                      <wps:cNvSpPr/>
                      <wps:spPr>
                        <a:xfrm>
                          <a:off x="0" y="0"/>
                          <a:ext cx="2362200" cy="35814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2EE76E" w14:textId="6D2A516E" w:rsidR="006C07F1" w:rsidRPr="005038E4" w:rsidRDefault="006C07F1" w:rsidP="005038E4">
                            <w:pPr>
                              <w:jc w:val="center"/>
                              <w:rPr>
                                <w:color w:val="000000" w:themeColor="text1"/>
                                <w:sz w:val="28"/>
                                <w:szCs w:val="28"/>
                              </w:rPr>
                            </w:pPr>
                            <w:r w:rsidRPr="005038E4">
                              <w:rPr>
                                <w:color w:val="000000" w:themeColor="text1"/>
                                <w:sz w:val="28"/>
                                <w:szCs w:val="28"/>
                              </w:rPr>
                              <w:t>Supreme Court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AA2023" id="_x0000_t109" coordsize="21600,21600" o:spt="109" path="m,l,21600r21600,l21600,xe">
                <v:stroke joinstyle="miter"/>
                <v:path gradientshapeok="t" o:connecttype="rect"/>
              </v:shapetype>
              <v:shape id="Flowchart: Process 6" o:spid="_x0000_s1027" type="#_x0000_t109" style="position:absolute;margin-left:0;margin-top:6.45pt;width:186pt;height:28.2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" fillcolor="#4472c4 [3204]" strokecolor="#1f3763 [1604]" strokeweight="1pt">
                <v:textbox>
                  <w:txbxContent>
                    <w:p w14:paraId="562EE76E" w14:textId="6D2A516E" w:rsidR="006C07F1" w:rsidRPr="005038E4" w:rsidRDefault="006C07F1" w:rsidP="005038E4">
                      <w:pPr>
                        <w:jc w:val="center"/>
                        <w:rPr>
                          <w:color w:val="000000" w:themeColor="text1"/>
                          <w:sz w:val="28"/>
                          <w:szCs w:val="28"/>
                        </w:rPr>
                      </w:pPr>
                      <w:r w:rsidRPr="005038E4">
                        <w:rPr>
                          <w:color w:val="000000" w:themeColor="text1"/>
                          <w:sz w:val="28"/>
                          <w:szCs w:val="28"/>
                        </w:rPr>
                        <w:t>Supreme Court</w:t>
                      </w:r>
                    </w:p>
                  </w:txbxContent>
                </v:textbox>
                <w10:wrap anchorx="margin"/>
              </v:shape>
            </w:pict>
          </mc:Fallback>
        </mc:AlternateContent>
      </w:r>
    </w:p>
    <w:p w14:paraId="4E5975EE" w14:textId="2B9505E9" w:rsidR="0088185D" w:rsidRDefault="0057634B" w:rsidP="009B1180">
      <w:r>
        <w:rPr>
          <w:noProof/>
        </w:rPr>
        <mc:AlternateContent>
          <mc:Choice Requires="wps">
            <w:drawing>
              <wp:anchor distT="0" distB="0" distL="114300" distR="114300" simplePos="0" relativeHeight="251669504" behindDoc="0" locked="0" layoutInCell="1" allowOverlap="1" wp14:anchorId="12446203" wp14:editId="06F965A3">
                <wp:simplePos x="0" y="0"/>
                <wp:positionH relativeFrom="column">
                  <wp:posOffset>-76200</wp:posOffset>
                </wp:positionH>
                <wp:positionV relativeFrom="paragraph">
                  <wp:posOffset>254635</wp:posOffset>
                </wp:positionV>
                <wp:extent cx="1562100" cy="342900"/>
                <wp:effectExtent l="0" t="0" r="19050" b="19050"/>
                <wp:wrapNone/>
                <wp:docPr id="8" name="Rectangle: Rounded Corners 8"/>
                <wp:cNvGraphicFramePr/>
                <a:graphic xmlns:a="http://schemas.openxmlformats.org/drawingml/2006/main">
                  <a:graphicData uri="http://schemas.microsoft.com/office/word/2010/wordprocessingShape">
                    <wps:wsp>
                      <wps:cNvSpPr/>
                      <wps:spPr>
                        <a:xfrm>
                          <a:off x="0" y="0"/>
                          <a:ext cx="1562100" cy="34290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5982FBDC" w14:textId="7723C78C" w:rsidR="006C07F1" w:rsidRPr="00AD63F4" w:rsidRDefault="006C07F1" w:rsidP="00AD63F4">
                            <w:pPr>
                              <w:jc w:val="center"/>
                              <w:rPr>
                                <w:sz w:val="28"/>
                                <w:szCs w:val="28"/>
                              </w:rPr>
                            </w:pPr>
                            <w:r w:rsidRPr="00AD63F4">
                              <w:rPr>
                                <w:sz w:val="28"/>
                                <w:szCs w:val="28"/>
                              </w:rPr>
                              <w:t>High Court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2446203" id="Rectangle: Rounded Corners 8" o:spid="_x0000_s1028" style="position:absolute;margin-left:-6pt;margin-top:20.05pt;width:123pt;height:27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" fillcolor="#4472c4" strokecolor="#2f528f" strokeweight="1pt">
                <v:stroke joinstyle="miter"/>
                <v:textbox>
                  <w:txbxContent>
                    <w:p w14:paraId="5982FBDC" w14:textId="7723C78C" w:rsidR="006C07F1" w:rsidRPr="00AD63F4" w:rsidRDefault="006C07F1" w:rsidP="00AD63F4">
                      <w:pPr>
                        <w:jc w:val="center"/>
                        <w:rPr>
                          <w:sz w:val="28"/>
                          <w:szCs w:val="28"/>
                        </w:rPr>
                      </w:pPr>
                      <w:r w:rsidRPr="00AD63F4">
                        <w:rPr>
                          <w:sz w:val="28"/>
                          <w:szCs w:val="28"/>
                        </w:rPr>
                        <w:t>High Court</w:t>
                      </w:r>
                    </w:p>
                  </w:txbxContent>
                </v:textbox>
              </v:roundrect>
            </w:pict>
          </mc:Fallback>
        </mc:AlternateContent>
      </w:r>
      <w:r>
        <w:rPr>
          <w:noProof/>
        </w:rPr>
        <mc:AlternateContent>
          <mc:Choice Requires="wps">
            <w:drawing>
              <wp:anchor distT="0" distB="0" distL="114300" distR="114300" simplePos="0" relativeHeight="251661312" behindDoc="0" locked="0" layoutInCell="1" allowOverlap="1" wp14:anchorId="59DBE77D" wp14:editId="59A40B8E">
                <wp:simplePos x="0" y="0"/>
                <wp:positionH relativeFrom="column">
                  <wp:posOffset>1684020</wp:posOffset>
                </wp:positionH>
                <wp:positionV relativeFrom="paragraph">
                  <wp:posOffset>205740</wp:posOffset>
                </wp:positionV>
                <wp:extent cx="2331720" cy="560070"/>
                <wp:effectExtent l="0" t="19050" r="11430" b="11430"/>
                <wp:wrapNone/>
                <wp:docPr id="3" name="Callout: Up Arrow 3"/>
                <wp:cNvGraphicFramePr/>
                <a:graphic xmlns:a="http://schemas.openxmlformats.org/drawingml/2006/main">
                  <a:graphicData uri="http://schemas.microsoft.com/office/word/2010/wordprocessingShape">
                    <wps:wsp>
                      <wps:cNvSpPr/>
                      <wps:spPr>
                        <a:xfrm>
                          <a:off x="0" y="0"/>
                          <a:ext cx="2331720" cy="560070"/>
                        </a:xfrm>
                        <a:prstGeom prst="upArrowCallout">
                          <a:avLst/>
                        </a:prstGeom>
                        <a:solidFill>
                          <a:srgbClr val="4472C4"/>
                        </a:solidFill>
                        <a:ln w="12700" cap="flat" cmpd="sng" algn="ctr">
                          <a:solidFill>
                            <a:srgbClr val="4472C4">
                              <a:shade val="50000"/>
                            </a:srgbClr>
                          </a:solidFill>
                          <a:prstDash val="solid"/>
                          <a:miter lim="800000"/>
                        </a:ln>
                        <a:effectLst/>
                      </wps:spPr>
                      <wps:txbx>
                        <w:txbxContent>
                          <w:p w14:paraId="3939F9A2" w14:textId="50BA9EF6" w:rsidR="006C07F1" w:rsidRPr="005038E4" w:rsidRDefault="006C07F1" w:rsidP="005038E4">
                            <w:pPr>
                              <w:jc w:val="center"/>
                              <w:rPr>
                                <w:sz w:val="28"/>
                                <w:szCs w:val="28"/>
                              </w:rPr>
                            </w:pPr>
                            <w:r w:rsidRPr="005038E4">
                              <w:rPr>
                                <w:sz w:val="28"/>
                                <w:szCs w:val="28"/>
                              </w:rPr>
                              <w:t>Court of Appeal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9DBE77D"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Callout: Up Arrow 3" o:spid="_x0000_s1029" type="#_x0000_t79" style="position:absolute;margin-left:132.6pt;margin-top:16.2pt;width:183.6pt;height:44.1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" adj="7565,9503,5400,10151" fillcolor="#4472c4" strokecolor="#2f528f" strokeweight="1pt">
                <v:textbox>
                  <w:txbxContent>
                    <w:p w14:paraId="3939F9A2" w14:textId="50BA9EF6" w:rsidR="006C07F1" w:rsidRPr="005038E4" w:rsidRDefault="006C07F1" w:rsidP="005038E4">
                      <w:pPr>
                        <w:jc w:val="center"/>
                        <w:rPr>
                          <w:sz w:val="28"/>
                          <w:szCs w:val="28"/>
                        </w:rPr>
                      </w:pPr>
                      <w:r w:rsidRPr="005038E4">
                        <w:rPr>
                          <w:sz w:val="28"/>
                          <w:szCs w:val="28"/>
                        </w:rPr>
                        <w:t>Court of Appeal</w:t>
                      </w:r>
                    </w:p>
                  </w:txbxContent>
                </v:textbox>
              </v:shape>
            </w:pict>
          </mc:Fallback>
        </mc:AlternateContent>
      </w:r>
    </w:p>
    <w:p w14:paraId="3B9F05ED" w14:textId="09DF4662" w:rsidR="00E01A9B" w:rsidRDefault="00E01A9B" w:rsidP="009B1180"/>
    <w:p w14:paraId="55CC4236" w14:textId="17610E73" w:rsidR="00D84D9C" w:rsidRPr="00D84D9C" w:rsidRDefault="0057634B" w:rsidP="00D84D9C">
      <w:r>
        <w:rPr>
          <w:noProof/>
        </w:rPr>
        <mc:AlternateContent>
          <mc:Choice Requires="wps">
            <w:drawing>
              <wp:anchor distT="0" distB="0" distL="114300" distR="114300" simplePos="0" relativeHeight="251659264" behindDoc="0" locked="0" layoutInCell="1" allowOverlap="1" wp14:anchorId="60751C8C" wp14:editId="01740FBF">
                <wp:simplePos x="0" y="0"/>
                <wp:positionH relativeFrom="margin">
                  <wp:align>center</wp:align>
                </wp:positionH>
                <wp:positionV relativeFrom="paragraph">
                  <wp:posOffset>223520</wp:posOffset>
                </wp:positionV>
                <wp:extent cx="2331720" cy="560070"/>
                <wp:effectExtent l="0" t="19050" r="11430" b="11430"/>
                <wp:wrapNone/>
                <wp:docPr id="2" name="Callout: Up Arrow 2"/>
                <wp:cNvGraphicFramePr/>
                <a:graphic xmlns:a="http://schemas.openxmlformats.org/drawingml/2006/main">
                  <a:graphicData uri="http://schemas.microsoft.com/office/word/2010/wordprocessingShape">
                    <wps:wsp>
                      <wps:cNvSpPr/>
                      <wps:spPr>
                        <a:xfrm>
                          <a:off x="0" y="0"/>
                          <a:ext cx="2331720" cy="560070"/>
                        </a:xfrm>
                        <a:prstGeom prst="up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FB305A9" w14:textId="130E1692" w:rsidR="006C07F1" w:rsidRPr="005038E4" w:rsidRDefault="006C07F1" w:rsidP="005038E4">
                            <w:pPr>
                              <w:jc w:val="center"/>
                              <w:rPr>
                                <w:color w:val="000000" w:themeColor="text1"/>
                                <w:sz w:val="28"/>
                                <w:szCs w:val="28"/>
                              </w:rPr>
                            </w:pPr>
                            <w:r w:rsidRPr="005038E4">
                              <w:rPr>
                                <w:color w:val="000000" w:themeColor="text1"/>
                                <w:sz w:val="28"/>
                                <w:szCs w:val="28"/>
                              </w:rPr>
                              <w:t>Employment Appeal Tribunal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0751C8C" id="Callout: Up Arrow 2" o:spid="_x0000_s1030" type="#_x0000_t79" style="position:absolute;margin-left:0;margin-top:17.6pt;width:183.6pt;height:44.1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" adj="7565,9503,5400,10151" fillcolor="#4472c4 [3204]" strokecolor="#1f3763 [1604]" strokeweight="1pt">
                <v:textbox>
                  <w:txbxContent>
                    <w:p w14:paraId="3FB305A9" w14:textId="130E1692" w:rsidR="006C07F1" w:rsidRPr="005038E4" w:rsidRDefault="006C07F1" w:rsidP="005038E4">
                      <w:pPr>
                        <w:jc w:val="center"/>
                        <w:rPr>
                          <w:color w:val="000000" w:themeColor="text1"/>
                          <w:sz w:val="28"/>
                          <w:szCs w:val="28"/>
                        </w:rPr>
                      </w:pPr>
                      <w:r w:rsidRPr="005038E4">
                        <w:rPr>
                          <w:color w:val="000000" w:themeColor="text1"/>
                          <w:sz w:val="28"/>
                          <w:szCs w:val="28"/>
                        </w:rPr>
                        <w:t>Employment Appeal Tribunal</w:t>
                      </w:r>
                    </w:p>
                  </w:txbxContent>
                </v:textbox>
                <w10:wrap anchorx="margin"/>
              </v:shape>
            </w:pict>
          </mc:Fallback>
        </mc:AlternateContent>
      </w:r>
    </w:p>
    <w:p w14:paraId="74C502BE" w14:textId="450730D4" w:rsidR="00D84D9C" w:rsidRDefault="00D84D9C" w:rsidP="00D84D9C"/>
    <w:p w14:paraId="3FE90DF5" w14:textId="6876CAD8" w:rsidR="00D84D9C" w:rsidRDefault="0057634B" w:rsidP="00D84D9C">
      <w:pPr>
        <w:tabs>
          <w:tab w:val="left" w:pos="6036"/>
        </w:tabs>
        <w:rPr>
          <w:sz w:val="18"/>
          <w:szCs w:val="18"/>
        </w:rPr>
      </w:pPr>
      <w:r>
        <w:rPr>
          <w:noProof/>
        </w:rPr>
        <mc:AlternateContent>
          <mc:Choice Requires="wps">
            <w:drawing>
              <wp:anchor distT="0" distB="0" distL="114300" distR="114300" simplePos="0" relativeHeight="251665408" behindDoc="0" locked="0" layoutInCell="1" allowOverlap="1" wp14:anchorId="2CBDFD6F" wp14:editId="3A662E1C">
                <wp:simplePos x="0" y="0"/>
                <wp:positionH relativeFrom="column">
                  <wp:posOffset>1684020</wp:posOffset>
                </wp:positionH>
                <wp:positionV relativeFrom="paragraph">
                  <wp:posOffset>243840</wp:posOffset>
                </wp:positionV>
                <wp:extent cx="2331720" cy="560070"/>
                <wp:effectExtent l="0" t="19050" r="11430" b="11430"/>
                <wp:wrapNone/>
                <wp:docPr id="5" name="Callout: Up Arrow 5"/>
                <wp:cNvGraphicFramePr/>
                <a:graphic xmlns:a="http://schemas.openxmlformats.org/drawingml/2006/main">
                  <a:graphicData uri="http://schemas.microsoft.com/office/word/2010/wordprocessingShape">
                    <wps:wsp>
                      <wps:cNvSpPr/>
                      <wps:spPr>
                        <a:xfrm>
                          <a:off x="0" y="0"/>
                          <a:ext cx="2331720" cy="560070"/>
                        </a:xfrm>
                        <a:prstGeom prst="upArrowCallout">
                          <a:avLst/>
                        </a:prstGeom>
                        <a:solidFill>
                          <a:srgbClr val="4472C4"/>
                        </a:solidFill>
                        <a:ln w="12700" cap="flat" cmpd="sng" algn="ctr">
                          <a:solidFill>
                            <a:srgbClr val="4472C4">
                              <a:shade val="50000"/>
                            </a:srgbClr>
                          </a:solidFill>
                          <a:prstDash val="solid"/>
                          <a:miter lim="800000"/>
                        </a:ln>
                        <a:effectLst/>
                      </wps:spPr>
                      <wps:txbx>
                        <w:txbxContent>
                          <w:p w14:paraId="77F48891" w14:textId="0AAF938F" w:rsidR="006C07F1" w:rsidRPr="005038E4" w:rsidRDefault="006C07F1" w:rsidP="005038E4">
                            <w:pPr>
                              <w:jc w:val="center"/>
                              <w:rPr>
                                <w:sz w:val="28"/>
                                <w:szCs w:val="28"/>
                              </w:rPr>
                            </w:pPr>
                            <w:r w:rsidRPr="005038E4">
                              <w:rPr>
                                <w:sz w:val="28"/>
                                <w:szCs w:val="28"/>
                              </w:rPr>
                              <w:t xml:space="preserve">Employment Tribunal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CBDFD6F" id="Callout: Up Arrow 5" o:spid="_x0000_s1031" type="#_x0000_t79" style="position:absolute;margin-left:132.6pt;margin-top:19.2pt;width:183.6pt;height:44.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" adj="7565,9503,5400,10151" fillcolor="#4472c4" strokecolor="#2f528f" strokeweight="1pt">
                <v:textbox>
                  <w:txbxContent>
                    <w:p w14:paraId="77F48891" w14:textId="0AAF938F" w:rsidR="006C07F1" w:rsidRPr="005038E4" w:rsidRDefault="006C07F1" w:rsidP="005038E4">
                      <w:pPr>
                        <w:jc w:val="center"/>
                        <w:rPr>
                          <w:sz w:val="28"/>
                          <w:szCs w:val="28"/>
                        </w:rPr>
                      </w:pPr>
                      <w:r w:rsidRPr="005038E4">
                        <w:rPr>
                          <w:sz w:val="28"/>
                          <w:szCs w:val="28"/>
                        </w:rPr>
                        <w:t xml:space="preserve">Employment Tribunal </w:t>
                      </w:r>
                    </w:p>
                  </w:txbxContent>
                </v:textbox>
              </v:shape>
            </w:pict>
          </mc:Fallback>
        </mc:AlternateContent>
      </w:r>
      <w:r w:rsidR="00D84D9C">
        <w:tab/>
      </w:r>
      <w:r>
        <w:tab/>
      </w:r>
      <w:r w:rsidR="00D84D9C" w:rsidRPr="0057634B">
        <w:rPr>
          <w:sz w:val="18"/>
          <w:szCs w:val="18"/>
        </w:rPr>
        <w:t>Can only appeal in an error of law</w:t>
      </w:r>
    </w:p>
    <w:p w14:paraId="30509E7C" w14:textId="1FDCDB2F" w:rsidR="005A1AD7" w:rsidRDefault="005A1AD7" w:rsidP="005A1AD7">
      <w:pPr>
        <w:rPr>
          <w:sz w:val="18"/>
          <w:szCs w:val="18"/>
        </w:rPr>
      </w:pPr>
    </w:p>
    <w:p w14:paraId="76D14F45" w14:textId="2BF20D25" w:rsidR="005A1AD7" w:rsidRDefault="005A1AD7" w:rsidP="005A1AD7">
      <w:pPr>
        <w:tabs>
          <w:tab w:val="left" w:pos="7032"/>
        </w:tabs>
        <w:rPr>
          <w:sz w:val="18"/>
          <w:szCs w:val="18"/>
        </w:rPr>
      </w:pPr>
      <w:r>
        <w:rPr>
          <w:sz w:val="18"/>
          <w:szCs w:val="18"/>
        </w:rPr>
        <w:tab/>
      </w:r>
    </w:p>
    <w:p w14:paraId="7FEEFBE3" w14:textId="0E421D31" w:rsidR="005A1AD7" w:rsidRDefault="005A1AD7" w:rsidP="005A1AD7">
      <w:pPr>
        <w:tabs>
          <w:tab w:val="left" w:pos="7032"/>
        </w:tabs>
        <w:rPr>
          <w:sz w:val="18"/>
          <w:szCs w:val="18"/>
        </w:rPr>
      </w:pPr>
    </w:p>
    <w:p w14:paraId="2B15FAAE" w14:textId="77777777" w:rsidR="00BF6426" w:rsidRDefault="00BF6426" w:rsidP="005A1AD7">
      <w:pPr>
        <w:tabs>
          <w:tab w:val="left" w:pos="7032"/>
        </w:tabs>
      </w:pPr>
    </w:p>
    <w:p w14:paraId="3A5ECF71" w14:textId="77777777" w:rsidR="000F5BA9" w:rsidRDefault="000F5BA9" w:rsidP="003E5135">
      <w:pPr>
        <w:tabs>
          <w:tab w:val="left" w:pos="7032"/>
        </w:tabs>
      </w:pPr>
      <w:bookmarkStart w:id="2" w:name="_Hlk70071468"/>
      <w:bookmarkStart w:id="3" w:name="_Hlk69334735"/>
      <w:bookmarkStart w:id="4" w:name="_Hlk69414474"/>
    </w:p>
    <w:p w14:paraId="0A5EE570" w14:textId="145C7770" w:rsidR="003E5135" w:rsidRPr="000F5BA9" w:rsidRDefault="003E5135" w:rsidP="003E5135">
      <w:pPr>
        <w:tabs>
          <w:tab w:val="left" w:pos="7032"/>
        </w:tabs>
        <w:rPr>
          <w:b/>
          <w:bCs/>
        </w:rPr>
      </w:pPr>
      <w:r w:rsidRPr="000F5BA9">
        <w:rPr>
          <w:b/>
          <w:bCs/>
        </w:rPr>
        <w:lastRenderedPageBreak/>
        <w:t>2.1</w:t>
      </w:r>
    </w:p>
    <w:p w14:paraId="684CB4BB" w14:textId="235ECE47" w:rsidR="003E5135" w:rsidRDefault="003E5135" w:rsidP="003E5135">
      <w:pPr>
        <w:tabs>
          <w:tab w:val="left" w:pos="7032"/>
        </w:tabs>
      </w:pPr>
      <w:r>
        <w:t xml:space="preserve">The Equality Act 2010 protects against discrimination and as stated by CIPD 2021 it makes it unlawful for employers to discriminate against applicants and existing staff members due to the following “protected characteristics”: age, disability, gender reassignment, race, religion or belief, sex, sexual orientation, marriage and civil partnership and pregnancy and maternity. The law allows for anyone that is considered a part of the protected groups and is discriminated against to claim compensation.  There is not one act that primarily covers recruitment and selection but there are a few acts that lawfully influence the process and it is imperative that applicants are treated </w:t>
      </w:r>
      <w:r w:rsidR="006C07F1">
        <w:t>fairly,</w:t>
      </w:r>
      <w:r w:rsidR="000F5BA9">
        <w:t xml:space="preserve"> and reasonable adjustments are made where necessary</w:t>
      </w:r>
      <w:r>
        <w:t xml:space="preserve">.   Although some instances of discrimination during recruitment may be unintentional, the law does not accept employers claims of unintended discrimination. Successful compensation claims for discrimination cases </w:t>
      </w:r>
      <w:r w:rsidR="005D29E0">
        <w:t>can cost an employer thousands of pounds</w:t>
      </w:r>
      <w:r>
        <w:t xml:space="preserve"> with additional legal fees and irreparable damage to the organisation’s reputation. </w:t>
      </w:r>
      <w:r w:rsidR="000F5BA9">
        <w:t xml:space="preserve"> </w:t>
      </w:r>
    </w:p>
    <w:p w14:paraId="4306C2F8" w14:textId="2CB0D962" w:rsidR="006C07F1" w:rsidRPr="008B28D9" w:rsidRDefault="006C07F1" w:rsidP="006C07F1">
      <w:pPr>
        <w:tabs>
          <w:tab w:val="left" w:pos="7032"/>
        </w:tabs>
        <w:rPr>
          <w:rFonts w:cs="Open Sans"/>
          <w:color w:val="000000"/>
          <w:shd w:val="clear" w:color="auto" w:fill="FFFFFF"/>
        </w:rPr>
      </w:pPr>
      <w:r w:rsidRPr="008B28D9">
        <w:rPr>
          <w:rFonts w:cs="Open Sans"/>
          <w:color w:val="000000"/>
          <w:shd w:val="clear" w:color="auto" w:fill="FFFFFF"/>
        </w:rPr>
        <w:t>Daniels (201</w:t>
      </w:r>
      <w:r>
        <w:rPr>
          <w:rFonts w:cs="Open Sans"/>
          <w:color w:val="000000"/>
          <w:shd w:val="clear" w:color="auto" w:fill="FFFFFF"/>
        </w:rPr>
        <w:t>9</w:t>
      </w:r>
      <w:r w:rsidRPr="008B28D9">
        <w:rPr>
          <w:rFonts w:cs="Open Sans"/>
          <w:color w:val="000000"/>
          <w:shd w:val="clear" w:color="auto" w:fill="FFFFFF"/>
        </w:rPr>
        <w:t>) provides information of different types of discrimination within the workplace</w:t>
      </w:r>
    </w:p>
    <w:tbl>
      <w:tblPr>
        <w:tblStyle w:val="TableGrid"/>
        <w:tblW w:w="0" w:type="auto"/>
        <w:tblLook w:val="04A0" w:firstRow="1" w:lastRow="0" w:firstColumn="1" w:lastColumn="0" w:noHBand="0" w:noVBand="1"/>
      </w:tblPr>
      <w:tblGrid>
        <w:gridCol w:w="2405"/>
        <w:gridCol w:w="6611"/>
      </w:tblGrid>
      <w:tr w:rsidR="006C07F1" w14:paraId="034EB821" w14:textId="77777777" w:rsidTr="006C07F1">
        <w:tc>
          <w:tcPr>
            <w:tcW w:w="2405" w:type="dxa"/>
          </w:tcPr>
          <w:p w14:paraId="75727D8E" w14:textId="77777777" w:rsidR="006C07F1" w:rsidRPr="00E175EF" w:rsidRDefault="006C07F1" w:rsidP="006C07F1">
            <w:pPr>
              <w:tabs>
                <w:tab w:val="left" w:pos="7032"/>
              </w:tabs>
              <w:rPr>
                <w:rFonts w:cs="Open Sans"/>
                <w:b/>
                <w:bCs/>
                <w:color w:val="000000"/>
                <w:shd w:val="clear" w:color="auto" w:fill="FFFFFF"/>
              </w:rPr>
            </w:pPr>
            <w:r w:rsidRPr="00E175EF">
              <w:rPr>
                <w:rFonts w:cs="Open Sans"/>
                <w:b/>
                <w:bCs/>
                <w:color w:val="000000"/>
                <w:shd w:val="clear" w:color="auto" w:fill="FFFFFF"/>
              </w:rPr>
              <w:t>Direct Discrimination</w:t>
            </w:r>
          </w:p>
        </w:tc>
        <w:tc>
          <w:tcPr>
            <w:tcW w:w="6611" w:type="dxa"/>
          </w:tcPr>
          <w:p w14:paraId="4447AC25" w14:textId="77777777" w:rsidR="006C07F1" w:rsidRDefault="006C07F1" w:rsidP="006C07F1">
            <w:pPr>
              <w:tabs>
                <w:tab w:val="left" w:pos="7032"/>
              </w:tabs>
            </w:pPr>
            <w:r>
              <w:t xml:space="preserve">Treating someone less favourably due to a specific protected characteristic.  In recruitment and selection, discrimination can be portrayed through employers by excluding or rejecting applicants of a </w:t>
            </w:r>
            <w:proofErr w:type="gramStart"/>
            <w:r>
              <w:t>particular age</w:t>
            </w:r>
            <w:proofErr w:type="gramEnd"/>
            <w:r>
              <w:t>, sex, race etc. It is unlawful for employers to choose applicants for anything other than their experience or qualifications.</w:t>
            </w:r>
          </w:p>
          <w:p w14:paraId="0CA3CF27" w14:textId="77777777" w:rsidR="006C07F1" w:rsidRDefault="006C07F1" w:rsidP="006C07F1">
            <w:pPr>
              <w:tabs>
                <w:tab w:val="left" w:pos="7032"/>
              </w:tabs>
              <w:rPr>
                <w:rFonts w:cs="Open Sans"/>
                <w:color w:val="000000"/>
                <w:sz w:val="20"/>
                <w:szCs w:val="20"/>
                <w:shd w:val="clear" w:color="auto" w:fill="FFFFFF"/>
              </w:rPr>
            </w:pPr>
          </w:p>
        </w:tc>
      </w:tr>
      <w:tr w:rsidR="006C07F1" w14:paraId="2AB7B243" w14:textId="77777777" w:rsidTr="006C07F1">
        <w:tc>
          <w:tcPr>
            <w:tcW w:w="2405" w:type="dxa"/>
          </w:tcPr>
          <w:p w14:paraId="7DFA7CDC" w14:textId="77777777" w:rsidR="006C07F1" w:rsidRPr="00E175EF" w:rsidRDefault="006C07F1" w:rsidP="006C07F1">
            <w:pPr>
              <w:tabs>
                <w:tab w:val="left" w:pos="7032"/>
              </w:tabs>
              <w:rPr>
                <w:rFonts w:cs="Open Sans"/>
                <w:b/>
                <w:bCs/>
                <w:color w:val="000000"/>
                <w:shd w:val="clear" w:color="auto" w:fill="FFFFFF"/>
              </w:rPr>
            </w:pPr>
            <w:r w:rsidRPr="00E175EF">
              <w:rPr>
                <w:rFonts w:cs="Open Sans"/>
                <w:b/>
                <w:bCs/>
                <w:color w:val="000000"/>
                <w:shd w:val="clear" w:color="auto" w:fill="FFFFFF"/>
              </w:rPr>
              <w:t>Indirect Discrimination</w:t>
            </w:r>
          </w:p>
        </w:tc>
        <w:tc>
          <w:tcPr>
            <w:tcW w:w="6611" w:type="dxa"/>
          </w:tcPr>
          <w:p w14:paraId="0D9510F1" w14:textId="77777777" w:rsidR="006C07F1" w:rsidRDefault="006C07F1" w:rsidP="006C07F1">
            <w:pPr>
              <w:tabs>
                <w:tab w:val="left" w:pos="7032"/>
              </w:tabs>
              <w:rPr>
                <w:rFonts w:cs="Open Sans"/>
                <w:color w:val="000000"/>
                <w:sz w:val="20"/>
                <w:szCs w:val="20"/>
                <w:shd w:val="clear" w:color="auto" w:fill="FFFFFF"/>
              </w:rPr>
            </w:pPr>
            <w:r>
              <w:t xml:space="preserve">Applying certain criteria and conditions to job requirements, which appears to include everyone equally but when put into practice it exposes that people who come under the protected characteristics are treated unfairly.  </w:t>
            </w:r>
          </w:p>
        </w:tc>
      </w:tr>
      <w:tr w:rsidR="006C07F1" w14:paraId="24E5E760" w14:textId="77777777" w:rsidTr="006C07F1">
        <w:tc>
          <w:tcPr>
            <w:tcW w:w="2405" w:type="dxa"/>
          </w:tcPr>
          <w:p w14:paraId="643E7D78" w14:textId="77777777" w:rsidR="006C07F1" w:rsidRPr="00E175EF" w:rsidRDefault="006C07F1" w:rsidP="006C07F1">
            <w:pPr>
              <w:tabs>
                <w:tab w:val="left" w:pos="7032"/>
              </w:tabs>
              <w:rPr>
                <w:rFonts w:cs="Open Sans"/>
                <w:b/>
                <w:bCs/>
                <w:color w:val="000000"/>
                <w:shd w:val="clear" w:color="auto" w:fill="FFFFFF"/>
              </w:rPr>
            </w:pPr>
            <w:r w:rsidRPr="00E175EF">
              <w:rPr>
                <w:rFonts w:cs="Open Sans"/>
                <w:b/>
                <w:bCs/>
                <w:color w:val="000000"/>
                <w:shd w:val="clear" w:color="auto" w:fill="FFFFFF"/>
              </w:rPr>
              <w:t xml:space="preserve">Harassment </w:t>
            </w:r>
          </w:p>
        </w:tc>
        <w:tc>
          <w:tcPr>
            <w:tcW w:w="6611" w:type="dxa"/>
          </w:tcPr>
          <w:p w14:paraId="4C604939" w14:textId="77777777" w:rsidR="006C07F1" w:rsidRDefault="006C07F1" w:rsidP="006C07F1">
            <w:pPr>
              <w:tabs>
                <w:tab w:val="left" w:pos="7032"/>
              </w:tabs>
            </w:pPr>
            <w:r>
              <w:t xml:space="preserve">Deliberately causing an unfavourable environment for people who come under the protected characteristics. </w:t>
            </w:r>
          </w:p>
        </w:tc>
      </w:tr>
      <w:tr w:rsidR="006C07F1" w14:paraId="5BDF1574" w14:textId="77777777" w:rsidTr="006C07F1">
        <w:tc>
          <w:tcPr>
            <w:tcW w:w="2405" w:type="dxa"/>
          </w:tcPr>
          <w:p w14:paraId="22EA1549" w14:textId="77777777" w:rsidR="006C07F1" w:rsidRPr="00E175EF" w:rsidRDefault="006C07F1" w:rsidP="006C07F1">
            <w:pPr>
              <w:tabs>
                <w:tab w:val="left" w:pos="7032"/>
              </w:tabs>
              <w:rPr>
                <w:rFonts w:cs="Open Sans"/>
                <w:b/>
                <w:bCs/>
                <w:color w:val="000000"/>
                <w:shd w:val="clear" w:color="auto" w:fill="FFFFFF"/>
              </w:rPr>
            </w:pPr>
            <w:r w:rsidRPr="00E175EF">
              <w:rPr>
                <w:rFonts w:cs="Open Sans"/>
                <w:b/>
                <w:bCs/>
                <w:color w:val="000000"/>
                <w:shd w:val="clear" w:color="auto" w:fill="FFFFFF"/>
              </w:rPr>
              <w:t>Victimisation</w:t>
            </w:r>
          </w:p>
        </w:tc>
        <w:tc>
          <w:tcPr>
            <w:tcW w:w="6611" w:type="dxa"/>
          </w:tcPr>
          <w:p w14:paraId="093F48F8" w14:textId="77777777" w:rsidR="006C07F1" w:rsidRDefault="006C07F1" w:rsidP="006C07F1">
            <w:pPr>
              <w:tabs>
                <w:tab w:val="left" w:pos="7032"/>
              </w:tabs>
            </w:pPr>
            <w:r>
              <w:t>Becomes a victim of harmful behaviour due to making an allegation of discrimination, supported a claim around discrimination etc.</w:t>
            </w:r>
          </w:p>
        </w:tc>
      </w:tr>
      <w:tr w:rsidR="006C07F1" w14:paraId="086AD271" w14:textId="77777777" w:rsidTr="006C07F1">
        <w:tc>
          <w:tcPr>
            <w:tcW w:w="2405" w:type="dxa"/>
          </w:tcPr>
          <w:p w14:paraId="1846E84C" w14:textId="77777777" w:rsidR="006C07F1" w:rsidRPr="00E175EF" w:rsidRDefault="006C07F1" w:rsidP="006C07F1">
            <w:pPr>
              <w:tabs>
                <w:tab w:val="left" w:pos="7032"/>
              </w:tabs>
              <w:rPr>
                <w:rFonts w:cs="Open Sans"/>
                <w:b/>
                <w:bCs/>
                <w:color w:val="000000"/>
                <w:shd w:val="clear" w:color="auto" w:fill="FFFFFF"/>
              </w:rPr>
            </w:pPr>
            <w:r w:rsidRPr="00E175EF">
              <w:rPr>
                <w:rFonts w:cs="Open Sans"/>
                <w:b/>
                <w:bCs/>
                <w:color w:val="000000"/>
                <w:shd w:val="clear" w:color="auto" w:fill="FFFFFF"/>
              </w:rPr>
              <w:t xml:space="preserve">Associative Discrimination </w:t>
            </w:r>
          </w:p>
        </w:tc>
        <w:tc>
          <w:tcPr>
            <w:tcW w:w="6611" w:type="dxa"/>
          </w:tcPr>
          <w:p w14:paraId="734A6753" w14:textId="77777777" w:rsidR="006C07F1" w:rsidRDefault="006C07F1" w:rsidP="006C07F1">
            <w:pPr>
              <w:tabs>
                <w:tab w:val="left" w:pos="7032"/>
              </w:tabs>
            </w:pPr>
            <w:r>
              <w:t xml:space="preserve">Treating someone unfairly due to being associated with someone who falls under the protected characteristics. </w:t>
            </w:r>
            <w:r w:rsidRPr="00DA3666">
              <w:t>(</w:t>
            </w:r>
            <w:r w:rsidRPr="00DA3666">
              <w:rPr>
                <w:rFonts w:cs="Open Sans"/>
                <w:color w:val="000000"/>
                <w:shd w:val="clear" w:color="auto" w:fill="FFFFFF"/>
              </w:rPr>
              <w:t>apart from Marriage and civil partnership and pregnancy and maternity)</w:t>
            </w:r>
          </w:p>
        </w:tc>
      </w:tr>
      <w:tr w:rsidR="006C07F1" w14:paraId="032A5441" w14:textId="77777777" w:rsidTr="006C07F1">
        <w:tc>
          <w:tcPr>
            <w:tcW w:w="2405" w:type="dxa"/>
          </w:tcPr>
          <w:p w14:paraId="0517F320" w14:textId="77777777" w:rsidR="006C07F1" w:rsidRPr="00E175EF" w:rsidRDefault="006C07F1" w:rsidP="006C07F1">
            <w:pPr>
              <w:tabs>
                <w:tab w:val="left" w:pos="7032"/>
              </w:tabs>
              <w:rPr>
                <w:rFonts w:cs="Open Sans"/>
                <w:b/>
                <w:bCs/>
                <w:color w:val="000000"/>
                <w:shd w:val="clear" w:color="auto" w:fill="FFFFFF"/>
              </w:rPr>
            </w:pPr>
            <w:r w:rsidRPr="00E175EF">
              <w:rPr>
                <w:rFonts w:cs="Open Sans"/>
                <w:b/>
                <w:bCs/>
                <w:color w:val="000000"/>
                <w:shd w:val="clear" w:color="auto" w:fill="FFFFFF"/>
              </w:rPr>
              <w:t xml:space="preserve">Perceptive Discrimination </w:t>
            </w:r>
          </w:p>
        </w:tc>
        <w:tc>
          <w:tcPr>
            <w:tcW w:w="6611" w:type="dxa"/>
          </w:tcPr>
          <w:p w14:paraId="02D6BD57" w14:textId="794A36E2" w:rsidR="006C07F1" w:rsidRDefault="006C07F1" w:rsidP="006C07F1">
            <w:pPr>
              <w:tabs>
                <w:tab w:val="left" w:pos="7032"/>
              </w:tabs>
            </w:pPr>
            <w:r>
              <w:t xml:space="preserve">Perceiving someone as being </w:t>
            </w:r>
            <w:r w:rsidR="006223BA">
              <w:t>a part</w:t>
            </w:r>
            <w:r>
              <w:t xml:space="preserve"> of the protected characteristics and treating them less favourably.</w:t>
            </w:r>
          </w:p>
        </w:tc>
      </w:tr>
    </w:tbl>
    <w:p w14:paraId="071C40C1" w14:textId="77777777" w:rsidR="006C07F1" w:rsidRPr="003D4C01" w:rsidRDefault="006C07F1" w:rsidP="003E5135">
      <w:pPr>
        <w:tabs>
          <w:tab w:val="left" w:pos="7032"/>
        </w:tabs>
      </w:pPr>
    </w:p>
    <w:bookmarkEnd w:id="3"/>
    <w:p w14:paraId="1F421D03" w14:textId="56C354A4" w:rsidR="003E5135" w:rsidRDefault="003E5135" w:rsidP="000A05CC">
      <w:pPr>
        <w:tabs>
          <w:tab w:val="left" w:pos="7032"/>
        </w:tabs>
      </w:pPr>
      <w:r>
        <w:t xml:space="preserve">On some occasion’s employers may need to prove an applicant with a specific protected characteristic to carry out a </w:t>
      </w:r>
      <w:proofErr w:type="gramStart"/>
      <w:r>
        <w:t>particular job</w:t>
      </w:r>
      <w:proofErr w:type="gramEnd"/>
      <w:r>
        <w:t>, this is known as an “occupational requirement”.  Within my organisation there are roles that have “occupational requirements” due to the nature of the roles, which often includes assisting adults with learning disabilities with personal care in some of the services.  This means that a specific gender is required for the roles and so within the job advert it always states, “There is an occupational requirement for the holder of this post to be female/male in accordance with the Equality Act 2010”</w:t>
      </w:r>
      <w:bookmarkEnd w:id="4"/>
      <w:r>
        <w:t>, to ensure that applicants are aware that there is a genuine occupational reason for targeting a specific group.</w:t>
      </w:r>
    </w:p>
    <w:p w14:paraId="78C31808" w14:textId="77777777" w:rsidR="006223BA" w:rsidRDefault="006223BA" w:rsidP="000A05CC">
      <w:pPr>
        <w:tabs>
          <w:tab w:val="left" w:pos="7032"/>
        </w:tabs>
        <w:rPr>
          <w:b/>
          <w:bCs/>
        </w:rPr>
      </w:pPr>
    </w:p>
    <w:p w14:paraId="4AE85768" w14:textId="77777777" w:rsidR="006223BA" w:rsidRDefault="006223BA" w:rsidP="000A05CC">
      <w:pPr>
        <w:tabs>
          <w:tab w:val="left" w:pos="7032"/>
        </w:tabs>
        <w:rPr>
          <w:b/>
          <w:bCs/>
        </w:rPr>
      </w:pPr>
    </w:p>
    <w:p w14:paraId="2AA794B1" w14:textId="77777777" w:rsidR="009D7D91" w:rsidRDefault="009D7D91" w:rsidP="000A05CC">
      <w:pPr>
        <w:tabs>
          <w:tab w:val="left" w:pos="7032"/>
        </w:tabs>
        <w:rPr>
          <w:b/>
          <w:bCs/>
        </w:rPr>
      </w:pPr>
    </w:p>
    <w:p w14:paraId="2BF17FC8" w14:textId="6B9E1564" w:rsidR="000A05CC" w:rsidRPr="000F5BA9" w:rsidRDefault="000A05CC" w:rsidP="000A05CC">
      <w:pPr>
        <w:tabs>
          <w:tab w:val="left" w:pos="7032"/>
        </w:tabs>
        <w:rPr>
          <w:b/>
          <w:bCs/>
        </w:rPr>
      </w:pPr>
      <w:r w:rsidRPr="000F5BA9">
        <w:rPr>
          <w:b/>
          <w:bCs/>
        </w:rPr>
        <w:lastRenderedPageBreak/>
        <w:t>2.2</w:t>
      </w:r>
    </w:p>
    <w:p w14:paraId="6ABFE29C" w14:textId="60905477" w:rsidR="000A05CC" w:rsidRPr="00E27260" w:rsidRDefault="000A05CC" w:rsidP="000A05CC">
      <w:pPr>
        <w:tabs>
          <w:tab w:val="left" w:pos="7032"/>
        </w:tabs>
        <w:rPr>
          <w:rFonts w:cs="Arial"/>
          <w:color w:val="242424"/>
          <w:shd w:val="clear" w:color="auto" w:fill="FFFFFF"/>
        </w:rPr>
      </w:pPr>
      <w:r>
        <w:t>As stated by CIPD 2020, “a contract of employment is a legally binding agreement between an employer and employee”.  The contract between both parties specifies the required terms of employment and the conditions set out must be clear in determining the status of employment. In case of a dispute; a contract whether written or verbal, is crucial and if either party breaches the agreement, the other party can make a claim</w:t>
      </w:r>
      <w:r w:rsidRPr="00E27260">
        <w:t xml:space="preserve">.  </w:t>
      </w:r>
      <w:r w:rsidRPr="00E27260">
        <w:rPr>
          <w:rFonts w:cs="Arial"/>
          <w:color w:val="242424"/>
          <w:shd w:val="clear" w:color="auto" w:fill="FFFFFF"/>
        </w:rPr>
        <w:t xml:space="preserve"> As stated by Taylor and Woodhams (2016) </w:t>
      </w:r>
      <w:r w:rsidR="00296BEA" w:rsidRPr="00E27260">
        <w:rPr>
          <w:rFonts w:cs="Arial"/>
          <w:color w:val="242424"/>
          <w:shd w:val="clear" w:color="auto" w:fill="FFFFFF"/>
        </w:rPr>
        <w:t>for</w:t>
      </w:r>
      <w:r w:rsidRPr="00E27260">
        <w:rPr>
          <w:rFonts w:cs="Arial"/>
          <w:color w:val="242424"/>
          <w:shd w:val="clear" w:color="auto" w:fill="FFFFFF"/>
        </w:rPr>
        <w:t xml:space="preserve"> contracts to be legally enforceable, the following </w:t>
      </w:r>
      <w:r>
        <w:rPr>
          <w:rFonts w:cs="Arial"/>
          <w:color w:val="242424"/>
          <w:shd w:val="clear" w:color="auto" w:fill="FFFFFF"/>
        </w:rPr>
        <w:t xml:space="preserve">five main </w:t>
      </w:r>
      <w:r w:rsidRPr="00E27260">
        <w:rPr>
          <w:rFonts w:cs="Arial"/>
          <w:color w:val="242424"/>
          <w:shd w:val="clear" w:color="auto" w:fill="FFFFFF"/>
        </w:rPr>
        <w:t>details must be included:</w:t>
      </w:r>
    </w:p>
    <w:p w14:paraId="5E657B66" w14:textId="77777777" w:rsidR="000A05CC" w:rsidRPr="00E27260" w:rsidRDefault="000A05CC" w:rsidP="000A05CC">
      <w:pPr>
        <w:pStyle w:val="ListParagraph"/>
        <w:numPr>
          <w:ilvl w:val="0"/>
          <w:numId w:val="8"/>
        </w:numPr>
        <w:tabs>
          <w:tab w:val="left" w:pos="7032"/>
        </w:tabs>
      </w:pPr>
      <w:r w:rsidRPr="00E27260">
        <w:t>Offer</w:t>
      </w:r>
    </w:p>
    <w:p w14:paraId="763BD423" w14:textId="77777777" w:rsidR="000A05CC" w:rsidRPr="00E27260" w:rsidRDefault="000A05CC" w:rsidP="000A05CC">
      <w:pPr>
        <w:pStyle w:val="ListParagraph"/>
        <w:numPr>
          <w:ilvl w:val="0"/>
          <w:numId w:val="8"/>
        </w:numPr>
        <w:tabs>
          <w:tab w:val="left" w:pos="7032"/>
        </w:tabs>
      </w:pPr>
      <w:r w:rsidRPr="00E27260">
        <w:t>Acceptance</w:t>
      </w:r>
    </w:p>
    <w:p w14:paraId="70464BFB" w14:textId="77777777" w:rsidR="000A05CC" w:rsidRPr="00E27260" w:rsidRDefault="000A05CC" w:rsidP="000A05CC">
      <w:pPr>
        <w:pStyle w:val="ListParagraph"/>
        <w:numPr>
          <w:ilvl w:val="0"/>
          <w:numId w:val="8"/>
        </w:numPr>
        <w:tabs>
          <w:tab w:val="left" w:pos="7032"/>
        </w:tabs>
      </w:pPr>
      <w:r w:rsidRPr="00E27260">
        <w:t>Intentions to create legal relations</w:t>
      </w:r>
    </w:p>
    <w:p w14:paraId="53DDD365" w14:textId="77777777" w:rsidR="000A05CC" w:rsidRPr="00E27260" w:rsidRDefault="000A05CC" w:rsidP="000A05CC">
      <w:pPr>
        <w:pStyle w:val="ListParagraph"/>
        <w:numPr>
          <w:ilvl w:val="0"/>
          <w:numId w:val="8"/>
        </w:numPr>
        <w:tabs>
          <w:tab w:val="left" w:pos="7032"/>
        </w:tabs>
      </w:pPr>
      <w:r w:rsidRPr="00E27260">
        <w:t>Consideration</w:t>
      </w:r>
      <w:r>
        <w:t xml:space="preserve"> between parties – wages paid by the employer for the work carried out by the employee. </w:t>
      </w:r>
    </w:p>
    <w:p w14:paraId="0003A33C" w14:textId="77777777" w:rsidR="000A05CC" w:rsidRDefault="000A05CC" w:rsidP="000A05CC">
      <w:pPr>
        <w:pStyle w:val="ListParagraph"/>
        <w:numPr>
          <w:ilvl w:val="0"/>
          <w:numId w:val="8"/>
        </w:numPr>
        <w:tabs>
          <w:tab w:val="left" w:pos="7032"/>
        </w:tabs>
      </w:pPr>
      <w:r w:rsidRPr="00E27260">
        <w:t>Certainty around the terms and conditions</w:t>
      </w:r>
    </w:p>
    <w:p w14:paraId="47775050" w14:textId="1A99C293" w:rsidR="00C91031" w:rsidRDefault="000A05CC" w:rsidP="000A05CC">
      <w:pPr>
        <w:tabs>
          <w:tab w:val="left" w:pos="7032"/>
        </w:tabs>
      </w:pPr>
      <w:r>
        <w:t>An individual’s employment rights, and their employer’s responsibilities depend on their employment status</w:t>
      </w:r>
      <w:r w:rsidR="00763496">
        <w:t xml:space="preserve"> and they are determined by what are known as common law tests. </w:t>
      </w:r>
      <w:r>
        <w:t xml:space="preserve">As identified by UK law there are three options of employment status: </w:t>
      </w:r>
    </w:p>
    <w:tbl>
      <w:tblPr>
        <w:tblStyle w:val="TableGrid"/>
        <w:tblW w:w="0" w:type="auto"/>
        <w:tblLook w:val="04A0" w:firstRow="1" w:lastRow="0" w:firstColumn="1" w:lastColumn="0" w:noHBand="0" w:noVBand="1"/>
      </w:tblPr>
      <w:tblGrid>
        <w:gridCol w:w="1555"/>
        <w:gridCol w:w="7461"/>
      </w:tblGrid>
      <w:tr w:rsidR="00C91031" w14:paraId="31AEA9A2" w14:textId="77777777" w:rsidTr="00C91031">
        <w:tc>
          <w:tcPr>
            <w:tcW w:w="1555" w:type="dxa"/>
          </w:tcPr>
          <w:p w14:paraId="5F5D42EF" w14:textId="768BD30C" w:rsidR="00C91031" w:rsidRDefault="00C91031" w:rsidP="000A05CC">
            <w:pPr>
              <w:tabs>
                <w:tab w:val="left" w:pos="7032"/>
              </w:tabs>
            </w:pPr>
            <w:r>
              <w:t>Employee</w:t>
            </w:r>
          </w:p>
        </w:tc>
        <w:tc>
          <w:tcPr>
            <w:tcW w:w="7461" w:type="dxa"/>
          </w:tcPr>
          <w:p w14:paraId="1BE39BED" w14:textId="77777777" w:rsidR="00C91031" w:rsidRDefault="00C91031" w:rsidP="00C91031">
            <w:pPr>
              <w:tabs>
                <w:tab w:val="left" w:pos="7032"/>
              </w:tabs>
            </w:pPr>
            <w:r>
              <w:t xml:space="preserve">Section 230 (1) of the Employment Rights Act 1996 describes an employee as “an individual who has entered into or works under a contract of employment”.  Employees are permanent members of staff and usually have an open-ended contract with the employer.  Employees also have more rights than workers or of those who are self-employed. </w:t>
            </w:r>
          </w:p>
          <w:p w14:paraId="17DDC3D6" w14:textId="77777777" w:rsidR="00C91031" w:rsidRDefault="00C91031" w:rsidP="000A05CC">
            <w:pPr>
              <w:tabs>
                <w:tab w:val="left" w:pos="7032"/>
              </w:tabs>
            </w:pPr>
          </w:p>
        </w:tc>
      </w:tr>
      <w:tr w:rsidR="00C91031" w14:paraId="69261CFD" w14:textId="77777777" w:rsidTr="00C91031">
        <w:tc>
          <w:tcPr>
            <w:tcW w:w="1555" w:type="dxa"/>
          </w:tcPr>
          <w:p w14:paraId="14AE6ADF" w14:textId="33588D0C" w:rsidR="00C91031" w:rsidRDefault="00C91031" w:rsidP="000A05CC">
            <w:pPr>
              <w:tabs>
                <w:tab w:val="left" w:pos="7032"/>
              </w:tabs>
            </w:pPr>
            <w:r>
              <w:t>Worker</w:t>
            </w:r>
          </w:p>
        </w:tc>
        <w:tc>
          <w:tcPr>
            <w:tcW w:w="7461" w:type="dxa"/>
          </w:tcPr>
          <w:p w14:paraId="02469746" w14:textId="4A940473" w:rsidR="00C91031" w:rsidRDefault="00C91031" w:rsidP="000A05CC">
            <w:pPr>
              <w:tabs>
                <w:tab w:val="left" w:pos="7032"/>
              </w:tabs>
            </w:pPr>
            <w:r>
              <w:t>Section 230 (3) of the Employment Rights Act 1996 defines a worker as “an individual who either works under a contract of employment or works under any other contract where</w:t>
            </w:r>
          </w:p>
        </w:tc>
      </w:tr>
      <w:tr w:rsidR="00C91031" w14:paraId="40DA9DA9" w14:textId="77777777" w:rsidTr="00C91031">
        <w:tc>
          <w:tcPr>
            <w:tcW w:w="1555" w:type="dxa"/>
          </w:tcPr>
          <w:p w14:paraId="7632F777" w14:textId="1304A802" w:rsidR="00C91031" w:rsidRDefault="00C91031" w:rsidP="000A05CC">
            <w:pPr>
              <w:tabs>
                <w:tab w:val="left" w:pos="7032"/>
              </w:tabs>
            </w:pPr>
            <w:r>
              <w:t>Self Employed</w:t>
            </w:r>
          </w:p>
        </w:tc>
        <w:tc>
          <w:tcPr>
            <w:tcW w:w="7461" w:type="dxa"/>
          </w:tcPr>
          <w:p w14:paraId="1C4C941B" w14:textId="1C5754E5" w:rsidR="00C91031" w:rsidRDefault="00C91031" w:rsidP="000A05CC">
            <w:pPr>
              <w:tabs>
                <w:tab w:val="left" w:pos="7032"/>
              </w:tabs>
            </w:pPr>
            <w:r>
              <w:t>Individuals who are self-employed decide what work to carry out, who to work for, and from where and when.  Individuals who are self-employed arrange their own sickness and holiday entitlements, along with organising tax and national insurance contributions.  The only rights that self-employed individuals are entitled to whilst working for an employer are health and safety rights and they are some protection from discrimination.</w:t>
            </w:r>
          </w:p>
        </w:tc>
      </w:tr>
      <w:bookmarkEnd w:id="2"/>
    </w:tbl>
    <w:p w14:paraId="5E78967C" w14:textId="702B90C7" w:rsidR="00C91031" w:rsidRDefault="00C91031" w:rsidP="000A05CC">
      <w:pPr>
        <w:tabs>
          <w:tab w:val="left" w:pos="7032"/>
        </w:tabs>
      </w:pPr>
    </w:p>
    <w:p w14:paraId="164053CB" w14:textId="0A7BA01A" w:rsidR="00AD4698" w:rsidRDefault="00AD4698" w:rsidP="000A05CC">
      <w:pPr>
        <w:tabs>
          <w:tab w:val="left" w:pos="7032"/>
        </w:tabs>
      </w:pPr>
      <w:r>
        <w:t>According to ACAS, an employment contract can be made up of a mixture of:</w:t>
      </w:r>
    </w:p>
    <w:p w14:paraId="65DE2E95" w14:textId="3964BCB9" w:rsidR="00AD4698" w:rsidRDefault="00AD4698" w:rsidP="009D7D91">
      <w:pPr>
        <w:pStyle w:val="ListParagraph"/>
        <w:numPr>
          <w:ilvl w:val="0"/>
          <w:numId w:val="16"/>
        </w:numPr>
        <w:tabs>
          <w:tab w:val="left" w:pos="7032"/>
        </w:tabs>
      </w:pPr>
      <w:r>
        <w:t>Express Terms – Definitive terms that are agreed in writing, these can include the employees pay, working hours, holiday entitlements etc.</w:t>
      </w:r>
    </w:p>
    <w:p w14:paraId="38F680EC" w14:textId="486CA096" w:rsidR="00675EC3" w:rsidRDefault="00AD4698" w:rsidP="009D7D91">
      <w:pPr>
        <w:pStyle w:val="ListParagraph"/>
        <w:numPr>
          <w:ilvl w:val="0"/>
          <w:numId w:val="16"/>
        </w:numPr>
        <w:tabs>
          <w:tab w:val="left" w:pos="7032"/>
        </w:tabs>
      </w:pPr>
      <w:r>
        <w:t xml:space="preserve">Implied Terms – can be verbal contracts which state the obvious and do not need to be written down.  Examples of implied terms can include the employer’s duty to provide a safe and healthy environment, statutory rights, equal pay etc. </w:t>
      </w:r>
    </w:p>
    <w:bookmarkEnd w:id="0"/>
    <w:p w14:paraId="1EC6EA60" w14:textId="77777777" w:rsidR="00B85CD7" w:rsidRDefault="00B85CD7" w:rsidP="007518A3">
      <w:pPr>
        <w:rPr>
          <w:b/>
          <w:bCs/>
        </w:rPr>
      </w:pPr>
    </w:p>
    <w:p w14:paraId="148C81B7" w14:textId="77777777" w:rsidR="00B85CD7" w:rsidRDefault="00B85CD7" w:rsidP="007518A3">
      <w:pPr>
        <w:rPr>
          <w:b/>
          <w:bCs/>
        </w:rPr>
      </w:pPr>
    </w:p>
    <w:p w14:paraId="0A9F4CA9" w14:textId="77777777" w:rsidR="00B85CD7" w:rsidRDefault="00B85CD7" w:rsidP="007518A3">
      <w:pPr>
        <w:rPr>
          <w:b/>
          <w:bCs/>
        </w:rPr>
      </w:pPr>
    </w:p>
    <w:p w14:paraId="44F400F5" w14:textId="77777777" w:rsidR="00B85CD7" w:rsidRDefault="00B85CD7" w:rsidP="007518A3">
      <w:pPr>
        <w:rPr>
          <w:b/>
          <w:bCs/>
        </w:rPr>
      </w:pPr>
    </w:p>
    <w:p w14:paraId="07762D0E" w14:textId="77777777" w:rsidR="009D7D91" w:rsidRDefault="009D7D91" w:rsidP="007518A3">
      <w:pPr>
        <w:rPr>
          <w:b/>
          <w:bCs/>
        </w:rPr>
      </w:pPr>
    </w:p>
    <w:p w14:paraId="19B18EB4" w14:textId="4998D6D3" w:rsidR="007518A3" w:rsidRPr="000F5BA9" w:rsidRDefault="000F5BA9" w:rsidP="007518A3">
      <w:pPr>
        <w:rPr>
          <w:b/>
          <w:bCs/>
        </w:rPr>
      </w:pPr>
      <w:r w:rsidRPr="000F5BA9">
        <w:rPr>
          <w:b/>
          <w:bCs/>
        </w:rPr>
        <w:lastRenderedPageBreak/>
        <w:t>3</w:t>
      </w:r>
      <w:r w:rsidR="007518A3" w:rsidRPr="000F5BA9">
        <w:rPr>
          <w:b/>
          <w:bCs/>
        </w:rPr>
        <w:t>.1</w:t>
      </w:r>
    </w:p>
    <w:p w14:paraId="7E211B9C" w14:textId="77F0451E" w:rsidR="007518A3" w:rsidRDefault="007518A3" w:rsidP="007518A3">
      <w:r>
        <w:t xml:space="preserve">There are times when changes will need to be to an employment contract to keep in line with business needs.  When considerable changes need to be made to contracts, employers must ensure that they gain the agreement of the employee. Neither party have the right to change contract terms without prior agreement from the other side.  According to ACAS an employer can make a change to a contract, known as a ‘variation’ </w:t>
      </w:r>
      <w:r w:rsidR="00936C3C">
        <w:t>if</w:t>
      </w:r>
      <w:r>
        <w:t xml:space="preserve"> there is a ‘flexibility clause’ written into the contract. Also, if they have sought an agreement with the employee or if they received an agreement from a trade union representative.  Due to the contract being legally binding an employer cannot vary the contract.  </w:t>
      </w:r>
    </w:p>
    <w:p w14:paraId="4BBC4FE7" w14:textId="2D9869BD" w:rsidR="007518A3" w:rsidRDefault="007518A3" w:rsidP="007518A3">
      <w:r>
        <w:t>As stated by Daniels (201</w:t>
      </w:r>
      <w:r w:rsidR="00B85CD7">
        <w:t>9</w:t>
      </w:r>
      <w:r>
        <w:t xml:space="preserve">) if an employer unilaterally makes a change to a contract the employee has 2 options </w:t>
      </w:r>
    </w:p>
    <w:p w14:paraId="125239D2" w14:textId="77777777" w:rsidR="007518A3" w:rsidRDefault="007518A3" w:rsidP="007518A3">
      <w:pPr>
        <w:pStyle w:val="ListParagraph"/>
        <w:numPr>
          <w:ilvl w:val="0"/>
          <w:numId w:val="11"/>
        </w:numPr>
      </w:pPr>
      <w:r>
        <w:t xml:space="preserve">To resign from employment and bring a claim of constructive dismissal.  However, a claim of constructive dismissal can be only be made by employees with over 2 years of continuous service. </w:t>
      </w:r>
    </w:p>
    <w:p w14:paraId="7780EC27" w14:textId="77777777" w:rsidR="007518A3" w:rsidRDefault="007518A3" w:rsidP="007518A3">
      <w:pPr>
        <w:pStyle w:val="ListParagraph"/>
        <w:numPr>
          <w:ilvl w:val="0"/>
          <w:numId w:val="11"/>
        </w:numPr>
      </w:pPr>
      <w:r>
        <w:t xml:space="preserve">To remain in employment but pursue damages for any loss encountered. </w:t>
      </w:r>
    </w:p>
    <w:p w14:paraId="50009A4B" w14:textId="57989917" w:rsidR="007518A3" w:rsidRDefault="007518A3" w:rsidP="007518A3">
      <w:r>
        <w:t>Employers can lawfully introduce technical changes to working agreements, this can include introducing new machinery or working practices ensuring that it does not affect working hours or rates of pay. However, there are changes that can be implemented by employers that provide positive benefits for the employee, such as an increase of pay.</w:t>
      </w:r>
    </w:p>
    <w:p w14:paraId="5BD63367" w14:textId="77777777" w:rsidR="000F5BA9" w:rsidRDefault="000F5BA9" w:rsidP="007518A3"/>
    <w:p w14:paraId="761BE236" w14:textId="77777777" w:rsidR="000F5BA9" w:rsidRDefault="000F5BA9" w:rsidP="007518A3"/>
    <w:p w14:paraId="006EB487" w14:textId="77777777" w:rsidR="000F5BA9" w:rsidRDefault="000F5BA9" w:rsidP="007518A3"/>
    <w:p w14:paraId="3549405D" w14:textId="77777777" w:rsidR="000F5BA9" w:rsidRDefault="000F5BA9" w:rsidP="007518A3"/>
    <w:p w14:paraId="17BCC945" w14:textId="77777777" w:rsidR="000F5BA9" w:rsidRDefault="000F5BA9" w:rsidP="007518A3"/>
    <w:p w14:paraId="5BA05661" w14:textId="77777777" w:rsidR="000F5BA9" w:rsidRDefault="000F5BA9" w:rsidP="007518A3"/>
    <w:p w14:paraId="4F3A3D94" w14:textId="77777777" w:rsidR="009D7D91" w:rsidRDefault="009D7D91" w:rsidP="007518A3">
      <w:pPr>
        <w:rPr>
          <w:b/>
          <w:bCs/>
        </w:rPr>
      </w:pPr>
    </w:p>
    <w:p w14:paraId="63597D12" w14:textId="77777777" w:rsidR="009D7D91" w:rsidRDefault="009D7D91" w:rsidP="007518A3">
      <w:pPr>
        <w:rPr>
          <w:b/>
          <w:bCs/>
        </w:rPr>
      </w:pPr>
    </w:p>
    <w:p w14:paraId="15E42717" w14:textId="77777777" w:rsidR="009D7D91" w:rsidRDefault="009D7D91" w:rsidP="007518A3">
      <w:pPr>
        <w:rPr>
          <w:b/>
          <w:bCs/>
        </w:rPr>
      </w:pPr>
    </w:p>
    <w:p w14:paraId="13751F04" w14:textId="77777777" w:rsidR="009D7D91" w:rsidRDefault="009D7D91" w:rsidP="007518A3">
      <w:pPr>
        <w:rPr>
          <w:b/>
          <w:bCs/>
        </w:rPr>
      </w:pPr>
    </w:p>
    <w:p w14:paraId="46B57FB0" w14:textId="77777777" w:rsidR="009D7D91" w:rsidRDefault="009D7D91" w:rsidP="007518A3">
      <w:pPr>
        <w:rPr>
          <w:b/>
          <w:bCs/>
        </w:rPr>
      </w:pPr>
    </w:p>
    <w:p w14:paraId="0DA2E14C" w14:textId="77777777" w:rsidR="009D7D91" w:rsidRDefault="009D7D91" w:rsidP="007518A3">
      <w:pPr>
        <w:rPr>
          <w:b/>
          <w:bCs/>
        </w:rPr>
      </w:pPr>
    </w:p>
    <w:p w14:paraId="5C6D8851" w14:textId="77777777" w:rsidR="009D7D91" w:rsidRDefault="009D7D91" w:rsidP="007518A3">
      <w:pPr>
        <w:rPr>
          <w:b/>
          <w:bCs/>
        </w:rPr>
      </w:pPr>
    </w:p>
    <w:p w14:paraId="0FBEF7C6" w14:textId="77777777" w:rsidR="009D7D91" w:rsidRDefault="009D7D91" w:rsidP="007518A3">
      <w:pPr>
        <w:rPr>
          <w:b/>
          <w:bCs/>
        </w:rPr>
      </w:pPr>
    </w:p>
    <w:p w14:paraId="6994AF08" w14:textId="77777777" w:rsidR="009D7D91" w:rsidRDefault="009D7D91" w:rsidP="007518A3">
      <w:pPr>
        <w:rPr>
          <w:b/>
          <w:bCs/>
        </w:rPr>
      </w:pPr>
    </w:p>
    <w:p w14:paraId="4551C224" w14:textId="77777777" w:rsidR="009D7D91" w:rsidRDefault="009D7D91" w:rsidP="007518A3">
      <w:pPr>
        <w:rPr>
          <w:b/>
          <w:bCs/>
        </w:rPr>
      </w:pPr>
    </w:p>
    <w:p w14:paraId="2AB2809A" w14:textId="77777777" w:rsidR="009D7D91" w:rsidRDefault="009D7D91" w:rsidP="007518A3">
      <w:pPr>
        <w:rPr>
          <w:b/>
          <w:bCs/>
        </w:rPr>
      </w:pPr>
    </w:p>
    <w:p w14:paraId="422C1DFE" w14:textId="6C91A6A2" w:rsidR="007518A3" w:rsidRPr="000F5BA9" w:rsidRDefault="007518A3" w:rsidP="007518A3">
      <w:pPr>
        <w:rPr>
          <w:b/>
          <w:bCs/>
        </w:rPr>
      </w:pPr>
      <w:r w:rsidRPr="000F5BA9">
        <w:rPr>
          <w:b/>
          <w:bCs/>
        </w:rPr>
        <w:lastRenderedPageBreak/>
        <w:t xml:space="preserve">3.2 </w:t>
      </w:r>
    </w:p>
    <w:p w14:paraId="7261BFA7" w14:textId="34284178" w:rsidR="00936C3C" w:rsidRDefault="007518A3" w:rsidP="007518A3">
      <w:r>
        <w:t xml:space="preserve">Redundancy or S139 ERA 1996 as it is legally known, is a form of dismissal and occurs when an organisation </w:t>
      </w:r>
      <w:r w:rsidR="00936C3C">
        <w:t>needs to</w:t>
      </w:r>
      <w:r>
        <w:t xml:space="preserve"> reduc</w:t>
      </w:r>
      <w:r w:rsidR="00936C3C">
        <w:t>e</w:t>
      </w:r>
      <w:r>
        <w:t xml:space="preserve"> its workforce due to economic reasons. Employees that have a continuous service of over 2 years are entitled to minimum statutory redundancy payment.  It is imperative that redundancies are carried out lawfully and that employers follow the correct procedures in order to avoid claims of unfair dismissal.  As stated by </w:t>
      </w:r>
      <w:r w:rsidR="009D7D91">
        <w:t>Taylor and Wilkinson</w:t>
      </w:r>
      <w:r>
        <w:t xml:space="preserve"> (2016) there are key requirements that must be considered through the redundancy process.  Employers must select a pool of employees that are ‘at risk’ and should do this in a fair and objective way.  Employers must hold consultation meetings with the employees that have been identified as ‘at risk’ to advise of the potential redundancy.  The consultation process that employers will need to follow, will depend on the amount of intended redundancies.  </w:t>
      </w:r>
      <w:r w:rsidR="00936C3C">
        <w:t>The TULRCA 1992</w:t>
      </w:r>
      <w:r w:rsidR="004A4336">
        <w:t>, provides information of the consultation process that employers will need to follow:</w:t>
      </w:r>
    </w:p>
    <w:tbl>
      <w:tblPr>
        <w:tblStyle w:val="TableGrid"/>
        <w:tblW w:w="0" w:type="auto"/>
        <w:tblLook w:val="04A0" w:firstRow="1" w:lastRow="0" w:firstColumn="1" w:lastColumn="0" w:noHBand="0" w:noVBand="1"/>
      </w:tblPr>
      <w:tblGrid>
        <w:gridCol w:w="2547"/>
        <w:gridCol w:w="6469"/>
      </w:tblGrid>
      <w:tr w:rsidR="00936C3C" w14:paraId="0DAC54DC" w14:textId="77777777" w:rsidTr="00936C3C">
        <w:tc>
          <w:tcPr>
            <w:tcW w:w="2547" w:type="dxa"/>
          </w:tcPr>
          <w:p w14:paraId="782AF1EE" w14:textId="32511C6C" w:rsidR="00936C3C" w:rsidRPr="000F5BA9" w:rsidRDefault="00936C3C" w:rsidP="007518A3">
            <w:pPr>
              <w:rPr>
                <w:b/>
                <w:bCs/>
              </w:rPr>
            </w:pPr>
            <w:r w:rsidRPr="000F5BA9">
              <w:rPr>
                <w:b/>
                <w:bCs/>
              </w:rPr>
              <w:t>Less than 20 employees</w:t>
            </w:r>
          </w:p>
        </w:tc>
        <w:tc>
          <w:tcPr>
            <w:tcW w:w="6469" w:type="dxa"/>
          </w:tcPr>
          <w:p w14:paraId="22901CC4" w14:textId="5E9C9788" w:rsidR="00936C3C" w:rsidRDefault="00936C3C" w:rsidP="007518A3">
            <w:r>
              <w:t>Employers must consult individually with employees within a reasonable time.</w:t>
            </w:r>
          </w:p>
        </w:tc>
      </w:tr>
      <w:tr w:rsidR="00936C3C" w14:paraId="4D292104" w14:textId="77777777" w:rsidTr="00936C3C">
        <w:tc>
          <w:tcPr>
            <w:tcW w:w="2547" w:type="dxa"/>
          </w:tcPr>
          <w:p w14:paraId="2740449B" w14:textId="34BE7C63" w:rsidR="00936C3C" w:rsidRPr="000F5BA9" w:rsidRDefault="00936C3C" w:rsidP="007518A3">
            <w:pPr>
              <w:rPr>
                <w:b/>
                <w:bCs/>
              </w:rPr>
            </w:pPr>
            <w:r w:rsidRPr="000F5BA9">
              <w:rPr>
                <w:b/>
                <w:bCs/>
              </w:rPr>
              <w:t>20 – 99</w:t>
            </w:r>
          </w:p>
        </w:tc>
        <w:tc>
          <w:tcPr>
            <w:tcW w:w="6469" w:type="dxa"/>
          </w:tcPr>
          <w:p w14:paraId="6794A920" w14:textId="29524BF6" w:rsidR="00936C3C" w:rsidRDefault="00936C3C" w:rsidP="007518A3">
            <w:r>
              <w:t>Employers must carry out a collective consultation with a union representative or elected employee representative.  This will need to take place 30 days before dismissal.</w:t>
            </w:r>
          </w:p>
        </w:tc>
      </w:tr>
      <w:tr w:rsidR="00936C3C" w14:paraId="7CF6B4F4" w14:textId="77777777" w:rsidTr="00936C3C">
        <w:tc>
          <w:tcPr>
            <w:tcW w:w="2547" w:type="dxa"/>
          </w:tcPr>
          <w:p w14:paraId="3DE481FA" w14:textId="47A1E18D" w:rsidR="00936C3C" w:rsidRPr="000F5BA9" w:rsidRDefault="00936C3C" w:rsidP="007518A3">
            <w:pPr>
              <w:rPr>
                <w:b/>
                <w:bCs/>
              </w:rPr>
            </w:pPr>
            <w:r w:rsidRPr="000F5BA9">
              <w:rPr>
                <w:b/>
                <w:bCs/>
              </w:rPr>
              <w:t>100+</w:t>
            </w:r>
          </w:p>
        </w:tc>
        <w:tc>
          <w:tcPr>
            <w:tcW w:w="6469" w:type="dxa"/>
          </w:tcPr>
          <w:p w14:paraId="025B2067" w14:textId="6FCB3086" w:rsidR="00936C3C" w:rsidRDefault="00936C3C" w:rsidP="007518A3">
            <w:r>
              <w:t xml:space="preserve">Collective consultations with union or elected employee representative, taking place 45 days before dismissal. </w:t>
            </w:r>
          </w:p>
        </w:tc>
      </w:tr>
    </w:tbl>
    <w:p w14:paraId="168D62CC" w14:textId="77777777" w:rsidR="00936C3C" w:rsidRDefault="00936C3C" w:rsidP="007518A3"/>
    <w:p w14:paraId="3D702BC2" w14:textId="45EC4B8A" w:rsidR="007518A3" w:rsidRDefault="007518A3" w:rsidP="007518A3">
      <w:r>
        <w:t>During the consultation period, employers must offer any suitable alternative roles to redundant employees.  Employees are entitled to a four-week trial of the alternative role and if it is decided between both parties that the new role is not suitable the employee will continue with the redundancy process.  Once the consultation period has concluded the employer will decide whether the employee is to be made redundant and a redundancy notice is provided.  The statutory notice period will depend on length of service, if an employee has over 12 years of continuous service the notice period will equate to 12 weeks.  Individuals are entitled to two days of paid leave during this time to look for alternative employment.  All employees have the right to appeal.</w:t>
      </w:r>
    </w:p>
    <w:p w14:paraId="7F9D67DB" w14:textId="77777777" w:rsidR="000F5BA9" w:rsidRDefault="000F5BA9" w:rsidP="007518A3"/>
    <w:p w14:paraId="081CBA86" w14:textId="77777777" w:rsidR="000F5BA9" w:rsidRDefault="000F5BA9" w:rsidP="007518A3"/>
    <w:p w14:paraId="2F600D20" w14:textId="77777777" w:rsidR="000F5BA9" w:rsidRDefault="000F5BA9" w:rsidP="007518A3"/>
    <w:p w14:paraId="5B094F6E" w14:textId="77777777" w:rsidR="000F5BA9" w:rsidRDefault="000F5BA9" w:rsidP="007518A3"/>
    <w:p w14:paraId="1DED65CA" w14:textId="77777777" w:rsidR="000F5BA9" w:rsidRDefault="000F5BA9" w:rsidP="007518A3"/>
    <w:p w14:paraId="79610526" w14:textId="77777777" w:rsidR="000F5BA9" w:rsidRDefault="000F5BA9" w:rsidP="007518A3"/>
    <w:p w14:paraId="60F94BD9" w14:textId="77777777" w:rsidR="000F5BA9" w:rsidRDefault="000F5BA9" w:rsidP="007518A3"/>
    <w:p w14:paraId="5D62ADA0" w14:textId="77777777" w:rsidR="000F5BA9" w:rsidRDefault="000F5BA9" w:rsidP="007518A3"/>
    <w:p w14:paraId="3280FE94" w14:textId="77777777" w:rsidR="000F5BA9" w:rsidRDefault="000F5BA9" w:rsidP="007518A3"/>
    <w:p w14:paraId="0D64B41D" w14:textId="77777777" w:rsidR="000F5BA9" w:rsidRDefault="000F5BA9" w:rsidP="007518A3"/>
    <w:p w14:paraId="242F2FE8" w14:textId="77777777" w:rsidR="000F5BA9" w:rsidRDefault="000F5BA9" w:rsidP="007518A3"/>
    <w:p w14:paraId="229A10A5" w14:textId="77777777" w:rsidR="000F5BA9" w:rsidRDefault="000F5BA9" w:rsidP="007518A3"/>
    <w:p w14:paraId="134B7CDC" w14:textId="05582BEF" w:rsidR="007518A3" w:rsidRPr="000F5BA9" w:rsidRDefault="007518A3" w:rsidP="007518A3">
      <w:pPr>
        <w:rPr>
          <w:b/>
          <w:bCs/>
        </w:rPr>
      </w:pPr>
      <w:r w:rsidRPr="000F5BA9">
        <w:rPr>
          <w:b/>
          <w:bCs/>
        </w:rPr>
        <w:lastRenderedPageBreak/>
        <w:t xml:space="preserve">3.3 </w:t>
      </w:r>
    </w:p>
    <w:p w14:paraId="5201AD0F" w14:textId="43F41A87" w:rsidR="007518A3" w:rsidRDefault="007518A3" w:rsidP="007518A3">
      <w:r>
        <w:t xml:space="preserve">When a business is merged with or taken over by another business the employees may be protected by the Transfer of Undertakings (Protection of Employment) </w:t>
      </w:r>
      <w:r w:rsidR="009D7D91">
        <w:t>R</w:t>
      </w:r>
      <w:r>
        <w:t xml:space="preserve">egulations 2006, more commonly known by its acronym TUPE.  The regulations aim is to ensure that employees are protected from dismissal or redundancy when a business is being transferred. A transfer of undertakings is a result of two situations “Business Transfers and “Service Provisions”. CIPD 2018 explains that a “business transfer” is either the whole or part of a business moving from employer to another, service provisions change when contracts are reallocated, this happens in larger organisations when certain services are contracted out or put to tender, the TUPE process will come into effect. </w:t>
      </w:r>
    </w:p>
    <w:p w14:paraId="2558E793" w14:textId="7AA1C963" w:rsidR="007518A3" w:rsidRDefault="007518A3" w:rsidP="007518A3">
      <w:r>
        <w:t xml:space="preserve"> According to Taylor and W</w:t>
      </w:r>
      <w:r w:rsidR="00E76DDB">
        <w:t>ilkinson</w:t>
      </w:r>
      <w:r>
        <w:t xml:space="preserve"> (2016) the key employment rights or legal requirements that need to be applied during the TUPE process are:</w:t>
      </w:r>
    </w:p>
    <w:p w14:paraId="5EB8C50C" w14:textId="77777777" w:rsidR="007518A3" w:rsidRDefault="007518A3" w:rsidP="007518A3">
      <w:pPr>
        <w:pStyle w:val="ListParagraph"/>
        <w:numPr>
          <w:ilvl w:val="0"/>
          <w:numId w:val="11"/>
        </w:numPr>
      </w:pPr>
      <w:r>
        <w:t>Employees that are a part of the TUPE process are required to have consultation meetings with the transferor and transferee organisation throughout the entire process.</w:t>
      </w:r>
    </w:p>
    <w:p w14:paraId="716C449C" w14:textId="55E3ED49" w:rsidR="007518A3" w:rsidRPr="0066100E" w:rsidRDefault="007518A3" w:rsidP="007518A3">
      <w:pPr>
        <w:pStyle w:val="ListParagraph"/>
        <w:numPr>
          <w:ilvl w:val="0"/>
          <w:numId w:val="11"/>
        </w:numPr>
      </w:pPr>
      <w:r>
        <w:t>The transferee organisation will need to recognise the employee’s length of servic</w:t>
      </w:r>
      <w:r w:rsidR="004A4336">
        <w:t>e.</w:t>
      </w:r>
    </w:p>
    <w:p w14:paraId="6190FA0C" w14:textId="77777777" w:rsidR="007518A3" w:rsidRDefault="007518A3" w:rsidP="007518A3">
      <w:pPr>
        <w:pStyle w:val="ListParagraph"/>
        <w:numPr>
          <w:ilvl w:val="0"/>
          <w:numId w:val="11"/>
        </w:numPr>
      </w:pPr>
      <w:r>
        <w:t>Employees will transfer with their original contract of employment; however, it is illegal to for the new employer to enforce changes to a contract due to TUPE transfer reasons.</w:t>
      </w:r>
    </w:p>
    <w:p w14:paraId="11D5956C" w14:textId="77777777" w:rsidR="007518A3" w:rsidRDefault="007518A3" w:rsidP="007518A3">
      <w:pPr>
        <w:pStyle w:val="ListParagraph"/>
        <w:numPr>
          <w:ilvl w:val="0"/>
          <w:numId w:val="11"/>
        </w:numPr>
      </w:pPr>
      <w:r>
        <w:t>Employees transfer to the new organisation with their original terms and conditions.</w:t>
      </w:r>
    </w:p>
    <w:p w14:paraId="49D21BC3" w14:textId="77777777" w:rsidR="007518A3" w:rsidRDefault="007518A3" w:rsidP="007518A3">
      <w:pPr>
        <w:pStyle w:val="ListParagraph"/>
        <w:numPr>
          <w:ilvl w:val="0"/>
          <w:numId w:val="11"/>
        </w:numPr>
      </w:pPr>
      <w:r>
        <w:t>It is deemed as unlawful to dismiss employees due to TUPE transfer.</w:t>
      </w:r>
    </w:p>
    <w:p w14:paraId="1C7FE547" w14:textId="77777777" w:rsidR="007518A3" w:rsidRDefault="007518A3" w:rsidP="007518A3">
      <w:pPr>
        <w:pStyle w:val="ListParagraph"/>
        <w:numPr>
          <w:ilvl w:val="0"/>
          <w:numId w:val="11"/>
        </w:numPr>
      </w:pPr>
      <w:r>
        <w:t xml:space="preserve">Specific employee information must be given to the transferee organisation by the transferor. </w:t>
      </w:r>
    </w:p>
    <w:p w14:paraId="718B9BAC" w14:textId="77777777" w:rsidR="007518A3" w:rsidRDefault="007518A3" w:rsidP="007518A3">
      <w:r>
        <w:t xml:space="preserve">TUPE regulations protect the legal rights of the employees due to not having the right to oppose to the transfer and so it can be seen to favour the employer’s interests. </w:t>
      </w:r>
    </w:p>
    <w:p w14:paraId="7B73B7B9" w14:textId="215C1D8F" w:rsidR="009F1534" w:rsidRDefault="009F1534" w:rsidP="009F1534">
      <w:pPr>
        <w:tabs>
          <w:tab w:val="left" w:pos="7032"/>
        </w:tabs>
      </w:pPr>
    </w:p>
    <w:p w14:paraId="65E6B969" w14:textId="5F63CF67" w:rsidR="009F1534" w:rsidRDefault="009F1534" w:rsidP="009F1534">
      <w:pPr>
        <w:tabs>
          <w:tab w:val="left" w:pos="7032"/>
        </w:tabs>
      </w:pPr>
    </w:p>
    <w:p w14:paraId="13188F97" w14:textId="30496049" w:rsidR="009F1534" w:rsidRDefault="009F1534" w:rsidP="009F1534">
      <w:pPr>
        <w:tabs>
          <w:tab w:val="left" w:pos="7032"/>
        </w:tabs>
      </w:pPr>
    </w:p>
    <w:p w14:paraId="09FF8E7D" w14:textId="2C0A0D34" w:rsidR="009F1534" w:rsidRDefault="009F1534" w:rsidP="009F1534">
      <w:pPr>
        <w:tabs>
          <w:tab w:val="left" w:pos="7032"/>
        </w:tabs>
      </w:pPr>
    </w:p>
    <w:p w14:paraId="18A95BC9" w14:textId="3432E3F8" w:rsidR="009F1534" w:rsidRDefault="009F1534" w:rsidP="009F1534">
      <w:pPr>
        <w:tabs>
          <w:tab w:val="left" w:pos="7032"/>
        </w:tabs>
      </w:pPr>
    </w:p>
    <w:p w14:paraId="1F60728B" w14:textId="2412F977" w:rsidR="009F1534" w:rsidRDefault="009F1534" w:rsidP="009F1534">
      <w:pPr>
        <w:tabs>
          <w:tab w:val="left" w:pos="7032"/>
        </w:tabs>
      </w:pPr>
    </w:p>
    <w:p w14:paraId="06F90BF2" w14:textId="1B4C01DB" w:rsidR="004A4336" w:rsidRDefault="004A4336" w:rsidP="009F1534">
      <w:pPr>
        <w:tabs>
          <w:tab w:val="left" w:pos="7032"/>
        </w:tabs>
      </w:pPr>
    </w:p>
    <w:p w14:paraId="4DEFF836" w14:textId="0A121EAA" w:rsidR="004A4336" w:rsidRDefault="004A4336" w:rsidP="009F1534">
      <w:pPr>
        <w:tabs>
          <w:tab w:val="left" w:pos="7032"/>
        </w:tabs>
      </w:pPr>
    </w:p>
    <w:p w14:paraId="742F1A93" w14:textId="4E1B69CB" w:rsidR="004A4336" w:rsidRDefault="004A4336" w:rsidP="009F1534">
      <w:pPr>
        <w:tabs>
          <w:tab w:val="left" w:pos="7032"/>
        </w:tabs>
      </w:pPr>
    </w:p>
    <w:p w14:paraId="61E01E8E" w14:textId="77777777" w:rsidR="000F5BA9" w:rsidRDefault="000F5BA9" w:rsidP="004A4336"/>
    <w:p w14:paraId="3A0DA0AF" w14:textId="77777777" w:rsidR="000F5BA9" w:rsidRDefault="000F5BA9" w:rsidP="004A4336"/>
    <w:p w14:paraId="4566E40C" w14:textId="77777777" w:rsidR="000F5BA9" w:rsidRDefault="000F5BA9" w:rsidP="004A4336"/>
    <w:p w14:paraId="2BC60C99" w14:textId="77777777" w:rsidR="000F5BA9" w:rsidRDefault="000F5BA9" w:rsidP="004A4336"/>
    <w:p w14:paraId="4DF0CFB4" w14:textId="77777777" w:rsidR="000F5BA9" w:rsidRDefault="000F5BA9" w:rsidP="004A4336"/>
    <w:p w14:paraId="4C5AA766" w14:textId="77777777" w:rsidR="000F5BA9" w:rsidRDefault="000F5BA9" w:rsidP="004A4336"/>
    <w:p w14:paraId="423458C3" w14:textId="2A5CFCCA" w:rsidR="004A4336" w:rsidRPr="000F5BA9" w:rsidRDefault="004A4336" w:rsidP="004A4336">
      <w:pPr>
        <w:rPr>
          <w:b/>
          <w:bCs/>
        </w:rPr>
      </w:pPr>
      <w:r w:rsidRPr="000F5BA9">
        <w:rPr>
          <w:b/>
          <w:bCs/>
        </w:rPr>
        <w:lastRenderedPageBreak/>
        <w:t xml:space="preserve">4.1 </w:t>
      </w:r>
    </w:p>
    <w:p w14:paraId="6D3DFEB0" w14:textId="77777777" w:rsidR="004A4336" w:rsidRDefault="004A4336" w:rsidP="004A4336">
      <w:r>
        <w:t>Over the years, legislation has been introduced for employers to oversee certain regulations that affect the working conditions of their employees.  The Employment Rights Act 1996 covers key legislation regarding employees’ statutory rights during employment and it covers the areas of working hours, minimum amount of annual leave, and the right to pay etc.</w:t>
      </w:r>
    </w:p>
    <w:p w14:paraId="7E609B92" w14:textId="77777777" w:rsidR="004A4336" w:rsidRPr="00B03460" w:rsidRDefault="004A4336" w:rsidP="004A4336">
      <w:pPr>
        <w:rPr>
          <w:b/>
          <w:bCs/>
        </w:rPr>
      </w:pPr>
      <w:r w:rsidRPr="00B03460">
        <w:rPr>
          <w:b/>
          <w:bCs/>
        </w:rPr>
        <w:t>Pay</w:t>
      </w:r>
    </w:p>
    <w:p w14:paraId="5B3D3722" w14:textId="31E09037" w:rsidR="004A4336" w:rsidRDefault="004A4336" w:rsidP="004A4336">
      <w:r>
        <w:t>Every employee has the right to receive a minimum hourly rate of pay as defined by the National Minimum Wage (NMW) Act</w:t>
      </w:r>
      <w:r w:rsidR="00C60E3E">
        <w:t xml:space="preserve"> 1998</w:t>
      </w:r>
      <w:r>
        <w:t>.  The Act describes a worker as someone who works under a contract of employment or any other contract that the individual undertakes to carry out work or services for another party</w:t>
      </w:r>
      <w:r w:rsidR="00C60E3E">
        <w:t>.</w:t>
      </w:r>
      <w:r>
        <w:t xml:space="preserve"> </w:t>
      </w:r>
      <w:r w:rsidR="00C60E3E">
        <w:t>Daniels (</w:t>
      </w:r>
      <w:r>
        <w:t>201</w:t>
      </w:r>
      <w:r w:rsidR="00C60E3E">
        <w:t>9</w:t>
      </w:r>
      <w:r>
        <w:t>). The appropriate amount for the NMW is advised to ministers by the Low Pay Commission and has done since 1999. The amount payable varies depending on the individuals age.</w:t>
      </w:r>
    </w:p>
    <w:tbl>
      <w:tblPr>
        <w:tblStyle w:val="TableGrid"/>
        <w:tblW w:w="0" w:type="auto"/>
        <w:tblLook w:val="04A0" w:firstRow="1" w:lastRow="0" w:firstColumn="1" w:lastColumn="0" w:noHBand="0" w:noVBand="1"/>
      </w:tblPr>
      <w:tblGrid>
        <w:gridCol w:w="4390"/>
        <w:gridCol w:w="4626"/>
      </w:tblGrid>
      <w:tr w:rsidR="004A4336" w14:paraId="34DCD95B" w14:textId="77777777" w:rsidTr="00265F5F">
        <w:tc>
          <w:tcPr>
            <w:tcW w:w="4390" w:type="dxa"/>
          </w:tcPr>
          <w:p w14:paraId="5679005F" w14:textId="77777777" w:rsidR="004A4336" w:rsidRPr="000F5BA9" w:rsidRDefault="004A4336" w:rsidP="00265F5F">
            <w:pPr>
              <w:rPr>
                <w:b/>
                <w:bCs/>
              </w:rPr>
            </w:pPr>
            <w:r w:rsidRPr="000F5BA9">
              <w:rPr>
                <w:b/>
                <w:bCs/>
              </w:rPr>
              <w:t>April 2021 Rates</w:t>
            </w:r>
          </w:p>
        </w:tc>
        <w:tc>
          <w:tcPr>
            <w:tcW w:w="4626" w:type="dxa"/>
          </w:tcPr>
          <w:p w14:paraId="7B10215D" w14:textId="77777777" w:rsidR="004A4336" w:rsidRPr="000F5BA9" w:rsidRDefault="004A4336" w:rsidP="00265F5F">
            <w:pPr>
              <w:rPr>
                <w:b/>
                <w:bCs/>
              </w:rPr>
            </w:pPr>
          </w:p>
        </w:tc>
      </w:tr>
      <w:tr w:rsidR="004A4336" w14:paraId="3656D94F" w14:textId="77777777" w:rsidTr="00265F5F">
        <w:tc>
          <w:tcPr>
            <w:tcW w:w="4390" w:type="dxa"/>
          </w:tcPr>
          <w:p w14:paraId="178B598B" w14:textId="77777777" w:rsidR="004A4336" w:rsidRPr="000F5BA9" w:rsidRDefault="004A4336" w:rsidP="00265F5F">
            <w:pPr>
              <w:rPr>
                <w:b/>
                <w:bCs/>
              </w:rPr>
            </w:pPr>
            <w:r w:rsidRPr="000F5BA9">
              <w:rPr>
                <w:b/>
                <w:bCs/>
              </w:rPr>
              <w:t>Age</w:t>
            </w:r>
          </w:p>
        </w:tc>
        <w:tc>
          <w:tcPr>
            <w:tcW w:w="4626" w:type="dxa"/>
          </w:tcPr>
          <w:p w14:paraId="57F6E909" w14:textId="77777777" w:rsidR="004A4336" w:rsidRPr="000F5BA9" w:rsidRDefault="004A4336" w:rsidP="00265F5F">
            <w:pPr>
              <w:rPr>
                <w:b/>
                <w:bCs/>
              </w:rPr>
            </w:pPr>
            <w:r w:rsidRPr="000F5BA9">
              <w:rPr>
                <w:b/>
                <w:bCs/>
              </w:rPr>
              <w:t>Rate</w:t>
            </w:r>
          </w:p>
        </w:tc>
      </w:tr>
      <w:tr w:rsidR="004A4336" w14:paraId="628E5764" w14:textId="77777777" w:rsidTr="00265F5F">
        <w:tc>
          <w:tcPr>
            <w:tcW w:w="4390" w:type="dxa"/>
          </w:tcPr>
          <w:p w14:paraId="3CDB79C6" w14:textId="77777777" w:rsidR="004A4336" w:rsidRPr="000F5BA9" w:rsidRDefault="004A4336" w:rsidP="00265F5F">
            <w:r w:rsidRPr="000F5BA9">
              <w:t xml:space="preserve">16 – 17 </w:t>
            </w:r>
          </w:p>
        </w:tc>
        <w:tc>
          <w:tcPr>
            <w:tcW w:w="4626" w:type="dxa"/>
          </w:tcPr>
          <w:p w14:paraId="4ADB851C" w14:textId="77777777" w:rsidR="004A4336" w:rsidRPr="000F5BA9" w:rsidRDefault="004A4336" w:rsidP="00265F5F">
            <w:r w:rsidRPr="000F5BA9">
              <w:t>£4.62</w:t>
            </w:r>
          </w:p>
        </w:tc>
      </w:tr>
      <w:tr w:rsidR="004A4336" w14:paraId="51BCE573" w14:textId="77777777" w:rsidTr="00265F5F">
        <w:tc>
          <w:tcPr>
            <w:tcW w:w="4390" w:type="dxa"/>
          </w:tcPr>
          <w:p w14:paraId="09BB7777" w14:textId="77777777" w:rsidR="004A4336" w:rsidRPr="000F5BA9" w:rsidRDefault="004A4336" w:rsidP="00265F5F">
            <w:r w:rsidRPr="000F5BA9">
              <w:t xml:space="preserve">18 – 20 </w:t>
            </w:r>
          </w:p>
        </w:tc>
        <w:tc>
          <w:tcPr>
            <w:tcW w:w="4626" w:type="dxa"/>
          </w:tcPr>
          <w:p w14:paraId="77E2C56D" w14:textId="77777777" w:rsidR="004A4336" w:rsidRPr="000F5BA9" w:rsidRDefault="004A4336" w:rsidP="00265F5F">
            <w:r w:rsidRPr="000F5BA9">
              <w:t>£6.56</w:t>
            </w:r>
          </w:p>
        </w:tc>
      </w:tr>
      <w:tr w:rsidR="004A4336" w14:paraId="0D0DABD9" w14:textId="77777777" w:rsidTr="00265F5F">
        <w:tc>
          <w:tcPr>
            <w:tcW w:w="4390" w:type="dxa"/>
          </w:tcPr>
          <w:p w14:paraId="56BB5A8C" w14:textId="77777777" w:rsidR="004A4336" w:rsidRPr="000F5BA9" w:rsidRDefault="004A4336" w:rsidP="00265F5F">
            <w:r w:rsidRPr="000F5BA9">
              <w:t xml:space="preserve">21 – 24 </w:t>
            </w:r>
          </w:p>
        </w:tc>
        <w:tc>
          <w:tcPr>
            <w:tcW w:w="4626" w:type="dxa"/>
          </w:tcPr>
          <w:p w14:paraId="6C8D8AAB" w14:textId="77777777" w:rsidR="004A4336" w:rsidRPr="000F5BA9" w:rsidRDefault="004A4336" w:rsidP="00265F5F">
            <w:r w:rsidRPr="000F5BA9">
              <w:t>£8.36</w:t>
            </w:r>
          </w:p>
        </w:tc>
      </w:tr>
      <w:tr w:rsidR="004A4336" w14:paraId="76844C47" w14:textId="77777777" w:rsidTr="00265F5F">
        <w:tc>
          <w:tcPr>
            <w:tcW w:w="4390" w:type="dxa"/>
          </w:tcPr>
          <w:p w14:paraId="608662B2" w14:textId="77777777" w:rsidR="004A4336" w:rsidRPr="000F5BA9" w:rsidRDefault="004A4336" w:rsidP="00265F5F">
            <w:r w:rsidRPr="000F5BA9">
              <w:t>25 + (NLW)</w:t>
            </w:r>
          </w:p>
        </w:tc>
        <w:tc>
          <w:tcPr>
            <w:tcW w:w="4626" w:type="dxa"/>
          </w:tcPr>
          <w:p w14:paraId="1E852FB7" w14:textId="77777777" w:rsidR="004A4336" w:rsidRPr="000F5BA9" w:rsidRDefault="004A4336" w:rsidP="00265F5F">
            <w:r w:rsidRPr="000F5BA9">
              <w:t>£8.92</w:t>
            </w:r>
          </w:p>
        </w:tc>
      </w:tr>
    </w:tbl>
    <w:p w14:paraId="4C6F46F7" w14:textId="77777777" w:rsidR="004A4336" w:rsidRDefault="004A4336" w:rsidP="004A4336">
      <w:r>
        <w:t>(Gov.uk)</w:t>
      </w:r>
    </w:p>
    <w:p w14:paraId="64023F48" w14:textId="77777777" w:rsidR="004A4336" w:rsidRDefault="004A4336" w:rsidP="004A4336">
      <w:r>
        <w:t>In April 2016, the National Living Wage was added to the NMW and is paid to those who are 25 and above.    As stated by Daniels (2016) there is also a ‘Living Wage’ that should not be confused with the NLW.  The living wage is a higher hourly amount that is voluntarily paid by employers, there is however, no legal right to pay the living age.   In addition, the Equal Pay Act 1970, states that employees of the opposite sex can claim equal pay when undertaking work that is rated as equivalent and is of equal value.</w:t>
      </w:r>
    </w:p>
    <w:p w14:paraId="454286EC" w14:textId="77777777" w:rsidR="004A4336" w:rsidRDefault="004A4336" w:rsidP="004A4336">
      <w:r>
        <w:t>As stated by the ERA 1996, all employees must be provided with an itemised pay statement at the time of or just before the payment is made, which includes the information of the gross amount of wages and National Insurance and Tax deductions which must be made by the employer.</w:t>
      </w:r>
    </w:p>
    <w:p w14:paraId="243ED671" w14:textId="77777777" w:rsidR="004A4336" w:rsidRPr="006E6BBE" w:rsidRDefault="004A4336" w:rsidP="004A4336">
      <w:pPr>
        <w:rPr>
          <w:b/>
          <w:bCs/>
        </w:rPr>
      </w:pPr>
      <w:r w:rsidRPr="006E6BBE">
        <w:rPr>
          <w:b/>
          <w:bCs/>
        </w:rPr>
        <w:t>Holidays</w:t>
      </w:r>
    </w:p>
    <w:p w14:paraId="19B56433" w14:textId="77777777" w:rsidR="004A4336" w:rsidRDefault="004A4336" w:rsidP="004A4336">
      <w:r>
        <w:t>Working time regulations entitles workers to a minimum of 5.6 weeks statutory leave every year, this equates to 20 days of entitlement and 8 days of bank holiday days for full time workers.  According to gov.uk, bank holidays do not have to be included in leave entitlements; however, most employers allow this and include it in their contract of employment.  Annual leave is accrued on a pro rata basis and employers have the right to request that employees take a proportion of their entitlement by a certain date.  When an individual’s employment comes to an end the employer must pay them for any accrued leave that has not been taken. Equally, an employee may also have to reimburse the employer for any leave undertaken that has exceeded their entitlement.</w:t>
      </w:r>
    </w:p>
    <w:p w14:paraId="5ED1C660" w14:textId="77777777" w:rsidR="004A4336" w:rsidRDefault="004A4336" w:rsidP="004A4336">
      <w:pPr>
        <w:rPr>
          <w:b/>
          <w:bCs/>
        </w:rPr>
      </w:pPr>
    </w:p>
    <w:p w14:paraId="30B44684" w14:textId="619A3CDF" w:rsidR="004A4336" w:rsidRDefault="004A4336" w:rsidP="004A4336">
      <w:pPr>
        <w:rPr>
          <w:b/>
          <w:bCs/>
        </w:rPr>
      </w:pPr>
    </w:p>
    <w:p w14:paraId="751E2D78" w14:textId="77777777" w:rsidR="000F5BA9" w:rsidRDefault="000F5BA9" w:rsidP="004A4336">
      <w:pPr>
        <w:rPr>
          <w:b/>
          <w:bCs/>
        </w:rPr>
      </w:pPr>
    </w:p>
    <w:p w14:paraId="0F01F02D" w14:textId="77777777" w:rsidR="004A4336" w:rsidRDefault="004A4336" w:rsidP="004A4336">
      <w:pPr>
        <w:rPr>
          <w:b/>
          <w:bCs/>
        </w:rPr>
      </w:pPr>
    </w:p>
    <w:p w14:paraId="5867A6FE" w14:textId="77777777" w:rsidR="004A4336" w:rsidRDefault="004A4336" w:rsidP="004A4336">
      <w:pPr>
        <w:rPr>
          <w:b/>
          <w:bCs/>
        </w:rPr>
      </w:pPr>
      <w:r w:rsidRPr="006E6BBE">
        <w:rPr>
          <w:b/>
          <w:bCs/>
        </w:rPr>
        <w:lastRenderedPageBreak/>
        <w:t>Working time</w:t>
      </w:r>
    </w:p>
    <w:p w14:paraId="1B7E4467" w14:textId="122DBC79" w:rsidR="004A4336" w:rsidRDefault="004A4336" w:rsidP="004A4336">
      <w:r w:rsidRPr="00050286">
        <w:t xml:space="preserve">The Working Time Directive limits working hours to 48 hours per week. </w:t>
      </w:r>
      <w:r>
        <w:t>Individuals</w:t>
      </w:r>
      <w:r w:rsidRPr="00050286">
        <w:t xml:space="preserve"> over the age of 18 can choose to opt out of this arrangement</w:t>
      </w:r>
      <w:r>
        <w:t xml:space="preserve"> and should not be penalised by their employers if they wish not to work more than 48 hours in a week</w:t>
      </w:r>
      <w:r w:rsidRPr="00050286">
        <w:t>.</w:t>
      </w:r>
      <w:r>
        <w:t xml:space="preserve"> Although,</w:t>
      </w:r>
      <w:r w:rsidRPr="00050286">
        <w:t xml:space="preserve"> Individuals </w:t>
      </w:r>
      <w:r>
        <w:t xml:space="preserve">who are </w:t>
      </w:r>
      <w:r w:rsidRPr="00050286">
        <w:t xml:space="preserve">under the age of 18 cannot work more than 8 hours a day or 40 hours per week.  </w:t>
      </w:r>
      <w:r>
        <w:t>As explained by Taylor and W</w:t>
      </w:r>
      <w:r w:rsidR="006773DA">
        <w:t>ilkinson</w:t>
      </w:r>
      <w:r>
        <w:t xml:space="preserve"> (2016) the working time regulations derive from the European Union and are quite intricate, with 100 pages of information. </w:t>
      </w:r>
    </w:p>
    <w:tbl>
      <w:tblPr>
        <w:tblStyle w:val="TableGrid"/>
        <w:tblW w:w="0" w:type="auto"/>
        <w:tblLook w:val="04A0" w:firstRow="1" w:lastRow="0" w:firstColumn="1" w:lastColumn="0" w:noHBand="0" w:noVBand="1"/>
      </w:tblPr>
      <w:tblGrid>
        <w:gridCol w:w="4508"/>
        <w:gridCol w:w="4508"/>
      </w:tblGrid>
      <w:tr w:rsidR="004A4336" w14:paraId="64A41082" w14:textId="77777777" w:rsidTr="00265F5F">
        <w:tc>
          <w:tcPr>
            <w:tcW w:w="4508" w:type="dxa"/>
          </w:tcPr>
          <w:p w14:paraId="5612ECFF" w14:textId="77777777" w:rsidR="004A4336" w:rsidRPr="008A10EB" w:rsidRDefault="004A4336" w:rsidP="00265F5F">
            <w:pPr>
              <w:rPr>
                <w:b/>
                <w:bCs/>
              </w:rPr>
            </w:pPr>
            <w:r w:rsidRPr="008A10EB">
              <w:rPr>
                <w:b/>
                <w:bCs/>
              </w:rPr>
              <w:t>Working Hours</w:t>
            </w:r>
          </w:p>
        </w:tc>
        <w:tc>
          <w:tcPr>
            <w:tcW w:w="4508" w:type="dxa"/>
          </w:tcPr>
          <w:p w14:paraId="2F1ADAB7" w14:textId="77777777" w:rsidR="004A4336" w:rsidRDefault="004A4336" w:rsidP="004A4336">
            <w:pPr>
              <w:pStyle w:val="ListParagraph"/>
              <w:numPr>
                <w:ilvl w:val="0"/>
                <w:numId w:val="12"/>
              </w:numPr>
            </w:pPr>
            <w:r>
              <w:t>Limited to 48 hours per week</w:t>
            </w:r>
          </w:p>
          <w:p w14:paraId="34455D6C" w14:textId="77777777" w:rsidR="004A4336" w:rsidRDefault="004A4336" w:rsidP="004A4336">
            <w:pPr>
              <w:pStyle w:val="ListParagraph"/>
              <w:numPr>
                <w:ilvl w:val="0"/>
                <w:numId w:val="12"/>
              </w:numPr>
            </w:pPr>
            <w:r>
              <w:t>Night workers limited to 8 hours work within 24 hours</w:t>
            </w:r>
          </w:p>
          <w:p w14:paraId="641DC1E3" w14:textId="77777777" w:rsidR="004A4336" w:rsidRDefault="004A4336" w:rsidP="004A4336">
            <w:pPr>
              <w:pStyle w:val="ListParagraph"/>
              <w:numPr>
                <w:ilvl w:val="0"/>
                <w:numId w:val="12"/>
              </w:numPr>
            </w:pPr>
            <w:r>
              <w:t xml:space="preserve">Working time restricted for 16 – </w:t>
            </w:r>
            <w:proofErr w:type="gramStart"/>
            <w:r>
              <w:t>18 year</w:t>
            </w:r>
            <w:proofErr w:type="gramEnd"/>
            <w:r>
              <w:t xml:space="preserve"> olds.</w:t>
            </w:r>
          </w:p>
        </w:tc>
      </w:tr>
      <w:tr w:rsidR="004A4336" w14:paraId="585CBD81" w14:textId="77777777" w:rsidTr="00265F5F">
        <w:tc>
          <w:tcPr>
            <w:tcW w:w="4508" w:type="dxa"/>
          </w:tcPr>
          <w:p w14:paraId="051A2C6A" w14:textId="77777777" w:rsidR="004A4336" w:rsidRPr="008A10EB" w:rsidRDefault="004A4336" w:rsidP="00265F5F">
            <w:pPr>
              <w:rPr>
                <w:b/>
                <w:bCs/>
              </w:rPr>
            </w:pPr>
            <w:r w:rsidRPr="008A10EB">
              <w:rPr>
                <w:b/>
                <w:bCs/>
              </w:rPr>
              <w:t>Annual Leave</w:t>
            </w:r>
          </w:p>
        </w:tc>
        <w:tc>
          <w:tcPr>
            <w:tcW w:w="4508" w:type="dxa"/>
          </w:tcPr>
          <w:p w14:paraId="5826822C" w14:textId="77777777" w:rsidR="004A4336" w:rsidRDefault="004A4336" w:rsidP="004A4336">
            <w:pPr>
              <w:pStyle w:val="ListParagraph"/>
              <w:numPr>
                <w:ilvl w:val="0"/>
                <w:numId w:val="12"/>
              </w:numPr>
            </w:pPr>
            <w:r>
              <w:t>4 weeks of paid annual leave with 8 days of bank holidays in addition.</w:t>
            </w:r>
          </w:p>
        </w:tc>
      </w:tr>
      <w:tr w:rsidR="004A4336" w14:paraId="424C1328" w14:textId="77777777" w:rsidTr="00265F5F">
        <w:trPr>
          <w:trHeight w:val="1141"/>
        </w:trPr>
        <w:tc>
          <w:tcPr>
            <w:tcW w:w="4508" w:type="dxa"/>
          </w:tcPr>
          <w:p w14:paraId="78DEF0CD" w14:textId="77777777" w:rsidR="004A4336" w:rsidRPr="008A10EB" w:rsidRDefault="004A4336" w:rsidP="00265F5F">
            <w:pPr>
              <w:rPr>
                <w:b/>
                <w:bCs/>
              </w:rPr>
            </w:pPr>
            <w:r w:rsidRPr="008A10EB">
              <w:rPr>
                <w:b/>
                <w:bCs/>
              </w:rPr>
              <w:t xml:space="preserve">Rest </w:t>
            </w:r>
          </w:p>
        </w:tc>
        <w:tc>
          <w:tcPr>
            <w:tcW w:w="4508" w:type="dxa"/>
          </w:tcPr>
          <w:p w14:paraId="1BC8DABE" w14:textId="77777777" w:rsidR="004A4336" w:rsidRDefault="004A4336" w:rsidP="004A4336">
            <w:pPr>
              <w:pStyle w:val="ListParagraph"/>
              <w:numPr>
                <w:ilvl w:val="0"/>
                <w:numId w:val="12"/>
              </w:numPr>
            </w:pPr>
            <w:r>
              <w:t>20 minutes of rest when working 6 hours or more.</w:t>
            </w:r>
          </w:p>
          <w:p w14:paraId="037C5EA7" w14:textId="77777777" w:rsidR="004A4336" w:rsidRDefault="004A4336" w:rsidP="004A4336">
            <w:pPr>
              <w:pStyle w:val="ListParagraph"/>
              <w:numPr>
                <w:ilvl w:val="0"/>
                <w:numId w:val="12"/>
              </w:numPr>
            </w:pPr>
            <w:r>
              <w:t>11 hours of rest in a 24-hour period</w:t>
            </w:r>
          </w:p>
          <w:p w14:paraId="5547E5EA" w14:textId="77777777" w:rsidR="004A4336" w:rsidRDefault="004A4336" w:rsidP="004A4336">
            <w:pPr>
              <w:pStyle w:val="ListParagraph"/>
              <w:numPr>
                <w:ilvl w:val="0"/>
                <w:numId w:val="12"/>
              </w:numPr>
            </w:pPr>
            <w:r>
              <w:t>24 hours of rest in a seven-day period</w:t>
            </w:r>
          </w:p>
        </w:tc>
      </w:tr>
    </w:tbl>
    <w:p w14:paraId="7B87B481" w14:textId="77777777" w:rsidR="004A4336" w:rsidRDefault="004A4336" w:rsidP="004A4336"/>
    <w:p w14:paraId="2024A3F0" w14:textId="5548A6D3" w:rsidR="004A4336" w:rsidRPr="000F5BA9" w:rsidRDefault="004A4336" w:rsidP="00F927E1">
      <w:pPr>
        <w:spacing w:after="0"/>
        <w:rPr>
          <w:b/>
          <w:bCs/>
        </w:rPr>
      </w:pPr>
      <w:r w:rsidRPr="000F5BA9">
        <w:rPr>
          <w:b/>
          <w:bCs/>
        </w:rPr>
        <w:t>4.</w:t>
      </w:r>
      <w:r w:rsidR="00265F5F" w:rsidRPr="000F5BA9">
        <w:rPr>
          <w:b/>
          <w:bCs/>
        </w:rPr>
        <w:t>2</w:t>
      </w:r>
    </w:p>
    <w:p w14:paraId="5F34DBC5" w14:textId="48641085" w:rsidR="004C6B3B" w:rsidRDefault="004C6B3B" w:rsidP="004A4336">
      <w:r>
        <w:t xml:space="preserve">As stated by CIPD 2021, parents and adoptive parents have statutory rights in terms of maternity, paternity, adoption and shared parental leave, dependents leave and to request flexible working. </w:t>
      </w:r>
    </w:p>
    <w:p w14:paraId="340F980B" w14:textId="7DB767A9" w:rsidR="004C6B3B" w:rsidRPr="000F5BA9" w:rsidRDefault="004C6B3B" w:rsidP="00F927E1">
      <w:pPr>
        <w:spacing w:after="0"/>
        <w:rPr>
          <w:b/>
          <w:bCs/>
        </w:rPr>
      </w:pPr>
      <w:r w:rsidRPr="000F5BA9">
        <w:rPr>
          <w:b/>
          <w:bCs/>
        </w:rPr>
        <w:t>Maternity</w:t>
      </w:r>
    </w:p>
    <w:tbl>
      <w:tblPr>
        <w:tblStyle w:val="TableGrid"/>
        <w:tblW w:w="0" w:type="auto"/>
        <w:tblLook w:val="04A0" w:firstRow="1" w:lastRow="0" w:firstColumn="1" w:lastColumn="0" w:noHBand="0" w:noVBand="1"/>
      </w:tblPr>
      <w:tblGrid>
        <w:gridCol w:w="1838"/>
        <w:gridCol w:w="7178"/>
      </w:tblGrid>
      <w:tr w:rsidR="00900CD7" w14:paraId="47A9B993" w14:textId="77777777" w:rsidTr="00900CD7">
        <w:tc>
          <w:tcPr>
            <w:tcW w:w="1838" w:type="dxa"/>
          </w:tcPr>
          <w:p w14:paraId="77DE913A" w14:textId="1FA28CAD" w:rsidR="00900CD7" w:rsidRPr="00F927E1" w:rsidRDefault="00900CD7" w:rsidP="004A4336">
            <w:pPr>
              <w:rPr>
                <w:b/>
                <w:bCs/>
              </w:rPr>
            </w:pPr>
            <w:r w:rsidRPr="00F927E1">
              <w:rPr>
                <w:b/>
                <w:bCs/>
              </w:rPr>
              <w:t>Maternity Leave</w:t>
            </w:r>
          </w:p>
        </w:tc>
        <w:tc>
          <w:tcPr>
            <w:tcW w:w="7178" w:type="dxa"/>
          </w:tcPr>
          <w:p w14:paraId="3E695463" w14:textId="77777777" w:rsidR="00900CD7" w:rsidRDefault="00900CD7" w:rsidP="00900CD7">
            <w:r>
              <w:t xml:space="preserve">Pregnant employees are entitled to 26 weeks of Ordinary Maternity Leave (OML) as there is no required length of service to qualify.  OML normally starts on the date that the employee has requested it to, the earliest it can start is 11 weeks before the Expected Week of Childbirth (EWC) but as stated by Taylor and Woodhams (2016) OML can start automatically if the baby arrives earlier or if the employee is absent 4 weeks before the EWC due to a pregnancy related illness. If the employee qualifies for Additional Maternity Leave this will run for an additional 26 weeks after OML ends.  Compulsory Maternity Leave is a two-week period after the baby is born and it is the responsibility of the employer to ensure that no work is carried out by the employee during this time. </w:t>
            </w:r>
          </w:p>
          <w:p w14:paraId="30765BBA" w14:textId="77777777" w:rsidR="00900CD7" w:rsidRDefault="00900CD7" w:rsidP="004A4336"/>
        </w:tc>
      </w:tr>
      <w:tr w:rsidR="00900CD7" w14:paraId="6E952580" w14:textId="77777777" w:rsidTr="00900CD7">
        <w:tc>
          <w:tcPr>
            <w:tcW w:w="1838" w:type="dxa"/>
          </w:tcPr>
          <w:p w14:paraId="55410F6C" w14:textId="5AC4A4C2" w:rsidR="00900CD7" w:rsidRPr="00F927E1" w:rsidRDefault="00900CD7" w:rsidP="004A4336">
            <w:pPr>
              <w:rPr>
                <w:b/>
                <w:bCs/>
              </w:rPr>
            </w:pPr>
            <w:r w:rsidRPr="00F927E1">
              <w:rPr>
                <w:b/>
                <w:bCs/>
              </w:rPr>
              <w:t>Maternity Pay</w:t>
            </w:r>
          </w:p>
        </w:tc>
        <w:tc>
          <w:tcPr>
            <w:tcW w:w="7178" w:type="dxa"/>
          </w:tcPr>
          <w:p w14:paraId="3BF985F7" w14:textId="105C39CC" w:rsidR="00900CD7" w:rsidRDefault="00900CD7" w:rsidP="004A4336">
            <w:r>
              <w:t>Employees are entitled to 39 weeks Statutory Maternity Pay (SMP) in order to qualify the employee must have 26 weeks continuous service, by the 15</w:t>
            </w:r>
            <w:r w:rsidRPr="00900CD7">
              <w:rPr>
                <w:vertAlign w:val="superscript"/>
              </w:rPr>
              <w:t>th</w:t>
            </w:r>
            <w:r>
              <w:t xml:space="preserve"> week before the baby is born, be in receipt of average weekly earnings in the 8 weeks prior to the qualifying week and be employed by an employer that will pay the employers share of the class 1 National Insurance contributions.</w:t>
            </w:r>
          </w:p>
        </w:tc>
      </w:tr>
      <w:tr w:rsidR="00900CD7" w14:paraId="36C02BDD" w14:textId="77777777" w:rsidTr="00900CD7">
        <w:tc>
          <w:tcPr>
            <w:tcW w:w="1838" w:type="dxa"/>
          </w:tcPr>
          <w:p w14:paraId="6ACC985B" w14:textId="5F4A7E55" w:rsidR="00900CD7" w:rsidRPr="00F927E1" w:rsidRDefault="00F927E1" w:rsidP="004A4336">
            <w:pPr>
              <w:rPr>
                <w:b/>
                <w:bCs/>
              </w:rPr>
            </w:pPr>
            <w:r w:rsidRPr="00F927E1">
              <w:rPr>
                <w:b/>
                <w:bCs/>
              </w:rPr>
              <w:t>Rights and Benefits</w:t>
            </w:r>
          </w:p>
        </w:tc>
        <w:tc>
          <w:tcPr>
            <w:tcW w:w="7178" w:type="dxa"/>
          </w:tcPr>
          <w:p w14:paraId="48A48245" w14:textId="67DE6EC3" w:rsidR="00900CD7" w:rsidRDefault="00F927E1" w:rsidP="00F927E1">
            <w:pPr>
              <w:pStyle w:val="ListParagraph"/>
              <w:numPr>
                <w:ilvl w:val="0"/>
                <w:numId w:val="13"/>
              </w:numPr>
            </w:pPr>
            <w:r>
              <w:t>The Equality Act 2010 provides protection against discrimination, unfair treatment or dismissal because of pregnancy or maternity leave.</w:t>
            </w:r>
          </w:p>
          <w:p w14:paraId="5B4C1CC2" w14:textId="2B261612" w:rsidR="00F927E1" w:rsidRDefault="00F927E1" w:rsidP="00F927E1">
            <w:pPr>
              <w:pStyle w:val="ListParagraph"/>
              <w:numPr>
                <w:ilvl w:val="0"/>
                <w:numId w:val="13"/>
              </w:numPr>
            </w:pPr>
            <w:r>
              <w:t>Annual leave is accrued on Maternity Leave</w:t>
            </w:r>
          </w:p>
          <w:p w14:paraId="45FDDAD0" w14:textId="7A7A1046" w:rsidR="00F927E1" w:rsidRDefault="00F927E1" w:rsidP="00F927E1">
            <w:pPr>
              <w:pStyle w:val="ListParagraph"/>
              <w:numPr>
                <w:ilvl w:val="0"/>
                <w:numId w:val="13"/>
              </w:numPr>
            </w:pPr>
            <w:r>
              <w:t>Up to 10 Keeping in Touch (KIT) days during maternity leave, that does not affect the terms of maternity pay.  As stated by CIPD 2021, the employee is not obliged to work any KIT days and the employer is not obligated to offer.</w:t>
            </w:r>
          </w:p>
        </w:tc>
      </w:tr>
    </w:tbl>
    <w:p w14:paraId="2A0F53B2" w14:textId="77777777" w:rsidR="00900CD7" w:rsidRDefault="00900CD7" w:rsidP="004A4336"/>
    <w:p w14:paraId="1A9298D9" w14:textId="25AF6B2A" w:rsidR="004A4336" w:rsidRPr="000F5BA9" w:rsidRDefault="00F927E1" w:rsidP="009F1534">
      <w:pPr>
        <w:tabs>
          <w:tab w:val="left" w:pos="7032"/>
        </w:tabs>
        <w:rPr>
          <w:b/>
          <w:bCs/>
        </w:rPr>
      </w:pPr>
      <w:r w:rsidRPr="000F5BA9">
        <w:rPr>
          <w:b/>
          <w:bCs/>
        </w:rPr>
        <w:lastRenderedPageBreak/>
        <w:t>Paternity Leave</w:t>
      </w:r>
    </w:p>
    <w:p w14:paraId="55AEE78C" w14:textId="2A1D7BA8" w:rsidR="00C57203" w:rsidRDefault="00C57203" w:rsidP="009F1534">
      <w:pPr>
        <w:tabs>
          <w:tab w:val="left" w:pos="7032"/>
        </w:tabs>
      </w:pPr>
      <w:r>
        <w:t>Statutory Paternity Leave was introduced by the Employment Act 2002. Daniels (2016)</w:t>
      </w:r>
    </w:p>
    <w:tbl>
      <w:tblPr>
        <w:tblStyle w:val="TableGrid"/>
        <w:tblW w:w="0" w:type="auto"/>
        <w:tblLook w:val="04A0" w:firstRow="1" w:lastRow="0" w:firstColumn="1" w:lastColumn="0" w:noHBand="0" w:noVBand="1"/>
      </w:tblPr>
      <w:tblGrid>
        <w:gridCol w:w="1838"/>
        <w:gridCol w:w="7178"/>
      </w:tblGrid>
      <w:tr w:rsidR="00F927E1" w14:paraId="7621B729" w14:textId="77777777" w:rsidTr="00C57203">
        <w:tc>
          <w:tcPr>
            <w:tcW w:w="1838" w:type="dxa"/>
          </w:tcPr>
          <w:p w14:paraId="70A39215" w14:textId="649ADDD9" w:rsidR="00F927E1" w:rsidRPr="000F5BA9" w:rsidRDefault="00C57203" w:rsidP="009F1534">
            <w:pPr>
              <w:tabs>
                <w:tab w:val="left" w:pos="7032"/>
              </w:tabs>
              <w:rPr>
                <w:b/>
                <w:bCs/>
              </w:rPr>
            </w:pPr>
            <w:r w:rsidRPr="000F5BA9">
              <w:rPr>
                <w:b/>
                <w:bCs/>
              </w:rPr>
              <w:t>Paternity Leave</w:t>
            </w:r>
          </w:p>
        </w:tc>
        <w:tc>
          <w:tcPr>
            <w:tcW w:w="7178" w:type="dxa"/>
          </w:tcPr>
          <w:p w14:paraId="1EE89D2B" w14:textId="0EABEA0E" w:rsidR="00F927E1" w:rsidRDefault="00C57203" w:rsidP="00E60183">
            <w:pPr>
              <w:pStyle w:val="ListParagraph"/>
              <w:numPr>
                <w:ilvl w:val="0"/>
                <w:numId w:val="14"/>
              </w:numPr>
              <w:tabs>
                <w:tab w:val="left" w:pos="7032"/>
              </w:tabs>
            </w:pPr>
            <w:r>
              <w:t>The employee is entitled to a maximum of two weeks paternity leave and must provide 28 days’ notice of their intention to take paternity leave.  Notice must be provided by the end of the 15</w:t>
            </w:r>
            <w:r w:rsidRPr="00E60183">
              <w:rPr>
                <w:vertAlign w:val="superscript"/>
              </w:rPr>
              <w:t>th</w:t>
            </w:r>
            <w:r>
              <w:t xml:space="preserve"> week before the baby is due.</w:t>
            </w:r>
          </w:p>
          <w:p w14:paraId="4E282BB6" w14:textId="74766621" w:rsidR="00E60183" w:rsidRDefault="00E60183" w:rsidP="003C1718">
            <w:pPr>
              <w:pStyle w:val="ListParagraph"/>
              <w:numPr>
                <w:ilvl w:val="0"/>
                <w:numId w:val="14"/>
              </w:numPr>
              <w:tabs>
                <w:tab w:val="left" w:pos="7032"/>
              </w:tabs>
            </w:pPr>
            <w:r>
              <w:t>To qualify the employee must have 26 weeks continuous service and must be the child’</w:t>
            </w:r>
            <w:r w:rsidR="003C1718">
              <w:t>s</w:t>
            </w:r>
            <w:r>
              <w:t xml:space="preserve"> father, or the </w:t>
            </w:r>
            <w:r w:rsidR="003C1718">
              <w:t>mother’s</w:t>
            </w:r>
            <w:r>
              <w:t xml:space="preserve"> husband/partner</w:t>
            </w:r>
            <w:r w:rsidR="003C1718">
              <w:t xml:space="preserve"> or have responsibility in the upbringing of the child. </w:t>
            </w:r>
          </w:p>
        </w:tc>
      </w:tr>
      <w:tr w:rsidR="00F927E1" w14:paraId="0AF9890B" w14:textId="77777777" w:rsidTr="00C57203">
        <w:tc>
          <w:tcPr>
            <w:tcW w:w="1838" w:type="dxa"/>
          </w:tcPr>
          <w:p w14:paraId="1CD2732B" w14:textId="77777777" w:rsidR="00F927E1" w:rsidRPr="000F5BA9" w:rsidRDefault="003C1718" w:rsidP="009F1534">
            <w:pPr>
              <w:tabs>
                <w:tab w:val="left" w:pos="7032"/>
              </w:tabs>
              <w:rPr>
                <w:b/>
                <w:bCs/>
              </w:rPr>
            </w:pPr>
            <w:r w:rsidRPr="000F5BA9">
              <w:rPr>
                <w:b/>
                <w:bCs/>
              </w:rPr>
              <w:t>Paternity Pay</w:t>
            </w:r>
          </w:p>
          <w:p w14:paraId="067C9C21" w14:textId="6DFCF867" w:rsidR="003C1718" w:rsidRPr="000F5BA9" w:rsidRDefault="003C1718" w:rsidP="009F1534">
            <w:pPr>
              <w:tabs>
                <w:tab w:val="left" w:pos="7032"/>
              </w:tabs>
              <w:rPr>
                <w:b/>
                <w:bCs/>
              </w:rPr>
            </w:pPr>
          </w:p>
        </w:tc>
        <w:tc>
          <w:tcPr>
            <w:tcW w:w="7178" w:type="dxa"/>
          </w:tcPr>
          <w:p w14:paraId="757E57C1" w14:textId="3245DD2A" w:rsidR="003C1718" w:rsidRDefault="003C1718" w:rsidP="003C1718">
            <w:pPr>
              <w:pStyle w:val="ListParagraph"/>
              <w:numPr>
                <w:ilvl w:val="0"/>
                <w:numId w:val="14"/>
              </w:numPr>
              <w:tabs>
                <w:tab w:val="left" w:pos="7032"/>
              </w:tabs>
            </w:pPr>
            <w:r>
              <w:t>The rate of Statutory Paternity Pay is equal to Statutory Maternity Pay.</w:t>
            </w:r>
          </w:p>
        </w:tc>
      </w:tr>
      <w:tr w:rsidR="00F927E1" w14:paraId="7AEF30A0" w14:textId="77777777" w:rsidTr="00C57203">
        <w:tc>
          <w:tcPr>
            <w:tcW w:w="1838" w:type="dxa"/>
          </w:tcPr>
          <w:p w14:paraId="220B1D46" w14:textId="4AD0FCD6" w:rsidR="00F927E1" w:rsidRPr="000F5BA9" w:rsidRDefault="003C1718" w:rsidP="009F1534">
            <w:pPr>
              <w:tabs>
                <w:tab w:val="left" w:pos="7032"/>
              </w:tabs>
              <w:rPr>
                <w:b/>
                <w:bCs/>
              </w:rPr>
            </w:pPr>
            <w:r w:rsidRPr="000F5BA9">
              <w:rPr>
                <w:b/>
                <w:bCs/>
              </w:rPr>
              <w:t>Rights and benefits</w:t>
            </w:r>
          </w:p>
        </w:tc>
        <w:tc>
          <w:tcPr>
            <w:tcW w:w="7178" w:type="dxa"/>
          </w:tcPr>
          <w:p w14:paraId="4CECD03E" w14:textId="77777777" w:rsidR="00F927E1" w:rsidRDefault="003C1718" w:rsidP="003C1718">
            <w:pPr>
              <w:pStyle w:val="ListParagraph"/>
              <w:numPr>
                <w:ilvl w:val="0"/>
                <w:numId w:val="14"/>
              </w:numPr>
              <w:tabs>
                <w:tab w:val="left" w:pos="7032"/>
              </w:tabs>
            </w:pPr>
            <w:r>
              <w:t>Return to the same role with the same terms and conditions</w:t>
            </w:r>
          </w:p>
          <w:p w14:paraId="1F6EDBB3" w14:textId="12B3CD06" w:rsidR="003C1718" w:rsidRDefault="003C1718" w:rsidP="003C1718">
            <w:pPr>
              <w:pStyle w:val="ListParagraph"/>
              <w:numPr>
                <w:ilvl w:val="0"/>
                <w:numId w:val="14"/>
              </w:numPr>
              <w:tabs>
                <w:tab w:val="left" w:pos="7032"/>
              </w:tabs>
            </w:pPr>
            <w:r>
              <w:t>Not exposed to any unfair treatment or discrimination.</w:t>
            </w:r>
          </w:p>
        </w:tc>
      </w:tr>
    </w:tbl>
    <w:p w14:paraId="13728883" w14:textId="77777777" w:rsidR="00F927E1" w:rsidRDefault="00F927E1" w:rsidP="009F1534">
      <w:pPr>
        <w:tabs>
          <w:tab w:val="left" w:pos="7032"/>
        </w:tabs>
      </w:pPr>
    </w:p>
    <w:p w14:paraId="57DA31C5" w14:textId="11AD2A38" w:rsidR="009F1534" w:rsidRPr="00AB0682" w:rsidRDefault="00AB0682" w:rsidP="009F1534">
      <w:pPr>
        <w:tabs>
          <w:tab w:val="left" w:pos="7032"/>
        </w:tabs>
        <w:rPr>
          <w:b/>
          <w:bCs/>
        </w:rPr>
      </w:pPr>
      <w:r w:rsidRPr="00AB0682">
        <w:rPr>
          <w:b/>
          <w:bCs/>
        </w:rPr>
        <w:t>Statutory Adoption Leave</w:t>
      </w:r>
    </w:p>
    <w:tbl>
      <w:tblPr>
        <w:tblStyle w:val="TableGrid"/>
        <w:tblW w:w="0" w:type="auto"/>
        <w:tblLook w:val="04A0" w:firstRow="1" w:lastRow="0" w:firstColumn="1" w:lastColumn="0" w:noHBand="0" w:noVBand="1"/>
      </w:tblPr>
      <w:tblGrid>
        <w:gridCol w:w="2547"/>
        <w:gridCol w:w="6469"/>
      </w:tblGrid>
      <w:tr w:rsidR="00AB0682" w14:paraId="1DCA0EAC" w14:textId="77777777" w:rsidTr="00AB0682">
        <w:tc>
          <w:tcPr>
            <w:tcW w:w="2547" w:type="dxa"/>
          </w:tcPr>
          <w:p w14:paraId="1EF8D604" w14:textId="539035B4" w:rsidR="00AB0682" w:rsidRPr="000F5BA9" w:rsidRDefault="00AB0682" w:rsidP="009F1534">
            <w:pPr>
              <w:tabs>
                <w:tab w:val="left" w:pos="7032"/>
              </w:tabs>
              <w:rPr>
                <w:b/>
                <w:bCs/>
              </w:rPr>
            </w:pPr>
            <w:r w:rsidRPr="000F5BA9">
              <w:rPr>
                <w:b/>
                <w:bCs/>
              </w:rPr>
              <w:t>Statutory Adoption Leave</w:t>
            </w:r>
          </w:p>
        </w:tc>
        <w:tc>
          <w:tcPr>
            <w:tcW w:w="6469" w:type="dxa"/>
          </w:tcPr>
          <w:p w14:paraId="51324CD6" w14:textId="77777777" w:rsidR="00AB0682" w:rsidRDefault="00AB0682" w:rsidP="00AB0682">
            <w:pPr>
              <w:pStyle w:val="ListParagraph"/>
              <w:numPr>
                <w:ilvl w:val="0"/>
                <w:numId w:val="14"/>
              </w:numPr>
              <w:tabs>
                <w:tab w:val="left" w:pos="7032"/>
              </w:tabs>
            </w:pPr>
            <w:r>
              <w:t>Entitled to 52 weeks of SAL</w:t>
            </w:r>
          </w:p>
          <w:p w14:paraId="4B37266D" w14:textId="42A3A399" w:rsidR="00AB0682" w:rsidRDefault="00AB0682" w:rsidP="00AB0682">
            <w:pPr>
              <w:pStyle w:val="ListParagraph"/>
              <w:numPr>
                <w:ilvl w:val="0"/>
                <w:numId w:val="14"/>
              </w:numPr>
              <w:tabs>
                <w:tab w:val="left" w:pos="7032"/>
              </w:tabs>
            </w:pPr>
            <w:r>
              <w:t>The primary adopter is entitled to SAL and the secondary adopter is entitled to paternity leave.</w:t>
            </w:r>
          </w:p>
        </w:tc>
      </w:tr>
      <w:tr w:rsidR="00AB0682" w14:paraId="52FEBD7F" w14:textId="77777777" w:rsidTr="00AB0682">
        <w:tc>
          <w:tcPr>
            <w:tcW w:w="2547" w:type="dxa"/>
          </w:tcPr>
          <w:p w14:paraId="6BA1A59D" w14:textId="54FD455F" w:rsidR="00AB0682" w:rsidRPr="000F5BA9" w:rsidRDefault="00AB0682" w:rsidP="009F1534">
            <w:pPr>
              <w:tabs>
                <w:tab w:val="left" w:pos="7032"/>
              </w:tabs>
              <w:rPr>
                <w:b/>
                <w:bCs/>
              </w:rPr>
            </w:pPr>
            <w:r w:rsidRPr="000F5BA9">
              <w:rPr>
                <w:b/>
                <w:bCs/>
              </w:rPr>
              <w:t>Statutory Adoption Pay</w:t>
            </w:r>
          </w:p>
        </w:tc>
        <w:tc>
          <w:tcPr>
            <w:tcW w:w="6469" w:type="dxa"/>
          </w:tcPr>
          <w:p w14:paraId="335B5CAA" w14:textId="6DBFEC52" w:rsidR="00AB0682" w:rsidRDefault="00AB0682" w:rsidP="00AB0682">
            <w:pPr>
              <w:pStyle w:val="ListParagraph"/>
              <w:numPr>
                <w:ilvl w:val="0"/>
                <w:numId w:val="14"/>
              </w:numPr>
              <w:tabs>
                <w:tab w:val="left" w:pos="7032"/>
              </w:tabs>
            </w:pPr>
            <w:r>
              <w:t>Is paid at the same rate as SMP</w:t>
            </w:r>
          </w:p>
        </w:tc>
      </w:tr>
      <w:tr w:rsidR="00AB0682" w14:paraId="3598BBE9" w14:textId="77777777" w:rsidTr="00AB0682">
        <w:tc>
          <w:tcPr>
            <w:tcW w:w="2547" w:type="dxa"/>
          </w:tcPr>
          <w:p w14:paraId="11B8A5E1" w14:textId="4149134A" w:rsidR="00AB0682" w:rsidRPr="000F5BA9" w:rsidRDefault="00AB0682" w:rsidP="009F1534">
            <w:pPr>
              <w:tabs>
                <w:tab w:val="left" w:pos="7032"/>
              </w:tabs>
              <w:rPr>
                <w:b/>
                <w:bCs/>
              </w:rPr>
            </w:pPr>
            <w:r w:rsidRPr="000F5BA9">
              <w:rPr>
                <w:b/>
                <w:bCs/>
              </w:rPr>
              <w:t>Rights and benefits</w:t>
            </w:r>
          </w:p>
        </w:tc>
        <w:tc>
          <w:tcPr>
            <w:tcW w:w="6469" w:type="dxa"/>
          </w:tcPr>
          <w:p w14:paraId="3275A07D" w14:textId="1B259C0B" w:rsidR="00AB0682" w:rsidRDefault="00AB0682" w:rsidP="00AB0682">
            <w:pPr>
              <w:pStyle w:val="ListParagraph"/>
              <w:numPr>
                <w:ilvl w:val="0"/>
                <w:numId w:val="14"/>
              </w:numPr>
              <w:tabs>
                <w:tab w:val="left" w:pos="7032"/>
              </w:tabs>
            </w:pPr>
            <w:r>
              <w:t>The primary adopter is entitled to attend up to 5 appointments (paid time off) to meet the child.</w:t>
            </w:r>
          </w:p>
          <w:p w14:paraId="73C05C10" w14:textId="328FFE37" w:rsidR="00AB0682" w:rsidRDefault="00AB0682" w:rsidP="00AB0682">
            <w:pPr>
              <w:pStyle w:val="ListParagraph"/>
              <w:numPr>
                <w:ilvl w:val="0"/>
                <w:numId w:val="14"/>
              </w:numPr>
              <w:tabs>
                <w:tab w:val="left" w:pos="7032"/>
              </w:tabs>
            </w:pPr>
            <w:r>
              <w:t xml:space="preserve">The secondary adopter is entitled to attend up to 2 appointments (paid time off) </w:t>
            </w:r>
          </w:p>
        </w:tc>
      </w:tr>
    </w:tbl>
    <w:p w14:paraId="3B396FD9" w14:textId="194984E6" w:rsidR="00AB0682" w:rsidRDefault="00AB0682" w:rsidP="009F1534">
      <w:pPr>
        <w:tabs>
          <w:tab w:val="left" w:pos="7032"/>
        </w:tabs>
      </w:pPr>
    </w:p>
    <w:p w14:paraId="347C32F6" w14:textId="72E1B786" w:rsidR="00AB0682" w:rsidRPr="00AB0682" w:rsidRDefault="00AB0682" w:rsidP="009F1534">
      <w:pPr>
        <w:tabs>
          <w:tab w:val="left" w:pos="7032"/>
        </w:tabs>
        <w:rPr>
          <w:b/>
          <w:bCs/>
        </w:rPr>
      </w:pPr>
      <w:r w:rsidRPr="00AB0682">
        <w:rPr>
          <w:b/>
          <w:bCs/>
        </w:rPr>
        <w:t>Shared Parental Leave</w:t>
      </w:r>
    </w:p>
    <w:p w14:paraId="726E51C8" w14:textId="72F5129C" w:rsidR="00E1316A" w:rsidRDefault="00AB0682" w:rsidP="001A2326">
      <w:pPr>
        <w:tabs>
          <w:tab w:val="left" w:pos="7032"/>
        </w:tabs>
      </w:pPr>
      <w:r>
        <w:t xml:space="preserve">As stated by Daniels (2016) Shared parental leave was introduced by the Shared Parental Leave Regulations 2014.  </w:t>
      </w:r>
      <w:r w:rsidR="009E62D0">
        <w:t xml:space="preserve">Shared Parental leave provides parents with the option to share leave with their partner.  Employees can take part of their SML or SAL and split the remaining leave. However, this can not include the period of compulsory maternity leave.  </w:t>
      </w:r>
    </w:p>
    <w:p w14:paraId="04CCD289" w14:textId="17F6805A" w:rsidR="00547C02" w:rsidRDefault="0056045D" w:rsidP="001A2326">
      <w:pPr>
        <w:tabs>
          <w:tab w:val="left" w:pos="7032"/>
        </w:tabs>
      </w:pPr>
      <w:r>
        <w:t xml:space="preserve">Parental leave was introduced by the Maternity and Parental Leave Regulations 1999, the regulations enabled employees to take parental leave for </w:t>
      </w:r>
      <w:proofErr w:type="gramStart"/>
      <w:r>
        <w:t>a period of time</w:t>
      </w:r>
      <w:proofErr w:type="gramEnd"/>
      <w:r>
        <w:t>.  The regulations also gave employers flexibility to create a parental leave policy that works for them.  Parental leave is unpaid and requires the employee to have at least one year’s continuous service and be caring for a child in order to be considered.</w:t>
      </w:r>
    </w:p>
    <w:p w14:paraId="10F05A9A" w14:textId="6FD0833C" w:rsidR="00547C02" w:rsidRDefault="00547C02" w:rsidP="001A2326">
      <w:pPr>
        <w:tabs>
          <w:tab w:val="left" w:pos="7032"/>
        </w:tabs>
      </w:pPr>
    </w:p>
    <w:p w14:paraId="2D4784F7" w14:textId="2BC4CE6D" w:rsidR="00547C02" w:rsidRDefault="00547C02" w:rsidP="001A2326">
      <w:pPr>
        <w:tabs>
          <w:tab w:val="left" w:pos="7032"/>
        </w:tabs>
      </w:pPr>
    </w:p>
    <w:p w14:paraId="382FE525" w14:textId="2076831A" w:rsidR="00547C02" w:rsidRDefault="00547C02" w:rsidP="001A2326">
      <w:pPr>
        <w:tabs>
          <w:tab w:val="left" w:pos="7032"/>
        </w:tabs>
      </w:pPr>
    </w:p>
    <w:p w14:paraId="7D903AEF" w14:textId="2131CF66" w:rsidR="00547C02" w:rsidRDefault="00547C02" w:rsidP="001A2326">
      <w:pPr>
        <w:tabs>
          <w:tab w:val="left" w:pos="7032"/>
        </w:tabs>
      </w:pPr>
    </w:p>
    <w:p w14:paraId="0EEE372D" w14:textId="63C778E3" w:rsidR="00547C02" w:rsidRDefault="00547C02" w:rsidP="001A2326">
      <w:pPr>
        <w:tabs>
          <w:tab w:val="left" w:pos="7032"/>
        </w:tabs>
      </w:pPr>
    </w:p>
    <w:p w14:paraId="202D9011" w14:textId="0EFC9221" w:rsidR="00547C02" w:rsidRDefault="00547C02" w:rsidP="001A2326">
      <w:pPr>
        <w:tabs>
          <w:tab w:val="left" w:pos="7032"/>
        </w:tabs>
      </w:pPr>
    </w:p>
    <w:p w14:paraId="4EE3D02B" w14:textId="77777777" w:rsidR="00A5639F" w:rsidRDefault="00A5639F" w:rsidP="001A2326">
      <w:pPr>
        <w:tabs>
          <w:tab w:val="left" w:pos="7032"/>
        </w:tabs>
        <w:rPr>
          <w:b/>
          <w:bCs/>
        </w:rPr>
      </w:pPr>
    </w:p>
    <w:p w14:paraId="0A7EA713" w14:textId="7088E5C6" w:rsidR="00547C02" w:rsidRPr="003E4B62" w:rsidRDefault="00A34481" w:rsidP="001A2326">
      <w:pPr>
        <w:tabs>
          <w:tab w:val="left" w:pos="7032"/>
        </w:tabs>
        <w:rPr>
          <w:b/>
          <w:bCs/>
        </w:rPr>
      </w:pPr>
      <w:r w:rsidRPr="003E4B62">
        <w:rPr>
          <w:b/>
          <w:bCs/>
        </w:rPr>
        <w:lastRenderedPageBreak/>
        <w:t xml:space="preserve">5.1 </w:t>
      </w:r>
    </w:p>
    <w:p w14:paraId="26E1B243" w14:textId="3B274CBC" w:rsidR="00A34481" w:rsidRDefault="003D4A45" w:rsidP="001A2326">
      <w:pPr>
        <w:tabs>
          <w:tab w:val="left" w:pos="7032"/>
        </w:tabs>
      </w:pPr>
      <w:r>
        <w:t>The Health and Safety at Work Act (HSWA) was introduced in 1974 to regulate the dangerous working conditions in factories and mines at the time.  It sets out what is expected of employees and employers and they must ensure that they adhere to health and safety practices.  As stated by Wilkinson and Taylor (2016)</w:t>
      </w:r>
      <w:r w:rsidR="00C67E13">
        <w:t xml:space="preserve"> the act is a part of criminal law and is regulated by an inspectorate that has the power to close businesses with unsafe working conditions. Also, with the potential to bring charges against employers when there are severe breaches of regulation.</w:t>
      </w:r>
      <w:r>
        <w:t xml:space="preserve">  All employers have an obligation to protect their employees under common law in their implied terms of the employment contract.  Under the HSWA 1974, employers have a duty to provide:</w:t>
      </w:r>
    </w:p>
    <w:p w14:paraId="40502812" w14:textId="2A327775" w:rsidR="003D4A45" w:rsidRDefault="003D4A45" w:rsidP="003D4A45">
      <w:pPr>
        <w:pStyle w:val="ListParagraph"/>
        <w:numPr>
          <w:ilvl w:val="2"/>
          <w:numId w:val="14"/>
        </w:numPr>
        <w:tabs>
          <w:tab w:val="left" w:pos="7032"/>
        </w:tabs>
      </w:pPr>
      <w:r>
        <w:t>A safe place of work</w:t>
      </w:r>
    </w:p>
    <w:p w14:paraId="6D1D8D15" w14:textId="52A016B5" w:rsidR="003D4A45" w:rsidRDefault="003D4A45" w:rsidP="003D4A45">
      <w:pPr>
        <w:pStyle w:val="ListParagraph"/>
        <w:numPr>
          <w:ilvl w:val="2"/>
          <w:numId w:val="14"/>
        </w:numPr>
        <w:tabs>
          <w:tab w:val="left" w:pos="7032"/>
        </w:tabs>
      </w:pPr>
      <w:r>
        <w:t>A safe system of work</w:t>
      </w:r>
    </w:p>
    <w:p w14:paraId="6293EFE0" w14:textId="12FD3F52" w:rsidR="003D4A45" w:rsidRDefault="003D4A45" w:rsidP="003D4A45">
      <w:pPr>
        <w:pStyle w:val="ListParagraph"/>
        <w:numPr>
          <w:ilvl w:val="2"/>
          <w:numId w:val="14"/>
        </w:numPr>
        <w:tabs>
          <w:tab w:val="left" w:pos="7032"/>
        </w:tabs>
      </w:pPr>
      <w:r>
        <w:t>Adequate plant and equipment</w:t>
      </w:r>
    </w:p>
    <w:p w14:paraId="3BA13334" w14:textId="7FF88964" w:rsidR="003D4A45" w:rsidRDefault="003D4A45" w:rsidP="003D4A45">
      <w:pPr>
        <w:pStyle w:val="ListParagraph"/>
        <w:numPr>
          <w:ilvl w:val="2"/>
          <w:numId w:val="14"/>
        </w:numPr>
        <w:tabs>
          <w:tab w:val="left" w:pos="7032"/>
        </w:tabs>
      </w:pPr>
      <w:r>
        <w:t>Capable employees who understand their work.</w:t>
      </w:r>
    </w:p>
    <w:p w14:paraId="7CBBCB31" w14:textId="1D458699" w:rsidR="00BF12E8" w:rsidRDefault="00BF12E8" w:rsidP="00BF12E8">
      <w:pPr>
        <w:tabs>
          <w:tab w:val="left" w:pos="7032"/>
        </w:tabs>
      </w:pPr>
      <w:r>
        <w:t>The HSWA also requires that employers have a written health and safety policy in place in all workplaces that employ over 5 staff members.  Risk assessments are also imperative and must be carried out on any potential hazard</w:t>
      </w:r>
      <w:r w:rsidR="000C50CF">
        <w:t>s to evidence that steps have been taken to minimize risks.</w:t>
      </w:r>
      <w:r w:rsidR="003B30B1">
        <w:t xml:space="preserve"> Workplaces that are remarkably stressful have in recent years been required to reference any stressors in the workplace on risk assessments</w:t>
      </w:r>
      <w:r w:rsidR="00203FC9">
        <w:t xml:space="preserve"> to identify to provide insight to staff members that are inclined to suffer from mental exhaustion.</w:t>
      </w:r>
      <w:r w:rsidR="000C50CF">
        <w:t xml:space="preserve"> </w:t>
      </w:r>
      <w:r>
        <w:t xml:space="preserve"> </w:t>
      </w:r>
      <w:r w:rsidR="00ED0770">
        <w:t xml:space="preserve">As informed by CIPD 2021, all employers should legally provide a first aider and notify all employees of the process to take when in need of first aid.  In the event of any major accidents that are fatal, require medical treatment or are deemed as dangerous will need to be reported to Reporting of Injuries, Diseases and Dangerous Occurrences Regulations 2013 (RIDDOR). </w:t>
      </w:r>
    </w:p>
    <w:p w14:paraId="6658C546" w14:textId="7694FA06" w:rsidR="00203FC9" w:rsidRDefault="00203FC9" w:rsidP="00BF12E8">
      <w:pPr>
        <w:tabs>
          <w:tab w:val="left" w:pos="7032"/>
        </w:tabs>
      </w:pPr>
    </w:p>
    <w:p w14:paraId="4C48B216" w14:textId="6DA7E9E9" w:rsidR="00203FC9" w:rsidRPr="008B28D9" w:rsidRDefault="00203FC9" w:rsidP="00BF12E8">
      <w:pPr>
        <w:tabs>
          <w:tab w:val="left" w:pos="7032"/>
        </w:tabs>
        <w:rPr>
          <w:b/>
          <w:bCs/>
        </w:rPr>
      </w:pPr>
      <w:r w:rsidRPr="008B28D9">
        <w:rPr>
          <w:b/>
          <w:bCs/>
        </w:rPr>
        <w:t>5.2</w:t>
      </w:r>
    </w:p>
    <w:p w14:paraId="7F2B1753" w14:textId="002C7E01" w:rsidR="008B28D9" w:rsidRDefault="003D4C01" w:rsidP="00BF12E8">
      <w:pPr>
        <w:tabs>
          <w:tab w:val="left" w:pos="7032"/>
        </w:tabs>
      </w:pPr>
      <w:r>
        <w:t xml:space="preserve">Equality ensures that everyone is treated equally and has the same opportunities and diversity considers everyone’s differences and the positive outcomes that they bring. </w:t>
      </w:r>
      <w:r w:rsidR="008A2884">
        <w:t>CIPD 2021 explains that having a diverse workforce and respecting everyone in the organisation as an individual is a critical part of people management.</w:t>
      </w:r>
      <w:r w:rsidR="00E83555" w:rsidRPr="00E83555">
        <w:t xml:space="preserve"> </w:t>
      </w:r>
      <w:r w:rsidR="008B28D9">
        <w:t xml:space="preserve">Also having set policies and procedures in place ensures that the organisation has set clear rules </w:t>
      </w:r>
      <w:r w:rsidR="00E175EF">
        <w:t>regarding</w:t>
      </w:r>
      <w:r w:rsidR="008B28D9">
        <w:t xml:space="preserve"> how people should be treated.</w:t>
      </w:r>
    </w:p>
    <w:p w14:paraId="5DC582F5" w14:textId="32D5AB20" w:rsidR="00203FC9" w:rsidRDefault="008B28D9" w:rsidP="00BF12E8">
      <w:pPr>
        <w:tabs>
          <w:tab w:val="left" w:pos="7032"/>
        </w:tabs>
      </w:pPr>
      <w:r>
        <w:t xml:space="preserve"> </w:t>
      </w:r>
      <w:r w:rsidR="00E83555">
        <w:t xml:space="preserve">The Equality Act 2010 provides protection from discrimination for people who fall under its nine protected characteristics. </w:t>
      </w:r>
      <w:r w:rsidR="008A2884">
        <w:t xml:space="preserve">  </w:t>
      </w:r>
      <w:r>
        <w:t xml:space="preserve">The </w:t>
      </w:r>
      <w:bookmarkStart w:id="5" w:name="_Hlk70332770"/>
      <w:r>
        <w:t>Human Rights Act 1998</w:t>
      </w:r>
      <w:bookmarkEnd w:id="5"/>
      <w:r>
        <w:t xml:space="preserve"> also defines equality and diversity and it maintains everyone’s rights to be treated equally with fairness, dignity and respect.</w:t>
      </w:r>
    </w:p>
    <w:p w14:paraId="4A12B87A" w14:textId="168D9729" w:rsidR="00317455" w:rsidRDefault="00317455" w:rsidP="00BF12E8">
      <w:pPr>
        <w:tabs>
          <w:tab w:val="left" w:pos="7032"/>
        </w:tabs>
      </w:pPr>
      <w:r>
        <w:t xml:space="preserve">As stated by </w:t>
      </w:r>
      <w:r w:rsidR="004368C6">
        <w:t>Taylor and Wilkinson (2016)</w:t>
      </w:r>
      <w:r>
        <w:t xml:space="preserve"> there are </w:t>
      </w:r>
      <w:r w:rsidR="004368C6">
        <w:t>two statutes that provide protection for employees who are bullied by colleagues or managers at work, they are</w:t>
      </w:r>
    </w:p>
    <w:p w14:paraId="71A1E3DE" w14:textId="46F41999" w:rsidR="004368C6" w:rsidRDefault="004368C6" w:rsidP="004368C6">
      <w:pPr>
        <w:pStyle w:val="ListParagraph"/>
        <w:numPr>
          <w:ilvl w:val="0"/>
          <w:numId w:val="14"/>
        </w:numPr>
        <w:tabs>
          <w:tab w:val="left" w:pos="7032"/>
        </w:tabs>
      </w:pPr>
      <w:r>
        <w:t>The Criminal Justice and Public Order Act 1994 – the act makes it an offence to cause ‘intentional harassment, alarm or distress’. The punishment for this is up to 6 months imprisonment.</w:t>
      </w:r>
    </w:p>
    <w:p w14:paraId="4296F98B" w14:textId="2D3AC0B2" w:rsidR="004368C6" w:rsidRDefault="004368C6" w:rsidP="004368C6">
      <w:pPr>
        <w:pStyle w:val="ListParagraph"/>
        <w:numPr>
          <w:ilvl w:val="0"/>
          <w:numId w:val="14"/>
        </w:numPr>
        <w:tabs>
          <w:tab w:val="left" w:pos="7032"/>
        </w:tabs>
      </w:pPr>
      <w:r>
        <w:t>The Protection from Harassment Act 1997 – the act protects against stalking or situations that makes another fear of violence.  This is also punishable with up to six months imprisonment.</w:t>
      </w:r>
    </w:p>
    <w:p w14:paraId="41FF477A" w14:textId="77777777" w:rsidR="004368C6" w:rsidRDefault="004368C6" w:rsidP="004368C6">
      <w:pPr>
        <w:tabs>
          <w:tab w:val="left" w:pos="7032"/>
        </w:tabs>
      </w:pPr>
    </w:p>
    <w:p w14:paraId="1DB29595" w14:textId="77777777" w:rsidR="00A63ED5" w:rsidRDefault="00A63ED5" w:rsidP="00BF12E8">
      <w:pPr>
        <w:tabs>
          <w:tab w:val="left" w:pos="7032"/>
        </w:tabs>
      </w:pPr>
    </w:p>
    <w:p w14:paraId="351C7940" w14:textId="29D9A599" w:rsidR="00357476" w:rsidRPr="003E4B62" w:rsidRDefault="00357476" w:rsidP="00BF12E8">
      <w:pPr>
        <w:tabs>
          <w:tab w:val="left" w:pos="7032"/>
        </w:tabs>
        <w:rPr>
          <w:b/>
          <w:bCs/>
        </w:rPr>
      </w:pPr>
      <w:r w:rsidRPr="003E4B62">
        <w:rPr>
          <w:b/>
          <w:bCs/>
        </w:rPr>
        <w:lastRenderedPageBreak/>
        <w:t>5.3</w:t>
      </w:r>
    </w:p>
    <w:p w14:paraId="3A6401A5" w14:textId="02340CD2" w:rsidR="00935C81" w:rsidRDefault="00935C81" w:rsidP="00BF12E8">
      <w:pPr>
        <w:tabs>
          <w:tab w:val="left" w:pos="7032"/>
        </w:tabs>
      </w:pPr>
      <w:r>
        <w:t xml:space="preserve">Implied terms are items that are assumed to be included in the employment contract even if they are not included in the </w:t>
      </w:r>
      <w:r w:rsidR="003D4B16">
        <w:t xml:space="preserve">written </w:t>
      </w:r>
      <w:r>
        <w:t>contract o</w:t>
      </w:r>
      <w:r w:rsidR="003D4B16">
        <w:t>r</w:t>
      </w:r>
      <w:r>
        <w:t xml:space="preserve"> verbally expressed.  As explained by Daniels (201</w:t>
      </w:r>
      <w:r w:rsidR="00A5639F">
        <w:t>9</w:t>
      </w:r>
      <w:r>
        <w:t>) there are implied terms but there are also obligations that are expected by both the employer and employee by law.  The obligations required by the employer are:</w:t>
      </w:r>
    </w:p>
    <w:tbl>
      <w:tblPr>
        <w:tblStyle w:val="TableGrid"/>
        <w:tblW w:w="0" w:type="auto"/>
        <w:tblLook w:val="04A0" w:firstRow="1" w:lastRow="0" w:firstColumn="1" w:lastColumn="0" w:noHBand="0" w:noVBand="1"/>
      </w:tblPr>
      <w:tblGrid>
        <w:gridCol w:w="2263"/>
        <w:gridCol w:w="6753"/>
      </w:tblGrid>
      <w:tr w:rsidR="00935C81" w14:paraId="689663C9" w14:textId="77777777" w:rsidTr="00311D4F">
        <w:tc>
          <w:tcPr>
            <w:tcW w:w="2263" w:type="dxa"/>
          </w:tcPr>
          <w:p w14:paraId="54748B16" w14:textId="02F37CE5" w:rsidR="00935C81" w:rsidRPr="00C5003B" w:rsidRDefault="00935C81" w:rsidP="00BF12E8">
            <w:pPr>
              <w:tabs>
                <w:tab w:val="left" w:pos="7032"/>
              </w:tabs>
              <w:rPr>
                <w:b/>
                <w:bCs/>
              </w:rPr>
            </w:pPr>
            <w:r w:rsidRPr="00C5003B">
              <w:rPr>
                <w:b/>
                <w:bCs/>
              </w:rPr>
              <w:t>Pay</w:t>
            </w:r>
          </w:p>
        </w:tc>
        <w:tc>
          <w:tcPr>
            <w:tcW w:w="6753" w:type="dxa"/>
          </w:tcPr>
          <w:p w14:paraId="1608BF0F" w14:textId="0448979C" w:rsidR="00935C81" w:rsidRDefault="00935C81" w:rsidP="00BF12E8">
            <w:pPr>
              <w:tabs>
                <w:tab w:val="left" w:pos="7032"/>
              </w:tabs>
            </w:pPr>
            <w:r>
              <w:t xml:space="preserve">The employer has a duty to pay the employer </w:t>
            </w:r>
            <w:r w:rsidR="008D2E1B">
              <w:t>at least the National Minimum Wage or dependant on age the National Living Wage.</w:t>
            </w:r>
          </w:p>
        </w:tc>
      </w:tr>
      <w:tr w:rsidR="00935C81" w14:paraId="24BB06E5" w14:textId="77777777" w:rsidTr="00311D4F">
        <w:tc>
          <w:tcPr>
            <w:tcW w:w="2263" w:type="dxa"/>
          </w:tcPr>
          <w:p w14:paraId="6C7EFED8" w14:textId="792C9387" w:rsidR="00935C81" w:rsidRPr="00C5003B" w:rsidRDefault="003D4B16" w:rsidP="00BF12E8">
            <w:pPr>
              <w:tabs>
                <w:tab w:val="left" w:pos="7032"/>
              </w:tabs>
              <w:rPr>
                <w:b/>
                <w:bCs/>
              </w:rPr>
            </w:pPr>
            <w:r w:rsidRPr="00C5003B">
              <w:rPr>
                <w:b/>
                <w:bCs/>
              </w:rPr>
              <w:t>To provide work</w:t>
            </w:r>
          </w:p>
        </w:tc>
        <w:tc>
          <w:tcPr>
            <w:tcW w:w="6753" w:type="dxa"/>
          </w:tcPr>
          <w:p w14:paraId="5F0382BA" w14:textId="1017563B" w:rsidR="00935C81" w:rsidRDefault="008D2E1B" w:rsidP="00BF12E8">
            <w:pPr>
              <w:tabs>
                <w:tab w:val="left" w:pos="7032"/>
              </w:tabs>
            </w:pPr>
            <w:r>
              <w:t xml:space="preserve">Employer’s should not withhold work if it is available. This will </w:t>
            </w:r>
            <w:proofErr w:type="gramStart"/>
            <w:r>
              <w:t>be seen as</w:t>
            </w:r>
            <w:proofErr w:type="gramEnd"/>
            <w:r>
              <w:t xml:space="preserve"> a breach of contract if earnings depend on work being provided.  </w:t>
            </w:r>
          </w:p>
        </w:tc>
      </w:tr>
      <w:tr w:rsidR="00935C81" w14:paraId="010A7960" w14:textId="77777777" w:rsidTr="00311D4F">
        <w:tc>
          <w:tcPr>
            <w:tcW w:w="2263" w:type="dxa"/>
          </w:tcPr>
          <w:p w14:paraId="36043331" w14:textId="32DC6C52" w:rsidR="00935C81" w:rsidRPr="00C5003B" w:rsidRDefault="005566B0" w:rsidP="00BF12E8">
            <w:pPr>
              <w:tabs>
                <w:tab w:val="left" w:pos="7032"/>
              </w:tabs>
              <w:rPr>
                <w:b/>
                <w:bCs/>
              </w:rPr>
            </w:pPr>
            <w:r>
              <w:rPr>
                <w:b/>
                <w:bCs/>
              </w:rPr>
              <w:t>Reference</w:t>
            </w:r>
          </w:p>
        </w:tc>
        <w:tc>
          <w:tcPr>
            <w:tcW w:w="6753" w:type="dxa"/>
          </w:tcPr>
          <w:p w14:paraId="5A2CBAE3" w14:textId="6B00CF48" w:rsidR="00935C81" w:rsidRDefault="00F42982" w:rsidP="00BF12E8">
            <w:pPr>
              <w:tabs>
                <w:tab w:val="left" w:pos="7032"/>
              </w:tabs>
            </w:pPr>
            <w:r>
              <w:t xml:space="preserve">The are no obligations for an employer to provide a reference for any employee.  However, the employer must ensure when providing </w:t>
            </w:r>
            <w:r w:rsidR="005566B0">
              <w:t>a</w:t>
            </w:r>
            <w:r>
              <w:t xml:space="preserve"> </w:t>
            </w:r>
            <w:r w:rsidR="006F1064">
              <w:t xml:space="preserve">reference that is true, accurate and fair. </w:t>
            </w:r>
          </w:p>
        </w:tc>
      </w:tr>
      <w:tr w:rsidR="00935C81" w14:paraId="4A7A5129" w14:textId="77777777" w:rsidTr="00311D4F">
        <w:tc>
          <w:tcPr>
            <w:tcW w:w="2263" w:type="dxa"/>
          </w:tcPr>
          <w:p w14:paraId="09DF025D" w14:textId="610A4135" w:rsidR="00935C81" w:rsidRPr="00C5003B" w:rsidRDefault="005566B0" w:rsidP="00BF12E8">
            <w:pPr>
              <w:tabs>
                <w:tab w:val="left" w:pos="7032"/>
              </w:tabs>
              <w:rPr>
                <w:b/>
                <w:bCs/>
              </w:rPr>
            </w:pPr>
            <w:r>
              <w:rPr>
                <w:b/>
                <w:bCs/>
              </w:rPr>
              <w:t>Health and Safety</w:t>
            </w:r>
          </w:p>
        </w:tc>
        <w:tc>
          <w:tcPr>
            <w:tcW w:w="6753" w:type="dxa"/>
          </w:tcPr>
          <w:p w14:paraId="4B6A5CE3" w14:textId="09DF5FBB" w:rsidR="00935C81" w:rsidRDefault="00C5003B" w:rsidP="00BF12E8">
            <w:pPr>
              <w:tabs>
                <w:tab w:val="left" w:pos="7032"/>
              </w:tabs>
            </w:pPr>
            <w:r>
              <w:t xml:space="preserve">Employers must take </w:t>
            </w:r>
            <w:r w:rsidR="00A02DD4">
              <w:t>considerable care of their employees’ health and safety and ensure that they provide safe working conditions.  If</w:t>
            </w:r>
            <w:r w:rsidR="00045181">
              <w:t xml:space="preserve"> </w:t>
            </w:r>
            <w:r w:rsidR="00A02DD4">
              <w:t>employer</w:t>
            </w:r>
            <w:r w:rsidR="00045181">
              <w:t>s</w:t>
            </w:r>
            <w:r w:rsidR="00A02DD4">
              <w:t xml:space="preserve"> do not follow the required legislation this can lead to prosecution.</w:t>
            </w:r>
            <w:r w:rsidR="00045181">
              <w:t xml:space="preserve"> </w:t>
            </w:r>
            <w:r w:rsidR="0057765C">
              <w:t>Under health and safety an employer must provide support to employees’ wellbeing.</w:t>
            </w:r>
          </w:p>
        </w:tc>
      </w:tr>
      <w:tr w:rsidR="00A02DD4" w14:paraId="68590279" w14:textId="77777777" w:rsidTr="00311D4F">
        <w:tc>
          <w:tcPr>
            <w:tcW w:w="2263" w:type="dxa"/>
          </w:tcPr>
          <w:p w14:paraId="481B2EE2" w14:textId="6B1E1D52" w:rsidR="00A02DD4" w:rsidRPr="00C5003B" w:rsidRDefault="005566B0" w:rsidP="00BF12E8">
            <w:pPr>
              <w:tabs>
                <w:tab w:val="left" w:pos="7032"/>
              </w:tabs>
              <w:rPr>
                <w:b/>
                <w:bCs/>
              </w:rPr>
            </w:pPr>
            <w:r>
              <w:rPr>
                <w:b/>
                <w:bCs/>
              </w:rPr>
              <w:t>Expenses</w:t>
            </w:r>
          </w:p>
        </w:tc>
        <w:tc>
          <w:tcPr>
            <w:tcW w:w="6753" w:type="dxa"/>
          </w:tcPr>
          <w:p w14:paraId="55E25EBB" w14:textId="1C791FBD" w:rsidR="00A02DD4" w:rsidRDefault="0057765C" w:rsidP="00BF12E8">
            <w:pPr>
              <w:tabs>
                <w:tab w:val="left" w:pos="7032"/>
              </w:tabs>
            </w:pPr>
            <w:r>
              <w:t xml:space="preserve">To provide expenses to employees traveling for business. </w:t>
            </w:r>
          </w:p>
        </w:tc>
      </w:tr>
      <w:tr w:rsidR="005566B0" w14:paraId="30C5572D" w14:textId="77777777" w:rsidTr="00311D4F">
        <w:tc>
          <w:tcPr>
            <w:tcW w:w="2263" w:type="dxa"/>
          </w:tcPr>
          <w:p w14:paraId="70780BFE" w14:textId="7907C8A0" w:rsidR="005566B0" w:rsidRDefault="005566B0" w:rsidP="00BF12E8">
            <w:pPr>
              <w:tabs>
                <w:tab w:val="left" w:pos="7032"/>
              </w:tabs>
              <w:rPr>
                <w:b/>
                <w:bCs/>
              </w:rPr>
            </w:pPr>
            <w:r>
              <w:rPr>
                <w:b/>
                <w:bCs/>
              </w:rPr>
              <w:t>Privacy</w:t>
            </w:r>
          </w:p>
        </w:tc>
        <w:tc>
          <w:tcPr>
            <w:tcW w:w="6753" w:type="dxa"/>
          </w:tcPr>
          <w:p w14:paraId="4870F720" w14:textId="08D6EFBD" w:rsidR="005566B0" w:rsidRDefault="003E4B62" w:rsidP="00BF12E8">
            <w:pPr>
              <w:tabs>
                <w:tab w:val="left" w:pos="7032"/>
              </w:tabs>
            </w:pPr>
            <w:r>
              <w:t xml:space="preserve">Maintaining confidentiality and keeping </w:t>
            </w:r>
            <w:r w:rsidR="00A5639F">
              <w:t>employees’</w:t>
            </w:r>
            <w:r>
              <w:t xml:space="preserve"> private facts confidential.</w:t>
            </w:r>
          </w:p>
        </w:tc>
      </w:tr>
      <w:tr w:rsidR="005566B0" w14:paraId="578B693E" w14:textId="77777777" w:rsidTr="00311D4F">
        <w:tc>
          <w:tcPr>
            <w:tcW w:w="2263" w:type="dxa"/>
          </w:tcPr>
          <w:p w14:paraId="69A05C17" w14:textId="6565C622" w:rsidR="005566B0" w:rsidRDefault="005566B0" w:rsidP="00BF12E8">
            <w:pPr>
              <w:tabs>
                <w:tab w:val="left" w:pos="7032"/>
              </w:tabs>
              <w:rPr>
                <w:b/>
                <w:bCs/>
              </w:rPr>
            </w:pPr>
            <w:r>
              <w:rPr>
                <w:b/>
                <w:bCs/>
              </w:rPr>
              <w:t>Grievances</w:t>
            </w:r>
          </w:p>
        </w:tc>
        <w:tc>
          <w:tcPr>
            <w:tcW w:w="6753" w:type="dxa"/>
          </w:tcPr>
          <w:p w14:paraId="47F9DC76" w14:textId="619E73EF" w:rsidR="005566B0" w:rsidRDefault="007A6C12" w:rsidP="00BF12E8">
            <w:pPr>
              <w:tabs>
                <w:tab w:val="left" w:pos="7032"/>
              </w:tabs>
            </w:pPr>
            <w:r>
              <w:t>To deal quickly and effectively with employee complaints.</w:t>
            </w:r>
          </w:p>
        </w:tc>
      </w:tr>
      <w:tr w:rsidR="005566B0" w14:paraId="78ACCDE0" w14:textId="77777777" w:rsidTr="00311D4F">
        <w:tc>
          <w:tcPr>
            <w:tcW w:w="2263" w:type="dxa"/>
          </w:tcPr>
          <w:p w14:paraId="21937F1C" w14:textId="0FDFACB8" w:rsidR="005566B0" w:rsidRDefault="005566B0" w:rsidP="00BF12E8">
            <w:pPr>
              <w:tabs>
                <w:tab w:val="left" w:pos="7032"/>
              </w:tabs>
              <w:rPr>
                <w:b/>
                <w:bCs/>
              </w:rPr>
            </w:pPr>
            <w:r>
              <w:rPr>
                <w:b/>
                <w:bCs/>
              </w:rPr>
              <w:t>Trust and Confidence</w:t>
            </w:r>
          </w:p>
        </w:tc>
        <w:tc>
          <w:tcPr>
            <w:tcW w:w="6753" w:type="dxa"/>
          </w:tcPr>
          <w:p w14:paraId="32802233" w14:textId="0AFA3C48" w:rsidR="005566B0" w:rsidRDefault="007A6C12" w:rsidP="00BF12E8">
            <w:pPr>
              <w:tabs>
                <w:tab w:val="left" w:pos="7032"/>
              </w:tabs>
            </w:pPr>
            <w:r>
              <w:t xml:space="preserve">This falls between both the employer and the employee and </w:t>
            </w:r>
            <w:r w:rsidR="003E4B62">
              <w:t>is at the centre of the working relationship.</w:t>
            </w:r>
          </w:p>
        </w:tc>
      </w:tr>
    </w:tbl>
    <w:p w14:paraId="758C355B" w14:textId="77777777" w:rsidR="00935C81" w:rsidRDefault="00935C81" w:rsidP="00BF12E8">
      <w:pPr>
        <w:tabs>
          <w:tab w:val="left" w:pos="7032"/>
        </w:tabs>
      </w:pPr>
    </w:p>
    <w:p w14:paraId="383D9F8F" w14:textId="69A1C3FA" w:rsidR="00935C81" w:rsidRDefault="005566B0" w:rsidP="00BF12E8">
      <w:pPr>
        <w:tabs>
          <w:tab w:val="left" w:pos="7032"/>
        </w:tabs>
      </w:pPr>
      <w:r>
        <w:t>Equally the employee is legally obliged to:</w:t>
      </w:r>
    </w:p>
    <w:tbl>
      <w:tblPr>
        <w:tblStyle w:val="TableGrid"/>
        <w:tblW w:w="0" w:type="auto"/>
        <w:tblLook w:val="04A0" w:firstRow="1" w:lastRow="0" w:firstColumn="1" w:lastColumn="0" w:noHBand="0" w:noVBand="1"/>
      </w:tblPr>
      <w:tblGrid>
        <w:gridCol w:w="2263"/>
        <w:gridCol w:w="6753"/>
      </w:tblGrid>
      <w:tr w:rsidR="00FA37F2" w14:paraId="015D73C5" w14:textId="77777777" w:rsidTr="007A6C12">
        <w:tc>
          <w:tcPr>
            <w:tcW w:w="2263" w:type="dxa"/>
          </w:tcPr>
          <w:p w14:paraId="491A11EE" w14:textId="1237B964" w:rsidR="00FA37F2" w:rsidRPr="003E4B62" w:rsidRDefault="007A6C12" w:rsidP="00BF12E8">
            <w:pPr>
              <w:tabs>
                <w:tab w:val="left" w:pos="7032"/>
              </w:tabs>
              <w:rPr>
                <w:b/>
                <w:bCs/>
              </w:rPr>
            </w:pPr>
            <w:r w:rsidRPr="003E4B62">
              <w:rPr>
                <w:b/>
                <w:bCs/>
              </w:rPr>
              <w:t>Perform</w:t>
            </w:r>
          </w:p>
        </w:tc>
        <w:tc>
          <w:tcPr>
            <w:tcW w:w="6753" w:type="dxa"/>
          </w:tcPr>
          <w:p w14:paraId="082EAADC" w14:textId="56B51C54" w:rsidR="00FA37F2" w:rsidRDefault="007A6C12" w:rsidP="00BF12E8">
            <w:pPr>
              <w:tabs>
                <w:tab w:val="left" w:pos="7032"/>
              </w:tabs>
            </w:pPr>
            <w:r>
              <w:t>Carry out all instructions provided by the employer, providing that the instructions are legal.</w:t>
            </w:r>
          </w:p>
        </w:tc>
      </w:tr>
      <w:tr w:rsidR="00FA37F2" w14:paraId="2E9FA3A3" w14:textId="77777777" w:rsidTr="007A6C12">
        <w:tc>
          <w:tcPr>
            <w:tcW w:w="2263" w:type="dxa"/>
          </w:tcPr>
          <w:p w14:paraId="7980D76B" w14:textId="071A17E3" w:rsidR="00FA37F2" w:rsidRPr="003E4B62" w:rsidRDefault="007A6C12" w:rsidP="00BF12E8">
            <w:pPr>
              <w:tabs>
                <w:tab w:val="left" w:pos="7032"/>
              </w:tabs>
              <w:rPr>
                <w:b/>
                <w:bCs/>
              </w:rPr>
            </w:pPr>
            <w:r w:rsidRPr="003E4B62">
              <w:rPr>
                <w:b/>
                <w:bCs/>
              </w:rPr>
              <w:t>Loyal</w:t>
            </w:r>
          </w:p>
        </w:tc>
        <w:tc>
          <w:tcPr>
            <w:tcW w:w="6753" w:type="dxa"/>
          </w:tcPr>
          <w:p w14:paraId="5ED50EA4" w14:textId="25C45DFA" w:rsidR="00FA37F2" w:rsidRDefault="007A6C12" w:rsidP="00BF12E8">
            <w:pPr>
              <w:tabs>
                <w:tab w:val="left" w:pos="7032"/>
              </w:tabs>
            </w:pPr>
            <w:r>
              <w:t>Employees must show loyalty to their employers and not carry out any activities that would be conflict of interest or seen as in competition with the employer.</w:t>
            </w:r>
          </w:p>
        </w:tc>
      </w:tr>
      <w:tr w:rsidR="00FA37F2" w14:paraId="3D561BE1" w14:textId="77777777" w:rsidTr="007A6C12">
        <w:tc>
          <w:tcPr>
            <w:tcW w:w="2263" w:type="dxa"/>
          </w:tcPr>
          <w:p w14:paraId="3D5579EF" w14:textId="02BADD7B" w:rsidR="00FA37F2" w:rsidRPr="003E4B62" w:rsidRDefault="007A6C12" w:rsidP="00BF12E8">
            <w:pPr>
              <w:tabs>
                <w:tab w:val="left" w:pos="7032"/>
              </w:tabs>
              <w:rPr>
                <w:b/>
                <w:bCs/>
              </w:rPr>
            </w:pPr>
            <w:r w:rsidRPr="003E4B62">
              <w:rPr>
                <w:b/>
                <w:bCs/>
              </w:rPr>
              <w:t>Carry out duties carefully</w:t>
            </w:r>
          </w:p>
        </w:tc>
        <w:tc>
          <w:tcPr>
            <w:tcW w:w="6753" w:type="dxa"/>
          </w:tcPr>
          <w:p w14:paraId="133397E0" w14:textId="54592AAC" w:rsidR="00FA37F2" w:rsidRDefault="007A6C12" w:rsidP="00BF12E8">
            <w:pPr>
              <w:tabs>
                <w:tab w:val="left" w:pos="7032"/>
              </w:tabs>
            </w:pPr>
            <w:r>
              <w:t>To ensure they don’t cause harm or injury to other employees or damage to their workplace.</w:t>
            </w:r>
          </w:p>
        </w:tc>
      </w:tr>
    </w:tbl>
    <w:p w14:paraId="7DE84A6C" w14:textId="537C140F" w:rsidR="005566B0" w:rsidRDefault="005566B0" w:rsidP="00BF12E8">
      <w:pPr>
        <w:tabs>
          <w:tab w:val="left" w:pos="7032"/>
        </w:tabs>
      </w:pPr>
    </w:p>
    <w:p w14:paraId="5A1A62FB" w14:textId="77777777" w:rsidR="005566B0" w:rsidRDefault="005566B0" w:rsidP="00BF12E8">
      <w:pPr>
        <w:tabs>
          <w:tab w:val="left" w:pos="7032"/>
        </w:tabs>
      </w:pPr>
    </w:p>
    <w:p w14:paraId="5369AA83" w14:textId="77777777" w:rsidR="00935C81" w:rsidRDefault="00935C81" w:rsidP="00BF12E8">
      <w:pPr>
        <w:tabs>
          <w:tab w:val="left" w:pos="7032"/>
        </w:tabs>
      </w:pPr>
    </w:p>
    <w:p w14:paraId="5ECC63AC" w14:textId="621895AC" w:rsidR="00357476" w:rsidRDefault="00357476" w:rsidP="00BF12E8">
      <w:pPr>
        <w:tabs>
          <w:tab w:val="left" w:pos="7032"/>
        </w:tabs>
      </w:pPr>
    </w:p>
    <w:p w14:paraId="6432DFAB" w14:textId="0EBB8A73" w:rsidR="00357476" w:rsidRDefault="00357476" w:rsidP="00BF12E8">
      <w:pPr>
        <w:tabs>
          <w:tab w:val="left" w:pos="7032"/>
        </w:tabs>
      </w:pPr>
    </w:p>
    <w:p w14:paraId="4BBB23C3" w14:textId="6557BC57" w:rsidR="00357476" w:rsidRDefault="00357476" w:rsidP="00BF12E8">
      <w:pPr>
        <w:tabs>
          <w:tab w:val="left" w:pos="7032"/>
        </w:tabs>
      </w:pPr>
    </w:p>
    <w:p w14:paraId="71E140E6" w14:textId="6983BBF3" w:rsidR="00357476" w:rsidRDefault="00357476" w:rsidP="00BF12E8">
      <w:pPr>
        <w:tabs>
          <w:tab w:val="left" w:pos="7032"/>
        </w:tabs>
      </w:pPr>
    </w:p>
    <w:p w14:paraId="7DCE57FA" w14:textId="701217F0" w:rsidR="00357476" w:rsidRDefault="00357476" w:rsidP="00BF12E8">
      <w:pPr>
        <w:tabs>
          <w:tab w:val="left" w:pos="7032"/>
        </w:tabs>
      </w:pPr>
    </w:p>
    <w:p w14:paraId="78FD910F" w14:textId="32B2E5C2" w:rsidR="00357476" w:rsidRDefault="00357476" w:rsidP="00BF12E8">
      <w:pPr>
        <w:tabs>
          <w:tab w:val="left" w:pos="7032"/>
        </w:tabs>
      </w:pPr>
    </w:p>
    <w:p w14:paraId="0121435B" w14:textId="77777777" w:rsidR="003F1541" w:rsidRDefault="003F1541" w:rsidP="00BF12E8">
      <w:pPr>
        <w:tabs>
          <w:tab w:val="left" w:pos="7032"/>
        </w:tabs>
      </w:pPr>
    </w:p>
    <w:p w14:paraId="14252051" w14:textId="75908EC2" w:rsidR="00357476" w:rsidRPr="00FA37F2" w:rsidRDefault="00357476" w:rsidP="00BF12E8">
      <w:pPr>
        <w:tabs>
          <w:tab w:val="left" w:pos="7032"/>
        </w:tabs>
        <w:rPr>
          <w:b/>
          <w:bCs/>
        </w:rPr>
      </w:pPr>
      <w:r w:rsidRPr="00FA37F2">
        <w:rPr>
          <w:b/>
          <w:bCs/>
        </w:rPr>
        <w:lastRenderedPageBreak/>
        <w:t>6.1</w:t>
      </w:r>
    </w:p>
    <w:p w14:paraId="1782BECD" w14:textId="20B0E758" w:rsidR="005566B0" w:rsidRDefault="005566B0" w:rsidP="005566B0">
      <w:pPr>
        <w:tabs>
          <w:tab w:val="left" w:pos="7032"/>
        </w:tabs>
      </w:pPr>
      <w:r>
        <w:t>A</w:t>
      </w:r>
      <w:r w:rsidR="00DF4533">
        <w:t xml:space="preserve"> dismissal </w:t>
      </w:r>
      <w:r>
        <w:t>occurs</w:t>
      </w:r>
      <w:r w:rsidR="00DF4533">
        <w:t xml:space="preserve"> when an employer ends an </w:t>
      </w:r>
      <w:r w:rsidR="00817D41">
        <w:t>employee’s</w:t>
      </w:r>
      <w:r w:rsidR="00DF4533">
        <w:t xml:space="preserve"> contract</w:t>
      </w:r>
      <w:r w:rsidR="00817D41">
        <w:t>.</w:t>
      </w:r>
      <w:r w:rsidR="00DF4533">
        <w:t xml:space="preserve"> </w:t>
      </w:r>
      <w:r w:rsidR="00817D41">
        <w:t>E</w:t>
      </w:r>
      <w:r w:rsidR="00DF4533">
        <w:t>mployers must ensure that they use a fair and reasonable method when considering dismissal</w:t>
      </w:r>
      <w:r w:rsidR="00817D41">
        <w:t xml:space="preserve">.  </w:t>
      </w:r>
      <w:r>
        <w:t>When carrying out a dismissal; employers should follow the ACAS “Code of Practice in Disciplinary and Grievance Procedures”.</w:t>
      </w:r>
      <w:r w:rsidR="00A51EE3">
        <w:t xml:space="preserve">  </w:t>
      </w:r>
      <w:r w:rsidR="00981CB6">
        <w:t>However, CIPD 2020 explains that ‘unfair dismissal’ is a different concept to wrongful dismissal which sees employees dismissed without prior notice.  To lawfully dismiss and avoid unfair dismissal claims the employer must have a fair reason to dismiss and a fair process has been followed.</w:t>
      </w:r>
      <w:r w:rsidR="00815A67">
        <w:t xml:space="preserve">  There are reasons for automatic unfair </w:t>
      </w:r>
      <w:r w:rsidR="00CC487E">
        <w:t>dismissals,</w:t>
      </w:r>
      <w:r w:rsidR="00815A67">
        <w:t xml:space="preserve"> and</w:t>
      </w:r>
      <w:r w:rsidR="00CC487E">
        <w:t xml:space="preserve"> according to ACAS</w:t>
      </w:r>
      <w:r w:rsidR="00815A67">
        <w:t xml:space="preserve"> these are pregnancy</w:t>
      </w:r>
      <w:r w:rsidR="00CC487E">
        <w:t>/maternity</w:t>
      </w:r>
      <w:r w:rsidR="00815A67">
        <w:t>, dependants leave, being a member of a trade union</w:t>
      </w:r>
      <w:r w:rsidR="00CC487E">
        <w:t xml:space="preserve"> and requesting a legal right.</w:t>
      </w:r>
    </w:p>
    <w:p w14:paraId="13E492FF" w14:textId="0DDE79F8" w:rsidR="003F1541" w:rsidRDefault="00817D41" w:rsidP="00BF12E8">
      <w:pPr>
        <w:tabs>
          <w:tab w:val="left" w:pos="7032"/>
        </w:tabs>
      </w:pPr>
      <w:r>
        <w:t xml:space="preserve">Under the Employment Rights Act 1996 there are 5 potential reasons that can be deemed as </w:t>
      </w:r>
      <w:r w:rsidR="005566B0">
        <w:t xml:space="preserve">a </w:t>
      </w:r>
      <w:r>
        <w:t>fair dismissal, they are:</w:t>
      </w:r>
    </w:p>
    <w:p w14:paraId="3ED070AA" w14:textId="767D987C" w:rsidR="00817D41" w:rsidRDefault="00817D41" w:rsidP="00817D41">
      <w:pPr>
        <w:pStyle w:val="ListParagraph"/>
        <w:numPr>
          <w:ilvl w:val="0"/>
          <w:numId w:val="14"/>
        </w:numPr>
        <w:tabs>
          <w:tab w:val="left" w:pos="7032"/>
        </w:tabs>
      </w:pPr>
      <w:r>
        <w:t>Capability – The employer believes that the employee is unable to fulfil their duties.</w:t>
      </w:r>
    </w:p>
    <w:p w14:paraId="4B4FB426" w14:textId="4211C20A" w:rsidR="00817D41" w:rsidRDefault="00817D41" w:rsidP="00817D41">
      <w:pPr>
        <w:pStyle w:val="ListParagraph"/>
        <w:numPr>
          <w:ilvl w:val="0"/>
          <w:numId w:val="14"/>
        </w:numPr>
        <w:tabs>
          <w:tab w:val="left" w:pos="7032"/>
        </w:tabs>
      </w:pPr>
      <w:r>
        <w:t xml:space="preserve">Conduct – </w:t>
      </w:r>
      <w:r w:rsidR="00E001D7">
        <w:t>Unauthorised absences, poor time keeping, verbal abuse etc.</w:t>
      </w:r>
    </w:p>
    <w:p w14:paraId="5C739747" w14:textId="61CCDAB8" w:rsidR="00817D41" w:rsidRDefault="00817D41" w:rsidP="00817D41">
      <w:pPr>
        <w:pStyle w:val="ListParagraph"/>
        <w:numPr>
          <w:ilvl w:val="0"/>
          <w:numId w:val="14"/>
        </w:numPr>
        <w:tabs>
          <w:tab w:val="left" w:pos="7032"/>
        </w:tabs>
      </w:pPr>
      <w:r>
        <w:t>Redundancy</w:t>
      </w:r>
      <w:r w:rsidR="00E001D7">
        <w:t xml:space="preserve"> – restructure or closing of the business.</w:t>
      </w:r>
    </w:p>
    <w:p w14:paraId="64CF7BC7" w14:textId="391D34D2" w:rsidR="00817D41" w:rsidRDefault="00817D41" w:rsidP="00817D41">
      <w:pPr>
        <w:pStyle w:val="ListParagraph"/>
        <w:numPr>
          <w:ilvl w:val="0"/>
          <w:numId w:val="14"/>
        </w:numPr>
        <w:tabs>
          <w:tab w:val="left" w:pos="7032"/>
        </w:tabs>
      </w:pPr>
      <w:r>
        <w:t>Statutory Restrictions</w:t>
      </w:r>
      <w:r w:rsidR="00E001D7">
        <w:t xml:space="preserve"> – Delivery driver losing their licence</w:t>
      </w:r>
    </w:p>
    <w:p w14:paraId="6948E15A" w14:textId="7E039E61" w:rsidR="00CC487E" w:rsidRPr="00CC487E" w:rsidRDefault="00817D41" w:rsidP="00817D41">
      <w:pPr>
        <w:pStyle w:val="ListParagraph"/>
        <w:numPr>
          <w:ilvl w:val="0"/>
          <w:numId w:val="14"/>
        </w:numPr>
        <w:tabs>
          <w:tab w:val="left" w:pos="7032"/>
        </w:tabs>
      </w:pPr>
      <w:r>
        <w:t>Other Substantial Reasons</w:t>
      </w:r>
      <w:r w:rsidR="00E001D7">
        <w:t xml:space="preserve"> – Severe relationship breakdown, </w:t>
      </w:r>
      <w:r w:rsidR="009D74F5">
        <w:t>serious conflict of interest etc.</w:t>
      </w:r>
    </w:p>
    <w:p w14:paraId="10BB57A5" w14:textId="3DA7CBF9" w:rsidR="00817D41" w:rsidRPr="005566B0" w:rsidRDefault="00817D41" w:rsidP="00817D41">
      <w:pPr>
        <w:tabs>
          <w:tab w:val="left" w:pos="7032"/>
        </w:tabs>
        <w:rPr>
          <w:b/>
          <w:bCs/>
        </w:rPr>
      </w:pPr>
      <w:r w:rsidRPr="005566B0">
        <w:rPr>
          <w:b/>
          <w:bCs/>
        </w:rPr>
        <w:t>Capability</w:t>
      </w:r>
    </w:p>
    <w:p w14:paraId="255A6B6E" w14:textId="13D7D736" w:rsidR="00A51EE3" w:rsidRDefault="009317FA" w:rsidP="00817D41">
      <w:pPr>
        <w:tabs>
          <w:tab w:val="left" w:pos="7032"/>
        </w:tabs>
      </w:pPr>
      <w:r>
        <w:t>If an employee is not meeting the employers required standards this would then be deemed as a capability issue.</w:t>
      </w:r>
      <w:r w:rsidR="00981CB6">
        <w:t xml:space="preserve">  </w:t>
      </w:r>
      <w:r>
        <w:t>According to ACAS when dealing with capability issues e</w:t>
      </w:r>
      <w:r w:rsidR="00817D41">
        <w:t>mployers</w:t>
      </w:r>
      <w:r>
        <w:t xml:space="preserve"> should initially support employees to improve by </w:t>
      </w:r>
      <w:r w:rsidR="005566B0">
        <w:t xml:space="preserve">addressing the issue and determining whether it is down to capability and not conduct.  Employers will need to </w:t>
      </w:r>
      <w:r w:rsidR="00817D41">
        <w:t>ensure that they provide the employees with the appropriate support</w:t>
      </w:r>
      <w:r w:rsidR="005566B0">
        <w:t xml:space="preserve"> and any further training before considering the disciplinary route.  Performance can be measured and assessed through appropriate </w:t>
      </w:r>
      <w:r w:rsidR="00E50468">
        <w:t xml:space="preserve">procedures, which may involve employers setting targets or required behaviours which are then monitored and reviewed. </w:t>
      </w:r>
      <w:r w:rsidR="00A51EE3">
        <w:t xml:space="preserve">As stated in the ACAS code of practice (section 18), employees who are underperforming will normally be given a written warning which lasts on the employees record for 6 months.  If there are no improvements made then a final written warning will be issued which will last 12 months, this is also usually the last step before dismissal.  </w:t>
      </w:r>
    </w:p>
    <w:p w14:paraId="503E579C" w14:textId="113A2135" w:rsidR="00A51EE3" w:rsidRPr="00E001D7" w:rsidRDefault="00A51EE3" w:rsidP="00817D41">
      <w:pPr>
        <w:tabs>
          <w:tab w:val="left" w:pos="7032"/>
        </w:tabs>
        <w:rPr>
          <w:b/>
          <w:bCs/>
        </w:rPr>
      </w:pPr>
      <w:r w:rsidRPr="00E001D7">
        <w:rPr>
          <w:b/>
          <w:bCs/>
        </w:rPr>
        <w:t>Misconduct</w:t>
      </w:r>
    </w:p>
    <w:p w14:paraId="7E18A8EB" w14:textId="5A67FB5F" w:rsidR="00A51EE3" w:rsidRDefault="00CC487E" w:rsidP="00817D41">
      <w:pPr>
        <w:tabs>
          <w:tab w:val="left" w:pos="7032"/>
        </w:tabs>
      </w:pPr>
      <w:r>
        <w:t xml:space="preserve">Conduct is deemed as a fair reason for potential dismissal. Misconduct is a lesser offence than gross misconduct and normally results in disciplinary warnings for behaviours such as verbal abuse, unauthorised absence, </w:t>
      </w:r>
      <w:r w:rsidR="004F1F6E">
        <w:t>poor time keeping</w:t>
      </w:r>
      <w:r>
        <w:t xml:space="preserve"> etc.  </w:t>
      </w:r>
      <w:r w:rsidR="004F1F6E">
        <w:t>Behaviours such as theft, physical violence, falsification of records etc. is known as gross misconduct and this can result in an instant dismissal known as a summary dismissal.  As explained by CIPD 2020 thorough investigations must be carried out in an event of misconduct and employers must follow a fair process and take into consideration the employees previous record before settling on dismissal.</w:t>
      </w:r>
      <w:r w:rsidR="00E001D7">
        <w:t xml:space="preserve">  Employers will usually be at risk of an unfair dismissal claim if an employee is dismissed for their first minor misconduct case. </w:t>
      </w:r>
      <w:r w:rsidR="004F1F6E">
        <w:t xml:space="preserve">  </w:t>
      </w:r>
    </w:p>
    <w:p w14:paraId="622353A9" w14:textId="004D66AC" w:rsidR="00E001D7" w:rsidRDefault="00E001D7" w:rsidP="00817D41">
      <w:pPr>
        <w:tabs>
          <w:tab w:val="left" w:pos="7032"/>
        </w:tabs>
      </w:pPr>
    </w:p>
    <w:p w14:paraId="346873A8" w14:textId="6EF2B140" w:rsidR="00E001D7" w:rsidRPr="00FA37F2" w:rsidRDefault="00E001D7" w:rsidP="00817D41">
      <w:pPr>
        <w:tabs>
          <w:tab w:val="left" w:pos="7032"/>
        </w:tabs>
        <w:rPr>
          <w:b/>
          <w:bCs/>
        </w:rPr>
      </w:pPr>
      <w:r w:rsidRPr="00FA37F2">
        <w:rPr>
          <w:b/>
          <w:bCs/>
        </w:rPr>
        <w:t>Grievance</w:t>
      </w:r>
    </w:p>
    <w:p w14:paraId="3ED38113" w14:textId="0E10EC9D" w:rsidR="00A51EE3" w:rsidRDefault="009D74F5" w:rsidP="00817D41">
      <w:pPr>
        <w:tabs>
          <w:tab w:val="left" w:pos="7032"/>
        </w:tabs>
      </w:pPr>
      <w:r>
        <w:t xml:space="preserve">A grievance is </w:t>
      </w:r>
      <w:r w:rsidR="00C27B1F">
        <w:t xml:space="preserve">a complaint, problem or concern that an employee has at work. Employees can raise grievance for many reasons which can include discrimination, health and safety, colleagues or management etc.  In line with the ACAS Code of Practice grievances should be dealt with </w:t>
      </w:r>
      <w:r w:rsidR="00C27B1F">
        <w:lastRenderedPageBreak/>
        <w:t xml:space="preserve">immediately and </w:t>
      </w:r>
      <w:r w:rsidR="00E1456F">
        <w:t xml:space="preserve">to avoid the situation escalating.  </w:t>
      </w:r>
      <w:r w:rsidR="00C27B1F">
        <w:t xml:space="preserve"> </w:t>
      </w:r>
      <w:r w:rsidR="00E1456F">
        <w:t>In the first instance employees should be encouraged to discuss the issues informally, however, if the employee does not feel the issue has been resolved then a formal grievance procedure will need to commence by the following:</w:t>
      </w:r>
    </w:p>
    <w:p w14:paraId="3A51EDBF" w14:textId="57250EB0" w:rsidR="00E1456F" w:rsidRDefault="00E1456F" w:rsidP="00E1456F">
      <w:pPr>
        <w:pStyle w:val="ListParagraph"/>
        <w:numPr>
          <w:ilvl w:val="1"/>
          <w:numId w:val="14"/>
        </w:numPr>
        <w:tabs>
          <w:tab w:val="left" w:pos="7032"/>
        </w:tabs>
      </w:pPr>
      <w:r>
        <w:t>The employee will need to submit their grievance in writing</w:t>
      </w:r>
    </w:p>
    <w:p w14:paraId="43B148CF" w14:textId="1734E3E4" w:rsidR="00E1456F" w:rsidRDefault="00E1456F" w:rsidP="00E1456F">
      <w:pPr>
        <w:pStyle w:val="ListParagraph"/>
        <w:numPr>
          <w:ilvl w:val="1"/>
          <w:numId w:val="14"/>
        </w:numPr>
        <w:tabs>
          <w:tab w:val="left" w:pos="7032"/>
        </w:tabs>
      </w:pPr>
      <w:r>
        <w:t>A through investigation will need to take place</w:t>
      </w:r>
    </w:p>
    <w:p w14:paraId="63176EC7" w14:textId="0E9E786C" w:rsidR="00E1456F" w:rsidRDefault="00E1456F" w:rsidP="00E1456F">
      <w:pPr>
        <w:pStyle w:val="ListParagraph"/>
        <w:numPr>
          <w:ilvl w:val="1"/>
          <w:numId w:val="14"/>
        </w:numPr>
        <w:tabs>
          <w:tab w:val="left" w:pos="7032"/>
        </w:tabs>
      </w:pPr>
      <w:r>
        <w:t>The employee will receive a letter inviting them to a meeting to discuss the findings of the investigation.</w:t>
      </w:r>
    </w:p>
    <w:p w14:paraId="7E486451" w14:textId="38CEE465" w:rsidR="00E1456F" w:rsidRDefault="00E1456F" w:rsidP="00E1456F">
      <w:pPr>
        <w:pStyle w:val="ListParagraph"/>
        <w:numPr>
          <w:ilvl w:val="1"/>
          <w:numId w:val="14"/>
        </w:numPr>
        <w:tabs>
          <w:tab w:val="left" w:pos="7032"/>
        </w:tabs>
      </w:pPr>
      <w:r>
        <w:t>The employee can appeal the outcome.</w:t>
      </w:r>
    </w:p>
    <w:p w14:paraId="3ACAD8FE" w14:textId="77777777" w:rsidR="00A51EE3" w:rsidRDefault="00A51EE3" w:rsidP="00817D41">
      <w:pPr>
        <w:tabs>
          <w:tab w:val="left" w:pos="7032"/>
        </w:tabs>
      </w:pPr>
    </w:p>
    <w:p w14:paraId="50819939" w14:textId="16DFF55A" w:rsidR="00E50468" w:rsidRDefault="00E50468" w:rsidP="00817D41">
      <w:pPr>
        <w:tabs>
          <w:tab w:val="left" w:pos="7032"/>
        </w:tabs>
      </w:pPr>
    </w:p>
    <w:p w14:paraId="28D448C6" w14:textId="77777777" w:rsidR="00E50468" w:rsidRDefault="00E50468" w:rsidP="00817D41">
      <w:pPr>
        <w:tabs>
          <w:tab w:val="left" w:pos="7032"/>
        </w:tabs>
      </w:pPr>
    </w:p>
    <w:p w14:paraId="018E7325" w14:textId="77777777" w:rsidR="00357476" w:rsidRDefault="00357476" w:rsidP="00BF12E8">
      <w:pPr>
        <w:tabs>
          <w:tab w:val="left" w:pos="7032"/>
        </w:tabs>
      </w:pPr>
    </w:p>
    <w:p w14:paraId="53F0E937" w14:textId="77777777" w:rsidR="003D4A45" w:rsidRDefault="003D4A45" w:rsidP="003D4A45">
      <w:pPr>
        <w:tabs>
          <w:tab w:val="left" w:pos="7032"/>
        </w:tabs>
      </w:pPr>
    </w:p>
    <w:p w14:paraId="6F6AB7D3" w14:textId="6C1B0C5D" w:rsidR="0046635E" w:rsidRDefault="0046635E" w:rsidP="001A2326">
      <w:pPr>
        <w:tabs>
          <w:tab w:val="left" w:pos="7032"/>
        </w:tabs>
      </w:pPr>
    </w:p>
    <w:p w14:paraId="64B64F95" w14:textId="77777777" w:rsidR="0046635E" w:rsidRDefault="0046635E" w:rsidP="001A2326">
      <w:pPr>
        <w:tabs>
          <w:tab w:val="left" w:pos="7032"/>
        </w:tabs>
      </w:pPr>
    </w:p>
    <w:p w14:paraId="748B4504" w14:textId="33B644B0" w:rsidR="009E62D0" w:rsidRDefault="009E62D0" w:rsidP="001A2326">
      <w:pPr>
        <w:tabs>
          <w:tab w:val="left" w:pos="7032"/>
        </w:tabs>
      </w:pPr>
    </w:p>
    <w:p w14:paraId="7275E6A8" w14:textId="301EA941" w:rsidR="003D6595" w:rsidRDefault="003D6595" w:rsidP="001A2326">
      <w:pPr>
        <w:tabs>
          <w:tab w:val="left" w:pos="7032"/>
        </w:tabs>
      </w:pPr>
    </w:p>
    <w:p w14:paraId="234FDD95" w14:textId="49F47518" w:rsidR="003D6595" w:rsidRDefault="003D6595" w:rsidP="001A2326">
      <w:pPr>
        <w:tabs>
          <w:tab w:val="left" w:pos="7032"/>
        </w:tabs>
      </w:pPr>
    </w:p>
    <w:p w14:paraId="423CFD00" w14:textId="38C2B654" w:rsidR="003D6595" w:rsidRDefault="003D6595" w:rsidP="001A2326">
      <w:pPr>
        <w:tabs>
          <w:tab w:val="left" w:pos="7032"/>
        </w:tabs>
      </w:pPr>
    </w:p>
    <w:p w14:paraId="20D97961" w14:textId="52122EF1" w:rsidR="003D6595" w:rsidRDefault="003D6595" w:rsidP="001A2326">
      <w:pPr>
        <w:tabs>
          <w:tab w:val="left" w:pos="7032"/>
        </w:tabs>
      </w:pPr>
    </w:p>
    <w:p w14:paraId="1E9FAFF1" w14:textId="6F2D629A" w:rsidR="003D6595" w:rsidRDefault="003D6595" w:rsidP="001A2326">
      <w:pPr>
        <w:tabs>
          <w:tab w:val="left" w:pos="7032"/>
        </w:tabs>
      </w:pPr>
    </w:p>
    <w:p w14:paraId="3B2C94AC" w14:textId="38506586" w:rsidR="003D6595" w:rsidRDefault="003D6595" w:rsidP="001A2326">
      <w:pPr>
        <w:tabs>
          <w:tab w:val="left" w:pos="7032"/>
        </w:tabs>
      </w:pPr>
    </w:p>
    <w:p w14:paraId="7F5393C0" w14:textId="4458374B" w:rsidR="003D6595" w:rsidRDefault="003D6595" w:rsidP="001A2326">
      <w:pPr>
        <w:tabs>
          <w:tab w:val="left" w:pos="7032"/>
        </w:tabs>
      </w:pPr>
    </w:p>
    <w:p w14:paraId="074E0C8B" w14:textId="5843F13C" w:rsidR="003D6595" w:rsidRDefault="003D6595" w:rsidP="001A2326">
      <w:pPr>
        <w:tabs>
          <w:tab w:val="left" w:pos="7032"/>
        </w:tabs>
      </w:pPr>
    </w:p>
    <w:p w14:paraId="418A623D" w14:textId="74E79706" w:rsidR="003D6595" w:rsidRDefault="003D6595" w:rsidP="001A2326">
      <w:pPr>
        <w:tabs>
          <w:tab w:val="left" w:pos="7032"/>
        </w:tabs>
      </w:pPr>
    </w:p>
    <w:p w14:paraId="7399AB5A" w14:textId="694F845E" w:rsidR="003D6595" w:rsidRDefault="003D6595" w:rsidP="001A2326">
      <w:pPr>
        <w:tabs>
          <w:tab w:val="left" w:pos="7032"/>
        </w:tabs>
      </w:pPr>
    </w:p>
    <w:p w14:paraId="60542376" w14:textId="77777777" w:rsidR="003D6595" w:rsidRDefault="003D6595" w:rsidP="001A2326">
      <w:pPr>
        <w:tabs>
          <w:tab w:val="left" w:pos="7032"/>
        </w:tabs>
      </w:pPr>
    </w:p>
    <w:p w14:paraId="7FFCBE82" w14:textId="77777777" w:rsidR="00A63ED5" w:rsidRDefault="00A63ED5" w:rsidP="001A2326">
      <w:pPr>
        <w:tabs>
          <w:tab w:val="left" w:pos="7032"/>
        </w:tabs>
      </w:pPr>
    </w:p>
    <w:p w14:paraId="20C9205D" w14:textId="77777777" w:rsidR="00A63ED5" w:rsidRDefault="00A63ED5" w:rsidP="001A2326">
      <w:pPr>
        <w:tabs>
          <w:tab w:val="left" w:pos="7032"/>
        </w:tabs>
      </w:pPr>
    </w:p>
    <w:p w14:paraId="05D02CDD" w14:textId="77777777" w:rsidR="00A63ED5" w:rsidRDefault="00A63ED5" w:rsidP="001A2326">
      <w:pPr>
        <w:tabs>
          <w:tab w:val="left" w:pos="7032"/>
        </w:tabs>
      </w:pPr>
    </w:p>
    <w:p w14:paraId="5E7B4FB9" w14:textId="77777777" w:rsidR="00A63ED5" w:rsidRDefault="00A63ED5" w:rsidP="001A2326">
      <w:pPr>
        <w:tabs>
          <w:tab w:val="left" w:pos="7032"/>
        </w:tabs>
      </w:pPr>
    </w:p>
    <w:p w14:paraId="2AEF876F" w14:textId="77777777" w:rsidR="00A63ED5" w:rsidRDefault="00A63ED5" w:rsidP="001A2326">
      <w:pPr>
        <w:tabs>
          <w:tab w:val="left" w:pos="7032"/>
        </w:tabs>
      </w:pPr>
    </w:p>
    <w:p w14:paraId="188EA338" w14:textId="77777777" w:rsidR="00A63ED5" w:rsidRDefault="00A63ED5" w:rsidP="001A2326">
      <w:pPr>
        <w:tabs>
          <w:tab w:val="left" w:pos="7032"/>
        </w:tabs>
      </w:pPr>
    </w:p>
    <w:p w14:paraId="4D696393" w14:textId="422B775B" w:rsidR="00380FD0" w:rsidRDefault="00380FD0" w:rsidP="001A2326">
      <w:pPr>
        <w:tabs>
          <w:tab w:val="left" w:pos="7032"/>
        </w:tabs>
      </w:pPr>
      <w:r>
        <w:lastRenderedPageBreak/>
        <w:t>References</w:t>
      </w:r>
    </w:p>
    <w:p w14:paraId="6812F7AE" w14:textId="416E9793" w:rsidR="003D6595" w:rsidRDefault="003D6595" w:rsidP="003D6595">
      <w:pPr>
        <w:tabs>
          <w:tab w:val="left" w:pos="7032"/>
        </w:tabs>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Acas.org.uk. n.d. </w:t>
      </w:r>
      <w:r>
        <w:rPr>
          <w:rFonts w:ascii="Open Sans" w:hAnsi="Open Sans" w:cs="Open Sans"/>
          <w:i/>
          <w:iCs/>
          <w:color w:val="000000"/>
          <w:sz w:val="20"/>
          <w:szCs w:val="20"/>
          <w:shd w:val="clear" w:color="auto" w:fill="FFFFFF"/>
        </w:rPr>
        <w:t xml:space="preserve">Making a claim to an employment tribunal - </w:t>
      </w:r>
      <w:proofErr w:type="spellStart"/>
      <w:r>
        <w:rPr>
          <w:rFonts w:ascii="Open Sans" w:hAnsi="Open Sans" w:cs="Open Sans"/>
          <w:i/>
          <w:iCs/>
          <w:color w:val="000000"/>
          <w:sz w:val="20"/>
          <w:szCs w:val="20"/>
          <w:shd w:val="clear" w:color="auto" w:fill="FFFFFF"/>
        </w:rPr>
        <w:t>Acas</w:t>
      </w:r>
      <w:proofErr w:type="spellEnd"/>
      <w:r>
        <w:rPr>
          <w:rFonts w:ascii="Open Sans" w:hAnsi="Open Sans" w:cs="Open Sans"/>
          <w:color w:val="000000"/>
          <w:sz w:val="20"/>
          <w:szCs w:val="20"/>
          <w:shd w:val="clear" w:color="auto" w:fill="FFFFFF"/>
        </w:rPr>
        <w:t>. [online] Available at: &lt;https://www.acas.org.uk/making-a-claim-to-an-employment-tribunal&gt; [Accessed 13 April 2021].</w:t>
      </w:r>
    </w:p>
    <w:p w14:paraId="196AB1CB" w14:textId="77777777" w:rsidR="003D6595" w:rsidRDefault="003D6595" w:rsidP="003D6595">
      <w:pPr>
        <w:tabs>
          <w:tab w:val="left" w:pos="7032"/>
        </w:tabs>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Acas.org.uk. 2015. </w:t>
      </w:r>
      <w:proofErr w:type="spellStart"/>
      <w:r>
        <w:rPr>
          <w:rFonts w:ascii="Open Sans" w:hAnsi="Open Sans" w:cs="Open Sans"/>
          <w:i/>
          <w:iCs/>
          <w:color w:val="000000"/>
          <w:sz w:val="20"/>
          <w:szCs w:val="20"/>
          <w:shd w:val="clear" w:color="auto" w:fill="FFFFFF"/>
        </w:rPr>
        <w:t>Acas</w:t>
      </w:r>
      <w:proofErr w:type="spellEnd"/>
      <w:r>
        <w:rPr>
          <w:rFonts w:ascii="Open Sans" w:hAnsi="Open Sans" w:cs="Open Sans"/>
          <w:i/>
          <w:iCs/>
          <w:color w:val="000000"/>
          <w:sz w:val="20"/>
          <w:szCs w:val="20"/>
          <w:shd w:val="clear" w:color="auto" w:fill="FFFFFF"/>
        </w:rPr>
        <w:t xml:space="preserve"> Code of Practice on disciplinary and grievance procedures | </w:t>
      </w:r>
      <w:proofErr w:type="spellStart"/>
      <w:r>
        <w:rPr>
          <w:rFonts w:ascii="Open Sans" w:hAnsi="Open Sans" w:cs="Open Sans"/>
          <w:i/>
          <w:iCs/>
          <w:color w:val="000000"/>
          <w:sz w:val="20"/>
          <w:szCs w:val="20"/>
          <w:shd w:val="clear" w:color="auto" w:fill="FFFFFF"/>
        </w:rPr>
        <w:t>Acas</w:t>
      </w:r>
      <w:proofErr w:type="spellEnd"/>
      <w:r>
        <w:rPr>
          <w:rFonts w:ascii="Open Sans" w:hAnsi="Open Sans" w:cs="Open Sans"/>
          <w:color w:val="000000"/>
          <w:sz w:val="20"/>
          <w:szCs w:val="20"/>
          <w:shd w:val="clear" w:color="auto" w:fill="FFFFFF"/>
        </w:rPr>
        <w:t xml:space="preserve">. [online] Available at: &lt;https://www.acas.org.uk/acas-code-of-practice-on-disciplinary-and-grievance-procedures&gt; [Accessed 21 April 2021]. </w:t>
      </w:r>
    </w:p>
    <w:p w14:paraId="6D9F4A1D" w14:textId="77777777" w:rsidR="003D6595" w:rsidRDefault="003D6595" w:rsidP="003D6595">
      <w:pPr>
        <w:tabs>
          <w:tab w:val="left" w:pos="7032"/>
        </w:tabs>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Ayling</w:t>
      </w:r>
      <w:proofErr w:type="spellEnd"/>
      <w:r>
        <w:rPr>
          <w:rFonts w:ascii="Open Sans" w:hAnsi="Open Sans" w:cs="Open Sans"/>
          <w:color w:val="000000"/>
          <w:sz w:val="20"/>
          <w:szCs w:val="20"/>
          <w:shd w:val="clear" w:color="auto" w:fill="FFFFFF"/>
        </w:rPr>
        <w:t xml:space="preserve">, L. and </w:t>
      </w:r>
      <w:proofErr w:type="spellStart"/>
      <w:r>
        <w:rPr>
          <w:rFonts w:ascii="Open Sans" w:hAnsi="Open Sans" w:cs="Open Sans"/>
          <w:color w:val="000000"/>
          <w:sz w:val="20"/>
          <w:szCs w:val="20"/>
          <w:shd w:val="clear" w:color="auto" w:fill="FFFFFF"/>
        </w:rPr>
        <w:t>Suff</w:t>
      </w:r>
      <w:proofErr w:type="spellEnd"/>
      <w:r>
        <w:rPr>
          <w:rFonts w:ascii="Open Sans" w:hAnsi="Open Sans" w:cs="Open Sans"/>
          <w:color w:val="000000"/>
          <w:sz w:val="20"/>
          <w:szCs w:val="20"/>
          <w:shd w:val="clear" w:color="auto" w:fill="FFFFFF"/>
        </w:rPr>
        <w:t>, R., 2020. </w:t>
      </w:r>
      <w:r>
        <w:rPr>
          <w:rFonts w:ascii="Open Sans" w:hAnsi="Open Sans" w:cs="Open Sans"/>
          <w:i/>
          <w:iCs/>
          <w:color w:val="000000"/>
          <w:sz w:val="20"/>
          <w:szCs w:val="20"/>
          <w:shd w:val="clear" w:color="auto" w:fill="FFFFFF"/>
        </w:rPr>
        <w:t>Contracts of Employment | Factsheets | CIPD</w:t>
      </w:r>
      <w:r>
        <w:rPr>
          <w:rFonts w:ascii="Open Sans" w:hAnsi="Open Sans" w:cs="Open Sans"/>
          <w:color w:val="000000"/>
          <w:sz w:val="20"/>
          <w:szCs w:val="20"/>
          <w:shd w:val="clear" w:color="auto" w:fill="FFFFFF"/>
        </w:rPr>
        <w:t>. [online] CIPD. Available at: &lt;https://www.cipd.co.uk/knowledge/fundamentals/emp-law/terms-conditions/contracts-factsheet&gt; [Accessed 14 April 2021].</w:t>
      </w:r>
    </w:p>
    <w:p w14:paraId="3D7E9523" w14:textId="77777777" w:rsidR="003D6595" w:rsidRDefault="003D6595" w:rsidP="003D6595">
      <w:pPr>
        <w:tabs>
          <w:tab w:val="left" w:pos="7032"/>
        </w:tabs>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CIPD. 2021. </w:t>
      </w:r>
      <w:r>
        <w:rPr>
          <w:rFonts w:ascii="Open Sans" w:hAnsi="Open Sans" w:cs="Open Sans"/>
          <w:i/>
          <w:iCs/>
          <w:color w:val="000000"/>
          <w:sz w:val="20"/>
          <w:szCs w:val="20"/>
          <w:shd w:val="clear" w:color="auto" w:fill="FFFFFF"/>
        </w:rPr>
        <w:t>Recruitment &amp; Selection Q&amp;As | CIPD</w:t>
      </w:r>
      <w:r>
        <w:rPr>
          <w:rFonts w:ascii="Open Sans" w:hAnsi="Open Sans" w:cs="Open Sans"/>
          <w:color w:val="000000"/>
          <w:sz w:val="20"/>
          <w:szCs w:val="20"/>
          <w:shd w:val="clear" w:color="auto" w:fill="FFFFFF"/>
        </w:rPr>
        <w:t>. [online] Available at: &lt;https://www.cipd.co.uk/knowledge/fundamentals/emp-law/recruitment/questions#gref&gt; [Accessed 14 April 2021].</w:t>
      </w:r>
    </w:p>
    <w:p w14:paraId="5196A822" w14:textId="3C2C2F4A" w:rsidR="00380FD0" w:rsidRDefault="00380FD0" w:rsidP="001A2326">
      <w:pPr>
        <w:tabs>
          <w:tab w:val="left" w:pos="7032"/>
        </w:tabs>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CIPD. 2021. </w:t>
      </w:r>
      <w:r>
        <w:rPr>
          <w:rFonts w:ascii="Open Sans" w:hAnsi="Open Sans" w:cs="Open Sans"/>
          <w:i/>
          <w:iCs/>
          <w:color w:val="000000"/>
          <w:sz w:val="20"/>
          <w:szCs w:val="20"/>
          <w:shd w:val="clear" w:color="auto" w:fill="FFFFFF"/>
        </w:rPr>
        <w:t>How UK Employment Law is Made | Factsheets | CIPD</w:t>
      </w:r>
      <w:r>
        <w:rPr>
          <w:rFonts w:ascii="Open Sans" w:hAnsi="Open Sans" w:cs="Open Sans"/>
          <w:color w:val="000000"/>
          <w:sz w:val="20"/>
          <w:szCs w:val="20"/>
          <w:shd w:val="clear" w:color="auto" w:fill="FFFFFF"/>
        </w:rPr>
        <w:t>. [online] Available at: &lt;https://www.cipd.co.uk/knowledge/fundamentals/emp-law/about/uk-emp-law-made-factsheet&gt; [Accessed 11 April 2021].</w:t>
      </w:r>
    </w:p>
    <w:p w14:paraId="7A5E9727" w14:textId="77777777" w:rsidR="003D6595" w:rsidRDefault="003D6595" w:rsidP="003D6595">
      <w:pPr>
        <w:tabs>
          <w:tab w:val="left" w:pos="7032"/>
        </w:tabs>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CIPD. 2018. </w:t>
      </w:r>
      <w:r>
        <w:rPr>
          <w:rFonts w:ascii="Open Sans" w:hAnsi="Open Sans" w:cs="Open Sans"/>
          <w:i/>
          <w:iCs/>
          <w:color w:val="000000"/>
          <w:sz w:val="20"/>
          <w:szCs w:val="20"/>
          <w:shd w:val="clear" w:color="auto" w:fill="FFFFFF"/>
        </w:rPr>
        <w:t>A guide to TUPE transfers | Guides | CIPD</w:t>
      </w:r>
      <w:r>
        <w:rPr>
          <w:rFonts w:ascii="Open Sans" w:hAnsi="Open Sans" w:cs="Open Sans"/>
          <w:color w:val="000000"/>
          <w:sz w:val="20"/>
          <w:szCs w:val="20"/>
          <w:shd w:val="clear" w:color="auto" w:fill="FFFFFF"/>
        </w:rPr>
        <w:t>. [online] Available at: &lt;https://www.cipd.co.uk/knowledge/fundamentals/emp-law/tupe/guide&gt; [Accessed 15 April 2021].</w:t>
      </w:r>
    </w:p>
    <w:p w14:paraId="1988FEAE" w14:textId="77777777" w:rsidR="003D6595" w:rsidRDefault="003D6595" w:rsidP="003D6595">
      <w:pPr>
        <w:tabs>
          <w:tab w:val="left" w:pos="7032"/>
        </w:tabs>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CIPD. 2021. </w:t>
      </w:r>
      <w:r>
        <w:rPr>
          <w:rFonts w:ascii="Open Sans" w:hAnsi="Open Sans" w:cs="Open Sans"/>
          <w:i/>
          <w:iCs/>
          <w:color w:val="000000"/>
          <w:sz w:val="20"/>
          <w:szCs w:val="20"/>
          <w:shd w:val="clear" w:color="auto" w:fill="FFFFFF"/>
        </w:rPr>
        <w:t>Maternity, Paternity &amp; Adoption Rights | Factsheets | CIPD</w:t>
      </w:r>
      <w:r>
        <w:rPr>
          <w:rFonts w:ascii="Open Sans" w:hAnsi="Open Sans" w:cs="Open Sans"/>
          <w:color w:val="000000"/>
          <w:sz w:val="20"/>
          <w:szCs w:val="20"/>
          <w:shd w:val="clear" w:color="auto" w:fill="FFFFFF"/>
        </w:rPr>
        <w:t xml:space="preserve">. [online] Available at: &lt;https://www.cipd.co.uk/knowledge/fundamentals/emp-law/maternity-paternity-rights/factsheet&gt; [Accessed 17 April 2021]. </w:t>
      </w:r>
    </w:p>
    <w:p w14:paraId="6E658EB3" w14:textId="77777777" w:rsidR="003D6595" w:rsidRDefault="003D6595" w:rsidP="003D6595">
      <w:pPr>
        <w:tabs>
          <w:tab w:val="left" w:pos="7032"/>
        </w:tabs>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CIPD. 2021. </w:t>
      </w:r>
      <w:r>
        <w:rPr>
          <w:rFonts w:ascii="Open Sans" w:hAnsi="Open Sans" w:cs="Open Sans"/>
          <w:i/>
          <w:iCs/>
          <w:color w:val="000000"/>
          <w:sz w:val="20"/>
          <w:szCs w:val="20"/>
          <w:shd w:val="clear" w:color="auto" w:fill="FFFFFF"/>
        </w:rPr>
        <w:t>Health &amp; Safety at Work | Factsheets | CIPD</w:t>
      </w:r>
      <w:r>
        <w:rPr>
          <w:rFonts w:ascii="Open Sans" w:hAnsi="Open Sans" w:cs="Open Sans"/>
          <w:color w:val="000000"/>
          <w:sz w:val="20"/>
          <w:szCs w:val="20"/>
          <w:shd w:val="clear" w:color="auto" w:fill="FFFFFF"/>
        </w:rPr>
        <w:t>. [online] Available at: &lt;https://www.cipd.co.uk/knowledge/fundamentals/emp-law/health-safety/factsheet&gt; [Accessed 17 April 2021].</w:t>
      </w:r>
    </w:p>
    <w:p w14:paraId="700F50D0" w14:textId="7C5B471D" w:rsidR="00380FD0" w:rsidRDefault="001A75B0" w:rsidP="001A2326">
      <w:pPr>
        <w:tabs>
          <w:tab w:val="left" w:pos="7032"/>
        </w:tabs>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Daniels, K., 2019. </w:t>
      </w:r>
      <w:r>
        <w:rPr>
          <w:rFonts w:ascii="Open Sans" w:hAnsi="Open Sans" w:cs="Open Sans"/>
          <w:i/>
          <w:iCs/>
          <w:color w:val="000000"/>
          <w:sz w:val="20"/>
          <w:szCs w:val="20"/>
          <w:shd w:val="clear" w:color="auto" w:fill="FFFFFF"/>
        </w:rPr>
        <w:t>Introduction to Employment Law</w:t>
      </w:r>
      <w:r>
        <w:rPr>
          <w:rFonts w:ascii="Open Sans" w:hAnsi="Open Sans" w:cs="Open Sans"/>
          <w:color w:val="000000"/>
          <w:sz w:val="20"/>
          <w:szCs w:val="20"/>
          <w:shd w:val="clear" w:color="auto" w:fill="FFFFFF"/>
        </w:rPr>
        <w:t>. 5th ed. London: CIPD, p.1.</w:t>
      </w:r>
    </w:p>
    <w:p w14:paraId="497E192F" w14:textId="77777777" w:rsidR="003D6595" w:rsidRDefault="003D6595" w:rsidP="003D6595">
      <w:pPr>
        <w:tabs>
          <w:tab w:val="left" w:pos="7032"/>
        </w:tabs>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Daniels, K., 2019. </w:t>
      </w:r>
      <w:r>
        <w:rPr>
          <w:rFonts w:ascii="Open Sans" w:hAnsi="Open Sans" w:cs="Open Sans"/>
          <w:i/>
          <w:iCs/>
          <w:color w:val="000000"/>
          <w:sz w:val="20"/>
          <w:szCs w:val="20"/>
          <w:shd w:val="clear" w:color="auto" w:fill="FFFFFF"/>
        </w:rPr>
        <w:t>Introduction to Employment Law</w:t>
      </w:r>
      <w:r>
        <w:rPr>
          <w:rFonts w:ascii="Open Sans" w:hAnsi="Open Sans" w:cs="Open Sans"/>
          <w:color w:val="000000"/>
          <w:sz w:val="20"/>
          <w:szCs w:val="20"/>
          <w:shd w:val="clear" w:color="auto" w:fill="FFFFFF"/>
        </w:rPr>
        <w:t>. 5th ed. London: CIPD, pp.52-56.</w:t>
      </w:r>
    </w:p>
    <w:p w14:paraId="78404217" w14:textId="5AA101B1" w:rsidR="00B85CD7" w:rsidRDefault="00B85CD7" w:rsidP="00B85CD7">
      <w:pPr>
        <w:tabs>
          <w:tab w:val="left" w:pos="7032"/>
        </w:tabs>
        <w:rPr>
          <w:rFonts w:ascii="Open Sans" w:hAnsi="Open Sans" w:cs="Open Sans"/>
          <w:color w:val="000000"/>
          <w:sz w:val="20"/>
          <w:szCs w:val="20"/>
          <w:shd w:val="clear" w:color="auto" w:fill="FFFFFF"/>
        </w:rPr>
      </w:pPr>
      <w:bookmarkStart w:id="6" w:name="_Hlk70331553"/>
      <w:r>
        <w:rPr>
          <w:rFonts w:ascii="Open Sans" w:hAnsi="Open Sans" w:cs="Open Sans"/>
          <w:color w:val="000000"/>
          <w:sz w:val="20"/>
          <w:szCs w:val="20"/>
          <w:shd w:val="clear" w:color="auto" w:fill="FFFFFF"/>
        </w:rPr>
        <w:t>Daniels, K., 2019. </w:t>
      </w:r>
      <w:r>
        <w:rPr>
          <w:rFonts w:ascii="Open Sans" w:hAnsi="Open Sans" w:cs="Open Sans"/>
          <w:i/>
          <w:iCs/>
          <w:color w:val="000000"/>
          <w:sz w:val="20"/>
          <w:szCs w:val="20"/>
          <w:shd w:val="clear" w:color="auto" w:fill="FFFFFF"/>
        </w:rPr>
        <w:t>Introduction to Employment Law</w:t>
      </w:r>
      <w:r>
        <w:rPr>
          <w:rFonts w:ascii="Open Sans" w:hAnsi="Open Sans" w:cs="Open Sans"/>
          <w:color w:val="000000"/>
          <w:sz w:val="20"/>
          <w:szCs w:val="20"/>
          <w:shd w:val="clear" w:color="auto" w:fill="FFFFFF"/>
        </w:rPr>
        <w:t>. 5th ed. London: CIPD, pp.</w:t>
      </w:r>
      <w:r>
        <w:rPr>
          <w:rFonts w:ascii="Open Sans" w:hAnsi="Open Sans" w:cs="Open Sans"/>
          <w:color w:val="000000"/>
          <w:sz w:val="20"/>
          <w:szCs w:val="20"/>
          <w:shd w:val="clear" w:color="auto" w:fill="FFFFFF"/>
        </w:rPr>
        <w:t>77.</w:t>
      </w:r>
    </w:p>
    <w:p w14:paraId="529D58EF" w14:textId="77777777" w:rsidR="003D6595" w:rsidRDefault="003D6595" w:rsidP="003D6595">
      <w:pPr>
        <w:tabs>
          <w:tab w:val="left" w:pos="7032"/>
        </w:tabs>
        <w:rPr>
          <w:rFonts w:ascii="Open Sans" w:hAnsi="Open Sans" w:cs="Open Sans"/>
          <w:color w:val="000000"/>
          <w:sz w:val="20"/>
          <w:szCs w:val="20"/>
          <w:shd w:val="clear" w:color="auto" w:fill="FFFFFF"/>
        </w:rPr>
      </w:pPr>
      <w:bookmarkStart w:id="7" w:name="_Hlk70333082"/>
      <w:r>
        <w:rPr>
          <w:rFonts w:ascii="Open Sans" w:hAnsi="Open Sans" w:cs="Open Sans"/>
          <w:color w:val="000000"/>
          <w:sz w:val="20"/>
          <w:szCs w:val="20"/>
          <w:shd w:val="clear" w:color="auto" w:fill="FFFFFF"/>
        </w:rPr>
        <w:t>Daniels, K., 2019. </w:t>
      </w:r>
      <w:r>
        <w:rPr>
          <w:rFonts w:ascii="Open Sans" w:hAnsi="Open Sans" w:cs="Open Sans"/>
          <w:i/>
          <w:iCs/>
          <w:color w:val="000000"/>
          <w:sz w:val="20"/>
          <w:szCs w:val="20"/>
          <w:shd w:val="clear" w:color="auto" w:fill="FFFFFF"/>
        </w:rPr>
        <w:t>Introduction to Employment Law</w:t>
      </w:r>
      <w:r>
        <w:rPr>
          <w:rFonts w:ascii="Open Sans" w:hAnsi="Open Sans" w:cs="Open Sans"/>
          <w:color w:val="000000"/>
          <w:sz w:val="20"/>
          <w:szCs w:val="20"/>
          <w:shd w:val="clear" w:color="auto" w:fill="FFFFFF"/>
        </w:rPr>
        <w:t>. 5th ed. London: CIPD, pp.97.</w:t>
      </w:r>
    </w:p>
    <w:p w14:paraId="1D91C5BB" w14:textId="77777777" w:rsidR="003D6595" w:rsidRDefault="003D6595" w:rsidP="003D6595">
      <w:pPr>
        <w:tabs>
          <w:tab w:val="left" w:pos="7032"/>
        </w:tabs>
        <w:rPr>
          <w:rFonts w:ascii="Open Sans" w:hAnsi="Open Sans" w:cs="Open Sans"/>
          <w:color w:val="000000"/>
          <w:sz w:val="20"/>
          <w:szCs w:val="20"/>
          <w:shd w:val="clear" w:color="auto" w:fill="FFFFFF"/>
        </w:rPr>
      </w:pPr>
      <w:bookmarkStart w:id="8" w:name="_Hlk70328957"/>
      <w:bookmarkEnd w:id="7"/>
      <w:r>
        <w:rPr>
          <w:rFonts w:ascii="Open Sans" w:hAnsi="Open Sans" w:cs="Open Sans"/>
          <w:color w:val="000000"/>
          <w:sz w:val="20"/>
          <w:szCs w:val="20"/>
          <w:shd w:val="clear" w:color="auto" w:fill="FFFFFF"/>
        </w:rPr>
        <w:t>Daniels, K., 2019. </w:t>
      </w:r>
      <w:r>
        <w:rPr>
          <w:rFonts w:ascii="Open Sans" w:hAnsi="Open Sans" w:cs="Open Sans"/>
          <w:i/>
          <w:iCs/>
          <w:color w:val="000000"/>
          <w:sz w:val="20"/>
          <w:szCs w:val="20"/>
          <w:shd w:val="clear" w:color="auto" w:fill="FFFFFF"/>
        </w:rPr>
        <w:t>Introduction to Employment Law</w:t>
      </w:r>
      <w:r>
        <w:rPr>
          <w:rFonts w:ascii="Open Sans" w:hAnsi="Open Sans" w:cs="Open Sans"/>
          <w:color w:val="000000"/>
          <w:sz w:val="20"/>
          <w:szCs w:val="20"/>
          <w:shd w:val="clear" w:color="auto" w:fill="FFFFFF"/>
        </w:rPr>
        <w:t>. 5th ed. London: CIPD, pp.115 - 123.</w:t>
      </w:r>
    </w:p>
    <w:bookmarkEnd w:id="8"/>
    <w:p w14:paraId="5B8049B1" w14:textId="77777777" w:rsidR="003D6595" w:rsidRDefault="003D6595" w:rsidP="003D6595">
      <w:pPr>
        <w:tabs>
          <w:tab w:val="left" w:pos="7032"/>
        </w:tabs>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GOV.UK. 2021. </w:t>
      </w:r>
      <w:r>
        <w:rPr>
          <w:rFonts w:ascii="Open Sans" w:hAnsi="Open Sans" w:cs="Open Sans"/>
          <w:i/>
          <w:iCs/>
          <w:color w:val="000000"/>
          <w:sz w:val="20"/>
          <w:szCs w:val="20"/>
          <w:shd w:val="clear" w:color="auto" w:fill="FFFFFF"/>
        </w:rPr>
        <w:t>National Minimum Wage and National Living Wage rates</w:t>
      </w:r>
      <w:r>
        <w:rPr>
          <w:rFonts w:ascii="Open Sans" w:hAnsi="Open Sans" w:cs="Open Sans"/>
          <w:color w:val="000000"/>
          <w:sz w:val="20"/>
          <w:szCs w:val="20"/>
          <w:shd w:val="clear" w:color="auto" w:fill="FFFFFF"/>
        </w:rPr>
        <w:t>. [online] Available at: &lt;https://www.gov.uk/national-minimum-wage-rates&gt; [Accessed 17 April 2021].</w:t>
      </w:r>
    </w:p>
    <w:p w14:paraId="29BE3EB5" w14:textId="77777777" w:rsidR="003D6595" w:rsidRDefault="003D6595" w:rsidP="003D6595">
      <w:pPr>
        <w:tabs>
          <w:tab w:val="left" w:pos="7032"/>
        </w:tabs>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Taylor, S. and Woodhams, C., 2016. </w:t>
      </w:r>
      <w:r>
        <w:rPr>
          <w:rFonts w:ascii="Open Sans" w:hAnsi="Open Sans" w:cs="Open Sans"/>
          <w:i/>
          <w:iCs/>
          <w:color w:val="000000"/>
          <w:sz w:val="20"/>
          <w:szCs w:val="20"/>
          <w:shd w:val="clear" w:color="auto" w:fill="FFFFFF"/>
        </w:rPr>
        <w:t>Human Resource Management</w:t>
      </w:r>
      <w:r>
        <w:rPr>
          <w:rFonts w:ascii="Open Sans" w:hAnsi="Open Sans" w:cs="Open Sans"/>
          <w:color w:val="000000"/>
          <w:sz w:val="20"/>
          <w:szCs w:val="20"/>
          <w:shd w:val="clear" w:color="auto" w:fill="FFFFFF"/>
        </w:rPr>
        <w:t>. 2nd ed. London: CIPD, p.27.</w:t>
      </w:r>
    </w:p>
    <w:bookmarkEnd w:id="6"/>
    <w:p w14:paraId="3164B692" w14:textId="7F7290BE" w:rsidR="009D7D91" w:rsidRDefault="009D7D91" w:rsidP="009D7D91">
      <w:pPr>
        <w:tabs>
          <w:tab w:val="left" w:pos="7032"/>
        </w:tabs>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Taylor, S. and Woodhams, C., 2016. </w:t>
      </w:r>
      <w:r>
        <w:rPr>
          <w:rFonts w:ascii="Open Sans" w:hAnsi="Open Sans" w:cs="Open Sans"/>
          <w:i/>
          <w:iCs/>
          <w:color w:val="000000"/>
          <w:sz w:val="20"/>
          <w:szCs w:val="20"/>
          <w:shd w:val="clear" w:color="auto" w:fill="FFFFFF"/>
        </w:rPr>
        <w:t>Human Resource Management</w:t>
      </w:r>
      <w:r>
        <w:rPr>
          <w:rFonts w:ascii="Open Sans" w:hAnsi="Open Sans" w:cs="Open Sans"/>
          <w:color w:val="000000"/>
          <w:sz w:val="20"/>
          <w:szCs w:val="20"/>
          <w:shd w:val="clear" w:color="auto" w:fill="FFFFFF"/>
        </w:rPr>
        <w:t>. 2nd ed. London: CIPD, p.</w:t>
      </w:r>
      <w:r>
        <w:rPr>
          <w:rFonts w:ascii="Open Sans" w:hAnsi="Open Sans" w:cs="Open Sans"/>
          <w:color w:val="000000"/>
          <w:sz w:val="20"/>
          <w:szCs w:val="20"/>
          <w:shd w:val="clear" w:color="auto" w:fill="FFFFFF"/>
        </w:rPr>
        <w:t>33</w:t>
      </w:r>
      <w:r>
        <w:rPr>
          <w:rFonts w:ascii="Open Sans" w:hAnsi="Open Sans" w:cs="Open Sans"/>
          <w:color w:val="000000"/>
          <w:sz w:val="20"/>
          <w:szCs w:val="20"/>
          <w:shd w:val="clear" w:color="auto" w:fill="FFFFFF"/>
        </w:rPr>
        <w:t>.</w:t>
      </w:r>
    </w:p>
    <w:p w14:paraId="4BB1253C" w14:textId="55A14D7E" w:rsidR="00E76DDB" w:rsidRDefault="00E76DDB" w:rsidP="00E76DDB">
      <w:pPr>
        <w:tabs>
          <w:tab w:val="left" w:pos="7032"/>
        </w:tabs>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Taylor, S. and Woodhams, C., 2016. </w:t>
      </w:r>
      <w:r>
        <w:rPr>
          <w:rFonts w:ascii="Open Sans" w:hAnsi="Open Sans" w:cs="Open Sans"/>
          <w:i/>
          <w:iCs/>
          <w:color w:val="000000"/>
          <w:sz w:val="20"/>
          <w:szCs w:val="20"/>
          <w:shd w:val="clear" w:color="auto" w:fill="FFFFFF"/>
        </w:rPr>
        <w:t>Human Resource Management</w:t>
      </w:r>
      <w:r>
        <w:rPr>
          <w:rFonts w:ascii="Open Sans" w:hAnsi="Open Sans" w:cs="Open Sans"/>
          <w:color w:val="000000"/>
          <w:sz w:val="20"/>
          <w:szCs w:val="20"/>
          <w:shd w:val="clear" w:color="auto" w:fill="FFFFFF"/>
        </w:rPr>
        <w:t>. 2nd ed. London: CIPD, p.</w:t>
      </w:r>
      <w:r>
        <w:rPr>
          <w:rFonts w:ascii="Open Sans" w:hAnsi="Open Sans" w:cs="Open Sans"/>
          <w:color w:val="000000"/>
          <w:sz w:val="20"/>
          <w:szCs w:val="20"/>
          <w:shd w:val="clear" w:color="auto" w:fill="FFFFFF"/>
        </w:rPr>
        <w:t>34.</w:t>
      </w:r>
    </w:p>
    <w:p w14:paraId="2826D0CA" w14:textId="0C6353D4" w:rsidR="00C60E3E" w:rsidRDefault="006773DA" w:rsidP="00E76DDB">
      <w:pPr>
        <w:tabs>
          <w:tab w:val="left" w:pos="7032"/>
        </w:tabs>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Taylor, S. and Woodhams, C., 2016. </w:t>
      </w:r>
      <w:r>
        <w:rPr>
          <w:rFonts w:ascii="Open Sans" w:hAnsi="Open Sans" w:cs="Open Sans"/>
          <w:i/>
          <w:iCs/>
          <w:color w:val="000000"/>
          <w:sz w:val="20"/>
          <w:szCs w:val="20"/>
          <w:shd w:val="clear" w:color="auto" w:fill="FFFFFF"/>
        </w:rPr>
        <w:t>Human Resource Management</w:t>
      </w:r>
      <w:r>
        <w:rPr>
          <w:rFonts w:ascii="Open Sans" w:hAnsi="Open Sans" w:cs="Open Sans"/>
          <w:color w:val="000000"/>
          <w:sz w:val="20"/>
          <w:szCs w:val="20"/>
          <w:shd w:val="clear" w:color="auto" w:fill="FFFFFF"/>
        </w:rPr>
        <w:t>. 2nd ed. London: CIPD, p.3</w:t>
      </w:r>
      <w:r>
        <w:rPr>
          <w:rFonts w:ascii="Open Sans" w:hAnsi="Open Sans" w:cs="Open Sans"/>
          <w:color w:val="000000"/>
          <w:sz w:val="20"/>
          <w:szCs w:val="20"/>
          <w:shd w:val="clear" w:color="auto" w:fill="FFFFFF"/>
        </w:rPr>
        <w:t>7</w:t>
      </w:r>
    </w:p>
    <w:p w14:paraId="111BCBCB" w14:textId="0B64C3C0" w:rsidR="003D6595" w:rsidRDefault="003D6595" w:rsidP="003D6595">
      <w:pPr>
        <w:tabs>
          <w:tab w:val="left" w:pos="7032"/>
        </w:tabs>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Taylor, S. and Woodhams, C., 2016. </w:t>
      </w:r>
      <w:r>
        <w:rPr>
          <w:rFonts w:ascii="Open Sans" w:hAnsi="Open Sans" w:cs="Open Sans"/>
          <w:i/>
          <w:iCs/>
          <w:color w:val="000000"/>
          <w:sz w:val="20"/>
          <w:szCs w:val="20"/>
          <w:shd w:val="clear" w:color="auto" w:fill="FFFFFF"/>
        </w:rPr>
        <w:t>Human Resource Management</w:t>
      </w:r>
      <w:r>
        <w:rPr>
          <w:rFonts w:ascii="Open Sans" w:hAnsi="Open Sans" w:cs="Open Sans"/>
          <w:color w:val="000000"/>
          <w:sz w:val="20"/>
          <w:szCs w:val="20"/>
          <w:shd w:val="clear" w:color="auto" w:fill="FFFFFF"/>
        </w:rPr>
        <w:t>. 2nd ed. London: CIPD, p.</w:t>
      </w:r>
      <w:r>
        <w:rPr>
          <w:rFonts w:ascii="Open Sans" w:hAnsi="Open Sans" w:cs="Open Sans"/>
          <w:color w:val="000000"/>
          <w:sz w:val="20"/>
          <w:szCs w:val="20"/>
          <w:shd w:val="clear" w:color="auto" w:fill="FFFFFF"/>
        </w:rPr>
        <w:t>44</w:t>
      </w:r>
    </w:p>
    <w:p w14:paraId="5F46B286" w14:textId="77777777" w:rsidR="003D6595" w:rsidRDefault="003D6595" w:rsidP="001A2326">
      <w:pPr>
        <w:tabs>
          <w:tab w:val="left" w:pos="7032"/>
        </w:tabs>
        <w:rPr>
          <w:rFonts w:ascii="Open Sans" w:hAnsi="Open Sans" w:cs="Open Sans"/>
          <w:color w:val="000000"/>
          <w:sz w:val="20"/>
          <w:szCs w:val="20"/>
          <w:shd w:val="clear" w:color="auto" w:fill="FFFFFF"/>
        </w:rPr>
      </w:pPr>
    </w:p>
    <w:p w14:paraId="46191A01" w14:textId="16E160AE" w:rsidR="00D658EC" w:rsidRDefault="00D658EC" w:rsidP="001A2326">
      <w:pPr>
        <w:tabs>
          <w:tab w:val="left" w:pos="7032"/>
        </w:tabs>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Legislation</w:t>
      </w:r>
    </w:p>
    <w:p w14:paraId="04F984A6" w14:textId="5C685499" w:rsidR="00D658EC" w:rsidRDefault="00D658EC" w:rsidP="001A2326">
      <w:pPr>
        <w:tabs>
          <w:tab w:val="left" w:pos="7032"/>
        </w:tabs>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 Equality Act 2010</w:t>
      </w:r>
    </w:p>
    <w:p w14:paraId="29826785" w14:textId="2A578B0E" w:rsidR="00E76DDB" w:rsidRDefault="00E76DDB" w:rsidP="001A2326">
      <w:pPr>
        <w:tabs>
          <w:tab w:val="left" w:pos="7032"/>
        </w:tabs>
      </w:pPr>
      <w:r>
        <w:t>Transfer of Undertakings (Protection of Employment) Regulations 2006</w:t>
      </w:r>
    </w:p>
    <w:p w14:paraId="7B7E5539" w14:textId="259FA1E9" w:rsidR="00C60E3E" w:rsidRDefault="00C60E3E" w:rsidP="001A2326">
      <w:pPr>
        <w:tabs>
          <w:tab w:val="left" w:pos="7032"/>
        </w:tabs>
      </w:pPr>
      <w:r>
        <w:t>Employment Rights Act 1996</w:t>
      </w:r>
    </w:p>
    <w:p w14:paraId="11DA40CB" w14:textId="0BA5071B" w:rsidR="00C60E3E" w:rsidRDefault="00C60E3E" w:rsidP="00C60E3E">
      <w:pPr>
        <w:tabs>
          <w:tab w:val="left" w:pos="7032"/>
        </w:tabs>
      </w:pPr>
      <w:r>
        <w:t>National Minimum Wage (NMW) Act 1998.</w:t>
      </w:r>
    </w:p>
    <w:p w14:paraId="697960F1" w14:textId="77777777" w:rsidR="00A5639F" w:rsidRDefault="00A5639F" w:rsidP="00A5639F">
      <w:pPr>
        <w:tabs>
          <w:tab w:val="left" w:pos="7032"/>
        </w:tabs>
        <w:rPr>
          <w:rFonts w:ascii="Open Sans" w:hAnsi="Open Sans" w:cs="Open Sans"/>
          <w:color w:val="000000"/>
          <w:sz w:val="20"/>
          <w:szCs w:val="20"/>
          <w:shd w:val="clear" w:color="auto" w:fill="FFFFFF"/>
        </w:rPr>
      </w:pPr>
      <w:r>
        <w:t>Human Rights Act 1998</w:t>
      </w:r>
    </w:p>
    <w:p w14:paraId="550E4DF4" w14:textId="77777777" w:rsidR="00A5639F" w:rsidRDefault="00A5639F" w:rsidP="00C60E3E">
      <w:pPr>
        <w:tabs>
          <w:tab w:val="left" w:pos="7032"/>
        </w:tabs>
        <w:rPr>
          <w:rFonts w:ascii="Open Sans" w:hAnsi="Open Sans" w:cs="Open Sans"/>
          <w:color w:val="000000"/>
          <w:sz w:val="20"/>
          <w:szCs w:val="20"/>
          <w:shd w:val="clear" w:color="auto" w:fill="FFFFFF"/>
        </w:rPr>
      </w:pPr>
    </w:p>
    <w:p w14:paraId="7813275E" w14:textId="77777777" w:rsidR="00C60E3E" w:rsidRPr="00DE02BE" w:rsidRDefault="00C60E3E" w:rsidP="001A2326">
      <w:pPr>
        <w:tabs>
          <w:tab w:val="left" w:pos="7032"/>
        </w:tabs>
      </w:pPr>
    </w:p>
    <w:sectPr w:rsidR="00C60E3E" w:rsidRPr="00DE02BE" w:rsidSect="00A63ED5">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043DC0" w14:textId="77777777" w:rsidR="001E6428" w:rsidRDefault="001E6428" w:rsidP="003D6595">
      <w:pPr>
        <w:spacing w:after="0" w:line="240" w:lineRule="auto"/>
      </w:pPr>
      <w:r>
        <w:separator/>
      </w:r>
    </w:p>
  </w:endnote>
  <w:endnote w:type="continuationSeparator" w:id="0">
    <w:p w14:paraId="54C2E8CF" w14:textId="77777777" w:rsidR="001E6428" w:rsidRDefault="001E6428" w:rsidP="003D6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D8AC84" w14:textId="3D52CF6D" w:rsidR="00A63ED5" w:rsidRDefault="00A63ED5">
    <w:pPr>
      <w:pStyle w:val="Footer"/>
    </w:pPr>
    <w:r>
      <w:t>Introduction to Employment Law</w:t>
    </w:r>
    <w:r>
      <w:tab/>
    </w:r>
    <w:r>
      <w:tab/>
    </w:r>
    <w:r>
      <w:t>2014451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19F48D" w14:textId="77777777" w:rsidR="001E6428" w:rsidRDefault="001E6428" w:rsidP="003D6595">
      <w:pPr>
        <w:spacing w:after="0" w:line="240" w:lineRule="auto"/>
      </w:pPr>
      <w:r>
        <w:separator/>
      </w:r>
    </w:p>
  </w:footnote>
  <w:footnote w:type="continuationSeparator" w:id="0">
    <w:p w14:paraId="44E674BD" w14:textId="77777777" w:rsidR="001E6428" w:rsidRDefault="001E6428" w:rsidP="003D65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3F24AE" w14:textId="778870E7" w:rsidR="00A63ED5" w:rsidRDefault="00A63ED5">
    <w:pPr>
      <w:pStyle w:val="Header"/>
    </w:pPr>
    <w:r>
      <w:tab/>
    </w:r>
    <w:r>
      <w:tab/>
    </w:r>
  </w:p>
  <w:p w14:paraId="42634322" w14:textId="77777777" w:rsidR="00A63ED5" w:rsidRDefault="00A63E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05791"/>
    <w:multiLevelType w:val="hybridMultilevel"/>
    <w:tmpl w:val="07104076"/>
    <w:lvl w:ilvl="0" w:tplc="4F1C4AA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D3B3A"/>
    <w:multiLevelType w:val="multilevel"/>
    <w:tmpl w:val="DE9A5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5562F2"/>
    <w:multiLevelType w:val="hybridMultilevel"/>
    <w:tmpl w:val="39D88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2D3C2B"/>
    <w:multiLevelType w:val="hybridMultilevel"/>
    <w:tmpl w:val="D5C8E392"/>
    <w:lvl w:ilvl="0" w:tplc="6D32A8D0">
      <w:start w:val="2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2652E2"/>
    <w:multiLevelType w:val="multilevel"/>
    <w:tmpl w:val="F2C8A1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48222B6"/>
    <w:multiLevelType w:val="hybridMultilevel"/>
    <w:tmpl w:val="A596DBEE"/>
    <w:lvl w:ilvl="0" w:tplc="B8D8D62A">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F14B3A"/>
    <w:multiLevelType w:val="hybridMultilevel"/>
    <w:tmpl w:val="53BCEA50"/>
    <w:lvl w:ilvl="0" w:tplc="A052DAAA">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1A3FAF"/>
    <w:multiLevelType w:val="hybridMultilevel"/>
    <w:tmpl w:val="7ED65B9C"/>
    <w:lvl w:ilvl="0" w:tplc="1C5A119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436035"/>
    <w:multiLevelType w:val="hybridMultilevel"/>
    <w:tmpl w:val="55F6402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9" w15:restartNumberingAfterBreak="0">
    <w:nsid w:val="56537BDA"/>
    <w:multiLevelType w:val="hybridMultilevel"/>
    <w:tmpl w:val="A3301B4E"/>
    <w:lvl w:ilvl="0" w:tplc="C93CBDAA">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E16DF5"/>
    <w:multiLevelType w:val="hybridMultilevel"/>
    <w:tmpl w:val="161212BE"/>
    <w:lvl w:ilvl="0" w:tplc="C93CBDAA">
      <w:start w:val="1"/>
      <w:numFmt w:val="bullet"/>
      <w:lvlText w:val="-"/>
      <w:lvlJc w:val="left"/>
      <w:pPr>
        <w:ind w:left="360" w:hanging="360"/>
      </w:pPr>
      <w:rPr>
        <w:rFonts w:ascii="Calibri" w:eastAsiaTheme="minorHAnsi" w:hAnsi="Calibri" w:cstheme="minorBidi" w:hint="default"/>
      </w:rPr>
    </w:lvl>
    <w:lvl w:ilvl="1" w:tplc="C93CBDAA">
      <w:start w:val="1"/>
      <w:numFmt w:val="bullet"/>
      <w:lvlText w:val="-"/>
      <w:lvlJc w:val="left"/>
      <w:pPr>
        <w:ind w:left="1080" w:hanging="360"/>
      </w:pPr>
      <w:rPr>
        <w:rFonts w:ascii="Calibri" w:eastAsiaTheme="minorHAnsi" w:hAnsi="Calibri" w:cstheme="minorBidi"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DFB2694"/>
    <w:multiLevelType w:val="multilevel"/>
    <w:tmpl w:val="7466C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2C30C6"/>
    <w:multiLevelType w:val="hybridMultilevel"/>
    <w:tmpl w:val="F5FA2046"/>
    <w:lvl w:ilvl="0" w:tplc="1E087182">
      <w:start w:val="2"/>
      <w:numFmt w:val="bullet"/>
      <w:lvlText w:val="-"/>
      <w:lvlJc w:val="left"/>
      <w:pPr>
        <w:ind w:left="720" w:hanging="360"/>
      </w:pPr>
      <w:rPr>
        <w:rFonts w:ascii="Arial" w:eastAsiaTheme="minorHAnsi" w:hAnsi="Arial" w:cs="Arial" w:hint="default"/>
        <w:color w:val="2424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FF6EC1"/>
    <w:multiLevelType w:val="hybridMultilevel"/>
    <w:tmpl w:val="87DEFA7C"/>
    <w:lvl w:ilvl="0" w:tplc="C93CBDAA">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5E081B"/>
    <w:multiLevelType w:val="hybridMultilevel"/>
    <w:tmpl w:val="2A4643B8"/>
    <w:lvl w:ilvl="0" w:tplc="C93CBDAA">
      <w:start w:val="1"/>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D10292D"/>
    <w:multiLevelType w:val="hybridMultilevel"/>
    <w:tmpl w:val="7EC60148"/>
    <w:lvl w:ilvl="0" w:tplc="4F1C4AA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5"/>
  </w:num>
  <w:num w:numId="4">
    <w:abstractNumId w:val="2"/>
  </w:num>
  <w:num w:numId="5">
    <w:abstractNumId w:val="0"/>
  </w:num>
  <w:num w:numId="6">
    <w:abstractNumId w:val="8"/>
  </w:num>
  <w:num w:numId="7">
    <w:abstractNumId w:val="7"/>
  </w:num>
  <w:num w:numId="8">
    <w:abstractNumId w:val="12"/>
  </w:num>
  <w:num w:numId="9">
    <w:abstractNumId w:val="9"/>
  </w:num>
  <w:num w:numId="10">
    <w:abstractNumId w:val="11"/>
  </w:num>
  <w:num w:numId="11">
    <w:abstractNumId w:val="6"/>
  </w:num>
  <w:num w:numId="12">
    <w:abstractNumId w:val="3"/>
  </w:num>
  <w:num w:numId="13">
    <w:abstractNumId w:val="14"/>
  </w:num>
  <w:num w:numId="14">
    <w:abstractNumId w:val="10"/>
  </w:num>
  <w:num w:numId="15">
    <w:abstractNumId w:val="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AEC"/>
    <w:rsid w:val="00042D62"/>
    <w:rsid w:val="00045181"/>
    <w:rsid w:val="00073006"/>
    <w:rsid w:val="000A05CC"/>
    <w:rsid w:val="000B4925"/>
    <w:rsid w:val="000C50CF"/>
    <w:rsid w:val="000D01F4"/>
    <w:rsid w:val="000E2577"/>
    <w:rsid w:val="000F5BA9"/>
    <w:rsid w:val="0011065F"/>
    <w:rsid w:val="00117783"/>
    <w:rsid w:val="0012017F"/>
    <w:rsid w:val="0013797E"/>
    <w:rsid w:val="00171995"/>
    <w:rsid w:val="00174AEC"/>
    <w:rsid w:val="001A2326"/>
    <w:rsid w:val="001A75B0"/>
    <w:rsid w:val="001E3EC8"/>
    <w:rsid w:val="001E5C45"/>
    <w:rsid w:val="001E6428"/>
    <w:rsid w:val="00203FC9"/>
    <w:rsid w:val="0021133C"/>
    <w:rsid w:val="00220A04"/>
    <w:rsid w:val="00262251"/>
    <w:rsid w:val="00265F5F"/>
    <w:rsid w:val="002677E9"/>
    <w:rsid w:val="00296BEA"/>
    <w:rsid w:val="002B2660"/>
    <w:rsid w:val="002C5F6B"/>
    <w:rsid w:val="002C75B7"/>
    <w:rsid w:val="002D3D02"/>
    <w:rsid w:val="002F439A"/>
    <w:rsid w:val="00311D4F"/>
    <w:rsid w:val="00313243"/>
    <w:rsid w:val="00317455"/>
    <w:rsid w:val="003233B6"/>
    <w:rsid w:val="003267A1"/>
    <w:rsid w:val="00357476"/>
    <w:rsid w:val="003578A6"/>
    <w:rsid w:val="00380FD0"/>
    <w:rsid w:val="003B30B1"/>
    <w:rsid w:val="003C1718"/>
    <w:rsid w:val="003D4A45"/>
    <w:rsid w:val="003D4B16"/>
    <w:rsid w:val="003D4C01"/>
    <w:rsid w:val="003D53B9"/>
    <w:rsid w:val="003D6595"/>
    <w:rsid w:val="003E4B62"/>
    <w:rsid w:val="003E5135"/>
    <w:rsid w:val="003F1541"/>
    <w:rsid w:val="004368C6"/>
    <w:rsid w:val="0045223D"/>
    <w:rsid w:val="00454877"/>
    <w:rsid w:val="0046635E"/>
    <w:rsid w:val="00471E93"/>
    <w:rsid w:val="004868A2"/>
    <w:rsid w:val="004A4336"/>
    <w:rsid w:val="004C6B3B"/>
    <w:rsid w:val="004D670B"/>
    <w:rsid w:val="004E50CE"/>
    <w:rsid w:val="004F1F6E"/>
    <w:rsid w:val="005038E4"/>
    <w:rsid w:val="00506325"/>
    <w:rsid w:val="00507B8B"/>
    <w:rsid w:val="005267D9"/>
    <w:rsid w:val="00526DBC"/>
    <w:rsid w:val="00532AF8"/>
    <w:rsid w:val="00547C02"/>
    <w:rsid w:val="00550218"/>
    <w:rsid w:val="005566B0"/>
    <w:rsid w:val="0056045D"/>
    <w:rsid w:val="0057634B"/>
    <w:rsid w:val="0057765C"/>
    <w:rsid w:val="005A1AD7"/>
    <w:rsid w:val="005C3061"/>
    <w:rsid w:val="005D29E0"/>
    <w:rsid w:val="005D4678"/>
    <w:rsid w:val="006223BA"/>
    <w:rsid w:val="00675EC3"/>
    <w:rsid w:val="006773DA"/>
    <w:rsid w:val="00683C46"/>
    <w:rsid w:val="006A4096"/>
    <w:rsid w:val="006B77D8"/>
    <w:rsid w:val="006C07F1"/>
    <w:rsid w:val="006E3C3B"/>
    <w:rsid w:val="006F1064"/>
    <w:rsid w:val="00705AE4"/>
    <w:rsid w:val="00720414"/>
    <w:rsid w:val="00744FBE"/>
    <w:rsid w:val="007518A3"/>
    <w:rsid w:val="00763496"/>
    <w:rsid w:val="007672DC"/>
    <w:rsid w:val="007A6C12"/>
    <w:rsid w:val="007D0E57"/>
    <w:rsid w:val="007F5A86"/>
    <w:rsid w:val="00815A67"/>
    <w:rsid w:val="00817D41"/>
    <w:rsid w:val="0088185D"/>
    <w:rsid w:val="008A2884"/>
    <w:rsid w:val="008B28D9"/>
    <w:rsid w:val="008C0D1C"/>
    <w:rsid w:val="008D2E1B"/>
    <w:rsid w:val="008E1C7C"/>
    <w:rsid w:val="00900CD7"/>
    <w:rsid w:val="00905E54"/>
    <w:rsid w:val="009317FA"/>
    <w:rsid w:val="00935C81"/>
    <w:rsid w:val="00936B66"/>
    <w:rsid w:val="00936C3C"/>
    <w:rsid w:val="00940861"/>
    <w:rsid w:val="00951292"/>
    <w:rsid w:val="00952E3A"/>
    <w:rsid w:val="00954F6F"/>
    <w:rsid w:val="00981CB6"/>
    <w:rsid w:val="009B1180"/>
    <w:rsid w:val="009D74F5"/>
    <w:rsid w:val="009D7D91"/>
    <w:rsid w:val="009E62D0"/>
    <w:rsid w:val="009F02F0"/>
    <w:rsid w:val="009F1534"/>
    <w:rsid w:val="009F21F9"/>
    <w:rsid w:val="009F6BF4"/>
    <w:rsid w:val="00A02AAF"/>
    <w:rsid w:val="00A02DD4"/>
    <w:rsid w:val="00A0751C"/>
    <w:rsid w:val="00A17260"/>
    <w:rsid w:val="00A34481"/>
    <w:rsid w:val="00A45B6D"/>
    <w:rsid w:val="00A51EE3"/>
    <w:rsid w:val="00A5639F"/>
    <w:rsid w:val="00A5652C"/>
    <w:rsid w:val="00A63ED5"/>
    <w:rsid w:val="00A70796"/>
    <w:rsid w:val="00A824F2"/>
    <w:rsid w:val="00AA5F13"/>
    <w:rsid w:val="00AB05D6"/>
    <w:rsid w:val="00AB0682"/>
    <w:rsid w:val="00AB20CA"/>
    <w:rsid w:val="00AC72FC"/>
    <w:rsid w:val="00AD4698"/>
    <w:rsid w:val="00AD63F4"/>
    <w:rsid w:val="00AF2DB6"/>
    <w:rsid w:val="00B23C53"/>
    <w:rsid w:val="00B34BD3"/>
    <w:rsid w:val="00B54857"/>
    <w:rsid w:val="00B85CD7"/>
    <w:rsid w:val="00BF12E8"/>
    <w:rsid w:val="00BF6426"/>
    <w:rsid w:val="00C27B1F"/>
    <w:rsid w:val="00C5003B"/>
    <w:rsid w:val="00C57203"/>
    <w:rsid w:val="00C60E3E"/>
    <w:rsid w:val="00C67E13"/>
    <w:rsid w:val="00C7287F"/>
    <w:rsid w:val="00C86933"/>
    <w:rsid w:val="00C90DC8"/>
    <w:rsid w:val="00C91031"/>
    <w:rsid w:val="00CC487E"/>
    <w:rsid w:val="00D16754"/>
    <w:rsid w:val="00D17B76"/>
    <w:rsid w:val="00D20741"/>
    <w:rsid w:val="00D46A2A"/>
    <w:rsid w:val="00D52E26"/>
    <w:rsid w:val="00D658EC"/>
    <w:rsid w:val="00D84D9C"/>
    <w:rsid w:val="00DA3666"/>
    <w:rsid w:val="00DB1DCE"/>
    <w:rsid w:val="00DB5C84"/>
    <w:rsid w:val="00DC7E0A"/>
    <w:rsid w:val="00DE02BE"/>
    <w:rsid w:val="00DE25A5"/>
    <w:rsid w:val="00DF4533"/>
    <w:rsid w:val="00E001D7"/>
    <w:rsid w:val="00E01A9B"/>
    <w:rsid w:val="00E062A1"/>
    <w:rsid w:val="00E1316A"/>
    <w:rsid w:val="00E1456F"/>
    <w:rsid w:val="00E175EF"/>
    <w:rsid w:val="00E24DEA"/>
    <w:rsid w:val="00E34C50"/>
    <w:rsid w:val="00E50468"/>
    <w:rsid w:val="00E60183"/>
    <w:rsid w:val="00E64D81"/>
    <w:rsid w:val="00E6602E"/>
    <w:rsid w:val="00E673A0"/>
    <w:rsid w:val="00E76854"/>
    <w:rsid w:val="00E76DDB"/>
    <w:rsid w:val="00E77C13"/>
    <w:rsid w:val="00E83555"/>
    <w:rsid w:val="00EA4748"/>
    <w:rsid w:val="00EB700D"/>
    <w:rsid w:val="00ED0770"/>
    <w:rsid w:val="00EE5302"/>
    <w:rsid w:val="00F2549F"/>
    <w:rsid w:val="00F40E1D"/>
    <w:rsid w:val="00F42982"/>
    <w:rsid w:val="00F64E83"/>
    <w:rsid w:val="00F71D3E"/>
    <w:rsid w:val="00F80B4F"/>
    <w:rsid w:val="00F927E1"/>
    <w:rsid w:val="00F939B0"/>
    <w:rsid w:val="00F954A1"/>
    <w:rsid w:val="00FA37F2"/>
    <w:rsid w:val="00FB1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F5DADD"/>
  <w15:chartTrackingRefBased/>
  <w15:docId w15:val="{B07C339D-8539-4383-9789-E9423F9AE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267D9"/>
    <w:rPr>
      <w:sz w:val="16"/>
      <w:szCs w:val="16"/>
    </w:rPr>
  </w:style>
  <w:style w:type="paragraph" w:styleId="CommentText">
    <w:name w:val="annotation text"/>
    <w:basedOn w:val="Normal"/>
    <w:link w:val="CommentTextChar"/>
    <w:uiPriority w:val="99"/>
    <w:semiHidden/>
    <w:unhideWhenUsed/>
    <w:rsid w:val="005267D9"/>
    <w:pPr>
      <w:spacing w:line="240" w:lineRule="auto"/>
    </w:pPr>
    <w:rPr>
      <w:sz w:val="20"/>
      <w:szCs w:val="20"/>
    </w:rPr>
  </w:style>
  <w:style w:type="character" w:customStyle="1" w:styleId="CommentTextChar">
    <w:name w:val="Comment Text Char"/>
    <w:basedOn w:val="DefaultParagraphFont"/>
    <w:link w:val="CommentText"/>
    <w:uiPriority w:val="99"/>
    <w:semiHidden/>
    <w:rsid w:val="005267D9"/>
    <w:rPr>
      <w:sz w:val="20"/>
      <w:szCs w:val="20"/>
    </w:rPr>
  </w:style>
  <w:style w:type="paragraph" w:styleId="CommentSubject">
    <w:name w:val="annotation subject"/>
    <w:basedOn w:val="CommentText"/>
    <w:next w:val="CommentText"/>
    <w:link w:val="CommentSubjectChar"/>
    <w:uiPriority w:val="99"/>
    <w:semiHidden/>
    <w:unhideWhenUsed/>
    <w:rsid w:val="005267D9"/>
    <w:rPr>
      <w:b/>
      <w:bCs/>
    </w:rPr>
  </w:style>
  <w:style w:type="character" w:customStyle="1" w:styleId="CommentSubjectChar">
    <w:name w:val="Comment Subject Char"/>
    <w:basedOn w:val="CommentTextChar"/>
    <w:link w:val="CommentSubject"/>
    <w:uiPriority w:val="99"/>
    <w:semiHidden/>
    <w:rsid w:val="005267D9"/>
    <w:rPr>
      <w:b/>
      <w:bCs/>
      <w:sz w:val="20"/>
      <w:szCs w:val="20"/>
    </w:rPr>
  </w:style>
  <w:style w:type="paragraph" w:styleId="BalloonText">
    <w:name w:val="Balloon Text"/>
    <w:basedOn w:val="Normal"/>
    <w:link w:val="BalloonTextChar"/>
    <w:uiPriority w:val="99"/>
    <w:semiHidden/>
    <w:unhideWhenUsed/>
    <w:rsid w:val="005267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67D9"/>
    <w:rPr>
      <w:rFonts w:ascii="Segoe UI" w:hAnsi="Segoe UI" w:cs="Segoe UI"/>
      <w:sz w:val="18"/>
      <w:szCs w:val="18"/>
    </w:rPr>
  </w:style>
  <w:style w:type="paragraph" w:styleId="ListParagraph">
    <w:name w:val="List Paragraph"/>
    <w:basedOn w:val="Normal"/>
    <w:uiPriority w:val="34"/>
    <w:qFormat/>
    <w:rsid w:val="009B1180"/>
    <w:pPr>
      <w:ind w:left="720"/>
      <w:contextualSpacing/>
    </w:pPr>
  </w:style>
  <w:style w:type="table" w:styleId="TableGrid">
    <w:name w:val="Table Grid"/>
    <w:basedOn w:val="TableNormal"/>
    <w:uiPriority w:val="39"/>
    <w:rsid w:val="003D5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A05CC"/>
    <w:rPr>
      <w:rFonts w:ascii="Times New Roman" w:hAnsi="Times New Roman" w:cs="Times New Roman"/>
      <w:sz w:val="24"/>
      <w:szCs w:val="24"/>
    </w:rPr>
  </w:style>
  <w:style w:type="paragraph" w:styleId="Header">
    <w:name w:val="header"/>
    <w:basedOn w:val="Normal"/>
    <w:link w:val="HeaderChar"/>
    <w:uiPriority w:val="99"/>
    <w:unhideWhenUsed/>
    <w:rsid w:val="003D65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6595"/>
  </w:style>
  <w:style w:type="paragraph" w:styleId="Footer">
    <w:name w:val="footer"/>
    <w:basedOn w:val="Normal"/>
    <w:link w:val="FooterChar"/>
    <w:uiPriority w:val="99"/>
    <w:unhideWhenUsed/>
    <w:rsid w:val="003D65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65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1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FD81A-98B8-40C2-9FBA-7DEB84099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30884</TotalTime>
  <Pages>17</Pages>
  <Words>5341</Words>
  <Characters>30445</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Moriarty</dc:creator>
  <cp:keywords/>
  <dc:description/>
  <cp:lastModifiedBy>Lucy Moriarty</cp:lastModifiedBy>
  <cp:revision>79</cp:revision>
  <dcterms:created xsi:type="dcterms:W3CDTF">2021-03-24T13:01:00Z</dcterms:created>
  <dcterms:modified xsi:type="dcterms:W3CDTF">2021-04-26T12:39:00Z</dcterms:modified>
</cp:coreProperties>
</file>