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cs="Times New Roman" w:eastAsia="Times New Roman"/>
          <w:b/>
          <w:bCs/>
          <w:sz w:val="32"/>
          <w:szCs w:val="32"/>
        </w:rPr>
      </w:pPr>
    </w:p>
    <w:p>
      <w:pPr>
        <w:pStyle w:val="style0"/>
        <w:jc w:val="center"/>
        <w:rPr>
          <w:rFonts w:cs="Times New Roman" w:eastAsia="Times New Roman"/>
          <w:b/>
          <w:bCs/>
          <w:sz w:val="32"/>
          <w:szCs w:val="32"/>
        </w:rPr>
      </w:pPr>
    </w:p>
    <w:p>
      <w:pPr>
        <w:pStyle w:val="style0"/>
        <w:rPr>
          <w:rFonts w:cs="Times New Roman" w:eastAsia="Times New Roman"/>
          <w:b/>
          <w:bCs/>
          <w:sz w:val="32"/>
          <w:szCs w:val="32"/>
        </w:rPr>
      </w:pPr>
    </w:p>
    <w:p>
      <w:pPr>
        <w:pStyle w:val="style0"/>
        <w:jc w:val="center"/>
        <w:rPr>
          <w:rFonts w:cs="Times New Roman" w:eastAsia="Times New Roman"/>
          <w:b/>
          <w:bCs/>
          <w:sz w:val="32"/>
          <w:szCs w:val="32"/>
        </w:rPr>
      </w:pPr>
      <w:r>
        <w:rPr>
          <w:rFonts w:cs="Times New Roman" w:eastAsia="Times New Roman"/>
          <w:b/>
          <w:bCs/>
          <w:noProof/>
          <w:sz w:val="32"/>
          <w:szCs w:val="32"/>
          <w:lang w:val="en-GB" w:eastAsia="en-GB"/>
        </w:rPr>
        <w:drawing>
          <wp:inline distL="0" distT="0" distB="0" distR="0">
            <wp:extent cx="2072820" cy="914479"/>
            <wp:effectExtent l="0" t="0" r="3810" b="0"/>
            <wp:docPr id="1026" name="Picture 1" descr="A close-up of a logo&#10;&#10;AI-generated content may be incorrec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072820" cy="914479"/>
                    </a:xfrm>
                    <a:prstGeom prst="rect"/>
                  </pic:spPr>
                </pic:pic>
              </a:graphicData>
            </a:graphic>
          </wp:inline>
        </w:drawing>
      </w:r>
    </w:p>
    <w:p>
      <w:pPr>
        <w:pStyle w:val="style0"/>
        <w:jc w:val="center"/>
        <w:rPr>
          <w:rFonts w:cs="Times New Roman" w:eastAsia="Times New Roman"/>
          <w:b/>
          <w:bCs/>
          <w:sz w:val="32"/>
          <w:szCs w:val="32"/>
        </w:rPr>
      </w:pPr>
      <w:r>
        <w:rPr>
          <w:rFonts w:cs="Times New Roman" w:eastAsia="Times New Roman"/>
          <w:b/>
          <w:bCs/>
          <w:sz w:val="32"/>
          <w:szCs w:val="32"/>
        </w:rPr>
        <w:t>Programme</w:t>
      </w:r>
      <w:r>
        <w:rPr>
          <w:rFonts w:cs="Times New Roman" w:eastAsia="Times New Roman"/>
          <w:b/>
          <w:bCs/>
          <w:sz w:val="32"/>
          <w:szCs w:val="32"/>
        </w:rPr>
        <w:t xml:space="preserve">: Master </w:t>
      </w:r>
      <w:r>
        <w:rPr>
          <w:rFonts w:cs="Times New Roman" w:eastAsia="Times New Roman"/>
          <w:b/>
          <w:bCs/>
          <w:sz w:val="32"/>
          <w:szCs w:val="32"/>
        </w:rPr>
        <w:t>of</w:t>
      </w:r>
      <w:r>
        <w:rPr>
          <w:rFonts w:cs="Times New Roman" w:eastAsia="Times New Roman"/>
          <w:b/>
          <w:bCs/>
          <w:sz w:val="32"/>
          <w:szCs w:val="32"/>
        </w:rPr>
        <w:t xml:space="preserve"> Business Administration </w:t>
      </w:r>
    </w:p>
    <w:p>
      <w:pPr>
        <w:pStyle w:val="style0"/>
        <w:jc w:val="center"/>
        <w:rPr>
          <w:rFonts w:cs="Times New Roman" w:eastAsia="Times New Roman"/>
          <w:b/>
          <w:bCs/>
          <w:sz w:val="32"/>
          <w:szCs w:val="32"/>
        </w:rPr>
      </w:pPr>
      <w:r>
        <w:rPr>
          <w:rFonts w:cs="Times New Roman" w:eastAsia="Times New Roman"/>
          <w:b/>
          <w:bCs/>
          <w:sz w:val="32"/>
          <w:szCs w:val="32"/>
        </w:rPr>
        <w:t xml:space="preserve">Module: International Business Concepts </w:t>
      </w:r>
    </w:p>
    <w:p>
      <w:pPr>
        <w:pStyle w:val="style0"/>
        <w:jc w:val="center"/>
        <w:rPr>
          <w:rFonts w:cs="Times New Roman" w:eastAsia="Times New Roman"/>
          <w:b/>
          <w:bCs/>
          <w:sz w:val="32"/>
          <w:szCs w:val="32"/>
        </w:rPr>
      </w:pPr>
      <w:r>
        <w:rPr>
          <w:rFonts w:cs="Times New Roman" w:eastAsia="Times New Roman"/>
          <w:b/>
          <w:bCs/>
          <w:sz w:val="32"/>
          <w:szCs w:val="32"/>
        </w:rPr>
        <w:t>Module Code</w:t>
      </w:r>
      <w:r>
        <w:rPr>
          <w:rFonts w:cs="Times New Roman" w:eastAsia="Times New Roman"/>
          <w:b/>
          <w:bCs/>
          <w:sz w:val="32"/>
          <w:szCs w:val="32"/>
        </w:rPr>
        <w:t xml:space="preserve">: LCMB7034 </w:t>
      </w:r>
    </w:p>
    <w:p>
      <w:pPr>
        <w:pStyle w:val="style0"/>
        <w:jc w:val="center"/>
        <w:rPr>
          <w:rFonts w:cs="Times New Roman"/>
          <w:b/>
          <w:bCs/>
          <w:sz w:val="32"/>
          <w:szCs w:val="32"/>
        </w:rPr>
      </w:pPr>
      <w:r>
        <w:rPr>
          <w:rFonts w:cs="Times New Roman"/>
          <w:b/>
          <w:bCs/>
          <w:sz w:val="32"/>
          <w:szCs w:val="32"/>
        </w:rPr>
        <w:t xml:space="preserve">Assignment Title: Report </w:t>
      </w:r>
    </w:p>
    <w:p>
      <w:pPr>
        <w:pStyle w:val="style0"/>
        <w:jc w:val="center"/>
        <w:rPr>
          <w:rFonts w:cs="Times New Roman"/>
          <w:b/>
          <w:bCs/>
          <w:sz w:val="32"/>
          <w:szCs w:val="32"/>
        </w:rPr>
      </w:pPr>
      <w:r>
        <w:rPr>
          <w:rFonts w:cs="Times New Roman"/>
          <w:b/>
          <w:bCs/>
          <w:sz w:val="32"/>
          <w:szCs w:val="32"/>
        </w:rPr>
        <w:t>Student Name:</w:t>
      </w:r>
      <w:r>
        <w:rPr>
          <w:rFonts w:cs="Times New Roman"/>
          <w:b/>
          <w:bCs/>
          <w:sz w:val="32"/>
          <w:szCs w:val="32"/>
          <w:lang w:val="en-US"/>
        </w:rPr>
        <w:t>Riya Yogesh patel</w:t>
      </w:r>
    </w:p>
    <w:p>
      <w:pPr>
        <w:pStyle w:val="style0"/>
        <w:jc w:val="center"/>
        <w:rPr>
          <w:b/>
          <w:bCs/>
          <w:szCs w:val="24"/>
        </w:rPr>
      </w:pPr>
      <w:r>
        <w:rPr>
          <w:rFonts w:cs="Times New Roman"/>
          <w:b/>
          <w:bCs/>
          <w:sz w:val="32"/>
          <w:szCs w:val="32"/>
        </w:rPr>
        <w:t>Student</w:t>
      </w:r>
      <w:r>
        <w:rPr>
          <w:rFonts w:cs="Times New Roman"/>
          <w:b/>
          <w:bCs/>
          <w:sz w:val="32"/>
          <w:szCs w:val="32"/>
        </w:rPr>
        <w:t xml:space="preserve"> ID</w:t>
      </w:r>
      <w:r>
        <w:rPr>
          <w:rFonts w:cs="Times New Roman"/>
          <w:b/>
          <w:bCs/>
          <w:sz w:val="44"/>
          <w:szCs w:val="44"/>
        </w:rPr>
        <w:t>:</w:t>
      </w:r>
      <w:r>
        <w:rPr>
          <w:b/>
          <w:bCs/>
          <w:sz w:val="36"/>
          <w:szCs w:val="36"/>
        </w:rPr>
        <w:t xml:space="preserve"> </w:t>
      </w:r>
      <w:r>
        <w:rPr>
          <w:b/>
          <w:bCs/>
          <w:sz w:val="36"/>
          <w:szCs w:val="36"/>
          <w:lang w:val="en-US"/>
        </w:rPr>
        <w:t>2434472</w:t>
      </w:r>
    </w:p>
    <w:p>
      <w:pPr>
        <w:pStyle w:val="style0"/>
        <w:rPr>
          <w:szCs w:val="24"/>
        </w:rPr>
      </w:pPr>
      <w:r>
        <w:rPr>
          <w:szCs w:val="24"/>
        </w:rPr>
        <w:br w:type="page"/>
      </w:r>
    </w:p>
    <w:p>
      <w:pPr>
        <w:pStyle w:val="style266"/>
        <w:spacing w:lineRule="auto" w:line="360"/>
        <w:jc w:val="center"/>
        <w:rPr>
          <w:rFonts w:ascii="Times New Roman" w:cs="Times New Roman" w:hAnsi="Times New Roman"/>
          <w:b/>
          <w:bCs/>
          <w:color w:val="000000"/>
          <w:sz w:val="28"/>
          <w:szCs w:val="28"/>
        </w:rPr>
      </w:pPr>
      <w:r>
        <w:rPr>
          <w:rFonts w:ascii="Times New Roman" w:cs="Times New Roman" w:hAnsi="Times New Roman"/>
          <w:b/>
          <w:bCs/>
          <w:color w:val="000000"/>
          <w:sz w:val="28"/>
          <w:szCs w:val="28"/>
        </w:rPr>
        <w:t>TABLE OF CONTENTS</w:t>
      </w:r>
    </w:p>
    <w:p>
      <w:pPr>
        <w:pStyle w:val="style19"/>
        <w:tabs>
          <w:tab w:val="right" w:leader="dot" w:pos="9350"/>
        </w:tabs>
        <w:rPr>
          <w:rFonts w:ascii="Cambria" w:cs="宋体" w:eastAsia="宋体" w:hAnsi="Cambria"/>
          <w:noProof/>
          <w:sz w:val="22"/>
          <w:lang w:val="en-GB" w:eastAsia="en-GB"/>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r>
        <w:rPr/>
        <w:fldChar w:fldCharType="begin"/>
      </w:r>
      <w:r>
        <w:instrText xml:space="preserve"> HYPERLINK \l "_Toc215673714" </w:instrText>
      </w:r>
      <w:r>
        <w:rPr/>
        <w:fldChar w:fldCharType="separate"/>
      </w:r>
      <w:r>
        <w:rPr>
          <w:rStyle w:val="style85"/>
          <w:noProof/>
        </w:rPr>
        <w:t>1. Introduction</w:t>
      </w:r>
      <w:r>
        <w:rPr>
          <w:noProof/>
          <w:webHidden/>
        </w:rPr>
        <w:tab/>
      </w:r>
      <w:r>
        <w:rPr>
          <w:noProof/>
          <w:webHidden/>
        </w:rPr>
        <w:fldChar w:fldCharType="begin"/>
      </w:r>
      <w:r>
        <w:rPr>
          <w:noProof/>
          <w:webHidden/>
        </w:rPr>
        <w:instrText xml:space="preserve"> PAGEREF _Toc215673714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GB" w:eastAsia="en-GB"/>
        </w:rPr>
      </w:pPr>
      <w:r>
        <w:rPr/>
        <w:fldChar w:fldCharType="begin"/>
      </w:r>
      <w:r>
        <w:instrText xml:space="preserve"> HYPERLINK \l "_Toc215673715" </w:instrText>
      </w:r>
      <w:r>
        <w:rPr/>
        <w:fldChar w:fldCharType="separate"/>
      </w:r>
      <w:r>
        <w:rPr>
          <w:rStyle w:val="style85"/>
          <w:noProof/>
        </w:rPr>
        <w:t>2. Benefits and challenges of international operations</w:t>
      </w:r>
      <w:r>
        <w:rPr>
          <w:noProof/>
          <w:webHidden/>
        </w:rPr>
        <w:tab/>
      </w:r>
      <w:r>
        <w:rPr>
          <w:noProof/>
          <w:webHidden/>
        </w:rPr>
        <w:fldChar w:fldCharType="begin"/>
      </w:r>
      <w:r>
        <w:rPr>
          <w:noProof/>
          <w:webHidden/>
        </w:rPr>
        <w:instrText xml:space="preserve"> PAGEREF _Toc215673715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"_Toc215673716" </w:instrText>
      </w:r>
      <w:r>
        <w:rPr/>
        <w:fldChar w:fldCharType="separate"/>
      </w:r>
      <w:r>
        <w:rPr>
          <w:rStyle w:val="style85"/>
          <w:noProof/>
        </w:rPr>
        <w:t>2.1 Why Nestlé is an MNC or TNC</w:t>
      </w:r>
      <w:r>
        <w:rPr>
          <w:noProof/>
          <w:webHidden/>
        </w:rPr>
        <w:tab/>
      </w:r>
      <w:r>
        <w:rPr>
          <w:noProof/>
          <w:webHidden/>
        </w:rPr>
        <w:fldChar w:fldCharType="begin"/>
      </w:r>
      <w:r>
        <w:rPr>
          <w:noProof/>
          <w:webHidden/>
        </w:rPr>
        <w:instrText xml:space="preserve"> PAGEREF _Toc215673716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"_Toc215673717" </w:instrText>
      </w:r>
      <w:r>
        <w:rPr/>
        <w:fldChar w:fldCharType="separate"/>
      </w:r>
      <w:r>
        <w:rPr>
          <w:rStyle w:val="style85"/>
          <w:noProof/>
        </w:rPr>
        <w:t>2.2 Nature of Nestlé’s Global Operations</w:t>
      </w:r>
      <w:r>
        <w:rPr>
          <w:noProof/>
          <w:webHidden/>
        </w:rPr>
        <w:tab/>
      </w:r>
      <w:r>
        <w:rPr>
          <w:noProof/>
          <w:webHidden/>
        </w:rPr>
        <w:fldChar w:fldCharType="begin"/>
      </w:r>
      <w:r>
        <w:rPr>
          <w:noProof/>
          <w:webHidden/>
        </w:rPr>
        <w:instrText xml:space="preserve"> PAGEREF _Toc215673717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"_Toc215673718" </w:instrText>
      </w:r>
      <w:r>
        <w:rPr/>
        <w:fldChar w:fldCharType="separate"/>
      </w:r>
      <w:r>
        <w:rPr>
          <w:rStyle w:val="style85"/>
          <w:noProof/>
        </w:rPr>
        <w:t>2.3 Entry Modes Used by Nestlé</w:t>
      </w:r>
      <w:r>
        <w:rPr>
          <w:noProof/>
          <w:webHidden/>
        </w:rPr>
        <w:tab/>
      </w:r>
      <w:r>
        <w:rPr>
          <w:noProof/>
          <w:webHidden/>
        </w:rPr>
        <w:fldChar w:fldCharType="begin"/>
      </w:r>
      <w:r>
        <w:rPr>
          <w:noProof/>
          <w:webHidden/>
        </w:rPr>
        <w:instrText xml:space="preserve"> PAGEREF _Toc215673718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"_Toc215673719" </w:instrText>
      </w:r>
      <w:r>
        <w:rPr/>
        <w:fldChar w:fldCharType="separate"/>
      </w:r>
      <w:r>
        <w:rPr>
          <w:rStyle w:val="style85"/>
          <w:noProof/>
        </w:rPr>
        <w:t>2.4 Key Benefits from International Operations</w:t>
      </w:r>
      <w:r>
        <w:rPr>
          <w:noProof/>
          <w:webHidden/>
        </w:rPr>
        <w:tab/>
      </w:r>
      <w:r>
        <w:rPr>
          <w:noProof/>
          <w:webHidden/>
        </w:rPr>
        <w:fldChar w:fldCharType="begin"/>
      </w:r>
      <w:r>
        <w:rPr>
          <w:noProof/>
          <w:webHidden/>
        </w:rPr>
        <w:instrText xml:space="preserve"> PAGEREF _Toc215673719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GB" w:eastAsia="en-GB"/>
        </w:rPr>
      </w:pPr>
      <w:r>
        <w:rPr/>
        <w:fldChar w:fldCharType="begin"/>
      </w:r>
      <w:r>
        <w:instrText xml:space="preserve"> HYPERLINK \l "_Toc215673720" </w:instrText>
      </w:r>
      <w:r>
        <w:rPr/>
        <w:fldChar w:fldCharType="separate"/>
      </w:r>
      <w:r>
        <w:rPr>
          <w:rStyle w:val="style85"/>
          <w:noProof/>
        </w:rPr>
        <w:t>3. OLI Analysis for Nestlé Entering Chile</w:t>
      </w:r>
      <w:r>
        <w:rPr>
          <w:noProof/>
          <w:webHidden/>
        </w:rPr>
        <w:tab/>
      </w:r>
      <w:r>
        <w:rPr>
          <w:noProof/>
          <w:webHidden/>
        </w:rPr>
        <w:fldChar w:fldCharType="begin"/>
      </w:r>
      <w:r>
        <w:rPr>
          <w:noProof/>
          <w:webHidden/>
        </w:rPr>
        <w:instrText xml:space="preserve"> PAGEREF _Toc215673720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"_Toc215673721" </w:instrText>
      </w:r>
      <w:r>
        <w:rPr/>
        <w:fldChar w:fldCharType="separate"/>
      </w:r>
      <w:r>
        <w:rPr>
          <w:rStyle w:val="style85"/>
          <w:noProof/>
        </w:rPr>
        <w:t>3.1 Ownership Advantages (O)</w:t>
      </w:r>
      <w:r>
        <w:rPr>
          <w:noProof/>
          <w:webHidden/>
        </w:rPr>
        <w:tab/>
      </w:r>
      <w:r>
        <w:rPr>
          <w:noProof/>
          <w:webHidden/>
        </w:rPr>
        <w:fldChar w:fldCharType="begin"/>
      </w:r>
      <w:r>
        <w:rPr>
          <w:noProof/>
          <w:webHidden/>
        </w:rPr>
        <w:instrText xml:space="preserve"> PAGEREF _Toc215673721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"_Toc215673722" </w:instrText>
      </w:r>
      <w:r>
        <w:rPr/>
        <w:fldChar w:fldCharType="separate"/>
      </w:r>
      <w:r>
        <w:rPr>
          <w:rStyle w:val="style85"/>
          <w:noProof/>
        </w:rPr>
        <w:t>3.2 Location Advantages (L)</w:t>
      </w:r>
      <w:r>
        <w:rPr>
          <w:noProof/>
          <w:webHidden/>
        </w:rPr>
        <w:tab/>
      </w:r>
      <w:r>
        <w:rPr>
          <w:noProof/>
          <w:webHidden/>
        </w:rPr>
        <w:fldChar w:fldCharType="begin"/>
      </w:r>
      <w:r>
        <w:rPr>
          <w:noProof/>
          <w:webHidden/>
        </w:rPr>
        <w:instrText xml:space="preserve"> PAGEREF _Toc215673722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"_Toc215673723" </w:instrText>
      </w:r>
      <w:r>
        <w:rPr/>
        <w:fldChar w:fldCharType="separate"/>
      </w:r>
      <w:r>
        <w:rPr>
          <w:rStyle w:val="style85"/>
          <w:noProof/>
        </w:rPr>
        <w:t>3.3 Internalisation Advantages (I)</w:t>
      </w:r>
      <w:r>
        <w:rPr>
          <w:noProof/>
          <w:webHidden/>
        </w:rPr>
        <w:tab/>
      </w:r>
      <w:r>
        <w:rPr>
          <w:noProof/>
          <w:webHidden/>
        </w:rPr>
        <w:fldChar w:fldCharType="begin"/>
      </w:r>
      <w:r>
        <w:rPr>
          <w:noProof/>
          <w:webHidden/>
        </w:rPr>
        <w:instrText xml:space="preserve"> PAGEREF _Toc215673723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"_Toc215673724" </w:instrText>
      </w:r>
      <w:r>
        <w:rPr/>
        <w:fldChar w:fldCharType="separate"/>
      </w:r>
      <w:r>
        <w:rPr>
          <w:rStyle w:val="style85"/>
          <w:noProof/>
        </w:rPr>
        <w:t>3.4 How OLI Impacts Nestlé’s Entry Mode into Chile</w:t>
      </w:r>
      <w:r>
        <w:rPr>
          <w:noProof/>
          <w:webHidden/>
        </w:rPr>
        <w:tab/>
      </w:r>
      <w:r>
        <w:rPr>
          <w:noProof/>
          <w:webHidden/>
        </w:rPr>
        <w:fldChar w:fldCharType="begin"/>
      </w:r>
      <w:r>
        <w:rPr>
          <w:noProof/>
          <w:webHidden/>
        </w:rPr>
        <w:instrText xml:space="preserve"> PAGEREF _Toc215673724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"_Toc215673725" </w:instrText>
      </w:r>
      <w:r>
        <w:rPr/>
        <w:fldChar w:fldCharType="separate"/>
      </w:r>
      <w:r>
        <w:rPr>
          <w:rStyle w:val="style85"/>
          <w:noProof/>
        </w:rPr>
        <w:t>3.5 PESTLE Analysis</w:t>
      </w:r>
      <w:r>
        <w:rPr>
          <w:noProof/>
          <w:webHidden/>
        </w:rPr>
        <w:tab/>
      </w:r>
      <w:r>
        <w:rPr>
          <w:noProof/>
          <w:webHidden/>
        </w:rPr>
        <w:fldChar w:fldCharType="begin"/>
      </w:r>
      <w:r>
        <w:rPr>
          <w:noProof/>
          <w:webHidden/>
        </w:rPr>
        <w:instrText xml:space="preserve"> PAGEREF _Toc215673725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GB" w:eastAsia="en-GB"/>
        </w:rPr>
      </w:pPr>
      <w:r>
        <w:rPr/>
        <w:fldChar w:fldCharType="begin"/>
      </w:r>
      <w:r>
        <w:instrText xml:space="preserve"> HYPERLINK \l "_Toc215673726" </w:instrText>
      </w:r>
      <w:r>
        <w:rPr/>
        <w:fldChar w:fldCharType="separate"/>
      </w:r>
      <w:r>
        <w:rPr>
          <w:rStyle w:val="style85"/>
          <w:noProof/>
        </w:rPr>
        <w:t>4. Cultural Differences</w:t>
      </w:r>
      <w:r>
        <w:rPr>
          <w:noProof/>
          <w:webHidden/>
        </w:rPr>
        <w:tab/>
      </w:r>
      <w:r>
        <w:rPr>
          <w:noProof/>
          <w:webHidden/>
        </w:rPr>
        <w:fldChar w:fldCharType="begin"/>
      </w:r>
      <w:r>
        <w:rPr>
          <w:noProof/>
          <w:webHidden/>
        </w:rPr>
        <w:instrText xml:space="preserve"> PAGEREF _Toc215673726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"_Toc215673727" </w:instrText>
      </w:r>
      <w:r>
        <w:rPr/>
        <w:fldChar w:fldCharType="separate"/>
      </w:r>
      <w:r>
        <w:rPr>
          <w:rStyle w:val="style85"/>
          <w:noProof/>
        </w:rPr>
        <w:t>4.1 Cultural Comparison Using Hofstede Dimensions</w:t>
      </w:r>
      <w:r>
        <w:rPr>
          <w:noProof/>
          <w:webHidden/>
        </w:rPr>
        <w:tab/>
      </w:r>
      <w:r>
        <w:rPr>
          <w:noProof/>
          <w:webHidden/>
        </w:rPr>
        <w:fldChar w:fldCharType="begin"/>
      </w:r>
      <w:r>
        <w:rPr>
          <w:noProof/>
          <w:webHidden/>
        </w:rPr>
        <w:instrText xml:space="preserve"> PAGEREF _Toc215673727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"_Toc215673728" </w:instrText>
      </w:r>
      <w:r>
        <w:rPr/>
        <w:fldChar w:fldCharType="separate"/>
      </w:r>
      <w:r>
        <w:rPr>
          <w:rStyle w:val="style85"/>
          <w:noProof/>
        </w:rPr>
        <w:t>4.2 Impact on Nestlé’s Potential for Success</w:t>
      </w:r>
      <w:r>
        <w:rPr>
          <w:noProof/>
          <w:webHidden/>
        </w:rPr>
        <w:tab/>
      </w:r>
      <w:r>
        <w:rPr>
          <w:noProof/>
          <w:webHidden/>
        </w:rPr>
        <w:fldChar w:fldCharType="begin"/>
      </w:r>
      <w:r>
        <w:rPr>
          <w:noProof/>
          <w:webHidden/>
        </w:rPr>
        <w:instrText xml:space="preserve"> PAGEREF _Toc215673728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GB" w:eastAsia="en-GB"/>
        </w:rPr>
      </w:pPr>
      <w:r>
        <w:rPr/>
        <w:fldChar w:fldCharType="begin"/>
      </w:r>
      <w:r>
        <w:instrText xml:space="preserve"> HYPERLINK \l "_Toc215673729" </w:instrText>
      </w:r>
      <w:r>
        <w:rPr/>
        <w:fldChar w:fldCharType="separate"/>
      </w:r>
      <w:r>
        <w:rPr>
          <w:rStyle w:val="style85"/>
          <w:noProof/>
        </w:rPr>
        <w:t>5. SOP Adjustments Required for Success in Chile</w:t>
      </w:r>
      <w:r>
        <w:rPr>
          <w:noProof/>
          <w:webHidden/>
        </w:rPr>
        <w:tab/>
      </w:r>
      <w:r>
        <w:rPr>
          <w:noProof/>
          <w:webHidden/>
        </w:rPr>
        <w:fldChar w:fldCharType="begin"/>
      </w:r>
      <w:r>
        <w:rPr>
          <w:noProof/>
          <w:webHidden/>
        </w:rPr>
        <w:instrText xml:space="preserve"> PAGEREF _Toc215673729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"_Toc215673730" </w:instrText>
      </w:r>
      <w:r>
        <w:rPr/>
        <w:fldChar w:fldCharType="separate"/>
      </w:r>
      <w:r>
        <w:rPr>
          <w:rStyle w:val="style85"/>
          <w:noProof/>
        </w:rPr>
        <w:t>5.1 Localised Marketing &amp; Product Adaptation SOP</w:t>
      </w:r>
      <w:r>
        <w:rPr>
          <w:noProof/>
          <w:webHidden/>
        </w:rPr>
        <w:tab/>
      </w:r>
      <w:r>
        <w:rPr>
          <w:noProof/>
          <w:webHidden/>
        </w:rPr>
        <w:fldChar w:fldCharType="begin"/>
      </w:r>
      <w:r>
        <w:rPr>
          <w:noProof/>
          <w:webHidden/>
        </w:rPr>
        <w:instrText xml:space="preserve"> PAGEREF _Toc215673730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"_Toc215673731" </w:instrText>
      </w:r>
      <w:r>
        <w:rPr/>
        <w:fldChar w:fldCharType="separate"/>
      </w:r>
      <w:r>
        <w:rPr>
          <w:rStyle w:val="style85"/>
          <w:noProof/>
        </w:rPr>
        <w:t>5.2 HR &amp; Leadership SOP Adjustment</w:t>
      </w:r>
      <w:r>
        <w:rPr>
          <w:noProof/>
          <w:webHidden/>
        </w:rPr>
        <w:tab/>
      </w:r>
      <w:r>
        <w:rPr>
          <w:noProof/>
          <w:webHidden/>
        </w:rPr>
        <w:fldChar w:fldCharType="begin"/>
      </w:r>
      <w:r>
        <w:rPr>
          <w:noProof/>
          <w:webHidden/>
        </w:rPr>
        <w:instrText xml:space="preserve"> PAGEREF _Toc215673731 \h </w:instrText>
      </w:r>
      <w:r>
        <w:rPr>
          <w:noProof/>
          <w:webHidden/>
        </w:rPr>
        <w:fldChar w:fldCharType="separate"/>
      </w:r>
      <w:r>
        <w:rPr>
          <w:noProof/>
          <w:webHidden/>
        </w:rPr>
        <w:t>18</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GB" w:eastAsia="en-GB"/>
        </w:rPr>
      </w:pPr>
      <w:r>
        <w:rPr/>
        <w:fldChar w:fldCharType="begin"/>
      </w:r>
      <w:r>
        <w:instrText xml:space="preserve"> HYPERLINK \l "_Toc215673732" </w:instrText>
      </w:r>
      <w:r>
        <w:rPr/>
        <w:fldChar w:fldCharType="separate"/>
      </w:r>
      <w:r>
        <w:rPr>
          <w:rStyle w:val="style85"/>
          <w:noProof/>
        </w:rPr>
        <w:t>5.3 Supply Chain &amp; Sourcing SOP Revision</w:t>
      </w:r>
      <w:r>
        <w:rPr>
          <w:noProof/>
          <w:webHidden/>
        </w:rPr>
        <w:tab/>
      </w:r>
      <w:r>
        <w:rPr>
          <w:noProof/>
          <w:webHidden/>
        </w:rPr>
        <w:fldChar w:fldCharType="begin"/>
      </w:r>
      <w:r>
        <w:rPr>
          <w:noProof/>
          <w:webHidden/>
        </w:rPr>
        <w:instrText xml:space="preserve"> PAGEREF _Toc215673732 \h </w:instrText>
      </w:r>
      <w:r>
        <w:rPr>
          <w:noProof/>
          <w:webHidden/>
        </w:rPr>
        <w:fldChar w:fldCharType="separate"/>
      </w:r>
      <w:r>
        <w:rPr>
          <w:noProof/>
          <w:webHidden/>
        </w:rPr>
        <w:t>19</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GB" w:eastAsia="en-GB"/>
        </w:rPr>
      </w:pPr>
      <w:r>
        <w:rPr/>
        <w:fldChar w:fldCharType="begin"/>
      </w:r>
      <w:r>
        <w:instrText xml:space="preserve"> HYPERLINK \l "_Toc215673733" </w:instrText>
      </w:r>
      <w:r>
        <w:rPr/>
        <w:fldChar w:fldCharType="separate"/>
      </w:r>
      <w:r>
        <w:rPr>
          <w:rStyle w:val="style85"/>
          <w:noProof/>
        </w:rPr>
        <w:t>6. Conclusion</w:t>
      </w:r>
      <w:r>
        <w:rPr>
          <w:noProof/>
          <w:webHidden/>
        </w:rPr>
        <w:tab/>
      </w:r>
      <w:r>
        <w:rPr>
          <w:noProof/>
          <w:webHidden/>
        </w:rPr>
        <w:fldChar w:fldCharType="begin"/>
      </w:r>
      <w:r>
        <w:rPr>
          <w:noProof/>
          <w:webHidden/>
        </w:rPr>
        <w:instrText xml:space="preserve"> PAGEREF _Toc215673733 \h </w:instrText>
      </w:r>
      <w:r>
        <w:rPr>
          <w:noProof/>
          <w:webHidden/>
        </w:rPr>
        <w:fldChar w:fldCharType="separate"/>
      </w:r>
      <w:r>
        <w:rPr>
          <w:noProof/>
          <w:webHidden/>
        </w:rPr>
        <w:t>20</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GB" w:eastAsia="en-GB"/>
        </w:rPr>
      </w:pPr>
      <w:r>
        <w:rPr/>
        <w:fldChar w:fldCharType="begin"/>
      </w:r>
      <w:r>
        <w:instrText xml:space="preserve"> HYPERLINK \l "_Toc215673734"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_Toc215673734 \h </w:instrText>
      </w:r>
      <w:r>
        <w:rPr>
          <w:noProof/>
          <w:webHidden/>
        </w:rPr>
        <w:fldChar w:fldCharType="separate"/>
      </w:r>
      <w:r>
        <w:rPr>
          <w:noProof/>
          <w:webHidden/>
        </w:rPr>
        <w:t>22</w:t>
      </w:r>
      <w:r>
        <w:rPr>
          <w:noProof/>
          <w:webHidden/>
        </w:rPr>
        <w:fldChar w:fldCharType="end"/>
      </w:r>
      <w:r>
        <w:rPr/>
        <w:fldChar w:fldCharType="end"/>
      </w:r>
    </w:p>
    <w:p>
      <w:pPr>
        <w:pStyle w:val="style0"/>
        <w:jc w:val="center"/>
        <w:rPr/>
      </w:pPr>
      <w:r>
        <w:rPr>
          <w:rFonts w:cs="Times New Roman"/>
          <w:b/>
          <w:bCs/>
          <w:noProof/>
          <w:szCs w:val="24"/>
        </w:rPr>
        <w:fldChar w:fldCharType="end"/>
      </w:r>
    </w:p>
    <w:p>
      <w:pPr>
        <w:pStyle w:val="style0"/>
        <w:jc w:val="center"/>
        <w:rPr>
          <w:rFonts w:cs="Times New Roman" w:eastAsia="Times New Roman"/>
          <w:b/>
          <w:bCs/>
          <w:sz w:val="32"/>
          <w:szCs w:val="32"/>
        </w:rPr>
      </w:pPr>
      <w:r>
        <w:br w:type="page"/>
      </w:r>
    </w:p>
    <w:bookmarkStart w:id="0" w:name="_qeks35xagx5k" w:colFirst="0" w:colLast="0"/>
    <w:bookmarkStart w:id="1" w:name="_Toc215673714"/>
    <w:bookmarkEnd w:id="0"/>
    <w:p>
      <w:pPr>
        <w:pStyle w:val="style1"/>
        <w:rPr/>
      </w:pPr>
      <w:r>
        <w:t>1. Introduction</w:t>
      </w:r>
      <w:bookmarkEnd w:id="1"/>
    </w:p>
    <w:p>
      <w:pPr>
        <w:pStyle w:val="style0"/>
        <w:rPr>
          <w:rFonts w:cs="Times New Roman" w:eastAsia="Times New Roman"/>
          <w:szCs w:val="24"/>
        </w:rPr>
      </w:pPr>
      <w:r>
        <w:rPr>
          <w:rFonts w:cs="Times New Roman" w:eastAsia="Times New Roman"/>
          <w:szCs w:val="24"/>
        </w:rPr>
        <w:t>The report provides a critical analysis of the international business strategy of Nestlé in terms of its expansive operations in Chile, the emerging economy of Latin America. It analyses the ways Nestlé, as a transnational company globally, can use its own</w:t>
      </w:r>
      <w:r>
        <w:rPr>
          <w:rFonts w:cs="Times New Roman" w:eastAsia="Times New Roman"/>
          <w:szCs w:val="24"/>
        </w:rPr>
        <w:t xml:space="preserve">ership capabilities, location-specific advantages and </w:t>
      </w:r>
      <w:r>
        <w:rPr>
          <w:rFonts w:cs="Times New Roman" w:eastAsia="Times New Roman"/>
          <w:szCs w:val="24"/>
        </w:rPr>
        <w:t>internalisation</w:t>
      </w:r>
      <w:r>
        <w:rPr>
          <w:rFonts w:cs="Times New Roman" w:eastAsia="Times New Roman"/>
          <w:szCs w:val="24"/>
        </w:rPr>
        <w:t xml:space="preserve"> benefits in the light of the OLI framework in making market entry decisions. The report also compares cultural differences between the Switzerland where Nestlé is located and Chile based</w:t>
      </w:r>
      <w:r>
        <w:rPr>
          <w:rFonts w:cs="Times New Roman" w:eastAsia="Times New Roman"/>
          <w:szCs w:val="24"/>
        </w:rPr>
        <w:t xml:space="preserve"> on the Hofstede dimensions, evaluates the impact of these differences on the consumer behaviour, </w:t>
      </w:r>
      <w:r>
        <w:rPr>
          <w:rFonts w:cs="Times New Roman" w:eastAsia="Times New Roman"/>
          <w:szCs w:val="24"/>
        </w:rPr>
        <w:t>organisational</w:t>
      </w:r>
      <w:r>
        <w:rPr>
          <w:rFonts w:cs="Times New Roman" w:eastAsia="Times New Roman"/>
          <w:szCs w:val="24"/>
        </w:rPr>
        <w:t xml:space="preserve"> behaviors and marketing strategy. Moreover, the report determines the major advantages and obstacles related to the global operation of Nestlé,</w:t>
      </w:r>
      <w:r>
        <w:rPr>
          <w:rFonts w:cs="Times New Roman" w:eastAsia="Times New Roman"/>
          <w:szCs w:val="24"/>
        </w:rPr>
        <w:t xml:space="preserve"> as well as suggests strategic changes in the Standard Operating Procedures (SOPs) to guarantee successful adjustment in the Chilean market. Gen</w:t>
      </w:r>
      <w:bookmarkStart w:id="2" w:name="_GoBack"/>
      <w:bookmarkEnd w:id="2"/>
      <w:r>
        <w:rPr>
          <w:rFonts w:cs="Times New Roman" w:eastAsia="Times New Roman"/>
          <w:szCs w:val="24"/>
        </w:rPr>
        <w:t>erally, the analysis is a combination of theory and practice to aid successful international expansion.</w:t>
      </w:r>
    </w:p>
    <w:bookmarkStart w:id="3" w:name="_xsxqj07prcla" w:colFirst="0" w:colLast="0"/>
    <w:bookmarkStart w:id="4" w:name="_Toc215673715"/>
    <w:bookmarkEnd w:id="3"/>
    <w:p>
      <w:pPr>
        <w:pStyle w:val="style1"/>
        <w:rPr/>
      </w:pPr>
      <w:r>
        <w:t>2. Benef</w:t>
      </w:r>
      <w:r>
        <w:t>its and challenges of international operations</w:t>
      </w:r>
      <w:bookmarkEnd w:id="4"/>
    </w:p>
    <w:bookmarkStart w:id="5" w:name="_84zxvbx0eo8x" w:colFirst="0" w:colLast="0"/>
    <w:bookmarkStart w:id="6" w:name="_Toc215673716"/>
    <w:bookmarkEnd w:id="5"/>
    <w:p>
      <w:pPr>
        <w:pStyle w:val="style2"/>
        <w:rPr/>
      </w:pPr>
      <w:r>
        <w:t>2.1 Why Nestlé is an MNC or TNC</w:t>
      </w:r>
      <w:bookmarkEnd w:id="6"/>
    </w:p>
    <w:p>
      <w:pPr>
        <w:pStyle w:val="style0"/>
        <w:rPr>
          <w:rFonts w:cs="Times New Roman" w:eastAsia="Times New Roman"/>
          <w:szCs w:val="24"/>
        </w:rPr>
      </w:pPr>
      <w:r>
        <w:rPr>
          <w:rFonts w:cs="Times New Roman" w:eastAsia="Times New Roman"/>
          <w:szCs w:val="24"/>
        </w:rPr>
        <w:t xml:space="preserve">The presence of Nestlé is highly </w:t>
      </w:r>
      <w:r>
        <w:rPr>
          <w:rFonts w:cs="Times New Roman" w:eastAsia="Times New Roman"/>
          <w:szCs w:val="24"/>
        </w:rPr>
        <w:t>recognised</w:t>
      </w:r>
      <w:r>
        <w:rPr>
          <w:rFonts w:cs="Times New Roman" w:eastAsia="Times New Roman"/>
          <w:szCs w:val="24"/>
        </w:rPr>
        <w:t xml:space="preserve"> as one of the primary Multinational and Transnational corporations in terms of its extensive global presence, </w:t>
      </w:r>
      <w:r>
        <w:rPr>
          <w:rFonts w:cs="Times New Roman" w:eastAsia="Times New Roman"/>
          <w:szCs w:val="24"/>
        </w:rPr>
        <w:t>decentralised</w:t>
      </w:r>
      <w:r>
        <w:rPr>
          <w:rFonts w:cs="Times New Roman" w:eastAsia="Times New Roman"/>
          <w:szCs w:val="24"/>
        </w:rPr>
        <w:t xml:space="preserve"> structure of the organisation and cross-border value-chain integration. It has operations in 185 countries and has a portfolio of more than 2,000 brands, such as Nescafé, KitKat and Maggi, that serve billions of people across the world (Nestlé, 2025a). Ne</w:t>
      </w:r>
      <w:r>
        <w:rPr>
          <w:rFonts w:cs="Times New Roman" w:eastAsia="Times New Roman"/>
          <w:szCs w:val="24"/>
        </w:rPr>
        <w:t xml:space="preserve">stlé operates 337 factories in 75 countries, which makes the company the largest food-producing company in the world with respect to revenue and distribution (Nestlé, 2025b). The transnational nature can be seen in its strategy of </w:t>
      </w:r>
      <w:r>
        <w:rPr>
          <w:rFonts w:cs="Times New Roman" w:eastAsia="Times New Roman"/>
          <w:szCs w:val="24"/>
        </w:rPr>
        <w:t>glocalisation</w:t>
      </w:r>
      <w:r>
        <w:rPr>
          <w:rFonts w:cs="Times New Roman" w:eastAsia="Times New Roman"/>
          <w:szCs w:val="24"/>
        </w:rPr>
        <w:t>, whereby th</w:t>
      </w:r>
      <w:r>
        <w:rPr>
          <w:rFonts w:cs="Times New Roman" w:eastAsia="Times New Roman"/>
          <w:szCs w:val="24"/>
        </w:rPr>
        <w:t xml:space="preserve">e global brands are </w:t>
      </w:r>
      <w:r>
        <w:rPr>
          <w:rFonts w:cs="Times New Roman" w:eastAsia="Times New Roman"/>
          <w:szCs w:val="24"/>
        </w:rPr>
        <w:t>localised</w:t>
      </w:r>
      <w:r>
        <w:rPr>
          <w:rFonts w:cs="Times New Roman" w:eastAsia="Times New Roman"/>
          <w:szCs w:val="24"/>
        </w:rPr>
        <w:t xml:space="preserve"> in terms of taste without compromising the global standards. The </w:t>
      </w:r>
      <w:r>
        <w:rPr>
          <w:rFonts w:cs="Times New Roman" w:eastAsia="Times New Roman"/>
          <w:szCs w:val="24"/>
        </w:rPr>
        <w:t>decentralised</w:t>
      </w:r>
      <w:r>
        <w:rPr>
          <w:rFonts w:cs="Times New Roman" w:eastAsia="Times New Roman"/>
          <w:szCs w:val="24"/>
        </w:rPr>
        <w:t xml:space="preserve"> form of decision-making is achieved through regional headquarters, with the assistance of R&amp;D </w:t>
      </w:r>
      <w:r>
        <w:rPr>
          <w:rFonts w:cs="Times New Roman" w:eastAsia="Times New Roman"/>
          <w:szCs w:val="24"/>
        </w:rPr>
        <w:t>centres</w:t>
      </w:r>
      <w:r>
        <w:rPr>
          <w:rFonts w:cs="Times New Roman" w:eastAsia="Times New Roman"/>
          <w:szCs w:val="24"/>
        </w:rPr>
        <w:t xml:space="preserve"> in Switzerland, China, Singapore, Brazil and </w:t>
      </w:r>
      <w:r>
        <w:rPr>
          <w:rFonts w:cs="Times New Roman" w:eastAsia="Times New Roman"/>
          <w:szCs w:val="24"/>
        </w:rPr>
        <w:t xml:space="preserve">the United States, allowing transfer of knowledge across borders. All these attributes of global operations, </w:t>
      </w:r>
      <w:r>
        <w:rPr>
          <w:rFonts w:cs="Times New Roman" w:eastAsia="Times New Roman"/>
          <w:szCs w:val="24"/>
        </w:rPr>
        <w:t>decentralised</w:t>
      </w:r>
      <w:r>
        <w:rPr>
          <w:rFonts w:cs="Times New Roman" w:eastAsia="Times New Roman"/>
          <w:szCs w:val="24"/>
        </w:rPr>
        <w:t xml:space="preserve"> management and creation of value on a cross-border scale entrench Nestlé as an MNC and as a TNC.</w:t>
      </w:r>
    </w:p>
    <w:bookmarkStart w:id="7" w:name="_l7kaa32gf9s1" w:colFirst="0" w:colLast="0"/>
    <w:bookmarkStart w:id="8" w:name="_Toc215673717"/>
    <w:bookmarkEnd w:id="7"/>
    <w:p>
      <w:pPr>
        <w:pStyle w:val="style2"/>
        <w:rPr/>
      </w:pPr>
      <w:r>
        <w:t>2.2 Nature of Nestlé’s Global Operat</w:t>
      </w:r>
      <w:r>
        <w:t>ions</w:t>
      </w:r>
      <w:bookmarkEnd w:id="8"/>
      <w:r>
        <w:t xml:space="preserve"> </w:t>
      </w:r>
    </w:p>
    <w:p>
      <w:pPr>
        <w:pStyle w:val="style0"/>
        <w:jc w:val="center"/>
        <w:rPr>
          <w:rFonts w:cs="Times New Roman" w:eastAsia="Times New Roman"/>
          <w:szCs w:val="24"/>
        </w:rPr>
      </w:pPr>
      <w:r>
        <w:rPr>
          <w:rFonts w:cs="Times New Roman" w:eastAsia="Times New Roman"/>
          <w:noProof/>
          <w:szCs w:val="24"/>
          <w:lang w:val="en-GB" w:eastAsia="en-GB"/>
        </w:rPr>
        <w:drawing>
          <wp:inline distL="0" distT="0" distB="0" distR="0">
            <wp:extent cx="5210175" cy="3013999"/>
            <wp:effectExtent l="25400" t="25400" r="25400" b="25400"/>
            <wp:docPr id="1027"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7.png"/>
                    <pic:cNvPicPr/>
                  </pic:nvPicPr>
                  <pic:blipFill>
                    <a:blip r:embed="rId3" cstate="print"/>
                    <a:srcRect l="0" t="0" r="0" b="0"/>
                    <a:stretch/>
                  </pic:blipFill>
                  <pic:spPr>
                    <a:xfrm rot="0">
                      <a:off x="0" y="0"/>
                      <a:ext cx="5210175" cy="3013999"/>
                    </a:xfrm>
                    <a:prstGeom prst="rect"/>
                    <a:ln cmpd="sng" cap="flat" w="25400">
                      <a:solidFill>
                        <a:srgbClr val="000000"/>
                      </a:solidFill>
                      <a:prstDash val="solid"/>
                      <a:round/>
                      <a:headEnd/>
                      <a:tailEnd/>
                    </a:ln>
                  </pic:spPr>
                </pic:pic>
              </a:graphicData>
            </a:graphic>
          </wp:inline>
        </w:drawing>
      </w:r>
    </w:p>
    <w:p>
      <w:pPr>
        <w:pStyle w:val="style0"/>
        <w:jc w:val="center"/>
        <w:rPr>
          <w:rFonts w:cs="Times New Roman" w:eastAsia="Times New Roman"/>
          <w:b/>
          <w:bCs/>
          <w:szCs w:val="24"/>
        </w:rPr>
      </w:pPr>
      <w:r>
        <w:rPr>
          <w:rFonts w:cs="Times New Roman" w:eastAsia="Times New Roman"/>
          <w:b/>
          <w:bCs/>
          <w:szCs w:val="24"/>
        </w:rPr>
        <w:t>Figure 1: Value Chain Analysis</w:t>
      </w:r>
    </w:p>
    <w:p>
      <w:pPr>
        <w:pStyle w:val="style0"/>
        <w:jc w:val="center"/>
        <w:rPr>
          <w:rFonts w:cs="Times New Roman" w:eastAsia="Times New Roman"/>
          <w:szCs w:val="24"/>
        </w:rPr>
      </w:pPr>
      <w:r>
        <w:rPr>
          <w:rFonts w:cs="Times New Roman" w:eastAsia="Times New Roman"/>
          <w:szCs w:val="24"/>
        </w:rPr>
        <w:t>(Source: Self-created)</w:t>
      </w:r>
    </w:p>
    <w:p>
      <w:pPr>
        <w:pStyle w:val="style0"/>
        <w:rPr>
          <w:rFonts w:cs="Times New Roman" w:eastAsia="Times New Roman"/>
          <w:szCs w:val="24"/>
        </w:rPr>
      </w:pPr>
      <w:r>
        <w:rPr>
          <w:rFonts w:cs="Times New Roman" w:eastAsia="Times New Roman"/>
          <w:szCs w:val="24"/>
        </w:rPr>
        <w:t xml:space="preserve">Nestlé has one of the most comprehensive global value chain networks in the world, which is advanced with its research and development division in R&amp;D </w:t>
      </w:r>
      <w:r>
        <w:rPr>
          <w:rFonts w:cs="Times New Roman" w:eastAsia="Times New Roman"/>
          <w:szCs w:val="24"/>
        </w:rPr>
        <w:t>centres</w:t>
      </w:r>
      <w:r>
        <w:rPr>
          <w:rFonts w:cs="Times New Roman" w:eastAsia="Times New Roman"/>
          <w:szCs w:val="24"/>
        </w:rPr>
        <w:t xml:space="preserve"> that promote innovation in nutritio</w:t>
      </w:r>
      <w:r>
        <w:rPr>
          <w:rFonts w:cs="Times New Roman" w:eastAsia="Times New Roman"/>
          <w:szCs w:val="24"/>
        </w:rPr>
        <w:t>n, packaging, and food science. It has over 165,000 farming partners around the globe that guarantee quality access to coffee, cocoa, dairy, grains, and other important inputs in the form of long-term and sustainable relationships (Nestlé, 2025). The syste</w:t>
      </w:r>
      <w:r>
        <w:rPr>
          <w:rFonts w:cs="Times New Roman" w:eastAsia="Times New Roman"/>
          <w:szCs w:val="24"/>
        </w:rPr>
        <w:t>m of production used by Nestlé consists of more than 337 factories in 75 countries, which allows the company to produce products efficiently and locally, as well as deliver them to the market much faster (Nestlé, 2025b). Outbound logistics have been enhanc</w:t>
      </w:r>
      <w:r>
        <w:rPr>
          <w:rFonts w:cs="Times New Roman" w:eastAsia="Times New Roman"/>
          <w:szCs w:val="24"/>
        </w:rPr>
        <w:t xml:space="preserve">ed globally through digital tracking, regional distribution </w:t>
      </w:r>
      <w:r>
        <w:rPr>
          <w:rFonts w:cs="Times New Roman" w:eastAsia="Times New Roman"/>
          <w:szCs w:val="24"/>
        </w:rPr>
        <w:t>centres</w:t>
      </w:r>
      <w:r>
        <w:rPr>
          <w:rFonts w:cs="Times New Roman" w:eastAsia="Times New Roman"/>
          <w:szCs w:val="24"/>
        </w:rPr>
        <w:t>, and excellent relations with retailers and distributors. The global branding and local market adaptation through digital marketing and customer insights drive sales. Nestlé has a strong f</w:t>
      </w:r>
      <w:r>
        <w:rPr>
          <w:rFonts w:cs="Times New Roman" w:eastAsia="Times New Roman"/>
          <w:szCs w:val="24"/>
        </w:rPr>
        <w:t>inancial basis in terms of global revenues, diversified markets, central treasury operations and sustainability investment in ensuring long-term stability and growth.</w:t>
      </w:r>
    </w:p>
    <w:bookmarkStart w:id="9" w:name="_63acx2q4w7fn" w:colFirst="0" w:colLast="0"/>
    <w:bookmarkStart w:id="10" w:name="_Toc215673718"/>
    <w:bookmarkEnd w:id="9"/>
    <w:p>
      <w:pPr>
        <w:pStyle w:val="style2"/>
        <w:rPr/>
      </w:pPr>
      <w:r>
        <w:t>2.3 Entry Modes Used by Nestlé</w:t>
      </w:r>
      <w:bookmarkEnd w:id="10"/>
    </w:p>
    <w:p>
      <w:pPr>
        <w:pStyle w:val="style0"/>
        <w:rPr>
          <w:rFonts w:cs="Times New Roman" w:eastAsia="Times New Roman"/>
          <w:szCs w:val="24"/>
        </w:rPr>
      </w:pPr>
      <w:r>
        <w:rPr>
          <w:rFonts w:cs="Times New Roman" w:eastAsia="Times New Roman"/>
          <w:szCs w:val="24"/>
        </w:rPr>
        <w:t xml:space="preserve">Nestlé has spread to 185 countries with an eclectic combination of international market entry modes that mirror its long-term </w:t>
      </w:r>
      <w:r>
        <w:rPr>
          <w:rFonts w:cs="Times New Roman" w:eastAsia="Times New Roman"/>
          <w:szCs w:val="24"/>
        </w:rPr>
        <w:t>globalisation</w:t>
      </w:r>
      <w:r>
        <w:rPr>
          <w:rFonts w:cs="Times New Roman" w:eastAsia="Times New Roman"/>
          <w:szCs w:val="24"/>
        </w:rPr>
        <w:t xml:space="preserve"> strategy, supply chain needs, and host country regulatory environment (Nestlé, 2025a). The company has strategically</w:t>
      </w:r>
      <w:r>
        <w:rPr>
          <w:rFonts w:cs="Times New Roman" w:eastAsia="Times New Roman"/>
          <w:szCs w:val="24"/>
        </w:rPr>
        <w:t xml:space="preserve"> used foreign direct investment (FDI), wholly owned subsidiaries, acquisitions, joint ventures, licensing, and exporting, based on conditions in the market and company objectives.</w:t>
      </w:r>
    </w:p>
    <w:p>
      <w:pPr>
        <w:pStyle w:val="style0"/>
        <w:rPr>
          <w:rFonts w:cs="Times New Roman" w:eastAsia="Times New Roman"/>
          <w:szCs w:val="24"/>
        </w:rPr>
      </w:pPr>
      <w:r>
        <w:rPr>
          <w:rFonts w:cs="Times New Roman" w:eastAsia="Times New Roman"/>
          <w:szCs w:val="24"/>
        </w:rPr>
        <w:t xml:space="preserve">Greenfield </w:t>
      </w:r>
      <w:r>
        <w:rPr>
          <w:rFonts w:cs="Times New Roman" w:eastAsia="Times New Roman"/>
          <w:b/>
          <w:bCs/>
          <w:i/>
          <w:iCs/>
          <w:szCs w:val="24"/>
        </w:rPr>
        <w:t>Foreign Direct Investment</w:t>
      </w:r>
      <w:r>
        <w:rPr>
          <w:rFonts w:cs="Times New Roman" w:eastAsia="Times New Roman"/>
          <w:szCs w:val="24"/>
        </w:rPr>
        <w:t xml:space="preserve"> is one of the most remarkable entry mod</w:t>
      </w:r>
      <w:r>
        <w:rPr>
          <w:rFonts w:cs="Times New Roman" w:eastAsia="Times New Roman"/>
          <w:szCs w:val="24"/>
        </w:rPr>
        <w:t>es employed by Nestlé, especially in emerging markets, whereby the company establishes manufacturing facilities to ensure that quality, production standards, and supply chain integration are in place (Zhao, 2025). An example is Nestlé, which has opened fac</w:t>
      </w:r>
      <w:r>
        <w:rPr>
          <w:rFonts w:cs="Times New Roman" w:eastAsia="Times New Roman"/>
          <w:szCs w:val="24"/>
        </w:rPr>
        <w:t xml:space="preserve">tories in India, China, Brazil, the Philippines and African nations under the Greenfield investments to </w:t>
      </w:r>
      <w:r>
        <w:rPr>
          <w:rFonts w:cs="Times New Roman" w:eastAsia="Times New Roman"/>
          <w:szCs w:val="24"/>
        </w:rPr>
        <w:t>localise</w:t>
      </w:r>
      <w:r>
        <w:rPr>
          <w:rFonts w:cs="Times New Roman" w:eastAsia="Times New Roman"/>
          <w:szCs w:val="24"/>
        </w:rPr>
        <w:t xml:space="preserve"> manufacturing, cut down on the transportation expenses, as well as to make the products fit into the local taste of consumers. Greenfield FDI i</w:t>
      </w:r>
      <w:r>
        <w:rPr>
          <w:rFonts w:cs="Times New Roman" w:eastAsia="Times New Roman"/>
          <w:szCs w:val="24"/>
        </w:rPr>
        <w:t xml:space="preserve">s also reinforcing the sustainability pledges of Nestlé through </w:t>
      </w:r>
      <w:r>
        <w:rPr>
          <w:rFonts w:cs="Times New Roman" w:eastAsia="Times New Roman"/>
          <w:szCs w:val="24"/>
        </w:rPr>
        <w:t>minimising</w:t>
      </w:r>
      <w:r>
        <w:rPr>
          <w:rFonts w:cs="Times New Roman" w:eastAsia="Times New Roman"/>
          <w:szCs w:val="24"/>
        </w:rPr>
        <w:t xml:space="preserve"> supply chains and </w:t>
      </w:r>
      <w:r>
        <w:rPr>
          <w:rFonts w:cs="Times New Roman" w:eastAsia="Times New Roman"/>
          <w:szCs w:val="24"/>
        </w:rPr>
        <w:t>minimising</w:t>
      </w:r>
      <w:r>
        <w:rPr>
          <w:rFonts w:cs="Times New Roman" w:eastAsia="Times New Roman"/>
          <w:szCs w:val="24"/>
        </w:rPr>
        <w:t xml:space="preserve"> imports of materials.</w:t>
      </w:r>
    </w:p>
    <w:p>
      <w:pPr>
        <w:pStyle w:val="style0"/>
        <w:rPr>
          <w:rFonts w:cs="Times New Roman" w:eastAsia="Times New Roman"/>
          <w:szCs w:val="24"/>
        </w:rPr>
      </w:pPr>
      <w:r>
        <w:rPr>
          <w:rFonts w:cs="Times New Roman" w:eastAsia="Times New Roman"/>
          <w:szCs w:val="24"/>
        </w:rPr>
        <w:t xml:space="preserve">Nestlé has another significant entry mode in the form of </w:t>
      </w:r>
      <w:r>
        <w:rPr>
          <w:rFonts w:cs="Times New Roman" w:eastAsia="Times New Roman"/>
          <w:b/>
          <w:bCs/>
          <w:i/>
          <w:iCs/>
          <w:szCs w:val="24"/>
        </w:rPr>
        <w:t>acquisition</w:t>
      </w:r>
      <w:r>
        <w:rPr>
          <w:rFonts w:cs="Times New Roman" w:eastAsia="Times New Roman"/>
          <w:szCs w:val="24"/>
        </w:rPr>
        <w:t>, which has been widely applied in North America, Europe and L</w:t>
      </w:r>
      <w:r>
        <w:rPr>
          <w:rFonts w:cs="Times New Roman" w:eastAsia="Times New Roman"/>
          <w:szCs w:val="24"/>
        </w:rPr>
        <w:t xml:space="preserve">atin America. Some of the key acquisitions are as follows: acquisition of Ralston Purina to strengthen its pet care business unit, acquisition of Gerber in the United States to dominate the baby food market, and acquisition of a Chilean EMC firm </w:t>
      </w:r>
      <w:r>
        <w:rPr>
          <w:rFonts w:cs="Times New Roman" w:eastAsia="Times New Roman"/>
          <w:szCs w:val="24"/>
        </w:rPr>
        <w:t xml:space="preserve">( </w:t>
      </w:r>
      <w:r>
        <w:rPr>
          <w:rFonts w:cs="Times New Roman" w:eastAsia="Times New Roman"/>
          <w:szCs w:val="24"/>
        </w:rPr>
        <w:t>Empresas</w:t>
      </w:r>
      <w:r>
        <w:rPr>
          <w:rFonts w:cs="Times New Roman" w:eastAsia="Times New Roman"/>
          <w:szCs w:val="24"/>
        </w:rPr>
        <w:t xml:space="preserve"> </w:t>
      </w:r>
      <w:r>
        <w:rPr>
          <w:rFonts w:cs="Times New Roman" w:eastAsia="Times New Roman"/>
          <w:szCs w:val="24"/>
        </w:rPr>
        <w:t>Carozzi</w:t>
      </w:r>
      <w:r>
        <w:rPr>
          <w:rFonts w:cs="Times New Roman" w:eastAsia="Times New Roman"/>
          <w:szCs w:val="24"/>
        </w:rPr>
        <w:t xml:space="preserve"> partnership products ) to expand in the packaged food market in Latin America (Nestlé, 2025c). Acquisitions enable Nestlé to gain quick access to an established distribution system, brand awareness and local market experience.</w:t>
      </w:r>
    </w:p>
    <w:p>
      <w:pPr>
        <w:pStyle w:val="style0"/>
        <w:rPr>
          <w:rFonts w:cs="Times New Roman" w:eastAsia="Times New Roman"/>
          <w:szCs w:val="24"/>
        </w:rPr>
      </w:pPr>
      <w:r>
        <w:rPr>
          <w:rFonts w:cs="Times New Roman" w:eastAsia="Times New Roman"/>
          <w:b/>
          <w:bCs/>
          <w:i/>
          <w:iCs/>
          <w:szCs w:val="24"/>
        </w:rPr>
        <w:t>Joint ventures</w:t>
      </w:r>
      <w:r>
        <w:rPr>
          <w:rFonts w:cs="Times New Roman" w:eastAsia="Times New Roman"/>
          <w:szCs w:val="24"/>
        </w:rPr>
        <w:t xml:space="preserve"> are a</w:t>
      </w:r>
      <w:r>
        <w:rPr>
          <w:rFonts w:cs="Times New Roman" w:eastAsia="Times New Roman"/>
          <w:szCs w:val="24"/>
        </w:rPr>
        <w:t>lso widespread, particularly in local markets where it is useful to have a local partner to work through a regulatory environment or cultural complexity. Examples in the past involve the joint venture of Nestlé with Coca-Cola in the production of ready-to-</w:t>
      </w:r>
      <w:r>
        <w:rPr>
          <w:rFonts w:cs="Times New Roman" w:eastAsia="Times New Roman"/>
          <w:szCs w:val="24"/>
        </w:rPr>
        <w:t>drink beverages, as well as joint ventures in the production of dairy in China and Southeast Asia. Such partnerships facilitate a joint risk, local experience and increased market penetration.</w:t>
      </w:r>
    </w:p>
    <w:p>
      <w:pPr>
        <w:pStyle w:val="style0"/>
        <w:rPr>
          <w:rFonts w:cs="Times New Roman" w:eastAsia="Times New Roman"/>
          <w:szCs w:val="24"/>
        </w:rPr>
      </w:pPr>
      <w:r>
        <w:rPr>
          <w:rFonts w:cs="Times New Roman" w:eastAsia="Times New Roman"/>
          <w:szCs w:val="24"/>
        </w:rPr>
        <w:t xml:space="preserve">Moreover, Nestlé also has employed </w:t>
      </w:r>
      <w:r>
        <w:rPr>
          <w:rFonts w:cs="Times New Roman" w:eastAsia="Times New Roman"/>
          <w:b/>
          <w:bCs/>
          <w:i/>
          <w:iCs/>
          <w:szCs w:val="24"/>
        </w:rPr>
        <w:t>licensing and franchising</w:t>
      </w:r>
      <w:r>
        <w:rPr>
          <w:rFonts w:cs="Times New Roman" w:eastAsia="Times New Roman"/>
          <w:szCs w:val="24"/>
        </w:rPr>
        <w:t xml:space="preserve"> in</w:t>
      </w:r>
      <w:r>
        <w:rPr>
          <w:rFonts w:cs="Times New Roman" w:eastAsia="Times New Roman"/>
          <w:szCs w:val="24"/>
        </w:rPr>
        <w:t xml:space="preserve"> some of its product lines, particularly the beverage and food services, where local affiliates manufacture or market Nestlé </w:t>
      </w:r>
      <w:r>
        <w:rPr>
          <w:rFonts w:cs="Times New Roman" w:eastAsia="Times New Roman"/>
          <w:szCs w:val="24"/>
        </w:rPr>
        <w:t xml:space="preserve">brands on contractual terms (Baker et al., 2021). Exporting has a smaller role to play, though it still applies to premium or </w:t>
      </w:r>
      <w:r>
        <w:rPr>
          <w:rFonts w:cs="Times New Roman" w:eastAsia="Times New Roman"/>
          <w:szCs w:val="24"/>
        </w:rPr>
        <w:t>speci</w:t>
      </w:r>
      <w:r>
        <w:rPr>
          <w:rFonts w:cs="Times New Roman" w:eastAsia="Times New Roman"/>
          <w:szCs w:val="24"/>
        </w:rPr>
        <w:t>alised</w:t>
      </w:r>
      <w:r>
        <w:rPr>
          <w:rFonts w:cs="Times New Roman" w:eastAsia="Times New Roman"/>
          <w:szCs w:val="24"/>
        </w:rPr>
        <w:t xml:space="preserve"> products that are produced within certain regional </w:t>
      </w:r>
      <w:r>
        <w:rPr>
          <w:rFonts w:cs="Times New Roman" w:eastAsia="Times New Roman"/>
          <w:szCs w:val="24"/>
        </w:rPr>
        <w:t>centres</w:t>
      </w:r>
      <w:r>
        <w:rPr>
          <w:rFonts w:cs="Times New Roman" w:eastAsia="Times New Roman"/>
          <w:szCs w:val="24"/>
        </w:rPr>
        <w:t>.</w:t>
      </w:r>
    </w:p>
    <w:p>
      <w:pPr>
        <w:pStyle w:val="style0"/>
        <w:rPr>
          <w:rFonts w:cs="Times New Roman" w:eastAsia="Times New Roman"/>
          <w:szCs w:val="24"/>
        </w:rPr>
      </w:pPr>
      <w:r>
        <w:rPr>
          <w:rFonts w:cs="Times New Roman" w:eastAsia="Times New Roman"/>
          <w:szCs w:val="24"/>
        </w:rPr>
        <w:t xml:space="preserve">Under these modes, Nestlé is mainly using </w:t>
      </w:r>
      <w:r>
        <w:rPr>
          <w:rFonts w:cs="Times New Roman" w:eastAsia="Times New Roman"/>
          <w:b/>
          <w:bCs/>
          <w:i/>
          <w:iCs/>
          <w:szCs w:val="24"/>
        </w:rPr>
        <w:t>Foreign Direct Investment</w:t>
      </w:r>
      <w:r>
        <w:rPr>
          <w:rFonts w:cs="Times New Roman" w:eastAsia="Times New Roman"/>
          <w:szCs w:val="24"/>
        </w:rPr>
        <w:t xml:space="preserve"> as the leading entry strategy, especially through wholly owned factories and acquisitions. This leadership is a manifesta</w:t>
      </w:r>
      <w:r>
        <w:rPr>
          <w:rFonts w:cs="Times New Roman" w:eastAsia="Times New Roman"/>
          <w:szCs w:val="24"/>
        </w:rPr>
        <w:t xml:space="preserve">tion of how the company also requires a high quality control, adaptation of products, as well as long-term integration of global supply chain factors that they cannot fulfil, as well as through an export or licensing system. FDI, thus, is the very process </w:t>
      </w:r>
      <w:r>
        <w:rPr>
          <w:rFonts w:cs="Times New Roman" w:eastAsia="Times New Roman"/>
          <w:szCs w:val="24"/>
        </w:rPr>
        <w:t>through which Nestlé maintains its status as the largest food and beverage company in the world.</w:t>
      </w:r>
    </w:p>
    <w:bookmarkStart w:id="11" w:name="_vw9zcms53tf5" w:colFirst="0" w:colLast="0"/>
    <w:bookmarkStart w:id="12" w:name="_Toc215673719"/>
    <w:bookmarkEnd w:id="11"/>
    <w:p>
      <w:pPr>
        <w:pStyle w:val="style2"/>
        <w:rPr/>
      </w:pPr>
      <w:r>
        <w:t>2.4 Key Benefits from International Operations</w:t>
      </w:r>
      <w:bookmarkEnd w:id="12"/>
    </w:p>
    <w:p>
      <w:pPr>
        <w:pStyle w:val="style0"/>
        <w:rPr>
          <w:rFonts w:cs="Times New Roman" w:eastAsia="Times New Roman"/>
          <w:b/>
          <w:bCs/>
          <w:i/>
          <w:iCs/>
          <w:szCs w:val="24"/>
        </w:rPr>
      </w:pPr>
      <w:r>
        <w:rPr>
          <w:rFonts w:cs="Times New Roman" w:eastAsia="Times New Roman"/>
          <w:b/>
          <w:bCs/>
          <w:i/>
          <w:iCs/>
          <w:szCs w:val="24"/>
        </w:rPr>
        <w:t>Global scale drives revenue and profitability</w:t>
      </w:r>
    </w:p>
    <w:p>
      <w:pPr>
        <w:pStyle w:val="style0"/>
        <w:rPr>
          <w:rFonts w:cs="Times New Roman" w:eastAsia="Times New Roman"/>
          <w:b/>
          <w:bCs/>
          <w:i/>
          <w:iCs/>
          <w:szCs w:val="24"/>
        </w:rPr>
      </w:pPr>
      <w:r>
        <w:rPr>
          <w:rFonts w:cs="Times New Roman" w:eastAsia="Times New Roman"/>
          <w:b/>
          <w:bCs/>
          <w:i/>
          <w:iCs/>
          <w:szCs w:val="24"/>
        </w:rPr>
        <w:drawing>
          <wp:inline distL="0" distT="0" distB="0" distR="0">
            <wp:extent cx="5943600" cy="2545080"/>
            <wp:effectExtent l="19050" t="19050" r="19050" b="26669"/>
            <wp:docPr id="1028"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9"/>
                    <pic:cNvPicPr/>
                  </pic:nvPicPr>
                  <pic:blipFill>
                    <a:blip r:embed="rId4" cstate="print"/>
                    <a:srcRect l="0" t="0" r="0" b="0"/>
                    <a:stretch/>
                  </pic:blipFill>
                  <pic:spPr>
                    <a:xfrm rot="0">
                      <a:off x="0" y="0"/>
                      <a:ext cx="5943600" cy="2545080"/>
                    </a:xfrm>
                    <a:prstGeom prst="rect"/>
                    <a:ln cmpd="sng" cap="flat" w="12700">
                      <a:solidFill>
                        <a:srgbClr val="000000"/>
                      </a:solidFill>
                      <a:prstDash val="solid"/>
                      <a:round/>
                      <a:headEnd/>
                      <a:tailEnd/>
                    </a:ln>
                  </pic:spPr>
                </pic:pic>
              </a:graphicData>
            </a:graphic>
          </wp:inline>
        </w:drawing>
      </w:r>
    </w:p>
    <w:p>
      <w:pPr>
        <w:pStyle w:val="style0"/>
        <w:jc w:val="center"/>
        <w:rPr>
          <w:rFonts w:cs="Times New Roman" w:eastAsia="Times New Roman"/>
          <w:b/>
          <w:bCs/>
          <w:iCs/>
          <w:szCs w:val="24"/>
        </w:rPr>
      </w:pPr>
      <w:r>
        <w:rPr>
          <w:rFonts w:cs="Times New Roman" w:eastAsia="Times New Roman"/>
          <w:b/>
          <w:bCs/>
          <w:iCs/>
          <w:szCs w:val="24"/>
        </w:rPr>
        <w:t>Figure</w:t>
      </w:r>
      <w:r>
        <w:rPr>
          <w:rFonts w:cs="Times New Roman" w:eastAsia="Times New Roman"/>
          <w:b/>
          <w:bCs/>
          <w:iCs/>
          <w:szCs w:val="24"/>
        </w:rPr>
        <w:t xml:space="preserve"> 2</w:t>
      </w:r>
      <w:r>
        <w:rPr>
          <w:rFonts w:cs="Times New Roman" w:eastAsia="Times New Roman"/>
          <w:b/>
          <w:bCs/>
          <w:iCs/>
          <w:szCs w:val="24"/>
        </w:rPr>
        <w:t xml:space="preserve">: </w:t>
      </w:r>
      <w:r>
        <w:rPr>
          <w:rFonts w:cs="Times New Roman" w:eastAsia="Times New Roman"/>
          <w:b/>
          <w:bCs/>
          <w:iCs/>
          <w:szCs w:val="24"/>
        </w:rPr>
        <w:t>R</w:t>
      </w:r>
      <w:r>
        <w:rPr>
          <w:rFonts w:cs="Times New Roman" w:eastAsia="Times New Roman"/>
          <w:b/>
          <w:bCs/>
          <w:iCs/>
          <w:szCs w:val="24"/>
        </w:rPr>
        <w:t xml:space="preserve">evenue of </w:t>
      </w:r>
      <w:r>
        <w:rPr>
          <w:rFonts w:cs="Times New Roman" w:eastAsia="Times New Roman"/>
          <w:b/>
          <w:bCs/>
          <w:iCs/>
          <w:szCs w:val="24"/>
        </w:rPr>
        <w:t xml:space="preserve">Nestlé </w:t>
      </w:r>
    </w:p>
    <w:p>
      <w:pPr>
        <w:pStyle w:val="style0"/>
        <w:jc w:val="center"/>
        <w:rPr>
          <w:rFonts w:cs="Times New Roman" w:eastAsia="Times New Roman"/>
          <w:bCs/>
          <w:iCs/>
          <w:szCs w:val="24"/>
        </w:rPr>
      </w:pPr>
      <w:r>
        <w:rPr>
          <w:rFonts w:cs="Times New Roman" w:eastAsia="Times New Roman"/>
          <w:bCs/>
          <w:iCs/>
          <w:szCs w:val="24"/>
        </w:rPr>
        <w:t>(Source: Statista, 2025</w:t>
      </w:r>
      <w:r>
        <w:rPr>
          <w:rFonts w:cs="Times New Roman" w:eastAsia="Times New Roman"/>
          <w:bCs/>
          <w:iCs/>
          <w:szCs w:val="24"/>
        </w:rPr>
        <w:t>a</w:t>
      </w:r>
      <w:r>
        <w:rPr>
          <w:rFonts w:cs="Times New Roman" w:eastAsia="Times New Roman"/>
          <w:bCs/>
          <w:iCs/>
          <w:szCs w:val="24"/>
        </w:rPr>
        <w:t>)</w:t>
      </w:r>
    </w:p>
    <w:p>
      <w:pPr>
        <w:pStyle w:val="style0"/>
        <w:rPr>
          <w:rFonts w:cs="Times New Roman" w:eastAsia="Times New Roman"/>
          <w:szCs w:val="24"/>
        </w:rPr>
      </w:pPr>
      <w:r>
        <w:rPr>
          <w:rFonts w:cs="Times New Roman" w:eastAsia="Times New Roman"/>
          <w:szCs w:val="24"/>
        </w:rPr>
        <w:t xml:space="preserve">Nestlé has a large and diverse consumer base due to its operation </w:t>
      </w:r>
      <w:r>
        <w:rPr>
          <w:rFonts w:cs="Times New Roman" w:eastAsia="Times New Roman"/>
          <w:szCs w:val="24"/>
        </w:rPr>
        <w:t>in the global market. In 2023, the company reported</w:t>
      </w:r>
      <w:r>
        <w:rPr>
          <w:rFonts w:cs="Times New Roman" w:eastAsia="Times New Roman"/>
          <w:szCs w:val="24"/>
        </w:rPr>
        <w:t xml:space="preserve"> group sales amounting to CHF 91.35 </w:t>
      </w:r>
      <w:r>
        <w:rPr>
          <w:rFonts w:cs="Times New Roman" w:eastAsia="Times New Roman"/>
          <w:szCs w:val="24"/>
        </w:rPr>
        <w:t>billion and underlying trading oper</w:t>
      </w:r>
      <w:r>
        <w:rPr>
          <w:rFonts w:cs="Times New Roman" w:eastAsia="Times New Roman"/>
          <w:szCs w:val="24"/>
        </w:rPr>
        <w:t>ating profit amounting to CHF 1</w:t>
      </w:r>
      <w:r>
        <w:rPr>
          <w:rFonts w:cs="Times New Roman" w:eastAsia="Times New Roman"/>
          <w:szCs w:val="24"/>
        </w:rPr>
        <w:t xml:space="preserve">4.6 </w:t>
      </w:r>
      <w:r>
        <w:rPr>
          <w:rFonts w:cs="Times New Roman" w:eastAsia="Times New Roman"/>
          <w:szCs w:val="24"/>
        </w:rPr>
        <w:t xml:space="preserve">billion </w:t>
      </w:r>
      <w:r>
        <w:rPr>
          <w:rFonts w:cs="Times New Roman" w:eastAsia="Times New Roman"/>
          <w:szCs w:val="24"/>
        </w:rPr>
        <w:t xml:space="preserve">in 2024 shown in </w:t>
      </w:r>
      <w:r>
        <w:rPr>
          <w:rFonts w:cs="Times New Roman" w:eastAsia="Times New Roman"/>
          <w:b/>
          <w:i/>
          <w:szCs w:val="24"/>
        </w:rPr>
        <w:t xml:space="preserve">Figure </w:t>
      </w:r>
      <w:r>
        <w:rPr>
          <w:rFonts w:cs="Times New Roman" w:eastAsia="Times New Roman"/>
          <w:b/>
          <w:i/>
          <w:szCs w:val="24"/>
        </w:rPr>
        <w:t>2</w:t>
      </w:r>
      <w:r>
        <w:rPr>
          <w:rFonts w:cs="Times New Roman" w:eastAsia="Times New Roman"/>
          <w:szCs w:val="24"/>
        </w:rPr>
        <w:t xml:space="preserve"> and </w:t>
      </w:r>
      <w:r>
        <w:rPr>
          <w:rFonts w:cs="Times New Roman" w:eastAsia="Times New Roman"/>
          <w:b/>
          <w:i/>
          <w:szCs w:val="24"/>
        </w:rPr>
        <w:t>F</w:t>
      </w:r>
      <w:r>
        <w:rPr>
          <w:rFonts w:cs="Times New Roman" w:eastAsia="Times New Roman"/>
          <w:b/>
          <w:i/>
          <w:szCs w:val="24"/>
        </w:rPr>
        <w:t>igure 3</w:t>
      </w:r>
      <w:r>
        <w:rPr>
          <w:rFonts w:cs="Times New Roman" w:eastAsia="Times New Roman"/>
          <w:szCs w:val="24"/>
        </w:rPr>
        <w:t xml:space="preserve"> </w:t>
      </w:r>
      <w:r>
        <w:rPr>
          <w:rFonts w:cs="Times New Roman" w:eastAsia="Times New Roman"/>
          <w:szCs w:val="24"/>
        </w:rPr>
        <w:t>repectively</w:t>
      </w:r>
      <w:r>
        <w:rPr>
          <w:rFonts w:cs="Times New Roman" w:eastAsia="Times New Roman"/>
          <w:szCs w:val="24"/>
        </w:rPr>
        <w:t xml:space="preserve"> (Statista, 2025</w:t>
      </w:r>
      <w:r>
        <w:rPr>
          <w:rFonts w:cs="Times New Roman" w:eastAsia="Times New Roman"/>
          <w:szCs w:val="24"/>
        </w:rPr>
        <w:t>b</w:t>
      </w:r>
      <w:r>
        <w:rPr>
          <w:rFonts w:cs="Times New Roman" w:eastAsia="Times New Roman"/>
          <w:szCs w:val="24"/>
        </w:rPr>
        <w:t xml:space="preserve">; </w:t>
      </w:r>
      <w:r>
        <w:rPr>
          <w:rFonts w:cs="Times New Roman" w:eastAsia="Times New Roman"/>
          <w:szCs w:val="24"/>
        </w:rPr>
        <w:t>Statista</w:t>
      </w:r>
      <w:r>
        <w:rPr>
          <w:rFonts w:cs="Times New Roman" w:eastAsia="Times New Roman"/>
          <w:szCs w:val="24"/>
        </w:rPr>
        <w:t>, 2025</w:t>
      </w:r>
      <w:r>
        <w:rPr>
          <w:rFonts w:cs="Times New Roman" w:eastAsia="Times New Roman"/>
          <w:szCs w:val="24"/>
        </w:rPr>
        <w:t>b</w:t>
      </w:r>
      <w:r>
        <w:rPr>
          <w:rFonts w:cs="Times New Roman" w:eastAsia="Times New Roman"/>
          <w:szCs w:val="24"/>
        </w:rPr>
        <w:t xml:space="preserve">). </w:t>
      </w:r>
    </w:p>
    <w:p>
      <w:pPr>
        <w:pStyle w:val="style0"/>
        <w:rPr>
          <w:rFonts w:cs="Times New Roman" w:eastAsia="Times New Roman"/>
          <w:szCs w:val="24"/>
        </w:rPr>
      </w:pPr>
      <w:r>
        <w:rPr>
          <w:rFonts w:cs="Times New Roman" w:eastAsia="Times New Roman"/>
          <w:szCs w:val="24"/>
        </w:rPr>
        <w:drawing>
          <wp:inline distL="0" distT="0" distB="0" distR="0">
            <wp:extent cx="5943600" cy="3821430"/>
            <wp:effectExtent l="19050" t="19050" r="19050" b="26669"/>
            <wp:docPr id="1029"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0"/>
                    <pic:cNvPicPr/>
                  </pic:nvPicPr>
                  <pic:blipFill>
                    <a:blip r:embed="rId5" cstate="print"/>
                    <a:srcRect l="0" t="0" r="0" b="0"/>
                    <a:stretch/>
                  </pic:blipFill>
                  <pic:spPr>
                    <a:xfrm rot="0">
                      <a:off x="0" y="0"/>
                      <a:ext cx="5943600" cy="3821430"/>
                    </a:xfrm>
                    <a:prstGeom prst="rect"/>
                    <a:ln cmpd="sng" cap="flat" w="12700">
                      <a:solidFill>
                        <a:srgbClr val="000000"/>
                      </a:solidFill>
                      <a:prstDash val="solid"/>
                      <a:round/>
                      <a:headEnd/>
                      <a:tailEnd/>
                    </a:ln>
                  </pic:spPr>
                </pic:pic>
              </a:graphicData>
            </a:graphic>
          </wp:inline>
        </w:drawing>
      </w:r>
    </w:p>
    <w:p>
      <w:pPr>
        <w:pStyle w:val="style0"/>
        <w:jc w:val="center"/>
        <w:rPr>
          <w:rFonts w:cs="Times New Roman" w:eastAsia="Times New Roman"/>
          <w:b/>
          <w:szCs w:val="24"/>
        </w:rPr>
      </w:pPr>
      <w:r>
        <w:rPr>
          <w:rFonts w:cs="Times New Roman" w:eastAsia="Times New Roman"/>
          <w:b/>
          <w:szCs w:val="24"/>
        </w:rPr>
        <w:t>Figure</w:t>
      </w:r>
      <w:r>
        <w:rPr>
          <w:rFonts w:cs="Times New Roman" w:eastAsia="Times New Roman"/>
          <w:b/>
          <w:szCs w:val="24"/>
        </w:rPr>
        <w:t xml:space="preserve"> 3</w:t>
      </w:r>
      <w:r>
        <w:rPr>
          <w:rFonts w:cs="Times New Roman" w:eastAsia="Times New Roman"/>
          <w:b/>
          <w:szCs w:val="24"/>
        </w:rPr>
        <w:t xml:space="preserve">: </w:t>
      </w:r>
      <w:r>
        <w:rPr>
          <w:rFonts w:cs="Times New Roman" w:eastAsia="Times New Roman"/>
          <w:b/>
          <w:szCs w:val="24"/>
        </w:rPr>
        <w:t>Operating Profit</w:t>
      </w:r>
      <w:r>
        <w:rPr>
          <w:rFonts w:cs="Times New Roman" w:eastAsia="Times New Roman"/>
          <w:b/>
          <w:szCs w:val="24"/>
        </w:rPr>
        <w:t xml:space="preserve"> of </w:t>
      </w:r>
      <w:r>
        <w:rPr>
          <w:rFonts w:cs="Times New Roman" w:eastAsia="Times New Roman"/>
          <w:b/>
          <w:szCs w:val="24"/>
        </w:rPr>
        <w:t xml:space="preserve">Nestlé </w:t>
      </w:r>
      <w:r>
        <w:rPr>
          <w:rFonts w:cs="Times New Roman" w:eastAsia="Times New Roman"/>
          <w:b/>
          <w:szCs w:val="24"/>
        </w:rPr>
        <w:t>in 2024</w:t>
      </w:r>
    </w:p>
    <w:p>
      <w:pPr>
        <w:pStyle w:val="style0"/>
        <w:jc w:val="center"/>
        <w:rPr>
          <w:rFonts w:cs="Times New Roman" w:eastAsia="Times New Roman"/>
          <w:szCs w:val="24"/>
        </w:rPr>
      </w:pPr>
      <w:r>
        <w:rPr>
          <w:rFonts w:cs="Times New Roman" w:eastAsia="Times New Roman"/>
          <w:szCs w:val="24"/>
        </w:rPr>
        <w:t xml:space="preserve">(Source: </w:t>
      </w:r>
      <w:r>
        <w:rPr>
          <w:rFonts w:cs="Times New Roman" w:eastAsia="Times New Roman"/>
          <w:szCs w:val="24"/>
        </w:rPr>
        <w:t>Statista</w:t>
      </w:r>
      <w:r>
        <w:rPr>
          <w:rFonts w:cs="Times New Roman" w:eastAsia="Times New Roman"/>
          <w:szCs w:val="24"/>
        </w:rPr>
        <w:t>, 2025</w:t>
      </w:r>
      <w:r>
        <w:rPr>
          <w:rFonts w:cs="Times New Roman" w:eastAsia="Times New Roman"/>
          <w:szCs w:val="24"/>
        </w:rPr>
        <w:t>b</w:t>
      </w:r>
      <w:r>
        <w:rPr>
          <w:rFonts w:cs="Times New Roman" w:eastAsia="Times New Roman"/>
          <w:szCs w:val="24"/>
        </w:rPr>
        <w:t>)</w:t>
      </w:r>
    </w:p>
    <w:p>
      <w:pPr>
        <w:pStyle w:val="style0"/>
        <w:rPr>
          <w:rFonts w:cs="Times New Roman" w:eastAsia="Times New Roman"/>
          <w:szCs w:val="24"/>
        </w:rPr>
      </w:pPr>
      <w:r>
        <w:rPr>
          <w:rFonts w:cs="Times New Roman" w:eastAsia="Times New Roman"/>
          <w:szCs w:val="24"/>
        </w:rPr>
        <w:t>Through product distribution in most geographies, Nestlé is no longer relia</w:t>
      </w:r>
      <w:r>
        <w:rPr>
          <w:rFonts w:cs="Times New Roman" w:eastAsia="Times New Roman"/>
          <w:szCs w:val="24"/>
        </w:rPr>
        <w:t>nt on one market, thus levelling volatility due to economic crashes in regions, currency variations or changes in regulations. This is a core strength in its multinational presence in the form of diversification into markets.</w:t>
      </w:r>
    </w:p>
    <w:p>
      <w:pPr>
        <w:pStyle w:val="style0"/>
        <w:rPr>
          <w:rFonts w:cs="Times New Roman" w:eastAsia="Times New Roman"/>
          <w:b/>
          <w:bCs/>
          <w:i/>
          <w:iCs/>
          <w:szCs w:val="24"/>
        </w:rPr>
      </w:pPr>
      <w:r>
        <w:rPr>
          <w:rFonts w:cs="Times New Roman" w:eastAsia="Times New Roman"/>
          <w:b/>
          <w:bCs/>
          <w:i/>
          <w:iCs/>
          <w:szCs w:val="24"/>
        </w:rPr>
        <w:t>Economies of scale &amp; operation</w:t>
      </w:r>
      <w:r>
        <w:rPr>
          <w:rFonts w:cs="Times New Roman" w:eastAsia="Times New Roman"/>
          <w:b/>
          <w:bCs/>
          <w:i/>
          <w:iCs/>
          <w:szCs w:val="24"/>
        </w:rPr>
        <w:t>al efficiency</w:t>
      </w:r>
    </w:p>
    <w:p>
      <w:pPr>
        <w:pStyle w:val="style0"/>
        <w:rPr>
          <w:rFonts w:cs="Times New Roman" w:eastAsia="Times New Roman"/>
          <w:szCs w:val="24"/>
        </w:rPr>
      </w:pPr>
      <w:r>
        <w:rPr>
          <w:rFonts w:cs="Times New Roman" w:eastAsia="Times New Roman"/>
          <w:szCs w:val="24"/>
        </w:rPr>
        <w:t xml:space="preserve">Nestlé has an integrated global supply chain, hundreds of factories across the world, and uses this to reduce the unit cost by buying in bulk, using efficient logistics and </w:t>
      </w:r>
      <w:r>
        <w:rPr>
          <w:rFonts w:cs="Times New Roman" w:eastAsia="Times New Roman"/>
          <w:szCs w:val="24"/>
        </w:rPr>
        <w:t>standardised</w:t>
      </w:r>
      <w:r>
        <w:rPr>
          <w:rFonts w:cs="Times New Roman" w:eastAsia="Times New Roman"/>
          <w:szCs w:val="24"/>
        </w:rPr>
        <w:t xml:space="preserve"> production lines. Its worldwide approach, known in-house</w:t>
      </w:r>
      <w:r>
        <w:rPr>
          <w:rFonts w:cs="Times New Roman" w:eastAsia="Times New Roman"/>
          <w:szCs w:val="24"/>
        </w:rPr>
        <w:t xml:space="preserve"> as the Nestlé Virtuous Circle, is intended to establish efficiencies in operation, which in turn finance investment in brands and platforms of growth (Nestlé, 2025d). These forms of cost efficiencies also enhance margins in addition to generating the fina</w:t>
      </w:r>
      <w:r>
        <w:rPr>
          <w:rFonts w:cs="Times New Roman" w:eastAsia="Times New Roman"/>
          <w:szCs w:val="24"/>
        </w:rPr>
        <w:t>ncial flexibility to invest in innovation, marketing and sustainability, which strengthens competitive advantage across borders.</w:t>
      </w:r>
    </w:p>
    <w:p>
      <w:pPr>
        <w:pStyle w:val="style0"/>
        <w:rPr>
          <w:rFonts w:cs="Times New Roman" w:eastAsia="Times New Roman"/>
          <w:szCs w:val="24"/>
        </w:rPr>
      </w:pPr>
      <w:r>
        <w:rPr>
          <w:rFonts w:cs="Times New Roman" w:eastAsia="Times New Roman"/>
          <w:b/>
          <w:bCs/>
          <w:i/>
          <w:iCs/>
          <w:szCs w:val="24"/>
        </w:rPr>
        <w:t>Product and brand diversification across categories and markets</w:t>
      </w:r>
    </w:p>
    <w:p>
      <w:pPr>
        <w:pStyle w:val="style0"/>
        <w:rPr>
          <w:rFonts w:cs="Times New Roman" w:eastAsia="Times New Roman"/>
          <w:szCs w:val="24"/>
        </w:rPr>
      </w:pPr>
      <w:r>
        <w:rPr>
          <w:rFonts w:cs="Times New Roman" w:eastAsia="Times New Roman"/>
          <w:szCs w:val="24"/>
        </w:rPr>
        <w:t>Nestlé, as an international corporation, enjoys the perks of ha</w:t>
      </w:r>
      <w:r>
        <w:rPr>
          <w:rFonts w:cs="Times New Roman" w:eastAsia="Times New Roman"/>
          <w:szCs w:val="24"/>
        </w:rPr>
        <w:t xml:space="preserve">ving a diverse product range in the form of coffee, dairy, nutrition, pet-care, bottled water, ready-made meals, and others (Nestlé, 2025b). Due to the varying dietary needs and demands of different markets, Nestlé will be able to </w:t>
      </w:r>
      <w:r>
        <w:rPr>
          <w:rFonts w:cs="Times New Roman" w:eastAsia="Times New Roman"/>
          <w:szCs w:val="24"/>
        </w:rPr>
        <w:t>localise</w:t>
      </w:r>
      <w:r>
        <w:rPr>
          <w:rFonts w:cs="Times New Roman" w:eastAsia="Times New Roman"/>
          <w:szCs w:val="24"/>
        </w:rPr>
        <w:t xml:space="preserve"> their products, </w:t>
      </w:r>
      <w:r>
        <w:rPr>
          <w:rFonts w:cs="Times New Roman" w:eastAsia="Times New Roman"/>
          <w:szCs w:val="24"/>
        </w:rPr>
        <w:t xml:space="preserve">which will be advantageous to the company in the face of </w:t>
      </w:r>
      <w:r>
        <w:rPr>
          <w:rFonts w:cs="Times New Roman" w:eastAsia="Times New Roman"/>
          <w:szCs w:val="24"/>
        </w:rPr>
        <w:t>glocalisation</w:t>
      </w:r>
      <w:r>
        <w:rPr>
          <w:rFonts w:cs="Times New Roman" w:eastAsia="Times New Roman"/>
          <w:szCs w:val="24"/>
        </w:rPr>
        <w:t>. This is less risky, such that a fall in demand for one product or region could be compensated elsewhere. Their R&amp;D network all over the world helps them to be innovative and adapt to d</w:t>
      </w:r>
      <w:r>
        <w:rPr>
          <w:rFonts w:cs="Times New Roman" w:eastAsia="Times New Roman"/>
          <w:szCs w:val="24"/>
        </w:rPr>
        <w:t>ifferent consumer markets.</w:t>
      </w:r>
    </w:p>
    <w:p>
      <w:pPr>
        <w:pStyle w:val="style0"/>
        <w:rPr>
          <w:rFonts w:cs="Times New Roman" w:eastAsia="Times New Roman"/>
          <w:b/>
          <w:bCs/>
          <w:i/>
          <w:iCs/>
          <w:szCs w:val="24"/>
        </w:rPr>
      </w:pPr>
      <w:r>
        <w:rPr>
          <w:rFonts w:cs="Times New Roman" w:eastAsia="Times New Roman"/>
          <w:b/>
          <w:bCs/>
          <w:i/>
          <w:iCs/>
          <w:szCs w:val="24"/>
        </w:rPr>
        <w:t>Supply-chain resilience and sustainable sourcing</w:t>
      </w:r>
    </w:p>
    <w:p>
      <w:pPr>
        <w:pStyle w:val="style0"/>
        <w:rPr>
          <w:rFonts w:cs="Times New Roman" w:eastAsia="Times New Roman"/>
          <w:szCs w:val="24"/>
        </w:rPr>
      </w:pPr>
      <w:r>
        <w:rPr>
          <w:rFonts w:cs="Times New Roman" w:eastAsia="Times New Roman"/>
          <w:szCs w:val="24"/>
        </w:rPr>
        <w:t>Nestlé has the ability to operate in a global market because this helps the company to obtain raw materials in various regions, and this has lowered the reliance on a particular su</w:t>
      </w:r>
      <w:r>
        <w:rPr>
          <w:rFonts w:cs="Times New Roman" w:eastAsia="Times New Roman"/>
          <w:szCs w:val="24"/>
        </w:rPr>
        <w:t xml:space="preserve">pplier or region. The company engages actively with the local communities in agriculture, such as enhancing the value chains of cereals and grains in countries such as Nigeria by forming partnerships with farmers </w:t>
      </w:r>
      <w:r>
        <w:rPr>
          <w:rFonts w:cs="Times New Roman" w:eastAsia="Times New Roman"/>
          <w:szCs w:val="24"/>
        </w:rPr>
        <w:t>and training them (Nestlé, 2023</w:t>
      </w:r>
      <w:r>
        <w:rPr>
          <w:rFonts w:cs="Times New Roman" w:eastAsia="Times New Roman"/>
          <w:szCs w:val="24"/>
        </w:rPr>
        <w:t>). This typ</w:t>
      </w:r>
      <w:r>
        <w:rPr>
          <w:rFonts w:cs="Times New Roman" w:eastAsia="Times New Roman"/>
          <w:szCs w:val="24"/>
        </w:rPr>
        <w:t>e of diversified sourcing enhances the resilience of the supply chain in case of climate, regulatory/market disruptions, and allows sustainable, ethical sourcing practices that contribute to viability over the long term and brand reputation.</w:t>
      </w:r>
    </w:p>
    <w:p>
      <w:pPr>
        <w:pStyle w:val="style0"/>
        <w:rPr>
          <w:rFonts w:cs="Times New Roman" w:eastAsia="Times New Roman"/>
          <w:b/>
          <w:bCs/>
          <w:i/>
          <w:iCs/>
          <w:szCs w:val="24"/>
        </w:rPr>
      </w:pPr>
      <w:r>
        <w:rPr>
          <w:rFonts w:cs="Times New Roman" w:eastAsia="Times New Roman"/>
          <w:b/>
          <w:bCs/>
          <w:i/>
          <w:iCs/>
          <w:szCs w:val="24"/>
        </w:rPr>
        <w:t>Innovation and</w:t>
      </w:r>
      <w:r>
        <w:rPr>
          <w:rFonts w:cs="Times New Roman" w:eastAsia="Times New Roman"/>
          <w:b/>
          <w:bCs/>
          <w:i/>
          <w:iCs/>
          <w:szCs w:val="24"/>
        </w:rPr>
        <w:t xml:space="preserve"> R&amp;D advantages</w:t>
      </w:r>
    </w:p>
    <w:p>
      <w:pPr>
        <w:pStyle w:val="style0"/>
        <w:rPr>
          <w:rFonts w:cs="Times New Roman" w:eastAsia="Times New Roman"/>
          <w:szCs w:val="24"/>
        </w:rPr>
      </w:pPr>
      <w:r>
        <w:rPr>
          <w:rFonts w:cs="Times New Roman" w:eastAsia="Times New Roman"/>
          <w:szCs w:val="24"/>
        </w:rPr>
        <w:t>The global R&amp;D network of Nestlé allows combining the knowledge, research skills and resources of all countries, promoting the creation of new products, enhanced production processes, eco-friendly packaging, and nutritional innovations that</w:t>
      </w:r>
      <w:r>
        <w:rPr>
          <w:rFonts w:cs="Times New Roman" w:eastAsia="Times New Roman"/>
          <w:szCs w:val="24"/>
        </w:rPr>
        <w:t xml:space="preserve"> can be </w:t>
      </w:r>
      <w:r>
        <w:rPr>
          <w:rFonts w:cs="Times New Roman" w:eastAsia="Times New Roman"/>
          <w:szCs w:val="24"/>
        </w:rPr>
        <w:t>globalised</w:t>
      </w:r>
      <w:r>
        <w:rPr>
          <w:rFonts w:cs="Times New Roman" w:eastAsia="Times New Roman"/>
          <w:szCs w:val="24"/>
        </w:rPr>
        <w:t xml:space="preserve"> (</w:t>
      </w:r>
      <w:r>
        <w:rPr>
          <w:rFonts w:cs="Times New Roman" w:eastAsia="Times New Roman"/>
          <w:szCs w:val="24"/>
        </w:rPr>
        <w:t>Malek</w:t>
      </w:r>
      <w:r>
        <w:rPr>
          <w:rFonts w:cs="Times New Roman" w:eastAsia="Times New Roman"/>
          <w:szCs w:val="24"/>
        </w:rPr>
        <w:t xml:space="preserve">, Yang and </w:t>
      </w:r>
      <w:r>
        <w:rPr>
          <w:rFonts w:cs="Times New Roman" w:eastAsia="Times New Roman"/>
          <w:szCs w:val="24"/>
        </w:rPr>
        <w:t>Dhelim</w:t>
      </w:r>
      <w:r>
        <w:rPr>
          <w:rFonts w:cs="Times New Roman" w:eastAsia="Times New Roman"/>
          <w:szCs w:val="24"/>
        </w:rPr>
        <w:t xml:space="preserve">, 2024). This </w:t>
      </w:r>
      <w:r>
        <w:rPr>
          <w:rFonts w:cs="Times New Roman" w:eastAsia="Times New Roman"/>
          <w:szCs w:val="24"/>
        </w:rPr>
        <w:t>standardised</w:t>
      </w:r>
      <w:r>
        <w:rPr>
          <w:rFonts w:cs="Times New Roman" w:eastAsia="Times New Roman"/>
          <w:szCs w:val="24"/>
        </w:rPr>
        <w:t xml:space="preserve"> but </w:t>
      </w:r>
      <w:r>
        <w:rPr>
          <w:rFonts w:cs="Times New Roman" w:eastAsia="Times New Roman"/>
          <w:szCs w:val="24"/>
        </w:rPr>
        <w:t>universalised</w:t>
      </w:r>
      <w:r>
        <w:rPr>
          <w:rFonts w:cs="Times New Roman" w:eastAsia="Times New Roman"/>
          <w:szCs w:val="24"/>
        </w:rPr>
        <w:t xml:space="preserve"> R&amp;D is based on the fact that it shortens the product development process, </w:t>
      </w:r>
      <w:r>
        <w:rPr>
          <w:rFonts w:cs="Times New Roman" w:eastAsia="Times New Roman"/>
          <w:szCs w:val="24"/>
        </w:rPr>
        <w:t>minimises</w:t>
      </w:r>
      <w:r>
        <w:rPr>
          <w:rFonts w:cs="Times New Roman" w:eastAsia="Times New Roman"/>
          <w:szCs w:val="24"/>
        </w:rPr>
        <w:t xml:space="preserve"> duplication and ensures uniformity in the quality of products across different marke</w:t>
      </w:r>
      <w:r>
        <w:rPr>
          <w:rFonts w:cs="Times New Roman" w:eastAsia="Times New Roman"/>
          <w:szCs w:val="24"/>
        </w:rPr>
        <w:t>ts, which is a great plus as compared to the fragmented country-by-country research process.</w:t>
      </w:r>
    </w:p>
    <w:bookmarkStart w:id="13" w:name="_dzcveo4x7vwr" w:colFirst="0" w:colLast="0"/>
    <w:bookmarkStart w:id="14" w:name="_Toc215673720"/>
    <w:bookmarkEnd w:id="13"/>
    <w:p>
      <w:pPr>
        <w:pStyle w:val="style1"/>
        <w:rPr/>
      </w:pPr>
      <w:r>
        <w:t>3. OLI Analysis for Nestlé Entering Chile</w:t>
      </w:r>
      <w:bookmarkEnd w:id="14"/>
    </w:p>
    <w:p>
      <w:pPr>
        <w:pStyle w:val="style0"/>
        <w:jc w:val="center"/>
        <w:rPr/>
      </w:pPr>
      <w:r>
        <w:rPr>
          <w:noProof/>
          <w:lang w:val="en-GB" w:eastAsia="en-GB"/>
        </w:rPr>
        <w:drawing>
          <wp:inline distL="0" distT="0" distB="0" distR="0">
            <wp:extent cx="5643563" cy="2460014"/>
            <wp:effectExtent l="25400" t="25400" r="25400" b="25400"/>
            <wp:docPr id="1030"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6" cstate="print"/>
                    <a:srcRect l="0" t="0" r="0" b="0"/>
                    <a:stretch/>
                  </pic:blipFill>
                  <pic:spPr>
                    <a:xfrm rot="0">
                      <a:off x="0" y="0"/>
                      <a:ext cx="5643563" cy="2460014"/>
                    </a:xfrm>
                    <a:prstGeom prst="rect"/>
                    <a:ln cmpd="sng" cap="flat" w="25400">
                      <a:solidFill>
                        <a:srgbClr val="000000"/>
                      </a:solidFill>
                      <a:prstDash val="solid"/>
                      <a:round/>
                      <a:headEnd/>
                      <a:tailEnd/>
                    </a:ln>
                  </pic:spPr>
                </pic:pic>
              </a:graphicData>
            </a:graphic>
          </wp:inline>
        </w:drawing>
      </w:r>
    </w:p>
    <w:p>
      <w:pPr>
        <w:pStyle w:val="style0"/>
        <w:jc w:val="center"/>
        <w:rPr>
          <w:rFonts w:cs="Times New Roman" w:eastAsia="Times New Roman"/>
          <w:b/>
          <w:bCs/>
          <w:szCs w:val="24"/>
        </w:rPr>
      </w:pPr>
      <w:r>
        <w:rPr>
          <w:rFonts w:cs="Times New Roman" w:eastAsia="Times New Roman"/>
          <w:b/>
          <w:bCs/>
          <w:szCs w:val="24"/>
        </w:rPr>
        <w:t>Figure 4</w:t>
      </w:r>
      <w:r>
        <w:rPr>
          <w:rFonts w:cs="Times New Roman" w:eastAsia="Times New Roman"/>
          <w:b/>
          <w:bCs/>
          <w:szCs w:val="24"/>
        </w:rPr>
        <w:t>: OLI Framework</w:t>
      </w:r>
    </w:p>
    <w:p>
      <w:pPr>
        <w:pStyle w:val="style0"/>
        <w:jc w:val="center"/>
        <w:rPr>
          <w:rFonts w:cs="Times New Roman" w:eastAsia="Times New Roman"/>
          <w:szCs w:val="24"/>
        </w:rPr>
      </w:pPr>
      <w:r>
        <w:rPr>
          <w:rFonts w:cs="Times New Roman" w:eastAsia="Times New Roman"/>
          <w:szCs w:val="24"/>
        </w:rPr>
        <w:t>(Source: CFI, 2022)</w:t>
      </w:r>
    </w:p>
    <w:bookmarkStart w:id="15" w:name="_ct9i3bg5uo8s" w:colFirst="0" w:colLast="0"/>
    <w:bookmarkStart w:id="16" w:name="_Toc215673721"/>
    <w:bookmarkEnd w:id="15"/>
    <w:p>
      <w:pPr>
        <w:pStyle w:val="style2"/>
        <w:rPr/>
      </w:pPr>
      <w:r>
        <w:t>3.1 Ownership Advantages (O)</w:t>
      </w:r>
      <w:bookmarkEnd w:id="16"/>
    </w:p>
    <w:p>
      <w:pPr>
        <w:pStyle w:val="style0"/>
        <w:rPr>
          <w:rFonts w:cs="Times New Roman" w:eastAsia="Times New Roman"/>
          <w:szCs w:val="24"/>
        </w:rPr>
      </w:pPr>
      <w:r>
        <w:rPr>
          <w:rFonts w:cs="Times New Roman" w:eastAsia="Times New Roman"/>
          <w:szCs w:val="24"/>
        </w:rPr>
        <w:t>As a company, Nestlé has ownership benefits that lie in its size, brands and research and development power. With 75 nations and approximately 337 factories (Nestlé, 2025b), the company has a solid experience in production and distribution since it operate</w:t>
      </w:r>
      <w:r>
        <w:rPr>
          <w:rFonts w:cs="Times New Roman" w:eastAsia="Times New Roman"/>
          <w:szCs w:val="24"/>
        </w:rPr>
        <w:t>s in 185 countries (Nestlé, 2025a). It also holds more than 2,000 brands in seven product lines, such as Nescafé, KitKat, Maggi and Purina, all international brands with a high brand equity in Chile (Nestlé, 2025a). The R&amp;D organisation of Nestlé is the bi</w:t>
      </w:r>
      <w:r>
        <w:rPr>
          <w:rFonts w:cs="Times New Roman" w:eastAsia="Times New Roman"/>
          <w:szCs w:val="24"/>
        </w:rPr>
        <w:t>ggest one in the food and beverage sector, and its R&amp;D workforce is approximately 4,100 in 23 offices worldwide, the annual R&amp;D expenditure is approximately CHF 1.7 billion, and it assists the company go on creating when it comes to nutrition, packaging, a</w:t>
      </w:r>
      <w:r>
        <w:rPr>
          <w:rFonts w:cs="Times New Roman" w:eastAsia="Times New Roman"/>
          <w:szCs w:val="24"/>
        </w:rPr>
        <w:t>nd sustainability (ASN, 2025). These are proprietary assets that have good competitive advantages in entering and expanding in Chile.</w:t>
      </w:r>
    </w:p>
    <w:bookmarkStart w:id="17" w:name="_s85ynbfxjorw" w:colFirst="0" w:colLast="0"/>
    <w:bookmarkStart w:id="18" w:name="_Toc215673722"/>
    <w:bookmarkEnd w:id="17"/>
    <w:p>
      <w:pPr>
        <w:pStyle w:val="style2"/>
        <w:rPr/>
      </w:pPr>
      <w:r>
        <w:t>3.2 Location Advantages (L)</w:t>
      </w:r>
      <w:bookmarkEnd w:id="18"/>
      <w:r>
        <w:t xml:space="preserve"> </w:t>
      </w:r>
    </w:p>
    <w:p>
      <w:pPr>
        <w:pStyle w:val="style0"/>
        <w:rPr>
          <w:rFonts w:cs="Times New Roman" w:eastAsia="Times New Roman"/>
          <w:szCs w:val="24"/>
        </w:rPr>
      </w:pPr>
      <w:r>
        <w:rPr>
          <w:rFonts w:cs="Times New Roman" w:eastAsia="Times New Roman"/>
          <w:szCs w:val="24"/>
        </w:rPr>
        <w:t>Chile can bring Nestlé a mix of market, production and policy benefits. It is among the top t</w:t>
      </w:r>
      <w:r>
        <w:rPr>
          <w:rFonts w:cs="Times New Roman" w:eastAsia="Times New Roman"/>
          <w:szCs w:val="24"/>
        </w:rPr>
        <w:t>hree nations globally in terms of per-capita in terms of sales, and Nestlé has a host of brands. Nestlé's portfolio sold in Chile is locally manufactured, a good indication of a growing but expandable platform. Nestlé has pumped funds into the country, suc</w:t>
      </w:r>
      <w:r>
        <w:rPr>
          <w:rFonts w:cs="Times New Roman" w:eastAsia="Times New Roman"/>
          <w:szCs w:val="24"/>
        </w:rPr>
        <w:t xml:space="preserve">h as over CHF 127 million into a </w:t>
      </w:r>
      <w:r>
        <w:rPr>
          <w:rFonts w:cs="Times New Roman" w:eastAsia="Times New Roman"/>
          <w:szCs w:val="24"/>
        </w:rPr>
        <w:t xml:space="preserve">technologically equipped dairy factory in Osorno and later expansions (New Food Magazine, 2025). In 2024, Nestlé declared another CHF 300 million investment within three years to </w:t>
      </w:r>
      <w:r>
        <w:rPr>
          <w:rFonts w:cs="Times New Roman" w:eastAsia="Times New Roman"/>
          <w:szCs w:val="24"/>
        </w:rPr>
        <w:t>modernise</w:t>
      </w:r>
      <w:r>
        <w:rPr>
          <w:rFonts w:cs="Times New Roman" w:eastAsia="Times New Roman"/>
          <w:szCs w:val="24"/>
        </w:rPr>
        <w:t xml:space="preserve"> the automation, innovation and foo</w:t>
      </w:r>
      <w:r>
        <w:rPr>
          <w:rFonts w:cs="Times New Roman" w:eastAsia="Times New Roman"/>
          <w:szCs w:val="24"/>
        </w:rPr>
        <w:t>d-safety systems at the production lines in Chile (Nestlé, 2025e). The relatively stable macroeconomic environment, open FDI policy and good trade connections with Latin American economies are part of the factors that strengthen the appeal of Chile as a re</w:t>
      </w:r>
      <w:r>
        <w:rPr>
          <w:rFonts w:cs="Times New Roman" w:eastAsia="Times New Roman"/>
          <w:szCs w:val="24"/>
        </w:rPr>
        <w:t>gional manufacturing and export base.</w:t>
      </w:r>
    </w:p>
    <w:bookmarkStart w:id="19" w:name="_jkp5rk49h5m" w:colFirst="0" w:colLast="0"/>
    <w:bookmarkStart w:id="20" w:name="_Toc215673723"/>
    <w:bookmarkEnd w:id="19"/>
    <w:p>
      <w:pPr>
        <w:pStyle w:val="style2"/>
        <w:rPr/>
      </w:pPr>
      <w:r>
        <w:t xml:space="preserve">3.3 </w:t>
      </w:r>
      <w:r>
        <w:t>Internalisation</w:t>
      </w:r>
      <w:r>
        <w:t xml:space="preserve"> Advantages (I)</w:t>
      </w:r>
      <w:bookmarkEnd w:id="20"/>
      <w:r>
        <w:t xml:space="preserve"> </w:t>
      </w:r>
    </w:p>
    <w:p>
      <w:pPr>
        <w:pStyle w:val="style0"/>
        <w:rPr>
          <w:rFonts w:cs="Times New Roman" w:eastAsia="Times New Roman"/>
          <w:szCs w:val="24"/>
        </w:rPr>
      </w:pPr>
      <w:r>
        <w:rPr>
          <w:rFonts w:cs="Times New Roman" w:eastAsia="Times New Roman"/>
          <w:szCs w:val="24"/>
        </w:rPr>
        <w:t>Internalisation</w:t>
      </w:r>
      <w:r>
        <w:rPr>
          <w:rFonts w:cs="Times New Roman" w:eastAsia="Times New Roman"/>
          <w:szCs w:val="24"/>
        </w:rPr>
        <w:t xml:space="preserve"> benefits are that Nestlé can benefit more when it holds activities in Chile instead of outsourcing. The infant formula, dairy and pet food are high-value products tha</w:t>
      </w:r>
      <w:r>
        <w:rPr>
          <w:rFonts w:cs="Times New Roman" w:eastAsia="Times New Roman"/>
          <w:szCs w:val="24"/>
        </w:rPr>
        <w:t>t demand high levels of food safety and quality, which are not as easy to control through licensing as in wholly-owned factories. The dairy factory at Osorno and the Chilean pet-food plant of Nestlé, which the company call one of the most modern in the wor</w:t>
      </w:r>
      <w:r>
        <w:rPr>
          <w:rFonts w:cs="Times New Roman" w:eastAsia="Times New Roman"/>
          <w:szCs w:val="24"/>
        </w:rPr>
        <w:t xml:space="preserve">ld, were constructed with considerable capital spending of about CHF 127 million in dairy and USD 120 million in pet food so that they would have advanced technology and stringent quality control (New Food Magazine, 2025). </w:t>
      </w:r>
      <w:r>
        <w:rPr>
          <w:rFonts w:cs="Times New Roman" w:eastAsia="Times New Roman"/>
          <w:szCs w:val="24"/>
        </w:rPr>
        <w:t>Internalisation</w:t>
      </w:r>
      <w:r>
        <w:rPr>
          <w:rFonts w:cs="Times New Roman" w:eastAsia="Times New Roman"/>
          <w:szCs w:val="24"/>
        </w:rPr>
        <w:t xml:space="preserve"> of production als</w:t>
      </w:r>
      <w:r>
        <w:rPr>
          <w:rFonts w:cs="Times New Roman" w:eastAsia="Times New Roman"/>
          <w:szCs w:val="24"/>
        </w:rPr>
        <w:t>o safeguards the proprietary recipes, R&amp;D know-how and brand reputation of Nestlé and allows it to integrate its global supply chain and sustainability programmes, including direct work with the local milk producers in its so-called Creating Shared Value p</w:t>
      </w:r>
      <w:r>
        <w:rPr>
          <w:rFonts w:cs="Times New Roman" w:eastAsia="Times New Roman"/>
          <w:szCs w:val="24"/>
        </w:rPr>
        <w:t>rogrammes.</w:t>
      </w:r>
    </w:p>
    <w:bookmarkStart w:id="21" w:name="_yilwdt1tnk0k" w:colFirst="0" w:colLast="0"/>
    <w:bookmarkStart w:id="22" w:name="_Toc215673724"/>
    <w:bookmarkEnd w:id="21"/>
    <w:p>
      <w:pPr>
        <w:pStyle w:val="style2"/>
        <w:rPr/>
      </w:pPr>
      <w:r>
        <w:t>3.4 How OLI Impacts Nestlé’s Entry Mode into Chile</w:t>
      </w:r>
      <w:bookmarkEnd w:id="22"/>
    </w:p>
    <w:p>
      <w:pPr>
        <w:pStyle w:val="style0"/>
        <w:rPr>
          <w:rFonts w:cs="Times New Roman" w:eastAsia="Times New Roman"/>
          <w:szCs w:val="24"/>
        </w:rPr>
      </w:pPr>
      <w:r>
        <w:rPr>
          <w:rFonts w:cs="Times New Roman" w:eastAsia="Times New Roman"/>
          <w:szCs w:val="24"/>
        </w:rPr>
        <w:t>The OLI factors are highly conducive towards Foreign Direct Investment (FDI) in the form of wholly owned subsidiaries since it is the prevailing mode of entry and expansion by Nestlé in Chile. T</w:t>
      </w:r>
      <w:r>
        <w:rPr>
          <w:rFonts w:cs="Times New Roman" w:eastAsia="Times New Roman"/>
          <w:szCs w:val="24"/>
        </w:rPr>
        <w:t xml:space="preserve">he benefits of owning provide the global brands, the comprehensive R&amp;D and supply-chain capacity of Nestlé allows it the resources and competencies to execute its own large-scale units and not primarily depend on local licensees or importers. The location </w:t>
      </w:r>
      <w:r>
        <w:rPr>
          <w:rFonts w:cs="Times New Roman" w:eastAsia="Times New Roman"/>
          <w:szCs w:val="24"/>
        </w:rPr>
        <w:t xml:space="preserve">benefits of Chile enhance the fact that it is a high-value market to Nestlé and is among the top three countries in the world in terms of per-capita sales, strong local demand, and brands, with the fact that Chile is also a manufacturing </w:t>
      </w:r>
      <w:r>
        <w:rPr>
          <w:rFonts w:cs="Times New Roman" w:eastAsia="Times New Roman"/>
          <w:szCs w:val="24"/>
        </w:rPr>
        <w:t>centre</w:t>
      </w:r>
      <w:r>
        <w:rPr>
          <w:rFonts w:cs="Times New Roman" w:eastAsia="Times New Roman"/>
          <w:szCs w:val="24"/>
        </w:rPr>
        <w:t xml:space="preserve"> and Nestlé'</w:t>
      </w:r>
      <w:r>
        <w:rPr>
          <w:rFonts w:cs="Times New Roman" w:eastAsia="Times New Roman"/>
          <w:szCs w:val="24"/>
        </w:rPr>
        <w:t xml:space="preserve">s Chilean offering is manufactured in the country. Such is the reason to invest in long-term capital projects like the Osorno dairy factory and the introduction of new R&amp;D in Santiago (New Food Magazine, 2025). These benefits of </w:t>
      </w:r>
      <w:r>
        <w:rPr>
          <w:rFonts w:cs="Times New Roman" w:eastAsia="Times New Roman"/>
          <w:szCs w:val="24"/>
        </w:rPr>
        <w:t>internalisation</w:t>
      </w:r>
      <w:r>
        <w:rPr>
          <w:rFonts w:cs="Times New Roman" w:eastAsia="Times New Roman"/>
          <w:szCs w:val="24"/>
        </w:rPr>
        <w:t xml:space="preserve"> also bias t</w:t>
      </w:r>
      <w:r>
        <w:rPr>
          <w:rFonts w:cs="Times New Roman" w:eastAsia="Times New Roman"/>
          <w:szCs w:val="24"/>
        </w:rPr>
        <w:t xml:space="preserve">he firm towards FDI since technology protection, food safety, and integration with global sourcing </w:t>
      </w:r>
      <w:r>
        <w:rPr>
          <w:rFonts w:cs="Times New Roman" w:eastAsia="Times New Roman"/>
          <w:szCs w:val="24"/>
        </w:rPr>
        <w:t>and sustainability programmes are guaranteed. Therefore, the trend of Nestlé to make frequent investments and expansions in Chile suggests the OLI-based incl</w:t>
      </w:r>
      <w:r>
        <w:rPr>
          <w:rFonts w:cs="Times New Roman" w:eastAsia="Times New Roman"/>
          <w:szCs w:val="24"/>
        </w:rPr>
        <w:t>ination towards both Greenfield and expansion FDI, as opposed to the majority of licensing or straightforward export.</w:t>
      </w:r>
    </w:p>
    <w:bookmarkStart w:id="23" w:name="_6zr3dlt4928f" w:colFirst="0" w:colLast="0"/>
    <w:bookmarkStart w:id="24" w:name="_Toc215673725"/>
    <w:bookmarkEnd w:id="23"/>
    <w:p>
      <w:pPr>
        <w:pStyle w:val="style2"/>
        <w:rPr/>
      </w:pPr>
      <w:r>
        <w:t>3.5 PESTLE Analysis</w:t>
      </w:r>
      <w:bookmarkEnd w:id="24"/>
    </w:p>
    <w:p>
      <w:pPr>
        <w:pStyle w:val="style0"/>
        <w:rPr>
          <w:rFonts w:cs="Times New Roman" w:eastAsia="Times New Roman"/>
          <w:b/>
          <w:bCs/>
          <w:i/>
          <w:iCs/>
          <w:szCs w:val="24"/>
        </w:rPr>
      </w:pPr>
      <w:r>
        <w:rPr>
          <w:rFonts w:cs="Times New Roman" w:eastAsia="Times New Roman"/>
          <w:b/>
          <w:bCs/>
          <w:i/>
          <w:iCs/>
          <w:szCs w:val="24"/>
        </w:rPr>
        <w:t>Political</w:t>
      </w:r>
    </w:p>
    <w:p>
      <w:pPr>
        <w:pStyle w:val="style0"/>
        <w:rPr>
          <w:rFonts w:cs="Times New Roman" w:eastAsia="Times New Roman"/>
          <w:szCs w:val="24"/>
        </w:rPr>
      </w:pPr>
      <w:r>
        <w:rPr>
          <w:rFonts w:cs="Times New Roman" w:eastAsia="Times New Roman"/>
          <w:szCs w:val="24"/>
        </w:rPr>
        <w:t>Chile is among the most successful and stable countries in South America (BBC, 2023). Chile has the 3rd posi</w:t>
      </w:r>
      <w:r>
        <w:rPr>
          <w:rFonts w:cs="Times New Roman" w:eastAsia="Times New Roman"/>
          <w:szCs w:val="24"/>
        </w:rPr>
        <w:t>tion among 32 countries in Latin America and the Caribbean on the WJP Rule of Law Index 2023 (World Justice Project, 2023). Chile has 35 trade agreements with 64 countries, which makes the country access the world market (International Trade Administration</w:t>
      </w:r>
      <w:r>
        <w:rPr>
          <w:rFonts w:cs="Times New Roman" w:eastAsia="Times New Roman"/>
          <w:szCs w:val="24"/>
        </w:rPr>
        <w:t>, 2023). Multinationals are drawn by its pro-business environment, good democratic institutions and open foreign-investment policies.</w:t>
      </w:r>
    </w:p>
    <w:p>
      <w:pPr>
        <w:pStyle w:val="style0"/>
        <w:rPr>
          <w:rFonts w:cs="Times New Roman" w:eastAsia="Times New Roman"/>
          <w:szCs w:val="24"/>
        </w:rPr>
      </w:pPr>
      <w:r>
        <w:rPr>
          <w:rFonts w:cs="Times New Roman" w:eastAsia="Times New Roman"/>
          <w:b/>
          <w:bCs/>
          <w:i/>
          <w:iCs/>
          <w:szCs w:val="24"/>
        </w:rPr>
        <w:t>Economic</w:t>
      </w:r>
    </w:p>
    <w:p>
      <w:pPr>
        <w:pStyle w:val="style0"/>
        <w:rPr>
          <w:rFonts w:cs="Times New Roman" w:eastAsia="Times New Roman"/>
          <w:szCs w:val="24"/>
        </w:rPr>
      </w:pPr>
      <w:r>
        <w:rPr>
          <w:rFonts w:cs="Times New Roman" w:eastAsia="Times New Roman"/>
          <w:szCs w:val="24"/>
        </w:rPr>
        <w:t xml:space="preserve">A high-income export-based economy boasting a USD 330.27 billion GDP in 2024 and a low inflation rate of 4.3% in </w:t>
      </w:r>
      <w:r>
        <w:rPr>
          <w:rFonts w:cs="Times New Roman" w:eastAsia="Times New Roman"/>
          <w:szCs w:val="24"/>
        </w:rPr>
        <w:t xml:space="preserve">2024, Chile is also among the countries with the lowest inflation rates in the region, as evidenced in </w:t>
      </w:r>
      <w:r>
        <w:rPr>
          <w:rFonts w:cs="Times New Roman" w:eastAsia="Times New Roman"/>
          <w:b/>
          <w:bCs/>
          <w:i/>
          <w:iCs/>
          <w:szCs w:val="24"/>
        </w:rPr>
        <w:t xml:space="preserve">Figure 5 </w:t>
      </w:r>
      <w:r>
        <w:rPr>
          <w:rFonts w:cs="Times New Roman" w:eastAsia="Times New Roman"/>
          <w:szCs w:val="24"/>
        </w:rPr>
        <w:t>(World Bank, 2024a). It is 2nd in Latin America in terms of economic freedom, which allows it to invest without much instability (The Heritage F</w:t>
      </w:r>
      <w:r>
        <w:rPr>
          <w:rFonts w:cs="Times New Roman" w:eastAsia="Times New Roman"/>
          <w:szCs w:val="24"/>
        </w:rPr>
        <w:t>oundation, 2023). The mining, food processing, forestry and services are strong industries with good prospects to foreign firms.</w:t>
      </w:r>
    </w:p>
    <w:p>
      <w:pPr>
        <w:pStyle w:val="style0"/>
        <w:jc w:val="center"/>
        <w:rPr>
          <w:rFonts w:cs="Times New Roman" w:eastAsia="Times New Roman"/>
          <w:szCs w:val="24"/>
        </w:rPr>
      </w:pPr>
      <w:r>
        <w:rPr>
          <w:rFonts w:cs="Times New Roman" w:eastAsia="Times New Roman"/>
          <w:noProof/>
          <w:szCs w:val="24"/>
          <w:lang w:val="en-GB" w:eastAsia="en-GB"/>
        </w:rPr>
        <w:drawing>
          <wp:inline distL="0" distT="0" distB="0" distR="0">
            <wp:extent cx="5943600" cy="1028700"/>
            <wp:effectExtent l="25400" t="25400" r="25400" b="25400"/>
            <wp:docPr id="1031"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7" cstate="print"/>
                    <a:srcRect l="0" t="0" r="0" b="0"/>
                    <a:stretch/>
                  </pic:blipFill>
                  <pic:spPr>
                    <a:xfrm rot="0">
                      <a:off x="0" y="0"/>
                      <a:ext cx="5943600" cy="1028700"/>
                    </a:xfrm>
                    <a:prstGeom prst="rect"/>
                    <a:ln cmpd="sng" cap="flat" w="25400">
                      <a:solidFill>
                        <a:srgbClr val="000000"/>
                      </a:solidFill>
                      <a:prstDash val="solid"/>
                      <a:round/>
                      <a:headEnd/>
                      <a:tailEnd/>
                    </a:ln>
                  </pic:spPr>
                </pic:pic>
              </a:graphicData>
            </a:graphic>
          </wp:inline>
        </w:drawing>
      </w:r>
    </w:p>
    <w:p>
      <w:pPr>
        <w:pStyle w:val="style0"/>
        <w:jc w:val="center"/>
        <w:rPr>
          <w:rFonts w:cs="Times New Roman" w:eastAsia="Times New Roman"/>
          <w:szCs w:val="24"/>
        </w:rPr>
      </w:pPr>
      <w:r>
        <w:rPr>
          <w:rFonts w:cs="Times New Roman" w:eastAsia="Times New Roman"/>
          <w:noProof/>
          <w:szCs w:val="24"/>
          <w:lang w:val="en-GB" w:eastAsia="en-GB"/>
        </w:rPr>
        <w:drawing>
          <wp:inline distL="0" distT="0" distB="0" distR="0">
            <wp:extent cx="5943600" cy="1168400"/>
            <wp:effectExtent l="25400" t="25400" r="25400" b="25400"/>
            <wp:docPr id="1032"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8" cstate="print"/>
                    <a:srcRect l="0" t="0" r="0" b="0"/>
                    <a:stretch/>
                  </pic:blipFill>
                  <pic:spPr>
                    <a:xfrm rot="0">
                      <a:off x="0" y="0"/>
                      <a:ext cx="5943600" cy="1168400"/>
                    </a:xfrm>
                    <a:prstGeom prst="rect"/>
                    <a:ln cmpd="sng" cap="flat" w="25400">
                      <a:solidFill>
                        <a:srgbClr val="000000"/>
                      </a:solidFill>
                      <a:prstDash val="solid"/>
                      <a:round/>
                      <a:headEnd/>
                      <a:tailEnd/>
                    </a:ln>
                  </pic:spPr>
                </pic:pic>
              </a:graphicData>
            </a:graphic>
          </wp:inline>
        </w:drawing>
      </w:r>
    </w:p>
    <w:p>
      <w:pPr>
        <w:pStyle w:val="style0"/>
        <w:jc w:val="center"/>
        <w:rPr>
          <w:rFonts w:cs="Times New Roman" w:eastAsia="Times New Roman"/>
          <w:b/>
          <w:bCs/>
          <w:szCs w:val="24"/>
        </w:rPr>
      </w:pPr>
      <w:r>
        <w:rPr>
          <w:rFonts w:cs="Times New Roman" w:eastAsia="Times New Roman"/>
          <w:b/>
          <w:bCs/>
          <w:szCs w:val="24"/>
        </w:rPr>
        <w:t>Figure 5</w:t>
      </w:r>
      <w:r>
        <w:rPr>
          <w:rFonts w:cs="Times New Roman" w:eastAsia="Times New Roman"/>
          <w:b/>
          <w:bCs/>
          <w:szCs w:val="24"/>
        </w:rPr>
        <w:t>: GDP and inflation rate of Chile</w:t>
      </w:r>
    </w:p>
    <w:p>
      <w:pPr>
        <w:pStyle w:val="style0"/>
        <w:jc w:val="center"/>
        <w:rPr>
          <w:rFonts w:cs="Times New Roman" w:eastAsia="Times New Roman"/>
          <w:szCs w:val="24"/>
        </w:rPr>
      </w:pPr>
      <w:r>
        <w:rPr>
          <w:rFonts w:cs="Times New Roman" w:eastAsia="Times New Roman"/>
          <w:szCs w:val="24"/>
        </w:rPr>
        <w:t>(Source: World Bank, 2024a)</w:t>
      </w:r>
    </w:p>
    <w:p>
      <w:pPr>
        <w:pStyle w:val="style0"/>
        <w:jc w:val="center"/>
        <w:rPr>
          <w:rFonts w:cs="Times New Roman" w:eastAsia="Times New Roman"/>
          <w:szCs w:val="24"/>
        </w:rPr>
      </w:pPr>
    </w:p>
    <w:p>
      <w:pPr>
        <w:pStyle w:val="style0"/>
        <w:rPr>
          <w:rFonts w:cs="Times New Roman" w:eastAsia="Times New Roman"/>
          <w:b/>
          <w:bCs/>
          <w:szCs w:val="24"/>
        </w:rPr>
      </w:pPr>
      <w:r>
        <w:rPr>
          <w:rFonts w:cs="Times New Roman" w:eastAsia="Times New Roman"/>
          <w:b/>
          <w:bCs/>
          <w:szCs w:val="24"/>
        </w:rPr>
        <w:t xml:space="preserve">Social </w:t>
      </w:r>
    </w:p>
    <w:p>
      <w:pPr>
        <w:pStyle w:val="style0"/>
        <w:rPr>
          <w:rFonts w:cs="Times New Roman" w:eastAsia="Times New Roman"/>
          <w:szCs w:val="24"/>
        </w:rPr>
      </w:pPr>
      <w:r>
        <w:rPr>
          <w:rFonts w:cs="Times New Roman" w:eastAsia="Times New Roman"/>
          <w:b/>
          <w:bCs/>
          <w:i/>
          <w:iCs/>
          <w:szCs w:val="24"/>
        </w:rPr>
        <w:t>Figure 6</w:t>
      </w:r>
      <w:r>
        <w:rPr>
          <w:rFonts w:cs="Times New Roman" w:eastAsia="Times New Roman"/>
          <w:szCs w:val="24"/>
        </w:rPr>
        <w:t xml:space="preserve"> indicates that, in Chile, a populat</w:t>
      </w:r>
      <w:r>
        <w:rPr>
          <w:rFonts w:cs="Times New Roman" w:eastAsia="Times New Roman"/>
          <w:szCs w:val="24"/>
        </w:rPr>
        <w:t xml:space="preserve">ed country of 19.7 million, the urban middle class is growing, </w:t>
      </w:r>
      <w:r>
        <w:rPr>
          <w:rFonts w:cs="Times New Roman" w:eastAsia="Times New Roman"/>
          <w:szCs w:val="24"/>
        </w:rPr>
        <w:t>urbanisation</w:t>
      </w:r>
      <w:r>
        <w:rPr>
          <w:rFonts w:cs="Times New Roman" w:eastAsia="Times New Roman"/>
          <w:szCs w:val="24"/>
        </w:rPr>
        <w:t xml:space="preserve"> and high demand for packaged foods, nutrition products, and convenience goods (World Bank, 2024b). Another aspect is a high literacy and better health signs are also registered. Th</w:t>
      </w:r>
      <w:r>
        <w:rPr>
          <w:rFonts w:cs="Times New Roman" w:eastAsia="Times New Roman"/>
          <w:szCs w:val="24"/>
        </w:rPr>
        <w:t>e shift of the consumer demand towards more healthy and sustainable products is a good opportunity for companies such as Nestlé.</w:t>
      </w:r>
    </w:p>
    <w:p>
      <w:pPr>
        <w:pStyle w:val="style0"/>
        <w:jc w:val="center"/>
        <w:rPr>
          <w:rFonts w:cs="Times New Roman" w:eastAsia="Times New Roman"/>
          <w:szCs w:val="24"/>
        </w:rPr>
      </w:pPr>
      <w:r>
        <w:rPr>
          <w:rFonts w:cs="Times New Roman" w:eastAsia="Times New Roman"/>
          <w:noProof/>
          <w:szCs w:val="24"/>
          <w:lang w:val="en-GB" w:eastAsia="en-GB"/>
        </w:rPr>
        <w:drawing>
          <wp:inline distL="0" distT="0" distB="0" distR="0">
            <wp:extent cx="5224463" cy="2980623"/>
            <wp:effectExtent l="25400" t="25400" r="25400" b="25400"/>
            <wp:docPr id="1033"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9" cstate="print"/>
                    <a:srcRect l="0" t="0" r="0" b="0"/>
                    <a:stretch/>
                  </pic:blipFill>
                  <pic:spPr>
                    <a:xfrm rot="0">
                      <a:off x="0" y="0"/>
                      <a:ext cx="5224463" cy="2980623"/>
                    </a:xfrm>
                    <a:prstGeom prst="rect"/>
                    <a:ln cmpd="sng" cap="flat" w="25400">
                      <a:solidFill>
                        <a:srgbClr val="000000"/>
                      </a:solidFill>
                      <a:prstDash val="solid"/>
                      <a:round/>
                      <a:headEnd/>
                      <a:tailEnd/>
                    </a:ln>
                  </pic:spPr>
                </pic:pic>
              </a:graphicData>
            </a:graphic>
          </wp:inline>
        </w:drawing>
      </w:r>
    </w:p>
    <w:p>
      <w:pPr>
        <w:pStyle w:val="style0"/>
        <w:jc w:val="center"/>
        <w:rPr>
          <w:rFonts w:cs="Times New Roman" w:eastAsia="Times New Roman"/>
          <w:b/>
          <w:bCs/>
          <w:szCs w:val="24"/>
        </w:rPr>
      </w:pPr>
      <w:r>
        <w:rPr>
          <w:rFonts w:cs="Times New Roman" w:eastAsia="Times New Roman"/>
          <w:b/>
          <w:bCs/>
          <w:szCs w:val="24"/>
        </w:rPr>
        <w:t>Figure 6</w:t>
      </w:r>
      <w:r>
        <w:rPr>
          <w:rFonts w:cs="Times New Roman" w:eastAsia="Times New Roman"/>
          <w:b/>
          <w:bCs/>
          <w:szCs w:val="24"/>
        </w:rPr>
        <w:t>: Population rate of Chile</w:t>
      </w:r>
    </w:p>
    <w:p>
      <w:pPr>
        <w:pStyle w:val="style0"/>
        <w:jc w:val="center"/>
        <w:rPr>
          <w:rFonts w:cs="Times New Roman" w:eastAsia="Times New Roman"/>
          <w:szCs w:val="24"/>
        </w:rPr>
      </w:pPr>
      <w:r>
        <w:rPr>
          <w:rFonts w:cs="Times New Roman" w:eastAsia="Times New Roman"/>
          <w:szCs w:val="24"/>
        </w:rPr>
        <w:t>(Source: World Bank, 2024b)</w:t>
      </w:r>
    </w:p>
    <w:p>
      <w:pPr>
        <w:pStyle w:val="style0"/>
        <w:rPr>
          <w:rFonts w:cs="Times New Roman" w:eastAsia="Times New Roman"/>
          <w:b/>
          <w:bCs/>
          <w:i/>
          <w:iCs/>
          <w:szCs w:val="24"/>
        </w:rPr>
      </w:pPr>
      <w:r>
        <w:rPr>
          <w:rFonts w:cs="Times New Roman" w:eastAsia="Times New Roman"/>
          <w:b/>
          <w:bCs/>
          <w:i/>
          <w:iCs/>
          <w:szCs w:val="24"/>
        </w:rPr>
        <w:t xml:space="preserve">Technological </w:t>
      </w:r>
    </w:p>
    <w:p>
      <w:pPr>
        <w:pStyle w:val="style0"/>
        <w:rPr>
          <w:rFonts w:cs="Times New Roman" w:eastAsia="Times New Roman"/>
          <w:szCs w:val="24"/>
        </w:rPr>
      </w:pPr>
      <w:r>
        <w:rPr>
          <w:rFonts w:cs="Times New Roman" w:eastAsia="Times New Roman"/>
          <w:szCs w:val="24"/>
        </w:rPr>
        <w:t xml:space="preserve">In 2023, the internet penetration in Chile </w:t>
      </w:r>
      <w:r>
        <w:rPr>
          <w:rFonts w:cs="Times New Roman" w:eastAsia="Times New Roman"/>
          <w:szCs w:val="24"/>
        </w:rPr>
        <w:t>stands at approximately 90.2% of the population, which is one of the highest in Latin America. The nation is still deploying 5Gs in its network and active mobile connections, implying that some citizens operate more than a single SIM or gadget.</w:t>
      </w:r>
    </w:p>
    <w:p>
      <w:pPr>
        <w:pStyle w:val="style0"/>
        <w:rPr>
          <w:rFonts w:cs="Times New Roman" w:eastAsia="Times New Roman"/>
          <w:b/>
          <w:bCs/>
          <w:i/>
          <w:iCs/>
          <w:szCs w:val="24"/>
        </w:rPr>
      </w:pPr>
      <w:r>
        <w:rPr>
          <w:rFonts w:cs="Times New Roman" w:eastAsia="Times New Roman"/>
          <w:b/>
          <w:bCs/>
          <w:i/>
          <w:iCs/>
          <w:szCs w:val="24"/>
        </w:rPr>
        <w:t>Environment</w:t>
      </w:r>
      <w:r>
        <w:rPr>
          <w:rFonts w:cs="Times New Roman" w:eastAsia="Times New Roman"/>
          <w:b/>
          <w:bCs/>
          <w:i/>
          <w:iCs/>
          <w:szCs w:val="24"/>
        </w:rPr>
        <w:t xml:space="preserve">al </w:t>
      </w:r>
    </w:p>
    <w:p>
      <w:pPr>
        <w:pStyle w:val="style0"/>
        <w:rPr>
          <w:rFonts w:cs="Times New Roman" w:eastAsia="Times New Roman"/>
          <w:szCs w:val="24"/>
        </w:rPr>
      </w:pPr>
      <w:r>
        <w:rPr>
          <w:rFonts w:cs="Times New Roman" w:eastAsia="Times New Roman"/>
          <w:szCs w:val="24"/>
        </w:rPr>
        <w:t xml:space="preserve">Chile has established a target of 70% of all its total energy usage as renewable by 2030 and committed to achieving carbon neutrality by 2050 (Conley, 2023). Its biodiversity, agricultural production and water shortages affect the food and beverage </w:t>
      </w:r>
      <w:r>
        <w:rPr>
          <w:rFonts w:cs="Times New Roman" w:eastAsia="Times New Roman"/>
          <w:szCs w:val="24"/>
        </w:rPr>
        <w:t>business. The strategies of recycling, reduction of plastics and sustainable sourcing are regulated and impact multinational supply chains.</w:t>
      </w:r>
    </w:p>
    <w:p>
      <w:pPr>
        <w:pStyle w:val="style0"/>
        <w:rPr>
          <w:rFonts w:cs="Times New Roman" w:eastAsia="Times New Roman"/>
          <w:b/>
          <w:bCs/>
          <w:i/>
          <w:iCs/>
          <w:szCs w:val="24"/>
        </w:rPr>
      </w:pPr>
      <w:r>
        <w:rPr>
          <w:rFonts w:cs="Times New Roman" w:eastAsia="Times New Roman"/>
          <w:b/>
          <w:bCs/>
          <w:i/>
          <w:iCs/>
          <w:szCs w:val="24"/>
        </w:rPr>
        <w:t>Legal</w:t>
      </w:r>
    </w:p>
    <w:p>
      <w:pPr>
        <w:pStyle w:val="style0"/>
        <w:rPr>
          <w:rFonts w:cs="Times New Roman" w:eastAsia="Times New Roman"/>
          <w:szCs w:val="24"/>
        </w:rPr>
      </w:pPr>
      <w:r>
        <w:rPr>
          <w:rFonts w:cs="Times New Roman" w:eastAsia="Times New Roman"/>
          <w:szCs w:val="24"/>
        </w:rPr>
        <w:t xml:space="preserve">In </w:t>
      </w:r>
      <w:r>
        <w:rPr>
          <w:rFonts w:cs="Times New Roman" w:eastAsia="Times New Roman"/>
          <w:b/>
          <w:bCs/>
          <w:i/>
          <w:iCs/>
          <w:szCs w:val="24"/>
        </w:rPr>
        <w:t>Figure 7</w:t>
      </w:r>
      <w:r>
        <w:rPr>
          <w:rFonts w:cs="Times New Roman" w:eastAsia="Times New Roman"/>
          <w:szCs w:val="24"/>
        </w:rPr>
        <w:t xml:space="preserve">, it is seen that Chile has a strong legal framework in the Latin America region, ranked 35 on the </w:t>
      </w:r>
      <w:r>
        <w:rPr>
          <w:rFonts w:cs="Times New Roman" w:eastAsia="Times New Roman"/>
          <w:szCs w:val="24"/>
        </w:rPr>
        <w:t>rule of law on the WJP 2023 list (World Justice Project, 2024). The Chilean legislation treats the foreign investors equally, complemented by the good protection of IP and clear business laws. The labour laws provide safety, minimum wage and formal contrac</w:t>
      </w:r>
      <w:r>
        <w:rPr>
          <w:rFonts w:cs="Times New Roman" w:eastAsia="Times New Roman"/>
          <w:szCs w:val="24"/>
        </w:rPr>
        <w:t>ts, which influence operations and human resource strategies of companies.</w:t>
      </w:r>
    </w:p>
    <w:p>
      <w:pPr>
        <w:pStyle w:val="style0"/>
        <w:jc w:val="center"/>
        <w:rPr>
          <w:rFonts w:cs="Times New Roman" w:eastAsia="Times New Roman"/>
          <w:szCs w:val="24"/>
        </w:rPr>
      </w:pPr>
      <w:r>
        <w:rPr>
          <w:rFonts w:cs="Times New Roman" w:eastAsia="Times New Roman"/>
          <w:noProof/>
          <w:szCs w:val="24"/>
          <w:lang w:val="en-GB" w:eastAsia="en-GB"/>
        </w:rPr>
        <w:drawing>
          <wp:inline distL="0" distT="0" distB="0" distR="0">
            <wp:extent cx="5943600" cy="2108200"/>
            <wp:effectExtent l="25400" t="25400" r="25400" b="25400"/>
            <wp:docPr id="1034"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0" cstate="print"/>
                    <a:srcRect l="0" t="0" r="0" b="0"/>
                    <a:stretch/>
                  </pic:blipFill>
                  <pic:spPr>
                    <a:xfrm rot="0">
                      <a:off x="0" y="0"/>
                      <a:ext cx="5943600" cy="2108200"/>
                    </a:xfrm>
                    <a:prstGeom prst="rect"/>
                    <a:ln cmpd="sng" cap="flat" w="25400">
                      <a:solidFill>
                        <a:srgbClr val="000000"/>
                      </a:solidFill>
                      <a:prstDash val="solid"/>
                      <a:round/>
                      <a:headEnd/>
                      <a:tailEnd/>
                    </a:ln>
                  </pic:spPr>
                </pic:pic>
              </a:graphicData>
            </a:graphic>
          </wp:inline>
        </w:drawing>
      </w:r>
    </w:p>
    <w:p>
      <w:pPr>
        <w:pStyle w:val="style0"/>
        <w:jc w:val="center"/>
        <w:rPr>
          <w:rFonts w:cs="Times New Roman" w:eastAsia="Times New Roman"/>
          <w:b/>
          <w:bCs/>
          <w:szCs w:val="24"/>
        </w:rPr>
      </w:pPr>
      <w:r>
        <w:rPr>
          <w:rFonts w:cs="Times New Roman" w:eastAsia="Times New Roman"/>
          <w:b/>
          <w:bCs/>
          <w:szCs w:val="24"/>
        </w:rPr>
        <w:t>Figure 7</w:t>
      </w:r>
      <w:r>
        <w:rPr>
          <w:rFonts w:cs="Times New Roman" w:eastAsia="Times New Roman"/>
          <w:b/>
          <w:bCs/>
          <w:szCs w:val="24"/>
        </w:rPr>
        <w:t>: Chile Ranked by Overall Score</w:t>
      </w:r>
    </w:p>
    <w:p>
      <w:pPr>
        <w:pStyle w:val="style0"/>
        <w:jc w:val="center"/>
        <w:rPr>
          <w:rFonts w:cs="Times New Roman" w:eastAsia="Times New Roman"/>
          <w:szCs w:val="24"/>
        </w:rPr>
      </w:pPr>
      <w:r>
        <w:rPr>
          <w:rFonts w:cs="Times New Roman" w:eastAsia="Times New Roman"/>
          <w:szCs w:val="24"/>
        </w:rPr>
        <w:t>(Source: World Justice Project, 2024)</w:t>
      </w:r>
    </w:p>
    <w:bookmarkStart w:id="25" w:name="_mumqjsdwz5j8" w:colFirst="0" w:colLast="0"/>
    <w:bookmarkStart w:id="26" w:name="_Toc215673726"/>
    <w:bookmarkEnd w:id="25"/>
    <w:p>
      <w:pPr>
        <w:pStyle w:val="style1"/>
        <w:rPr/>
      </w:pPr>
      <w:r>
        <w:t>4. Cultural Differences</w:t>
      </w:r>
      <w:bookmarkEnd w:id="26"/>
      <w:r>
        <w:t xml:space="preserve"> </w:t>
      </w:r>
    </w:p>
    <w:bookmarkStart w:id="27" w:name="_nax67zz71rpm" w:colFirst="0" w:colLast="0"/>
    <w:bookmarkStart w:id="28" w:name="_Toc215673727"/>
    <w:bookmarkEnd w:id="27"/>
    <w:p>
      <w:pPr>
        <w:pStyle w:val="style2"/>
        <w:rPr/>
      </w:pPr>
      <w:r>
        <w:t>4.1 Cultural Comparison Using Hofstede Dimensions</w:t>
      </w:r>
      <w:bookmarkEnd w:id="28"/>
    </w:p>
    <w:p>
      <w:pPr>
        <w:pStyle w:val="style0"/>
        <w:jc w:val="center"/>
        <w:rPr/>
      </w:pPr>
      <w:r>
        <w:rPr>
          <w:noProof/>
          <w:lang w:val="en-GB" w:eastAsia="en-GB"/>
        </w:rPr>
        <w:drawing>
          <wp:inline distL="0" distT="0" distB="0" distR="0">
            <wp:extent cx="5367338" cy="2728546"/>
            <wp:effectExtent l="25400" t="25400" r="25400" b="25400"/>
            <wp:docPr id="1035"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r:embed="rId11" cstate="print"/>
                    <a:srcRect l="0" t="0" r="0" b="0"/>
                    <a:stretch/>
                  </pic:blipFill>
                  <pic:spPr>
                    <a:xfrm rot="0">
                      <a:off x="0" y="0"/>
                      <a:ext cx="5367338" cy="2728546"/>
                    </a:xfrm>
                    <a:prstGeom prst="rect"/>
                    <a:ln cmpd="sng" cap="flat" w="25400">
                      <a:solidFill>
                        <a:srgbClr val="000000"/>
                      </a:solidFill>
                      <a:prstDash val="solid"/>
                      <a:round/>
                      <a:headEnd/>
                      <a:tailEnd/>
                    </a:ln>
                  </pic:spPr>
                </pic:pic>
              </a:graphicData>
            </a:graphic>
          </wp:inline>
        </w:drawing>
      </w:r>
    </w:p>
    <w:p>
      <w:pPr>
        <w:pStyle w:val="style0"/>
        <w:jc w:val="center"/>
        <w:rPr>
          <w:rFonts w:cs="Times New Roman" w:eastAsia="Times New Roman"/>
          <w:b/>
          <w:bCs/>
          <w:szCs w:val="24"/>
        </w:rPr>
      </w:pPr>
      <w:r>
        <w:rPr>
          <w:rFonts w:cs="Times New Roman" w:eastAsia="Times New Roman"/>
          <w:b/>
          <w:bCs/>
          <w:szCs w:val="24"/>
        </w:rPr>
        <w:t>Figure 8</w:t>
      </w:r>
      <w:r>
        <w:rPr>
          <w:rFonts w:cs="Times New Roman" w:eastAsia="Times New Roman"/>
          <w:b/>
          <w:bCs/>
          <w:szCs w:val="24"/>
        </w:rPr>
        <w:t>: Cultural Compa</w:t>
      </w:r>
      <w:r>
        <w:rPr>
          <w:rFonts w:cs="Times New Roman" w:eastAsia="Times New Roman"/>
          <w:b/>
          <w:bCs/>
          <w:szCs w:val="24"/>
        </w:rPr>
        <w:t>rison Using Hofstede Dimensions</w:t>
      </w:r>
    </w:p>
    <w:p>
      <w:pPr>
        <w:pStyle w:val="style0"/>
        <w:jc w:val="center"/>
        <w:rPr>
          <w:rFonts w:cs="Times New Roman" w:eastAsia="Times New Roman"/>
          <w:szCs w:val="24"/>
        </w:rPr>
      </w:pPr>
      <w:r>
        <w:rPr>
          <w:rFonts w:cs="Times New Roman" w:eastAsia="Times New Roman"/>
          <w:szCs w:val="24"/>
        </w:rPr>
        <w:t>(Source: The Culture Factor, 2025)</w:t>
      </w:r>
    </w:p>
    <w:p>
      <w:pPr>
        <w:pStyle w:val="style0"/>
        <w:rPr>
          <w:rFonts w:cs="Times New Roman" w:eastAsia="Times New Roman"/>
          <w:b/>
          <w:bCs/>
          <w:i/>
          <w:iCs/>
          <w:szCs w:val="24"/>
        </w:rPr>
      </w:pPr>
      <w:r>
        <w:rPr>
          <w:rFonts w:cs="Times New Roman" w:eastAsia="Times New Roman"/>
          <w:b/>
          <w:bCs/>
          <w:i/>
          <w:iCs/>
          <w:szCs w:val="24"/>
        </w:rPr>
        <w:t>Power Distance</w:t>
      </w:r>
    </w:p>
    <w:p>
      <w:pPr>
        <w:pStyle w:val="style0"/>
        <w:rPr>
          <w:rFonts w:cs="Times New Roman" w:eastAsia="Times New Roman"/>
          <w:szCs w:val="24"/>
        </w:rPr>
      </w:pPr>
      <w:r>
        <w:rPr>
          <w:rFonts w:cs="Times New Roman" w:eastAsia="Times New Roman"/>
          <w:szCs w:val="24"/>
        </w:rPr>
        <w:t>Hofstede Insights indicates that Chile has a high Power Distance score of 63, with Switzerland scoring 34, which means that the society in Chile is much more hierarchical, as</w:t>
      </w:r>
      <w:r>
        <w:rPr>
          <w:rFonts w:cs="Times New Roman" w:eastAsia="Times New Roman"/>
          <w:szCs w:val="24"/>
        </w:rPr>
        <w:t xml:space="preserve"> depicted in </w:t>
      </w:r>
      <w:r>
        <w:rPr>
          <w:rFonts w:cs="Times New Roman" w:eastAsia="Times New Roman"/>
          <w:b/>
          <w:bCs/>
          <w:i/>
          <w:iCs/>
          <w:szCs w:val="24"/>
        </w:rPr>
        <w:t>Figure 8</w:t>
      </w:r>
      <w:r>
        <w:rPr>
          <w:rFonts w:cs="Times New Roman" w:eastAsia="Times New Roman"/>
          <w:szCs w:val="24"/>
        </w:rPr>
        <w:t xml:space="preserve"> </w:t>
      </w:r>
      <w:r>
        <w:rPr>
          <w:rFonts w:cs="Times New Roman" w:eastAsia="Times New Roman"/>
          <w:szCs w:val="24"/>
        </w:rPr>
        <w:t>( The</w:t>
      </w:r>
      <w:r>
        <w:rPr>
          <w:rFonts w:cs="Times New Roman" w:eastAsia="Times New Roman"/>
          <w:szCs w:val="24"/>
        </w:rPr>
        <w:t xml:space="preserve"> Culture Factor, 2025). It should have a </w:t>
      </w:r>
      <w:r>
        <w:rPr>
          <w:rFonts w:cs="Times New Roman" w:eastAsia="Times New Roman"/>
          <w:szCs w:val="24"/>
        </w:rPr>
        <w:t>centralised</w:t>
      </w:r>
      <w:r>
        <w:rPr>
          <w:rFonts w:cs="Times New Roman" w:eastAsia="Times New Roman"/>
          <w:szCs w:val="24"/>
        </w:rPr>
        <w:t xml:space="preserve"> decision-making process and effective local leadership as opposed to the </w:t>
      </w:r>
      <w:r>
        <w:rPr>
          <w:rFonts w:cs="Times New Roman" w:eastAsia="Times New Roman"/>
          <w:szCs w:val="24"/>
        </w:rPr>
        <w:t>decentralised</w:t>
      </w:r>
      <w:r>
        <w:rPr>
          <w:rFonts w:cs="Times New Roman" w:eastAsia="Times New Roman"/>
          <w:szCs w:val="24"/>
        </w:rPr>
        <w:t xml:space="preserve"> Swiss style of leadership. When negotiating entry, as in the case with regulators, distri</w:t>
      </w:r>
      <w:r>
        <w:rPr>
          <w:rFonts w:cs="Times New Roman" w:eastAsia="Times New Roman"/>
          <w:szCs w:val="24"/>
        </w:rPr>
        <w:t>butors or retail chains, Nestlé will require senior executives to be present, as cultures that are hierarchical demand authority figures. According to Cheng et al. (2022), formal communication, respect for titles and roles are required in the Marketing and</w:t>
      </w:r>
      <w:r>
        <w:rPr>
          <w:rFonts w:cs="Times New Roman" w:eastAsia="Times New Roman"/>
          <w:szCs w:val="24"/>
        </w:rPr>
        <w:t xml:space="preserve"> sales teams. Swiss managers venturing into Chile should not be too informal, as this can be seen as a sign of a lack of respect and leadership. Thus, Nestlé's entry strategy should include a well-</w:t>
      </w:r>
      <w:r>
        <w:rPr>
          <w:rFonts w:cs="Times New Roman" w:eastAsia="Times New Roman"/>
          <w:szCs w:val="24"/>
        </w:rPr>
        <w:t>organised</w:t>
      </w:r>
      <w:r>
        <w:rPr>
          <w:rFonts w:cs="Times New Roman" w:eastAsia="Times New Roman"/>
          <w:szCs w:val="24"/>
        </w:rPr>
        <w:t xml:space="preserve"> </w:t>
      </w:r>
      <w:r>
        <w:rPr>
          <w:rFonts w:cs="Times New Roman" w:eastAsia="Times New Roman"/>
          <w:szCs w:val="24"/>
        </w:rPr>
        <w:t>organisational</w:t>
      </w:r>
      <w:r>
        <w:rPr>
          <w:rFonts w:cs="Times New Roman" w:eastAsia="Times New Roman"/>
          <w:szCs w:val="24"/>
        </w:rPr>
        <w:t xml:space="preserve"> structure, more transparent report</w:t>
      </w:r>
      <w:r>
        <w:rPr>
          <w:rFonts w:cs="Times New Roman" w:eastAsia="Times New Roman"/>
          <w:szCs w:val="24"/>
        </w:rPr>
        <w:t>ing and visible leadership to gain trust and legitimacy among the Chilean market.</w:t>
      </w:r>
    </w:p>
    <w:p>
      <w:pPr>
        <w:pStyle w:val="style0"/>
        <w:rPr>
          <w:rFonts w:cs="Times New Roman" w:eastAsia="Times New Roman"/>
          <w:b/>
          <w:bCs/>
          <w:i/>
          <w:iCs/>
          <w:szCs w:val="24"/>
        </w:rPr>
      </w:pPr>
      <w:r>
        <w:rPr>
          <w:rFonts w:cs="Times New Roman" w:eastAsia="Times New Roman"/>
          <w:b/>
          <w:bCs/>
          <w:i/>
          <w:iCs/>
          <w:szCs w:val="24"/>
        </w:rPr>
        <w:t>Individualism</w:t>
      </w:r>
    </w:p>
    <w:p>
      <w:pPr>
        <w:pStyle w:val="style0"/>
        <w:rPr>
          <w:rFonts w:cs="Times New Roman" w:eastAsia="Times New Roman"/>
          <w:szCs w:val="24"/>
        </w:rPr>
      </w:pPr>
      <w:r>
        <w:rPr>
          <w:rFonts w:cs="Times New Roman" w:eastAsia="Times New Roman"/>
          <w:szCs w:val="24"/>
        </w:rPr>
        <w:t xml:space="preserve">The score of Chile is 49, which is a highly collectivist country, and Switzerland is 79, which is highly individualistically oriented, as depicted in </w:t>
      </w:r>
      <w:r>
        <w:rPr>
          <w:rFonts w:cs="Times New Roman" w:eastAsia="Times New Roman"/>
          <w:b/>
          <w:bCs/>
          <w:i/>
          <w:iCs/>
          <w:szCs w:val="24"/>
        </w:rPr>
        <w:t xml:space="preserve">Figure 8 </w:t>
      </w:r>
      <w:r>
        <w:rPr>
          <w:rFonts w:cs="Times New Roman" w:eastAsia="Times New Roman"/>
          <w:szCs w:val="24"/>
        </w:rPr>
        <w:t>(The Culture Factor, 2025). To enter the market, Nestlé should focus on the relationship-based marketing approaches as opposed to the transactional strategies. In Chile, partnership in business necessitates building trust, long-term interaction and embedd</w:t>
      </w:r>
      <w:r>
        <w:rPr>
          <w:rFonts w:cs="Times New Roman" w:eastAsia="Times New Roman"/>
          <w:szCs w:val="24"/>
        </w:rPr>
        <w:t xml:space="preserve">edness into the community, and therefore Nestlé should incorporate the local stakeholders, NGOs and community groups. According to Williams, Escalas and Morningstar (2022), Marketing messages during the launch must focus on family values, social belonging </w:t>
      </w:r>
      <w:r>
        <w:rPr>
          <w:rFonts w:cs="Times New Roman" w:eastAsia="Times New Roman"/>
          <w:szCs w:val="24"/>
        </w:rPr>
        <w:t>and community well-being, but not individual success, which is a more attractive aspect of the Swiss consumers. The time needed in the relationship-oriented negotiation process can be long, and Nestlé will need to invest more time in building credibility w</w:t>
      </w:r>
      <w:r>
        <w:rPr>
          <w:rFonts w:cs="Times New Roman" w:eastAsia="Times New Roman"/>
          <w:szCs w:val="24"/>
        </w:rPr>
        <w:t>ith local distributors and retailers. The market based on collectivism also prefers loyalty programmes and family offerings, and consumption products. Such a difference in culture makes Nestlé undertake the use of a polycentric and locally adjusted entry a</w:t>
      </w:r>
      <w:r>
        <w:rPr>
          <w:rFonts w:cs="Times New Roman" w:eastAsia="Times New Roman"/>
          <w:szCs w:val="24"/>
        </w:rPr>
        <w:t>pproach.</w:t>
      </w:r>
    </w:p>
    <w:p>
      <w:pPr>
        <w:pStyle w:val="style0"/>
        <w:rPr>
          <w:rFonts w:cs="Times New Roman" w:eastAsia="Times New Roman"/>
          <w:b/>
          <w:bCs/>
          <w:i/>
          <w:iCs/>
          <w:szCs w:val="24"/>
        </w:rPr>
      </w:pPr>
      <w:r>
        <w:rPr>
          <w:rFonts w:cs="Times New Roman" w:eastAsia="Times New Roman"/>
          <w:b/>
          <w:bCs/>
          <w:i/>
          <w:iCs/>
          <w:szCs w:val="24"/>
        </w:rPr>
        <w:t>Motivation towards Achievement and Success</w:t>
      </w:r>
    </w:p>
    <w:p>
      <w:pPr>
        <w:pStyle w:val="style0"/>
        <w:rPr>
          <w:rFonts w:cs="Times New Roman" w:eastAsia="Times New Roman"/>
          <w:szCs w:val="24"/>
        </w:rPr>
      </w:pPr>
      <w:r>
        <w:rPr>
          <w:rFonts w:cs="Times New Roman" w:eastAsia="Times New Roman"/>
          <w:szCs w:val="24"/>
        </w:rPr>
        <w:t>Chile has a score of 28, which is a feminine culture that appreciates collaboration, modesty and well-being, whereas Switzerland has a 70 score, indicating a masculine culture of performance as depicted i</w:t>
      </w:r>
      <w:r>
        <w:rPr>
          <w:rFonts w:cs="Times New Roman" w:eastAsia="Times New Roman"/>
          <w:szCs w:val="24"/>
        </w:rPr>
        <w:t xml:space="preserve">n </w:t>
      </w:r>
      <w:r>
        <w:rPr>
          <w:rFonts w:cs="Times New Roman" w:eastAsia="Times New Roman"/>
          <w:b/>
          <w:bCs/>
          <w:i/>
          <w:iCs/>
          <w:szCs w:val="24"/>
        </w:rPr>
        <w:t>Figure 8</w:t>
      </w:r>
      <w:r>
        <w:rPr>
          <w:rFonts w:cs="Times New Roman" w:eastAsia="Times New Roman"/>
          <w:szCs w:val="24"/>
        </w:rPr>
        <w:t xml:space="preserve"> (The Culture Factor, 2025). The entry strategy that Nestlé must adopt in Chile should hence focus on care-based, family-based based and socially responsible brand positioning. Performance-based or aggressive marketing tactics, which are typical </w:t>
      </w:r>
      <w:r>
        <w:rPr>
          <w:rFonts w:cs="Times New Roman" w:eastAsia="Times New Roman"/>
          <w:szCs w:val="24"/>
        </w:rPr>
        <w:t xml:space="preserve">of the masculine culture, might not hit the mark. Nestlé ought to package products in terms of emotional </w:t>
      </w:r>
      <w:r>
        <w:rPr>
          <w:rFonts w:cs="Times New Roman" w:eastAsia="Times New Roman"/>
          <w:szCs w:val="24"/>
        </w:rPr>
        <w:t>cosiness</w:t>
      </w:r>
      <w:r>
        <w:rPr>
          <w:rFonts w:cs="Times New Roman" w:eastAsia="Times New Roman"/>
          <w:szCs w:val="24"/>
        </w:rPr>
        <w:t>, health, family sustenance, and better living standards. On the inside, according to McGrath et al. (2021), Nestlé should focus on joint leade</w:t>
      </w:r>
      <w:r>
        <w:rPr>
          <w:rFonts w:cs="Times New Roman" w:eastAsia="Times New Roman"/>
          <w:szCs w:val="24"/>
        </w:rPr>
        <w:t>rship and connection development instead of competitive selling goals. Collaboration with the local communities, health programmes and CSR activities will be important in gaining acceptance. Since feminine cultures prefer balance, Nestlé will not need high</w:t>
      </w:r>
      <w:r>
        <w:rPr>
          <w:rFonts w:cs="Times New Roman" w:eastAsia="Times New Roman"/>
          <w:szCs w:val="24"/>
        </w:rPr>
        <w:t>-pressure sales practices but rather empathy-based communication that will help to meet the values of Chilean consumers.</w:t>
      </w:r>
    </w:p>
    <w:p>
      <w:pPr>
        <w:pStyle w:val="style0"/>
        <w:rPr>
          <w:rFonts w:cs="Times New Roman" w:eastAsia="Times New Roman"/>
          <w:b/>
          <w:bCs/>
          <w:i/>
          <w:iCs/>
          <w:szCs w:val="24"/>
        </w:rPr>
      </w:pPr>
      <w:r>
        <w:rPr>
          <w:rFonts w:cs="Times New Roman" w:eastAsia="Times New Roman"/>
          <w:b/>
          <w:bCs/>
          <w:i/>
          <w:iCs/>
          <w:szCs w:val="24"/>
        </w:rPr>
        <w:t>Uncertainty Avoidance</w:t>
      </w:r>
    </w:p>
    <w:p>
      <w:pPr>
        <w:pStyle w:val="style0"/>
        <w:rPr>
          <w:rFonts w:cs="Times New Roman" w:eastAsia="Times New Roman"/>
          <w:szCs w:val="24"/>
        </w:rPr>
      </w:pPr>
      <w:r>
        <w:rPr>
          <w:rFonts w:cs="Times New Roman" w:eastAsia="Times New Roman"/>
          <w:szCs w:val="24"/>
        </w:rPr>
        <w:t xml:space="preserve">A high score of 86 in Chile compared to 58 in Switzerland indicates that Nestlé needs to plan an entry mode that </w:t>
      </w:r>
      <w:r>
        <w:rPr>
          <w:rFonts w:cs="Times New Roman" w:eastAsia="Times New Roman"/>
          <w:szCs w:val="24"/>
        </w:rPr>
        <w:t xml:space="preserve">is risk-averse, as demonstrated in </w:t>
      </w:r>
      <w:r>
        <w:rPr>
          <w:rFonts w:cs="Times New Roman" w:eastAsia="Times New Roman"/>
          <w:b/>
          <w:bCs/>
          <w:i/>
          <w:iCs/>
          <w:szCs w:val="24"/>
        </w:rPr>
        <w:t>Figure 8</w:t>
      </w:r>
      <w:r>
        <w:rPr>
          <w:rFonts w:cs="Times New Roman" w:eastAsia="Times New Roman"/>
          <w:szCs w:val="24"/>
        </w:rPr>
        <w:t xml:space="preserve"> Like the Culture Factor, 2025). Consumers with high-UAI like brands that they know, are safe, and well-controlled, and Nestlé </w:t>
      </w:r>
      <w:r>
        <w:rPr>
          <w:rFonts w:cs="Times New Roman" w:eastAsia="Times New Roman"/>
          <w:szCs w:val="24"/>
        </w:rPr>
        <w:t xml:space="preserve">needs to </w:t>
      </w:r>
      <w:r>
        <w:rPr>
          <w:rFonts w:cs="Times New Roman" w:eastAsia="Times New Roman"/>
          <w:szCs w:val="24"/>
        </w:rPr>
        <w:t>emphasise</w:t>
      </w:r>
      <w:r>
        <w:rPr>
          <w:rFonts w:cs="Times New Roman" w:eastAsia="Times New Roman"/>
          <w:szCs w:val="24"/>
        </w:rPr>
        <w:t xml:space="preserve"> the global quality certification, food safety, and high production </w:t>
      </w:r>
      <w:r>
        <w:rPr>
          <w:rFonts w:cs="Times New Roman" w:eastAsia="Times New Roman"/>
          <w:szCs w:val="24"/>
        </w:rPr>
        <w:t>standards at the initial marketing stage. In the entry stage, Nestlé will be required to submit comprehensive paperwork to the regulators, distributors and prospective partners since the institutions in Chile are accustomed to following the rules and havin</w:t>
      </w:r>
      <w:r>
        <w:rPr>
          <w:rFonts w:cs="Times New Roman" w:eastAsia="Times New Roman"/>
          <w:szCs w:val="24"/>
        </w:rPr>
        <w:t xml:space="preserve">g a clear structure. According to Esposito et al. (2024), the New product launches are not to be radical, using the familiar </w:t>
      </w:r>
      <w:r>
        <w:rPr>
          <w:rFonts w:cs="Times New Roman" w:eastAsia="Times New Roman"/>
          <w:szCs w:val="24"/>
        </w:rPr>
        <w:t>flavours</w:t>
      </w:r>
      <w:r>
        <w:rPr>
          <w:rFonts w:cs="Times New Roman" w:eastAsia="Times New Roman"/>
          <w:szCs w:val="24"/>
        </w:rPr>
        <w:t xml:space="preserve"> and packaging to prevent the unwillingness of consumers. Instead, the Chilean markets will not welcome the Swiss preferenc</w:t>
      </w:r>
      <w:r>
        <w:rPr>
          <w:rFonts w:cs="Times New Roman" w:eastAsia="Times New Roman"/>
          <w:szCs w:val="24"/>
        </w:rPr>
        <w:t>e to flexibility or quick change, Nestlé will have to focus on predictability, consistency and long-term reliability to meet Chilean market expectations.</w:t>
      </w:r>
    </w:p>
    <w:p>
      <w:pPr>
        <w:pStyle w:val="style0"/>
        <w:rPr>
          <w:rFonts w:cs="Times New Roman" w:eastAsia="Times New Roman"/>
          <w:b/>
          <w:bCs/>
          <w:i/>
          <w:iCs/>
          <w:szCs w:val="24"/>
        </w:rPr>
      </w:pPr>
      <w:r>
        <w:rPr>
          <w:rFonts w:cs="Times New Roman" w:eastAsia="Times New Roman"/>
          <w:b/>
          <w:bCs/>
          <w:i/>
          <w:iCs/>
          <w:szCs w:val="24"/>
        </w:rPr>
        <w:t>Long Term Orientation</w:t>
      </w:r>
    </w:p>
    <w:p>
      <w:pPr>
        <w:pStyle w:val="style0"/>
        <w:rPr>
          <w:rFonts w:cs="Times New Roman" w:eastAsia="Times New Roman"/>
          <w:szCs w:val="24"/>
        </w:rPr>
      </w:pPr>
      <w:r>
        <w:rPr>
          <w:rFonts w:cs="Times New Roman" w:eastAsia="Times New Roman"/>
          <w:szCs w:val="24"/>
        </w:rPr>
        <w:t>The low LTO score of Chile is 12, which means that the country has a short-term,</w:t>
      </w:r>
      <w:r>
        <w:rPr>
          <w:rFonts w:cs="Times New Roman" w:eastAsia="Times New Roman"/>
          <w:szCs w:val="24"/>
        </w:rPr>
        <w:t xml:space="preserve"> tradition-oriented mindset, whereas Switzerland scored 42, which represents long-term strategic planning as in </w:t>
      </w:r>
      <w:r>
        <w:rPr>
          <w:rFonts w:cs="Times New Roman" w:eastAsia="Times New Roman"/>
          <w:b/>
          <w:bCs/>
          <w:i/>
          <w:iCs/>
          <w:szCs w:val="24"/>
        </w:rPr>
        <w:t xml:space="preserve">Figure 8 </w:t>
      </w:r>
      <w:r>
        <w:rPr>
          <w:rFonts w:cs="Times New Roman" w:eastAsia="Times New Roman"/>
          <w:szCs w:val="24"/>
        </w:rPr>
        <w:t>( The</w:t>
      </w:r>
      <w:r>
        <w:rPr>
          <w:rFonts w:cs="Times New Roman" w:eastAsia="Times New Roman"/>
          <w:szCs w:val="24"/>
        </w:rPr>
        <w:t xml:space="preserve"> Culture Factor, 2025). To enter this market, this implies that Nestlé needs to </w:t>
      </w:r>
      <w:r>
        <w:rPr>
          <w:rFonts w:cs="Times New Roman" w:eastAsia="Times New Roman"/>
          <w:szCs w:val="24"/>
        </w:rPr>
        <w:t>emphasise</w:t>
      </w:r>
      <w:r>
        <w:rPr>
          <w:rFonts w:cs="Times New Roman" w:eastAsia="Times New Roman"/>
          <w:szCs w:val="24"/>
        </w:rPr>
        <w:t xml:space="preserve"> short-term value provision, speedy produ</w:t>
      </w:r>
      <w:r>
        <w:rPr>
          <w:rFonts w:cs="Times New Roman" w:eastAsia="Times New Roman"/>
          <w:szCs w:val="24"/>
        </w:rPr>
        <w:t xml:space="preserve">cts and observable short-term gain instead of long-term innovation stories. According to Ali et al. (2022), the Promotional strategies are to </w:t>
      </w:r>
      <w:r>
        <w:rPr>
          <w:rFonts w:cs="Times New Roman" w:eastAsia="Times New Roman"/>
          <w:szCs w:val="24"/>
        </w:rPr>
        <w:t>emphasise</w:t>
      </w:r>
      <w:r>
        <w:rPr>
          <w:rFonts w:cs="Times New Roman" w:eastAsia="Times New Roman"/>
          <w:szCs w:val="24"/>
        </w:rPr>
        <w:t xml:space="preserve"> the existing practicability, taste, cost-effectiveness and relevance in the home. The Chilean consumers </w:t>
      </w:r>
      <w:r>
        <w:rPr>
          <w:rFonts w:cs="Times New Roman" w:eastAsia="Times New Roman"/>
          <w:szCs w:val="24"/>
        </w:rPr>
        <w:t>are sensitive to known products and offerings that have cultural foundations, and therefore Nestlé must offer both well-known international brands and those that have been adjusted to the local context. Long-term policies like sustainability promises or in</w:t>
      </w:r>
      <w:r>
        <w:rPr>
          <w:rFonts w:cs="Times New Roman" w:eastAsia="Times New Roman"/>
          <w:szCs w:val="24"/>
        </w:rPr>
        <w:t>cremental innovations should not be part of the market entrance and communicated only when trust has been built. The quality attributes that will be key in creating preliminary consumer acceptance in Chile will be speed, accessibility, and tradition-respec</w:t>
      </w:r>
      <w:r>
        <w:rPr>
          <w:rFonts w:cs="Times New Roman" w:eastAsia="Times New Roman"/>
          <w:szCs w:val="24"/>
        </w:rPr>
        <w:t>ting product lines.</w:t>
      </w:r>
    </w:p>
    <w:p>
      <w:pPr>
        <w:pStyle w:val="style0"/>
        <w:rPr>
          <w:rFonts w:cs="Times New Roman" w:eastAsia="Times New Roman"/>
          <w:b/>
          <w:bCs/>
          <w:i/>
          <w:iCs/>
          <w:szCs w:val="24"/>
        </w:rPr>
      </w:pPr>
      <w:r>
        <w:rPr>
          <w:rFonts w:cs="Times New Roman" w:eastAsia="Times New Roman"/>
          <w:b/>
          <w:bCs/>
          <w:i/>
          <w:iCs/>
          <w:szCs w:val="24"/>
        </w:rPr>
        <w:t>Indulgence</w:t>
      </w:r>
    </w:p>
    <w:p>
      <w:pPr>
        <w:pStyle w:val="style0"/>
        <w:rPr>
          <w:rFonts w:cs="Times New Roman" w:eastAsia="Times New Roman"/>
          <w:szCs w:val="24"/>
        </w:rPr>
      </w:pPr>
      <w:r>
        <w:rPr>
          <w:rFonts w:cs="Times New Roman" w:eastAsia="Times New Roman"/>
          <w:szCs w:val="24"/>
        </w:rPr>
        <w:t xml:space="preserve">The score of 68 in the Indulgence dimension indicates that Chileans prefer fun, leisure and emotional expression, and is almost similar to Switzerland, which, however, scores higher as seen in </w:t>
      </w:r>
      <w:r>
        <w:rPr>
          <w:rFonts w:cs="Times New Roman" w:eastAsia="Times New Roman"/>
          <w:b/>
          <w:bCs/>
          <w:i/>
          <w:iCs/>
          <w:szCs w:val="24"/>
        </w:rPr>
        <w:t>Figure 8</w:t>
      </w:r>
      <w:r>
        <w:rPr>
          <w:rFonts w:cs="Times New Roman" w:eastAsia="Times New Roman"/>
          <w:szCs w:val="24"/>
        </w:rPr>
        <w:t xml:space="preserve"> (The Culture Factor, 20</w:t>
      </w:r>
      <w:r>
        <w:rPr>
          <w:rFonts w:cs="Times New Roman" w:eastAsia="Times New Roman"/>
          <w:szCs w:val="24"/>
        </w:rPr>
        <w:t>25). To penetrate, Nestlé needs to focus on those products related to pleasure, family gatherings and feasts like confectionery, ice cream and high-end drinks. Xi et al. (2024) believe that Launch campaigns must be based on emotional imagery, with the focu</w:t>
      </w:r>
      <w:r>
        <w:rPr>
          <w:rFonts w:cs="Times New Roman" w:eastAsia="Times New Roman"/>
          <w:szCs w:val="24"/>
        </w:rPr>
        <w:t>s on happiness, comfort, and moments together. Nevertheless, the expansion of health awareness in Chile is accompanied by the increased indulgence, so Nestlé will have to struggle to walk the fine line between pleasure and responsible consumption by provid</w:t>
      </w:r>
      <w:r>
        <w:rPr>
          <w:rFonts w:cs="Times New Roman" w:eastAsia="Times New Roman"/>
          <w:szCs w:val="24"/>
        </w:rPr>
        <w:t xml:space="preserve">ing lower levels of </w:t>
      </w:r>
      <w:r>
        <w:rPr>
          <w:rFonts w:cs="Times New Roman" w:eastAsia="Times New Roman"/>
          <w:szCs w:val="24"/>
        </w:rPr>
        <w:t xml:space="preserve">sugar, portion-controlled and fortified products. This duality demands an entry approach that glorifies </w:t>
      </w:r>
      <w:r>
        <w:rPr>
          <w:rFonts w:cs="Times New Roman" w:eastAsia="Times New Roman"/>
          <w:szCs w:val="24"/>
        </w:rPr>
        <w:t>flavour</w:t>
      </w:r>
      <w:r>
        <w:rPr>
          <w:rFonts w:cs="Times New Roman" w:eastAsia="Times New Roman"/>
          <w:szCs w:val="24"/>
        </w:rPr>
        <w:t xml:space="preserve"> and pleasure and indicates nutritional conscientiousness. The use of emotional storytelling and lifestyle marketing will ena</w:t>
      </w:r>
      <w:r>
        <w:rPr>
          <w:rFonts w:cs="Times New Roman" w:eastAsia="Times New Roman"/>
          <w:szCs w:val="24"/>
        </w:rPr>
        <w:t>ble Nestlé to gain relevance in the Chilean indulgent consumer culture within the shortest time possible.</w:t>
      </w:r>
    </w:p>
    <w:bookmarkStart w:id="29" w:name="_88l55schl5x2" w:colFirst="0" w:colLast="0"/>
    <w:bookmarkStart w:id="30" w:name="_Toc215673728"/>
    <w:bookmarkEnd w:id="29"/>
    <w:p>
      <w:pPr>
        <w:pStyle w:val="style2"/>
        <w:rPr/>
      </w:pPr>
      <w:r>
        <w:t>4.</w:t>
      </w:r>
      <w:r>
        <w:t>2</w:t>
      </w:r>
      <w:r>
        <w:t xml:space="preserve"> Impact on Nestlé’s Potential for Success</w:t>
      </w:r>
      <w:bookmarkEnd w:id="30"/>
    </w:p>
    <w:p>
      <w:pPr>
        <w:pStyle w:val="style0"/>
        <w:rPr>
          <w:rFonts w:cs="Times New Roman" w:eastAsia="Times New Roman"/>
          <w:szCs w:val="24"/>
        </w:rPr>
      </w:pPr>
      <w:r>
        <w:rPr>
          <w:rFonts w:cs="Times New Roman" w:eastAsia="Times New Roman"/>
          <w:szCs w:val="24"/>
        </w:rPr>
        <w:t>The cultural difference between Chile and Switzerland has severe consequences for the long-term success o</w:t>
      </w:r>
      <w:r>
        <w:rPr>
          <w:rFonts w:cs="Times New Roman" w:eastAsia="Times New Roman"/>
          <w:szCs w:val="24"/>
        </w:rPr>
        <w:t>f Nestlé. The high Uncertainty Avoidance of Chile of 86 makes the propensity to trust, safe, reputable brands very strong, which is to the advantage of Nestlé with its strict quality standards and its image globally. It has a collectivist culture that incr</w:t>
      </w:r>
      <w:r>
        <w:rPr>
          <w:rFonts w:cs="Times New Roman" w:eastAsia="Times New Roman"/>
          <w:szCs w:val="24"/>
        </w:rPr>
        <w:t>eases the possibility of products located close to the family, community and shared consumption, promoting the demand of dairy, coffee, and confectionery (</w:t>
      </w:r>
      <w:r>
        <w:rPr>
          <w:rFonts w:cs="Times New Roman" w:eastAsia="Times New Roman"/>
          <w:szCs w:val="24"/>
        </w:rPr>
        <w:t>Maspul</w:t>
      </w:r>
      <w:r>
        <w:rPr>
          <w:rFonts w:cs="Times New Roman" w:eastAsia="Times New Roman"/>
          <w:szCs w:val="24"/>
        </w:rPr>
        <w:t>, 2025). The hedonistic culture of Chile is 68 as well is biased towards those preferences asso</w:t>
      </w:r>
      <w:r>
        <w:rPr>
          <w:rFonts w:cs="Times New Roman" w:eastAsia="Times New Roman"/>
          <w:szCs w:val="24"/>
        </w:rPr>
        <w:t xml:space="preserve">ciated with pleasure and emotional health. Nonetheless, Nestlé needs to </w:t>
      </w:r>
      <w:r>
        <w:rPr>
          <w:rFonts w:cs="Times New Roman" w:eastAsia="Times New Roman"/>
          <w:szCs w:val="24"/>
        </w:rPr>
        <w:t>localise</w:t>
      </w:r>
      <w:r>
        <w:rPr>
          <w:rFonts w:cs="Times New Roman" w:eastAsia="Times New Roman"/>
          <w:szCs w:val="24"/>
        </w:rPr>
        <w:t xml:space="preserve"> its Swiss style of </w:t>
      </w:r>
      <w:r>
        <w:rPr>
          <w:rFonts w:cs="Times New Roman" w:eastAsia="Times New Roman"/>
          <w:szCs w:val="24"/>
        </w:rPr>
        <w:t>decentralised</w:t>
      </w:r>
      <w:r>
        <w:rPr>
          <w:rFonts w:cs="Times New Roman" w:eastAsia="Times New Roman"/>
          <w:szCs w:val="24"/>
        </w:rPr>
        <w:t xml:space="preserve"> and competitive style of management to the Chilean higher Power Distance of 63 and feminine values of 28. </w:t>
      </w:r>
      <w:r>
        <w:rPr>
          <w:rFonts w:cs="Times New Roman" w:eastAsia="Times New Roman"/>
          <w:szCs w:val="24"/>
        </w:rPr>
        <w:t>Localised</w:t>
      </w:r>
      <w:r>
        <w:rPr>
          <w:rFonts w:cs="Times New Roman" w:eastAsia="Times New Roman"/>
          <w:szCs w:val="24"/>
        </w:rPr>
        <w:t xml:space="preserve"> leadership, culturally med</w:t>
      </w:r>
      <w:r>
        <w:rPr>
          <w:rFonts w:cs="Times New Roman" w:eastAsia="Times New Roman"/>
          <w:szCs w:val="24"/>
        </w:rPr>
        <w:t>iated communications and robust community engagement strategies, which generate long-term loyalty, are thus the key to success.</w:t>
      </w:r>
    </w:p>
    <w:bookmarkStart w:id="31" w:name="_ebr87tazot2n" w:colFirst="0" w:colLast="0"/>
    <w:bookmarkStart w:id="32" w:name="_Toc215673729"/>
    <w:bookmarkEnd w:id="31"/>
    <w:p>
      <w:pPr>
        <w:pStyle w:val="style1"/>
        <w:rPr/>
      </w:pPr>
      <w:r>
        <w:t>5. SOP Adjustments Required for Success in Chile</w:t>
      </w:r>
      <w:bookmarkEnd w:id="32"/>
    </w:p>
    <w:bookmarkStart w:id="33" w:name="_dpyixqidextd" w:colFirst="0" w:colLast="0"/>
    <w:bookmarkStart w:id="34" w:name="_Toc215673730"/>
    <w:bookmarkEnd w:id="33"/>
    <w:p>
      <w:pPr>
        <w:pStyle w:val="style2"/>
        <w:rPr/>
      </w:pPr>
      <w:r>
        <w:t xml:space="preserve">5.1 </w:t>
      </w:r>
      <w:r>
        <w:t>Localised</w:t>
      </w:r>
      <w:r>
        <w:t xml:space="preserve"> Marketing &amp; Product Adaptation SOP</w:t>
      </w:r>
      <w:bookmarkEnd w:id="34"/>
    </w:p>
    <w:p>
      <w:pPr>
        <w:pStyle w:val="style0"/>
        <w:rPr>
          <w:rFonts w:cs="Times New Roman" w:eastAsia="Times New Roman"/>
          <w:b/>
          <w:bCs/>
          <w:i/>
          <w:iCs/>
          <w:szCs w:val="24"/>
        </w:rPr>
      </w:pPr>
      <w:r>
        <w:rPr>
          <w:rFonts w:cs="Times New Roman" w:eastAsia="Times New Roman"/>
          <w:b/>
          <w:bCs/>
          <w:i/>
          <w:iCs/>
          <w:szCs w:val="24"/>
        </w:rPr>
        <w:t>Analysis</w:t>
      </w:r>
    </w:p>
    <w:p>
      <w:pPr>
        <w:pStyle w:val="style0"/>
        <w:rPr>
          <w:rFonts w:cs="Times New Roman" w:eastAsia="Times New Roman"/>
          <w:szCs w:val="24"/>
        </w:rPr>
      </w:pPr>
      <w:r>
        <w:rPr>
          <w:rFonts w:cs="Times New Roman" w:eastAsia="Times New Roman"/>
          <w:szCs w:val="24"/>
        </w:rPr>
        <w:t xml:space="preserve">The SOPs of marketing applied by Nestlé are structured according to the Swiss cultural characteristics, high Individualism, such as 79, Masculinity, such as 70 and Long-Term Orientation, such as 42 and encourage individualism, performance-driven messages, </w:t>
      </w:r>
      <w:r>
        <w:rPr>
          <w:rFonts w:cs="Times New Roman" w:eastAsia="Times New Roman"/>
          <w:szCs w:val="24"/>
        </w:rPr>
        <w:t xml:space="preserve">and innovation (The Culture Factor, 2025). Conversely, Chile has a low Individualism is 49, a high Femininity is 28, and a very high Uncertainty Avoidance is 86 </w:t>
      </w:r>
      <w:r>
        <w:rPr>
          <w:rFonts w:cs="Times New Roman" w:eastAsia="Times New Roman"/>
          <w:szCs w:val="24"/>
        </w:rPr>
        <w:t>( The</w:t>
      </w:r>
      <w:r>
        <w:rPr>
          <w:rFonts w:cs="Times New Roman" w:eastAsia="Times New Roman"/>
          <w:szCs w:val="24"/>
        </w:rPr>
        <w:t xml:space="preserve"> Culture Factor, 2025). These differences in culture have a great influence on product acc</w:t>
      </w:r>
      <w:r>
        <w:rPr>
          <w:rFonts w:cs="Times New Roman" w:eastAsia="Times New Roman"/>
          <w:szCs w:val="24"/>
        </w:rPr>
        <w:t>eptance and effectiveness in communication. Chilean customers are fond of emotionally engaging and family-centric communications and familiar product designs that decrease the perceived risk. This is strengthened by OLI factors, including the benefits of N</w:t>
      </w:r>
      <w:r>
        <w:rPr>
          <w:rFonts w:cs="Times New Roman" w:eastAsia="Times New Roman"/>
          <w:szCs w:val="24"/>
        </w:rPr>
        <w:t xml:space="preserve">estlé Ownership, including brand strength, R&amp;D expertise can tailor products to local needs and Location benefits in Chile, including a developing </w:t>
      </w:r>
      <w:r>
        <w:rPr>
          <w:rFonts w:cs="Times New Roman" w:eastAsia="Times New Roman"/>
          <w:szCs w:val="24"/>
        </w:rPr>
        <w:t xml:space="preserve">dairy industry, high retail penetration, and encouraging </w:t>
      </w:r>
      <w:r>
        <w:rPr>
          <w:rFonts w:cs="Times New Roman" w:eastAsia="Times New Roman"/>
          <w:szCs w:val="24"/>
        </w:rPr>
        <w:t>localised</w:t>
      </w:r>
      <w:r>
        <w:rPr>
          <w:rFonts w:cs="Times New Roman" w:eastAsia="Times New Roman"/>
          <w:szCs w:val="24"/>
        </w:rPr>
        <w:t xml:space="preserve"> products (ASN, 2025). There are also </w:t>
      </w:r>
      <w:r>
        <w:rPr>
          <w:rFonts w:cs="Times New Roman" w:eastAsia="Times New Roman"/>
          <w:szCs w:val="24"/>
        </w:rPr>
        <w:t>inter</w:t>
      </w:r>
      <w:r>
        <w:rPr>
          <w:rFonts w:cs="Times New Roman" w:eastAsia="Times New Roman"/>
          <w:szCs w:val="24"/>
        </w:rPr>
        <w:t>nalisation</w:t>
      </w:r>
      <w:r>
        <w:rPr>
          <w:rFonts w:cs="Times New Roman" w:eastAsia="Times New Roman"/>
          <w:szCs w:val="24"/>
        </w:rPr>
        <w:t xml:space="preserve"> benefits that make Nestlé prefer adapting to outsource marketing. In the absence of SOP changes, Nestlé will be exposed to the danger of misaligning brand communication with cultural expectations, thereby it will not penetrate the markets despit</w:t>
      </w:r>
      <w:r>
        <w:rPr>
          <w:rFonts w:cs="Times New Roman" w:eastAsia="Times New Roman"/>
          <w:szCs w:val="24"/>
        </w:rPr>
        <w:t>e high global equity.</w:t>
      </w:r>
    </w:p>
    <w:p>
      <w:pPr>
        <w:pStyle w:val="style0"/>
        <w:rPr>
          <w:rFonts w:cs="Times New Roman" w:eastAsia="Times New Roman"/>
          <w:b/>
          <w:bCs/>
          <w:i/>
          <w:iCs/>
          <w:szCs w:val="24"/>
        </w:rPr>
      </w:pPr>
      <w:r>
        <w:rPr>
          <w:rFonts w:cs="Times New Roman" w:eastAsia="Times New Roman"/>
          <w:b/>
          <w:bCs/>
          <w:i/>
          <w:iCs/>
          <w:szCs w:val="24"/>
        </w:rPr>
        <w:t>Recommendation</w:t>
      </w:r>
    </w:p>
    <w:p>
      <w:pPr>
        <w:pStyle w:val="style0"/>
        <w:rPr>
          <w:rFonts w:cs="Times New Roman" w:eastAsia="Times New Roman"/>
          <w:szCs w:val="24"/>
        </w:rPr>
      </w:pPr>
      <w:r>
        <w:rPr>
          <w:rFonts w:cs="Times New Roman" w:eastAsia="Times New Roman"/>
          <w:szCs w:val="24"/>
        </w:rPr>
        <w:t>Through the EPRG model, Nestlé needs to change its ethnocentric orientation to a polycentric SOP whereby Chilean marketing units are given the freedom to develop culturally oriented strategies. Nestlé ought to codify an</w:t>
      </w:r>
      <w:r>
        <w:rPr>
          <w:rFonts w:cs="Times New Roman" w:eastAsia="Times New Roman"/>
          <w:szCs w:val="24"/>
        </w:rPr>
        <w:t xml:space="preserve"> SOP that mandates local consumer insight incorporation, which entails taste tests, family-based product tests, and cultural immersion study (Czeglédi, 2025). This makes product adaptation in line with the Chilean cultural characteristics of collectivism a</w:t>
      </w:r>
      <w:r>
        <w:rPr>
          <w:rFonts w:cs="Times New Roman" w:eastAsia="Times New Roman"/>
          <w:szCs w:val="24"/>
        </w:rPr>
        <w:t>nd femininity. Messaging SOPs must demand emotional narratives, one that thrives on family togetherness, warmth, celebration, and togetherness, which are important motivators to the Chileans, and demonstrate Nestlé as a global quality, to eliminate doubts.</w:t>
      </w:r>
      <w:r>
        <w:rPr>
          <w:rFonts w:cs="Times New Roman" w:eastAsia="Times New Roman"/>
          <w:szCs w:val="24"/>
        </w:rPr>
        <w:t xml:space="preserve"> According to Komala et al. (2023), a Quality Transparency Protocol needs to be adopted, which will require transparent packaging, nutritional labelling, and safety guarantees to meet high UAI. Nestlé will need to enable the local teams with the creation o</w:t>
      </w:r>
      <w:r>
        <w:rPr>
          <w:rFonts w:cs="Times New Roman" w:eastAsia="Times New Roman"/>
          <w:szCs w:val="24"/>
        </w:rPr>
        <w:t xml:space="preserve">f a Chile Brand Council that would allow the company to go with campaigns without approval from the Swiss headquarters. </w:t>
      </w:r>
      <w:r>
        <w:rPr>
          <w:rFonts w:cs="Times New Roman" w:eastAsia="Times New Roman"/>
          <w:szCs w:val="24"/>
        </w:rPr>
        <w:t>Localisation</w:t>
      </w:r>
      <w:r>
        <w:rPr>
          <w:rFonts w:cs="Times New Roman" w:eastAsia="Times New Roman"/>
          <w:szCs w:val="24"/>
        </w:rPr>
        <w:t xml:space="preserve"> is facilitated by the ownership, Location is by the demand, and </w:t>
      </w:r>
      <w:r>
        <w:rPr>
          <w:rFonts w:cs="Times New Roman" w:eastAsia="Times New Roman"/>
          <w:szCs w:val="24"/>
        </w:rPr>
        <w:t>Internalisation</w:t>
      </w:r>
      <w:r>
        <w:rPr>
          <w:rFonts w:cs="Times New Roman" w:eastAsia="Times New Roman"/>
          <w:szCs w:val="24"/>
        </w:rPr>
        <w:t xml:space="preserve"> is by the quality and consistency. Polycent</w:t>
      </w:r>
      <w:r>
        <w:rPr>
          <w:rFonts w:cs="Times New Roman" w:eastAsia="Times New Roman"/>
          <w:szCs w:val="24"/>
        </w:rPr>
        <w:t>ric SOPs enhance trust, cultural fit, as well as long-term competitiveness in the highly relational and risk-averse Chilean market.</w:t>
      </w:r>
    </w:p>
    <w:bookmarkStart w:id="35" w:name="_6veetv5w5w6q" w:colFirst="0" w:colLast="0"/>
    <w:bookmarkStart w:id="36" w:name="_Toc215673731"/>
    <w:bookmarkEnd w:id="35"/>
    <w:p>
      <w:pPr>
        <w:pStyle w:val="style2"/>
        <w:rPr/>
      </w:pPr>
      <w:r>
        <w:t>5.2 HR &amp; Leadership SOP Adjustment</w:t>
      </w:r>
      <w:bookmarkEnd w:id="36"/>
    </w:p>
    <w:p>
      <w:pPr>
        <w:pStyle w:val="style0"/>
        <w:rPr>
          <w:rFonts w:cs="Times New Roman" w:eastAsia="Times New Roman"/>
          <w:b/>
          <w:bCs/>
          <w:i/>
          <w:iCs/>
          <w:szCs w:val="24"/>
        </w:rPr>
      </w:pPr>
      <w:r>
        <w:rPr>
          <w:rFonts w:cs="Times New Roman" w:eastAsia="Times New Roman"/>
          <w:b/>
          <w:bCs/>
          <w:i/>
          <w:iCs/>
          <w:szCs w:val="24"/>
        </w:rPr>
        <w:t>Analysis</w:t>
      </w:r>
    </w:p>
    <w:p>
      <w:pPr>
        <w:pStyle w:val="style0"/>
        <w:rPr>
          <w:rFonts w:cs="Times New Roman" w:eastAsia="Times New Roman"/>
          <w:szCs w:val="24"/>
        </w:rPr>
      </w:pPr>
      <w:r>
        <w:rPr>
          <w:rFonts w:cs="Times New Roman" w:eastAsia="Times New Roman"/>
          <w:szCs w:val="24"/>
        </w:rPr>
        <w:t xml:space="preserve">The Swiss style of leadership at Nestlé is determined by the low Power Distance </w:t>
      </w:r>
      <w:r>
        <w:rPr>
          <w:rFonts w:cs="Times New Roman" w:eastAsia="Times New Roman"/>
          <w:szCs w:val="24"/>
        </w:rPr>
        <w:t xml:space="preserve">that is 34, high Individualism that is 79 and high Masculinity that is 70, focusing on autonomy, </w:t>
      </w:r>
      <w:r>
        <w:rPr>
          <w:rFonts w:cs="Times New Roman" w:eastAsia="Times New Roman"/>
          <w:szCs w:val="24"/>
        </w:rPr>
        <w:t>decentralised</w:t>
      </w:r>
      <w:r>
        <w:rPr>
          <w:rFonts w:cs="Times New Roman" w:eastAsia="Times New Roman"/>
          <w:szCs w:val="24"/>
        </w:rPr>
        <w:t xml:space="preserve"> decision making and competitive performance systems (The Culture Factor, 2025). The Power Distance is, however, high in Chile, is 63, the feminin</w:t>
      </w:r>
      <w:r>
        <w:rPr>
          <w:rFonts w:cs="Times New Roman" w:eastAsia="Times New Roman"/>
          <w:szCs w:val="24"/>
        </w:rPr>
        <w:t xml:space="preserve">ity of collectivism is high, is 28, and the Uncertainty Avoidance is extremely high, is 86 (The Culture Factor, 2025). These variations also influence the manner in which employees perceive authority, communication and motivation. The </w:t>
      </w:r>
      <w:r>
        <w:rPr>
          <w:rFonts w:cs="Times New Roman" w:eastAsia="Times New Roman"/>
          <w:szCs w:val="24"/>
        </w:rPr>
        <w:t>Chilean employees req</w:t>
      </w:r>
      <w:r>
        <w:rPr>
          <w:rFonts w:cs="Times New Roman" w:eastAsia="Times New Roman"/>
          <w:szCs w:val="24"/>
        </w:rPr>
        <w:t>uire well-</w:t>
      </w:r>
      <w:r>
        <w:rPr>
          <w:rFonts w:cs="Times New Roman" w:eastAsia="Times New Roman"/>
          <w:szCs w:val="24"/>
        </w:rPr>
        <w:t>organised</w:t>
      </w:r>
      <w:r>
        <w:rPr>
          <w:rFonts w:cs="Times New Roman" w:eastAsia="Times New Roman"/>
          <w:szCs w:val="24"/>
        </w:rPr>
        <w:t xml:space="preserve"> direction, observable leadership, people-</w:t>
      </w:r>
      <w:r>
        <w:rPr>
          <w:rFonts w:cs="Times New Roman" w:eastAsia="Times New Roman"/>
          <w:szCs w:val="24"/>
        </w:rPr>
        <w:t>centred</w:t>
      </w:r>
      <w:r>
        <w:rPr>
          <w:rFonts w:cs="Times New Roman" w:eastAsia="Times New Roman"/>
          <w:szCs w:val="24"/>
        </w:rPr>
        <w:t xml:space="preserve"> management and routine work. OLI also supports the necessity of SOP changes, the Ownership benefits of Nestlé's business need to be </w:t>
      </w:r>
      <w:r>
        <w:rPr>
          <w:rFonts w:cs="Times New Roman" w:eastAsia="Times New Roman"/>
          <w:szCs w:val="24"/>
        </w:rPr>
        <w:t>harmonised</w:t>
      </w:r>
      <w:r>
        <w:rPr>
          <w:rFonts w:cs="Times New Roman" w:eastAsia="Times New Roman"/>
          <w:szCs w:val="24"/>
        </w:rPr>
        <w:t xml:space="preserve"> within the company to secure the global bran</w:t>
      </w:r>
      <w:r>
        <w:rPr>
          <w:rFonts w:cs="Times New Roman" w:eastAsia="Times New Roman"/>
          <w:szCs w:val="24"/>
        </w:rPr>
        <w:t xml:space="preserve">d pride. Location advantages give preference to the relational leadership, </w:t>
      </w:r>
      <w:r>
        <w:rPr>
          <w:rFonts w:cs="Times New Roman" w:eastAsia="Times New Roman"/>
          <w:szCs w:val="24"/>
        </w:rPr>
        <w:t>Internalisation</w:t>
      </w:r>
      <w:r>
        <w:rPr>
          <w:rFonts w:cs="Times New Roman" w:eastAsia="Times New Roman"/>
          <w:szCs w:val="24"/>
        </w:rPr>
        <w:t xml:space="preserve"> advantages demand alignment of the cultures internally in order to ensure steady operations. Unless the HR SOPs are adjusted, Nestlé may become disconnected as an or</w:t>
      </w:r>
      <w:r>
        <w:rPr>
          <w:rFonts w:cs="Times New Roman" w:eastAsia="Times New Roman"/>
          <w:szCs w:val="24"/>
        </w:rPr>
        <w:t xml:space="preserve">ganisation, less engaged, and unable to effectively </w:t>
      </w:r>
      <w:r>
        <w:rPr>
          <w:rFonts w:cs="Times New Roman" w:eastAsia="Times New Roman"/>
          <w:szCs w:val="24"/>
        </w:rPr>
        <w:t>realise</w:t>
      </w:r>
      <w:r>
        <w:rPr>
          <w:rFonts w:cs="Times New Roman" w:eastAsia="Times New Roman"/>
          <w:szCs w:val="24"/>
        </w:rPr>
        <w:t xml:space="preserve"> its operational standards in Chile. Thus, the changes in leadership and HR SOP are essential to continue the successful local operations.</w:t>
      </w:r>
    </w:p>
    <w:p>
      <w:pPr>
        <w:pStyle w:val="style0"/>
        <w:rPr>
          <w:rFonts w:cs="Times New Roman" w:eastAsia="Times New Roman"/>
          <w:b/>
          <w:bCs/>
          <w:i/>
          <w:iCs/>
          <w:szCs w:val="24"/>
        </w:rPr>
      </w:pPr>
      <w:r>
        <w:rPr>
          <w:rFonts w:cs="Times New Roman" w:eastAsia="Times New Roman"/>
          <w:b/>
          <w:bCs/>
          <w:i/>
          <w:iCs/>
          <w:szCs w:val="24"/>
        </w:rPr>
        <w:t>Recommendation</w:t>
      </w:r>
    </w:p>
    <w:p>
      <w:pPr>
        <w:pStyle w:val="style0"/>
        <w:rPr>
          <w:rFonts w:cs="Times New Roman" w:eastAsia="Times New Roman"/>
          <w:szCs w:val="24"/>
        </w:rPr>
      </w:pPr>
      <w:r>
        <w:rPr>
          <w:rFonts w:cs="Times New Roman" w:eastAsia="Times New Roman"/>
          <w:szCs w:val="24"/>
        </w:rPr>
        <w:t>Under the Contingency Leadership Theory, Ne</w:t>
      </w:r>
      <w:r>
        <w:rPr>
          <w:rFonts w:cs="Times New Roman" w:eastAsia="Times New Roman"/>
          <w:szCs w:val="24"/>
        </w:rPr>
        <w:t>stlé ought to reformulate the HR and leadership SOPs to suit the cultural requirements of Chile. SOPs are required to ensure structured managerial communication that is specific in terms of role definition, step-by-step instructions and frequent feedback c</w:t>
      </w:r>
      <w:r>
        <w:rPr>
          <w:rFonts w:cs="Times New Roman" w:eastAsia="Times New Roman"/>
          <w:szCs w:val="24"/>
        </w:rPr>
        <w:t>ycles that would be required in high UAI environments. To fit the culture of Chile, a Team-Based Performance Evaluation SOP should be implemented, where the focus is not on individual competition, and Nestlé focuses on the collectivism and feminine culture</w:t>
      </w:r>
      <w:r>
        <w:rPr>
          <w:rFonts w:cs="Times New Roman" w:eastAsia="Times New Roman"/>
          <w:szCs w:val="24"/>
        </w:rPr>
        <w:t xml:space="preserve"> of the country (</w:t>
      </w:r>
      <w:r>
        <w:rPr>
          <w:rFonts w:cs="Times New Roman" w:eastAsia="Times New Roman"/>
          <w:szCs w:val="24"/>
        </w:rPr>
        <w:t>Marwiyah</w:t>
      </w:r>
      <w:r>
        <w:rPr>
          <w:rFonts w:cs="Times New Roman" w:eastAsia="Times New Roman"/>
          <w:szCs w:val="24"/>
        </w:rPr>
        <w:t xml:space="preserve">, </w:t>
      </w:r>
      <w:r>
        <w:rPr>
          <w:rFonts w:cs="Times New Roman" w:eastAsia="Times New Roman"/>
          <w:szCs w:val="24"/>
        </w:rPr>
        <w:t>Maksin</w:t>
      </w:r>
      <w:r>
        <w:rPr>
          <w:rFonts w:cs="Times New Roman" w:eastAsia="Times New Roman"/>
          <w:szCs w:val="24"/>
        </w:rPr>
        <w:t xml:space="preserve"> and </w:t>
      </w:r>
      <w:r>
        <w:rPr>
          <w:rFonts w:cs="Times New Roman" w:eastAsia="Times New Roman"/>
          <w:szCs w:val="24"/>
        </w:rPr>
        <w:t>Queennensa</w:t>
      </w:r>
      <w:r>
        <w:rPr>
          <w:rFonts w:cs="Times New Roman" w:eastAsia="Times New Roman"/>
          <w:szCs w:val="24"/>
        </w:rPr>
        <w:t xml:space="preserve">, 2025). Relational </w:t>
      </w:r>
      <w:r>
        <w:rPr>
          <w:rFonts w:cs="Times New Roman" w:eastAsia="Times New Roman"/>
          <w:szCs w:val="24"/>
        </w:rPr>
        <w:t>behaviours</w:t>
      </w:r>
      <w:r>
        <w:rPr>
          <w:rFonts w:cs="Times New Roman" w:eastAsia="Times New Roman"/>
          <w:szCs w:val="24"/>
        </w:rPr>
        <w:t xml:space="preserve"> as empathy, coaching, and participative decision-making, have to be included in leadership SOPs. According to </w:t>
      </w:r>
      <w:r>
        <w:rPr>
          <w:rFonts w:cs="Times New Roman" w:eastAsia="Times New Roman"/>
          <w:szCs w:val="24"/>
        </w:rPr>
        <w:t>Kanstraren</w:t>
      </w:r>
      <w:r>
        <w:rPr>
          <w:rFonts w:cs="Times New Roman" w:eastAsia="Times New Roman"/>
          <w:szCs w:val="24"/>
        </w:rPr>
        <w:t xml:space="preserve"> and </w:t>
      </w:r>
      <w:r>
        <w:rPr>
          <w:rFonts w:cs="Times New Roman" w:eastAsia="Times New Roman"/>
          <w:szCs w:val="24"/>
        </w:rPr>
        <w:t>Suutari</w:t>
      </w:r>
      <w:r>
        <w:rPr>
          <w:rFonts w:cs="Times New Roman" w:eastAsia="Times New Roman"/>
          <w:szCs w:val="24"/>
        </w:rPr>
        <w:t xml:space="preserve"> (2021), Nestlé is recommended to </w:t>
      </w:r>
      <w:r>
        <w:rPr>
          <w:rFonts w:cs="Times New Roman" w:eastAsia="Times New Roman"/>
          <w:szCs w:val="24"/>
        </w:rPr>
        <w:t>institution</w:t>
      </w:r>
      <w:r>
        <w:rPr>
          <w:rFonts w:cs="Times New Roman" w:eastAsia="Times New Roman"/>
          <w:szCs w:val="24"/>
        </w:rPr>
        <w:t>alise</w:t>
      </w:r>
      <w:r>
        <w:rPr>
          <w:rFonts w:cs="Times New Roman" w:eastAsia="Times New Roman"/>
          <w:szCs w:val="24"/>
        </w:rPr>
        <w:t xml:space="preserve"> the use of Cross-Cultural Leadership Training among expatriates to help it prevent potential discrepancies between the Swiss egalitarianism and the Chilean hierarchical expectations. </w:t>
      </w:r>
      <w:r>
        <w:rPr>
          <w:rFonts w:cs="Times New Roman" w:eastAsia="Times New Roman"/>
          <w:szCs w:val="24"/>
        </w:rPr>
        <w:t>Internalisation</w:t>
      </w:r>
      <w:r>
        <w:rPr>
          <w:rFonts w:cs="Times New Roman" w:eastAsia="Times New Roman"/>
          <w:szCs w:val="24"/>
        </w:rPr>
        <w:t xml:space="preserve"> logic embraces the focus on local leadership pipeli</w:t>
      </w:r>
      <w:r>
        <w:rPr>
          <w:rFonts w:cs="Times New Roman" w:eastAsia="Times New Roman"/>
          <w:szCs w:val="24"/>
        </w:rPr>
        <w:t xml:space="preserve">nes. Nestlé is to recruit and promote Chilean managers to improve the legitimacy and the cultural fit. Such changes are in tandem with the contingencies in leadership </w:t>
      </w:r>
      <w:r>
        <w:rPr>
          <w:rFonts w:cs="Times New Roman" w:eastAsia="Times New Roman"/>
          <w:szCs w:val="24"/>
        </w:rPr>
        <w:t>behaviours</w:t>
      </w:r>
      <w:r>
        <w:rPr>
          <w:rFonts w:cs="Times New Roman" w:eastAsia="Times New Roman"/>
          <w:szCs w:val="24"/>
        </w:rPr>
        <w:t xml:space="preserve"> with situations and culture. Through these SOP changes, Nestlé will gain emplo</w:t>
      </w:r>
      <w:r>
        <w:rPr>
          <w:rFonts w:cs="Times New Roman" w:eastAsia="Times New Roman"/>
          <w:szCs w:val="24"/>
        </w:rPr>
        <w:t xml:space="preserve">yee confidence, </w:t>
      </w:r>
      <w:r>
        <w:rPr>
          <w:rFonts w:cs="Times New Roman" w:eastAsia="Times New Roman"/>
          <w:szCs w:val="24"/>
        </w:rPr>
        <w:t>organisational</w:t>
      </w:r>
      <w:r>
        <w:rPr>
          <w:rFonts w:cs="Times New Roman" w:eastAsia="Times New Roman"/>
          <w:szCs w:val="24"/>
        </w:rPr>
        <w:t xml:space="preserve"> unity, and productivity, which will directly contribute to its operational performance and long-term investment in Chile.</w:t>
      </w:r>
    </w:p>
    <w:bookmarkStart w:id="37" w:name="_2z16iyc28vrc" w:colFirst="0" w:colLast="0"/>
    <w:bookmarkStart w:id="38" w:name="_Toc215673732"/>
    <w:bookmarkEnd w:id="37"/>
    <w:p>
      <w:pPr>
        <w:pStyle w:val="style2"/>
        <w:rPr/>
      </w:pPr>
      <w:r>
        <w:t>5.3 Supply Chain &amp; Sourcing SOP Revision</w:t>
      </w:r>
      <w:bookmarkEnd w:id="38"/>
    </w:p>
    <w:p>
      <w:pPr>
        <w:pStyle w:val="style0"/>
        <w:rPr>
          <w:rFonts w:cs="Times New Roman" w:eastAsia="Times New Roman"/>
          <w:b/>
          <w:bCs/>
          <w:i/>
          <w:iCs/>
          <w:szCs w:val="24"/>
        </w:rPr>
      </w:pPr>
      <w:r>
        <w:rPr>
          <w:rFonts w:cs="Times New Roman" w:eastAsia="Times New Roman"/>
          <w:b/>
          <w:bCs/>
          <w:i/>
          <w:iCs/>
          <w:szCs w:val="24"/>
        </w:rPr>
        <w:t>Analysis</w:t>
      </w:r>
    </w:p>
    <w:p>
      <w:pPr>
        <w:pStyle w:val="style0"/>
        <w:rPr>
          <w:rFonts w:cs="Times New Roman" w:eastAsia="Times New Roman"/>
          <w:szCs w:val="24"/>
        </w:rPr>
      </w:pPr>
      <w:r>
        <w:rPr>
          <w:rFonts w:cs="Times New Roman" w:eastAsia="Times New Roman"/>
          <w:szCs w:val="24"/>
        </w:rPr>
        <w:t>The Nestlé regulations of global supply chains are fo</w:t>
      </w:r>
      <w:r>
        <w:rPr>
          <w:rFonts w:cs="Times New Roman" w:eastAsia="Times New Roman"/>
          <w:szCs w:val="24"/>
        </w:rPr>
        <w:t xml:space="preserve">cused on accuracy, efficiency, </w:t>
      </w:r>
      <w:r>
        <w:rPr>
          <w:rFonts w:cs="Times New Roman" w:eastAsia="Times New Roman"/>
          <w:szCs w:val="24"/>
        </w:rPr>
        <w:t>decentralisation</w:t>
      </w:r>
      <w:r>
        <w:rPr>
          <w:rFonts w:cs="Times New Roman" w:eastAsia="Times New Roman"/>
          <w:szCs w:val="24"/>
        </w:rPr>
        <w:t xml:space="preserve"> of logistics, and technologically motivated aspects of control that are oriented to </w:t>
      </w:r>
      <w:r>
        <w:rPr>
          <w:rFonts w:cs="Times New Roman" w:eastAsia="Times New Roman"/>
          <w:szCs w:val="24"/>
        </w:rPr>
        <w:t xml:space="preserve">the Swiss cultural standards. Nonetheless, the situation in Chile is different, including high Uncertainty Avoidance, which </w:t>
      </w:r>
      <w:r>
        <w:rPr>
          <w:rFonts w:cs="Times New Roman" w:eastAsia="Times New Roman"/>
          <w:szCs w:val="24"/>
        </w:rPr>
        <w:t xml:space="preserve">is 86 requires strict compliance, detailed documentation and transparent processes, moderate collectivism promotes relationship-based contracting, and strong Location benefits that create opportunity to source locally (The Culture Factor, 2025). According </w:t>
      </w:r>
      <w:r>
        <w:rPr>
          <w:rFonts w:cs="Times New Roman" w:eastAsia="Times New Roman"/>
          <w:szCs w:val="24"/>
        </w:rPr>
        <w:t xml:space="preserve">to the OLI view, the benefits of the Chile Location are </w:t>
      </w:r>
      <w:r>
        <w:rPr>
          <w:rFonts w:cs="Times New Roman" w:eastAsia="Times New Roman"/>
          <w:szCs w:val="24"/>
        </w:rPr>
        <w:t>favourable</w:t>
      </w:r>
      <w:r>
        <w:rPr>
          <w:rFonts w:cs="Times New Roman" w:eastAsia="Times New Roman"/>
          <w:szCs w:val="24"/>
        </w:rPr>
        <w:t xml:space="preserve"> to local production to lower costs and enhance responsiveness, the benefits of Ownership are </w:t>
      </w:r>
      <w:r>
        <w:rPr>
          <w:rFonts w:cs="Times New Roman" w:eastAsia="Times New Roman"/>
          <w:szCs w:val="24"/>
        </w:rPr>
        <w:t>favourable</w:t>
      </w:r>
      <w:r>
        <w:rPr>
          <w:rFonts w:cs="Times New Roman" w:eastAsia="Times New Roman"/>
          <w:szCs w:val="24"/>
        </w:rPr>
        <w:t xml:space="preserve"> to introduce global safety standards, and the </w:t>
      </w:r>
      <w:r>
        <w:rPr>
          <w:rFonts w:cs="Times New Roman" w:eastAsia="Times New Roman"/>
          <w:szCs w:val="24"/>
        </w:rPr>
        <w:t>Internalisation</w:t>
      </w:r>
      <w:r>
        <w:rPr>
          <w:rFonts w:cs="Times New Roman" w:eastAsia="Times New Roman"/>
          <w:szCs w:val="24"/>
        </w:rPr>
        <w:t xml:space="preserve"> benefits promote Nestlé</w:t>
      </w:r>
      <w:r>
        <w:rPr>
          <w:rFonts w:cs="Times New Roman" w:eastAsia="Times New Roman"/>
          <w:szCs w:val="24"/>
        </w:rPr>
        <w:t xml:space="preserve"> to retain control over the quality of the local suppliers instead of subcontracting them. Lack of updating of SOPs would lead to the breakdown of efficiency, supplier links and compliance in Chile. Thus, Nestlé needs to restructure sourcing, procurement a</w:t>
      </w:r>
      <w:r>
        <w:rPr>
          <w:rFonts w:cs="Times New Roman" w:eastAsia="Times New Roman"/>
          <w:szCs w:val="24"/>
        </w:rPr>
        <w:t>nd logistics SOPs to incorporate culture as well as location-specific operational realities.</w:t>
      </w:r>
    </w:p>
    <w:p>
      <w:pPr>
        <w:pStyle w:val="style0"/>
        <w:rPr>
          <w:rFonts w:cs="Times New Roman" w:eastAsia="Times New Roman"/>
          <w:b/>
          <w:bCs/>
          <w:i/>
          <w:iCs/>
          <w:szCs w:val="24"/>
        </w:rPr>
      </w:pPr>
      <w:r>
        <w:rPr>
          <w:rFonts w:cs="Times New Roman" w:eastAsia="Times New Roman"/>
          <w:b/>
          <w:bCs/>
          <w:i/>
          <w:iCs/>
          <w:szCs w:val="24"/>
        </w:rPr>
        <w:t>Recommendation</w:t>
      </w:r>
    </w:p>
    <w:p>
      <w:pPr>
        <w:pStyle w:val="style0"/>
        <w:rPr>
          <w:rFonts w:cs="Times New Roman" w:eastAsia="Times New Roman"/>
          <w:szCs w:val="24"/>
        </w:rPr>
      </w:pPr>
      <w:r>
        <w:rPr>
          <w:rFonts w:cs="Times New Roman" w:eastAsia="Times New Roman"/>
          <w:szCs w:val="24"/>
        </w:rPr>
        <w:t>Based on Porter's Value Chain Theory, Nestlé should adjust its SOPs in the inbound logistics, operations and procurement to the cultural and locatio</w:t>
      </w:r>
      <w:r>
        <w:rPr>
          <w:rFonts w:cs="Times New Roman" w:eastAsia="Times New Roman"/>
          <w:szCs w:val="24"/>
        </w:rPr>
        <w:t xml:space="preserve">nal requirements of Chile. It has to introduce a Local Supplier Development SOP, which provides technical training, capacity-building programmes, long-term contracts, and enhances trust and helps the Chilean business environment, which is collectivist and </w:t>
      </w:r>
      <w:r>
        <w:rPr>
          <w:rFonts w:cs="Times New Roman" w:eastAsia="Times New Roman"/>
          <w:szCs w:val="24"/>
        </w:rPr>
        <w:t>relational (Busch and Herzig, 2024). To meet the demanding expectations of UAI, Nestlé needs to adopt a Traceability and Compliance Framework that necessitates digital tracking, regular audits and reporting. According to López-Vargas et al. (2024), the red</w:t>
      </w:r>
      <w:r>
        <w:rPr>
          <w:rFonts w:cs="Times New Roman" w:eastAsia="Times New Roman"/>
          <w:szCs w:val="24"/>
        </w:rPr>
        <w:t xml:space="preserve">esign of the Logistics SOPs is expected to be </w:t>
      </w:r>
      <w:r>
        <w:rPr>
          <w:rFonts w:cs="Times New Roman" w:eastAsia="Times New Roman"/>
          <w:szCs w:val="24"/>
        </w:rPr>
        <w:t>centred</w:t>
      </w:r>
      <w:r>
        <w:rPr>
          <w:rFonts w:cs="Times New Roman" w:eastAsia="Times New Roman"/>
          <w:szCs w:val="24"/>
        </w:rPr>
        <w:t xml:space="preserve"> on flexible routing, regional warehouse buffers and contingent protocols based on the geographic and regulatory limitations in Chile. The Sourcing SOPs must require increased sourcing of local raw mater</w:t>
      </w:r>
      <w:r>
        <w:rPr>
          <w:rFonts w:cs="Times New Roman" w:eastAsia="Times New Roman"/>
          <w:szCs w:val="24"/>
        </w:rPr>
        <w:t xml:space="preserve">ials, dairy, fruit and grains, in order to take advantage of Location advantages and </w:t>
      </w:r>
      <w:r>
        <w:rPr>
          <w:rFonts w:cs="Times New Roman" w:eastAsia="Times New Roman"/>
          <w:szCs w:val="24"/>
        </w:rPr>
        <w:t>minimise</w:t>
      </w:r>
      <w:r>
        <w:rPr>
          <w:rFonts w:cs="Times New Roman" w:eastAsia="Times New Roman"/>
          <w:szCs w:val="24"/>
        </w:rPr>
        <w:t xml:space="preserve"> import dependency. Nestlé ought to make an investment in sustainability SOPS, enhancing durability and brand loyalty. These modifications increase value addition </w:t>
      </w:r>
      <w:r>
        <w:rPr>
          <w:rFonts w:cs="Times New Roman" w:eastAsia="Times New Roman"/>
          <w:szCs w:val="24"/>
        </w:rPr>
        <w:t>at every step of the supply chain, which increases the reliability of operations and allows Nestlé to reap the full benefits of OLI in Chile.</w:t>
      </w:r>
    </w:p>
    <w:bookmarkStart w:id="39" w:name="_z3nww2x03fq" w:colFirst="0" w:colLast="0"/>
    <w:bookmarkStart w:id="40" w:name="_Toc215673733"/>
    <w:bookmarkEnd w:id="39"/>
    <w:p>
      <w:pPr>
        <w:pStyle w:val="style1"/>
        <w:rPr/>
      </w:pPr>
      <w:r>
        <w:t>6. Conclusion</w:t>
      </w:r>
      <w:bookmarkEnd w:id="40"/>
    </w:p>
    <w:p>
      <w:pPr>
        <w:pStyle w:val="style0"/>
        <w:rPr>
          <w:rFonts w:cs="Times New Roman" w:eastAsia="Times New Roman"/>
          <w:szCs w:val="24"/>
        </w:rPr>
      </w:pPr>
      <w:r>
        <w:rPr>
          <w:rFonts w:cs="Times New Roman" w:eastAsia="Times New Roman"/>
          <w:szCs w:val="24"/>
        </w:rPr>
        <w:t>The growth of Nestlé in Chile illustrates why multinational companies are forced to walk the fine li</w:t>
      </w:r>
      <w:r>
        <w:rPr>
          <w:rFonts w:cs="Times New Roman" w:eastAsia="Times New Roman"/>
          <w:szCs w:val="24"/>
        </w:rPr>
        <w:t xml:space="preserve">ne between global and </w:t>
      </w:r>
      <w:r>
        <w:rPr>
          <w:rFonts w:cs="Times New Roman" w:eastAsia="Times New Roman"/>
          <w:szCs w:val="24"/>
        </w:rPr>
        <w:t>localisation</w:t>
      </w:r>
      <w:r>
        <w:rPr>
          <w:rFonts w:cs="Times New Roman" w:eastAsia="Times New Roman"/>
          <w:szCs w:val="24"/>
        </w:rPr>
        <w:t xml:space="preserve"> to emerge as successful in the new markets. The analysis </w:t>
      </w:r>
      <w:r>
        <w:rPr>
          <w:rFonts w:cs="Times New Roman" w:eastAsia="Times New Roman"/>
          <w:szCs w:val="24"/>
        </w:rPr>
        <w:t xml:space="preserve">reveals that Nestle has a good ownership as it benefits its brand equity, R&amp;D and global supply chain, giving it a strong base in its international growth. The </w:t>
      </w:r>
      <w:r>
        <w:rPr>
          <w:rFonts w:cs="Times New Roman" w:eastAsia="Times New Roman"/>
          <w:szCs w:val="24"/>
        </w:rPr>
        <w:t>favo</w:t>
      </w:r>
      <w:r>
        <w:rPr>
          <w:rFonts w:cs="Times New Roman" w:eastAsia="Times New Roman"/>
          <w:szCs w:val="24"/>
        </w:rPr>
        <w:t>urable</w:t>
      </w:r>
      <w:r>
        <w:rPr>
          <w:rFonts w:cs="Times New Roman" w:eastAsia="Times New Roman"/>
          <w:szCs w:val="24"/>
        </w:rPr>
        <w:t xml:space="preserve"> location-specific advantages, such as market stability, a high-quality retail system and an increasing consumer base, further assist in enhancing the long-term investment opportunities of Nestlé in Chile. Nonetheless, cultural variations between Swi</w:t>
      </w:r>
      <w:r>
        <w:rPr>
          <w:rFonts w:cs="Times New Roman" w:eastAsia="Times New Roman"/>
          <w:szCs w:val="24"/>
        </w:rPr>
        <w:t>tzerland and Chile are evident issues that create consumer expectations, managerial conduct, and communication patterns. The dimensions provided by Hofstede indicate the necessity to adjust the leadership styles, marketing strategies and company operations</w:t>
      </w:r>
      <w:r>
        <w:rPr>
          <w:rFonts w:cs="Times New Roman" w:eastAsia="Times New Roman"/>
          <w:szCs w:val="24"/>
        </w:rPr>
        <w:t xml:space="preserve"> to the high power distance, collectivist and great uncertainty avoidance in Chile. Combining the knowledge of OLI with the cultural analysis showed that three significant SOP changes were required, namely, </w:t>
      </w:r>
      <w:r>
        <w:rPr>
          <w:rFonts w:cs="Times New Roman" w:eastAsia="Times New Roman"/>
          <w:szCs w:val="24"/>
        </w:rPr>
        <w:t>localised</w:t>
      </w:r>
      <w:r>
        <w:rPr>
          <w:rFonts w:cs="Times New Roman" w:eastAsia="Times New Roman"/>
          <w:szCs w:val="24"/>
        </w:rPr>
        <w:t xml:space="preserve"> marketing and product adjustment, cultu</w:t>
      </w:r>
      <w:r>
        <w:rPr>
          <w:rFonts w:cs="Times New Roman" w:eastAsia="Times New Roman"/>
          <w:szCs w:val="24"/>
        </w:rPr>
        <w:t>rally consistent HR and leadership approaches, and reinforced local sourcing and supply chain frameworks. These guidelines guarantee the stability of operations and allow Nestlé to act efficiently in accordance with the local standards and institutional en</w:t>
      </w:r>
      <w:r>
        <w:rPr>
          <w:rFonts w:cs="Times New Roman" w:eastAsia="Times New Roman"/>
          <w:szCs w:val="24"/>
        </w:rPr>
        <w:t xml:space="preserve">vironment. Generally, placing the global strengths with the Chilean culture, institutional and market reality, Nestle will be able to increase consumer confidence, </w:t>
      </w:r>
      <w:r>
        <w:rPr>
          <w:rFonts w:cs="Times New Roman" w:eastAsia="Times New Roman"/>
          <w:szCs w:val="24"/>
        </w:rPr>
        <w:t>organisational</w:t>
      </w:r>
      <w:r>
        <w:rPr>
          <w:rFonts w:cs="Times New Roman" w:eastAsia="Times New Roman"/>
          <w:szCs w:val="24"/>
        </w:rPr>
        <w:t xml:space="preserve"> effectiveness and long-term competitiveness within the Chilean market.</w:t>
      </w:r>
    </w:p>
    <w:bookmarkStart w:id="41" w:name="_60fe6duy767f" w:colFirst="0" w:colLast="0"/>
    <w:bookmarkEnd w:id="41"/>
    <w:p>
      <w:pPr>
        <w:pStyle w:val="style1"/>
        <w:rPr/>
      </w:pPr>
      <w:r>
        <w:br w:type="page"/>
      </w:r>
    </w:p>
    <w:bookmarkStart w:id="42" w:name="_bf304qpryy84" w:colFirst="0" w:colLast="0"/>
    <w:bookmarkStart w:id="43" w:name="_Toc215673734"/>
    <w:bookmarkEnd w:id="42"/>
    <w:p>
      <w:pPr>
        <w:pStyle w:val="style1"/>
        <w:rPr/>
      </w:pPr>
      <w:r>
        <w:t>References</w:t>
      </w:r>
      <w:bookmarkEnd w:id="43"/>
    </w:p>
    <w:p>
      <w:pPr>
        <w:pStyle w:val="style0"/>
        <w:rPr>
          <w:rFonts w:cs="Times New Roman" w:eastAsia="Times New Roman"/>
          <w:szCs w:val="24"/>
          <w:lang w:val="en-IN"/>
        </w:rPr>
      </w:pPr>
      <w:r>
        <w:rPr>
          <w:rFonts w:cs="Times New Roman" w:eastAsia="Times New Roman"/>
          <w:szCs w:val="24"/>
          <w:lang w:val="en-IN"/>
        </w:rPr>
        <w:t xml:space="preserve">Ali, S.H., Lloyd-Montgomery, J., </w:t>
      </w:r>
      <w:r>
        <w:rPr>
          <w:rFonts w:cs="Times New Roman" w:eastAsia="Times New Roman"/>
          <w:szCs w:val="24"/>
          <w:lang w:val="en-IN"/>
        </w:rPr>
        <w:t>Lowery</w:t>
      </w:r>
      <w:r>
        <w:rPr>
          <w:rFonts w:cs="Times New Roman" w:eastAsia="Times New Roman"/>
          <w:szCs w:val="24"/>
          <w:lang w:val="en-IN"/>
        </w:rPr>
        <w:t xml:space="preserve">, C.M., </w:t>
      </w:r>
      <w:r>
        <w:rPr>
          <w:rFonts w:cs="Times New Roman" w:eastAsia="Times New Roman"/>
          <w:szCs w:val="24"/>
          <w:lang w:val="en-IN"/>
        </w:rPr>
        <w:t>Vedovato</w:t>
      </w:r>
      <w:r>
        <w:rPr>
          <w:rFonts w:cs="Times New Roman" w:eastAsia="Times New Roman"/>
          <w:szCs w:val="24"/>
          <w:lang w:val="en-IN"/>
        </w:rPr>
        <w:t xml:space="preserve">, G.M. and </w:t>
      </w:r>
      <w:r>
        <w:rPr>
          <w:rFonts w:cs="Times New Roman" w:eastAsia="Times New Roman"/>
          <w:szCs w:val="24"/>
          <w:lang w:val="en-IN"/>
        </w:rPr>
        <w:t>Trude</w:t>
      </w:r>
      <w:r>
        <w:rPr>
          <w:rFonts w:cs="Times New Roman" w:eastAsia="Times New Roman"/>
          <w:szCs w:val="24"/>
          <w:lang w:val="en-IN"/>
        </w:rPr>
        <w:t xml:space="preserve">, A.C.B. (2022) ‘Equity-Promoting Strategies in Online Grocery Shopping: Recommendations Provided by Households of Low Income’, </w:t>
      </w:r>
      <w:r>
        <w:rPr>
          <w:rFonts w:cs="Times New Roman" w:eastAsia="Times New Roman"/>
          <w:i/>
          <w:iCs/>
          <w:szCs w:val="24"/>
          <w:lang w:val="en-IN"/>
        </w:rPr>
        <w:t xml:space="preserve">Journal of Nutrition Education and </w:t>
      </w:r>
      <w:r>
        <w:rPr>
          <w:rFonts w:cs="Times New Roman" w:eastAsia="Times New Roman"/>
          <w:i/>
          <w:iCs/>
          <w:szCs w:val="24"/>
          <w:lang w:val="en-IN"/>
        </w:rPr>
        <w:t>Behavior</w:t>
      </w:r>
      <w:r>
        <w:rPr>
          <w:rFonts w:cs="Times New Roman" w:eastAsia="Times New Roman"/>
          <w:szCs w:val="24"/>
          <w:lang w:val="en-IN"/>
        </w:rPr>
        <w:t xml:space="preserve">, 54(11), pp. 998–1010. Available at: </w:t>
      </w:r>
      <w:r>
        <w:rPr/>
        <w:fldChar w:fldCharType="begin"/>
      </w:r>
      <w:r>
        <w:instrText xml:space="preserve"> HYPERLINK "https://doi.org/10.1016/j.jneb.2022.08.007" </w:instrText>
      </w:r>
      <w:r>
        <w:rPr/>
        <w:fldChar w:fldCharType="separate"/>
      </w:r>
      <w:r>
        <w:rPr>
          <w:rStyle w:val="style85"/>
          <w:rFonts w:cs="Times New Roman" w:eastAsia="Times New Roman"/>
          <w:szCs w:val="24"/>
          <w:lang w:val="en-IN"/>
        </w:rPr>
        <w:t>https://doi.org/10.1016/j.jneb.2022.08.007</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ASN (2025) </w:t>
      </w:r>
      <w:r>
        <w:rPr>
          <w:rFonts w:cs="Times New Roman" w:eastAsia="Times New Roman"/>
          <w:i/>
          <w:iCs/>
          <w:szCs w:val="24"/>
          <w:lang w:val="en-IN"/>
        </w:rPr>
        <w:t>Nestlé Research and Development</w:t>
      </w:r>
      <w:r>
        <w:rPr>
          <w:rFonts w:cs="Times New Roman" w:eastAsia="Times New Roman"/>
          <w:szCs w:val="24"/>
          <w:lang w:val="en-IN"/>
        </w:rPr>
        <w:t xml:space="preserve">, </w:t>
      </w:r>
      <w:r>
        <w:rPr>
          <w:rFonts w:cs="Times New Roman" w:eastAsia="Times New Roman"/>
          <w:i/>
          <w:iCs/>
          <w:szCs w:val="24"/>
          <w:lang w:val="en-IN"/>
        </w:rPr>
        <w:t>American Society for Nutrition</w:t>
      </w:r>
      <w:r>
        <w:rPr>
          <w:rFonts w:cs="Times New Roman" w:eastAsia="Times New Roman"/>
          <w:szCs w:val="24"/>
          <w:lang w:val="en-IN"/>
        </w:rPr>
        <w:t xml:space="preserve">. Available at: </w:t>
      </w:r>
      <w:r>
        <w:rPr/>
        <w:fldChar w:fldCharType="begin"/>
      </w:r>
      <w:r>
        <w:instrText xml:space="preserve"> HYPERLINK "https://nutrition.org/business-directory/nestle-nutrition-gerber-products-company/" </w:instrText>
      </w:r>
      <w:r>
        <w:rPr/>
        <w:fldChar w:fldCharType="separate"/>
      </w:r>
      <w:r>
        <w:rPr>
          <w:rStyle w:val="style85"/>
          <w:rFonts w:cs="Times New Roman" w:eastAsia="Times New Roman"/>
          <w:szCs w:val="24"/>
          <w:lang w:val="en-IN"/>
        </w:rPr>
        <w:t>https://nutrition.org/business-directory/nestle-nutrition-gerber-products-company/</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28 November 2025).</w:t>
      </w:r>
    </w:p>
    <w:p>
      <w:pPr>
        <w:pStyle w:val="style0"/>
        <w:rPr>
          <w:rFonts w:cs="Times New Roman" w:eastAsia="Times New Roman"/>
          <w:szCs w:val="24"/>
          <w:lang w:val="en-IN"/>
        </w:rPr>
      </w:pPr>
      <w:r>
        <w:rPr>
          <w:rFonts w:cs="Times New Roman" w:eastAsia="Times New Roman"/>
          <w:szCs w:val="24"/>
          <w:lang w:val="en-IN"/>
        </w:rPr>
        <w:t xml:space="preserve">Baker, P., Russ, K., Kang, M., Santos, T.M., Neves, P.A.R., Smith, J., Kingston, G., </w:t>
      </w:r>
      <w:r>
        <w:rPr>
          <w:rFonts w:cs="Times New Roman" w:eastAsia="Times New Roman"/>
          <w:szCs w:val="24"/>
          <w:lang w:val="en-IN"/>
        </w:rPr>
        <w:t>Mialon</w:t>
      </w:r>
      <w:r>
        <w:rPr>
          <w:rFonts w:cs="Times New Roman" w:eastAsia="Times New Roman"/>
          <w:szCs w:val="24"/>
          <w:lang w:val="en-IN"/>
        </w:rPr>
        <w:t xml:space="preserve">, M., Lawrence, M., Wood, B., Moodie, R., Clark, D., Sievert, K., Boatwright, M. and McCoy, D. (2021) ‘Globalization, first-foods systems transformations and corporate power: a synthesis of literature and data on the market and political practices of the transnational baby food industry’, </w:t>
      </w:r>
      <w:r>
        <w:rPr>
          <w:rFonts w:cs="Times New Roman" w:eastAsia="Times New Roman"/>
          <w:i/>
          <w:iCs/>
          <w:szCs w:val="24"/>
          <w:lang w:val="en-IN"/>
        </w:rPr>
        <w:t>Globalization and Health</w:t>
      </w:r>
      <w:r>
        <w:rPr>
          <w:rFonts w:cs="Times New Roman" w:eastAsia="Times New Roman"/>
          <w:szCs w:val="24"/>
          <w:lang w:val="en-IN"/>
        </w:rPr>
        <w:t>, 17(58).</w:t>
      </w:r>
      <w:r>
        <w:rPr>
          <w:rFonts w:cs="Times New Roman" w:eastAsia="Times New Roman"/>
          <w:szCs w:val="24"/>
          <w:lang w:val="en-IN"/>
        </w:rPr>
        <w:t xml:space="preserve"> </w:t>
      </w:r>
      <w:r>
        <w:rPr>
          <w:rFonts w:cs="Times New Roman" w:eastAsia="Times New Roman"/>
          <w:szCs w:val="24"/>
          <w:lang w:val="en-IN"/>
        </w:rPr>
        <w:t xml:space="preserve">Available at: </w:t>
      </w:r>
      <w:r>
        <w:rPr/>
        <w:fldChar w:fldCharType="begin"/>
      </w:r>
      <w:r>
        <w:instrText xml:space="preserve"> HYPERLINK "https://doi.org/10.1186/s12992-021-00708-1" </w:instrText>
      </w:r>
      <w:r>
        <w:rPr/>
        <w:fldChar w:fldCharType="separate"/>
      </w:r>
      <w:r>
        <w:rPr>
          <w:rStyle w:val="style85"/>
          <w:rFonts w:cs="Times New Roman" w:eastAsia="Times New Roman"/>
          <w:szCs w:val="24"/>
        </w:rPr>
        <w:t>https://doi.org/10.1186/s12992-021-00708-1</w:t>
      </w:r>
      <w:r>
        <w:rPr/>
        <w:fldChar w:fldCharType="end"/>
      </w:r>
      <w:r>
        <w:rPr>
          <w:rFonts w:cs="Times New Roman" w:eastAsia="Times New Roman"/>
          <w:szCs w:val="24"/>
        </w:rPr>
        <w:t xml:space="preserve"> </w:t>
      </w:r>
    </w:p>
    <w:p>
      <w:pPr>
        <w:pStyle w:val="style0"/>
        <w:rPr>
          <w:rFonts w:cs="Times New Roman" w:eastAsia="Times New Roman"/>
          <w:szCs w:val="24"/>
          <w:lang w:val="en-IN"/>
        </w:rPr>
      </w:pPr>
      <w:r>
        <w:rPr>
          <w:rFonts w:cs="Times New Roman" w:eastAsia="Times New Roman"/>
          <w:szCs w:val="24"/>
          <w:lang w:val="en-IN"/>
        </w:rPr>
        <w:t xml:space="preserve">BBC (2023) ‘Chile country profile’, </w:t>
      </w:r>
      <w:r>
        <w:rPr>
          <w:rFonts w:cs="Times New Roman" w:eastAsia="Times New Roman"/>
          <w:i/>
          <w:iCs/>
          <w:szCs w:val="24"/>
          <w:lang w:val="en-IN"/>
        </w:rPr>
        <w:t>BBC News</w:t>
      </w:r>
      <w:r>
        <w:rPr>
          <w:rFonts w:cs="Times New Roman" w:eastAsia="Times New Roman"/>
          <w:szCs w:val="24"/>
          <w:lang w:val="en-IN"/>
        </w:rPr>
        <w:t xml:space="preserve">, 11 December. Available at: </w:t>
      </w:r>
      <w:r>
        <w:rPr/>
        <w:fldChar w:fldCharType="begin"/>
      </w:r>
      <w:r>
        <w:instrText xml:space="preserve"> HYPERLINK "https://www.bbc.com/news/world-latin-america-19357497" </w:instrText>
      </w:r>
      <w:r>
        <w:rPr/>
        <w:fldChar w:fldCharType="separate"/>
      </w:r>
      <w:r>
        <w:rPr>
          <w:rStyle w:val="style85"/>
          <w:rFonts w:cs="Times New Roman" w:eastAsia="Times New Roman"/>
          <w:szCs w:val="24"/>
          <w:lang w:val="en-IN"/>
        </w:rPr>
        <w:t>https://www.bbc.com/news/world-latin-america-19357497</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 December 2025).</w:t>
      </w:r>
    </w:p>
    <w:p>
      <w:pPr>
        <w:pStyle w:val="style0"/>
        <w:rPr>
          <w:rFonts w:cs="Times New Roman" w:eastAsia="Times New Roman"/>
          <w:szCs w:val="24"/>
          <w:lang w:val="en-IN"/>
        </w:rPr>
      </w:pPr>
      <w:r>
        <w:rPr>
          <w:rFonts w:cs="Times New Roman" w:eastAsia="Times New Roman"/>
          <w:szCs w:val="24"/>
          <w:lang w:val="en-IN"/>
        </w:rPr>
        <w:t xml:space="preserve">Busch, M. and Herzig, C. (2024) ‘Trust and control dynamics in buyer–supplier relationships: The case of organic honey certification in Cuba’, </w:t>
      </w:r>
      <w:r>
        <w:rPr>
          <w:rFonts w:cs="Times New Roman" w:eastAsia="Times New Roman"/>
          <w:i/>
          <w:iCs/>
          <w:szCs w:val="24"/>
          <w:lang w:val="en-IN"/>
        </w:rPr>
        <w:t>Business Ethics the Environment &amp; Responsibility</w:t>
      </w:r>
      <w:r>
        <w:rPr>
          <w:rFonts w:cs="Times New Roman" w:eastAsia="Times New Roman"/>
          <w:szCs w:val="24"/>
          <w:lang w:val="en-IN"/>
        </w:rPr>
        <w:t xml:space="preserve">, 34(4). Available at: </w:t>
      </w:r>
      <w:r>
        <w:rPr/>
        <w:fldChar w:fldCharType="begin"/>
      </w:r>
      <w:r>
        <w:instrText xml:space="preserve"> HYPERLINK "https://doi.org/10.1111/beer.12697" </w:instrText>
      </w:r>
      <w:r>
        <w:rPr/>
        <w:fldChar w:fldCharType="separate"/>
      </w:r>
      <w:r>
        <w:rPr>
          <w:rStyle w:val="style85"/>
          <w:rFonts w:cs="Times New Roman" w:eastAsia="Times New Roman"/>
          <w:szCs w:val="24"/>
          <w:lang w:val="en-IN"/>
        </w:rPr>
        <w:t>https://doi.org/10.1111/beer.12697</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CFI (2022) </w:t>
      </w:r>
      <w:r>
        <w:rPr>
          <w:rFonts w:cs="Times New Roman" w:eastAsia="Times New Roman"/>
          <w:i/>
          <w:iCs/>
          <w:szCs w:val="24"/>
          <w:lang w:val="en-IN"/>
        </w:rPr>
        <w:t>Eclectic Paradigm</w:t>
      </w:r>
      <w:r>
        <w:rPr>
          <w:rFonts w:cs="Times New Roman" w:eastAsia="Times New Roman"/>
          <w:szCs w:val="24"/>
          <w:lang w:val="en-IN"/>
        </w:rPr>
        <w:t xml:space="preserve">, </w:t>
      </w:r>
      <w:r>
        <w:rPr>
          <w:rFonts w:cs="Times New Roman" w:eastAsia="Times New Roman"/>
          <w:i/>
          <w:iCs/>
          <w:szCs w:val="24"/>
          <w:lang w:val="en-IN"/>
        </w:rPr>
        <w:t>Corporate Finance Institute</w:t>
      </w:r>
      <w:r>
        <w:rPr>
          <w:rFonts w:cs="Times New Roman" w:eastAsia="Times New Roman"/>
          <w:szCs w:val="24"/>
          <w:lang w:val="en-IN"/>
        </w:rPr>
        <w:t xml:space="preserve">. Available at: </w:t>
      </w:r>
      <w:r>
        <w:rPr/>
        <w:fldChar w:fldCharType="begin"/>
      </w:r>
      <w:r>
        <w:instrText xml:space="preserve"> HYPERLINK "https://corporatefinanceinstitute.com/resources/management/eclectic-paradigm/" </w:instrText>
      </w:r>
      <w:r>
        <w:rPr/>
        <w:fldChar w:fldCharType="separate"/>
      </w:r>
      <w:r>
        <w:rPr>
          <w:rStyle w:val="style85"/>
          <w:rFonts w:cs="Times New Roman" w:eastAsia="Times New Roman"/>
          <w:szCs w:val="24"/>
          <w:lang w:val="en-IN"/>
        </w:rPr>
        <w:t>https://corporatefinanceinstitute.com/resources/management/eclectic-paradigm/</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1 December 2025).</w:t>
      </w:r>
    </w:p>
    <w:p>
      <w:pPr>
        <w:pStyle w:val="style0"/>
        <w:rPr>
          <w:rFonts w:cs="Times New Roman" w:eastAsia="Times New Roman"/>
          <w:szCs w:val="24"/>
          <w:lang w:val="en-IN"/>
        </w:rPr>
      </w:pPr>
      <w:r>
        <w:rPr>
          <w:rFonts w:cs="Times New Roman" w:eastAsia="Times New Roman"/>
          <w:szCs w:val="24"/>
          <w:lang w:val="en-IN"/>
        </w:rPr>
        <w:t xml:space="preserve">Cheng, Z., </w:t>
      </w:r>
      <w:r>
        <w:rPr>
          <w:rFonts w:cs="Times New Roman" w:eastAsia="Times New Roman"/>
          <w:szCs w:val="24"/>
          <w:lang w:val="en-IN"/>
        </w:rPr>
        <w:t>Plangger</w:t>
      </w:r>
      <w:r>
        <w:rPr>
          <w:rFonts w:cs="Times New Roman" w:eastAsia="Times New Roman"/>
          <w:szCs w:val="24"/>
          <w:lang w:val="en-IN"/>
        </w:rPr>
        <w:t xml:space="preserve">, K., Cai, F., Campbell, C.L. and Pitt, L. (2022) ‘Charting Value Creation Strategies B2B Salespeople Use Throughout the Sales process: Learning from Social Media Influencers’, </w:t>
      </w:r>
      <w:r>
        <w:rPr>
          <w:rFonts w:cs="Times New Roman" w:eastAsia="Times New Roman"/>
          <w:i/>
          <w:iCs/>
          <w:szCs w:val="24"/>
          <w:lang w:val="en-IN"/>
        </w:rPr>
        <w:t>European Journal of Marketing</w:t>
      </w:r>
      <w:r>
        <w:rPr>
          <w:rFonts w:cs="Times New Roman" w:eastAsia="Times New Roman"/>
          <w:szCs w:val="24"/>
          <w:lang w:val="en-IN"/>
        </w:rPr>
        <w:t xml:space="preserve">, 57(3). Available at: </w:t>
      </w:r>
      <w:r>
        <w:rPr/>
        <w:fldChar w:fldCharType="begin"/>
      </w:r>
      <w:r>
        <w:instrText xml:space="preserve"> HYPERLINK "https://doi.org/10.1108/ejm-11-2021-0922" </w:instrText>
      </w:r>
      <w:r>
        <w:rPr/>
        <w:fldChar w:fldCharType="separate"/>
      </w:r>
      <w:r>
        <w:rPr>
          <w:rStyle w:val="style85"/>
          <w:rFonts w:cs="Times New Roman" w:eastAsia="Times New Roman"/>
          <w:szCs w:val="24"/>
          <w:lang w:val="en-IN"/>
        </w:rPr>
        <w:t>https://doi.org/10.1108/ejm-11-2021-0922</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Conley, T. (2023) </w:t>
      </w:r>
      <w:r>
        <w:rPr>
          <w:rFonts w:cs="Times New Roman" w:eastAsia="Times New Roman"/>
          <w:i/>
          <w:iCs/>
          <w:szCs w:val="24"/>
          <w:lang w:val="en-IN"/>
        </w:rPr>
        <w:t>How Chile is becoming a leader in renewable energy</w:t>
      </w:r>
      <w:r>
        <w:rPr>
          <w:rFonts w:cs="Times New Roman" w:eastAsia="Times New Roman"/>
          <w:szCs w:val="24"/>
          <w:lang w:val="en-IN"/>
        </w:rPr>
        <w:t xml:space="preserve">, </w:t>
      </w:r>
      <w:r>
        <w:rPr>
          <w:rFonts w:cs="Times New Roman" w:eastAsia="Times New Roman"/>
          <w:i/>
          <w:iCs/>
          <w:szCs w:val="24"/>
          <w:lang w:val="en-IN"/>
        </w:rPr>
        <w:t>World Economic Forum</w:t>
      </w:r>
      <w:r>
        <w:rPr>
          <w:rFonts w:cs="Times New Roman" w:eastAsia="Times New Roman"/>
          <w:szCs w:val="24"/>
          <w:lang w:val="en-IN"/>
        </w:rPr>
        <w:t xml:space="preserve">. Available at: </w:t>
      </w:r>
      <w:r>
        <w:rPr/>
        <w:fldChar w:fldCharType="begin"/>
      </w:r>
      <w:r>
        <w:instrText xml:space="preserve"> HYPERLINK "https://www.weforum.org/stories/2023/01/how-chile-is-becoming-a-leader-in-renewable-energy/" </w:instrText>
      </w:r>
      <w:r>
        <w:rPr/>
        <w:fldChar w:fldCharType="separate"/>
      </w:r>
      <w:r>
        <w:rPr>
          <w:rStyle w:val="style85"/>
          <w:rFonts w:cs="Times New Roman" w:eastAsia="Times New Roman"/>
          <w:szCs w:val="24"/>
          <w:lang w:val="en-IN"/>
        </w:rPr>
        <w:t>https://www.weforum.org/stories/2023/01/how-chile-is-becoming-a-leader-in-renewable-energy/</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1 December 2025).</w:t>
      </w:r>
    </w:p>
    <w:p>
      <w:pPr>
        <w:pStyle w:val="style0"/>
        <w:rPr>
          <w:rFonts w:cs="Times New Roman" w:eastAsia="Times New Roman"/>
          <w:szCs w:val="24"/>
          <w:lang w:val="en-IN"/>
        </w:rPr>
      </w:pPr>
      <w:r>
        <w:rPr>
          <w:rFonts w:cs="Times New Roman" w:eastAsia="Times New Roman"/>
          <w:szCs w:val="24"/>
          <w:lang w:val="en-IN"/>
        </w:rPr>
        <w:t xml:space="preserve">Czeglédi, A. (2025) ‘Underutilised crops drive socio-economic transformation in alternative food networks: a case study of diverse farm-to-table supply chains in Hungary’, </w:t>
      </w:r>
      <w:r>
        <w:rPr>
          <w:rFonts w:cs="Times New Roman" w:eastAsia="Times New Roman"/>
          <w:i/>
          <w:iCs/>
          <w:szCs w:val="24"/>
          <w:lang w:val="en-IN"/>
        </w:rPr>
        <w:t>Agricultural and Food Economics</w:t>
      </w:r>
      <w:r>
        <w:rPr>
          <w:rFonts w:cs="Times New Roman" w:eastAsia="Times New Roman"/>
          <w:szCs w:val="24"/>
          <w:lang w:val="en-IN"/>
        </w:rPr>
        <w:t xml:space="preserve">, 13(1). Available at: </w:t>
      </w:r>
      <w:r>
        <w:rPr/>
        <w:fldChar w:fldCharType="begin"/>
      </w:r>
      <w:r>
        <w:instrText xml:space="preserve"> HYPERLINK "https://doi.org/10.1186/s40100-025-00376-4" </w:instrText>
      </w:r>
      <w:r>
        <w:rPr/>
        <w:fldChar w:fldCharType="separate"/>
      </w:r>
      <w:r>
        <w:rPr>
          <w:rStyle w:val="style85"/>
          <w:rFonts w:cs="Times New Roman" w:eastAsia="Times New Roman"/>
          <w:szCs w:val="24"/>
          <w:lang w:val="en-IN"/>
        </w:rPr>
        <w:t>https://doi.org/10.1186/s40100-025-00376-4</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Esposito, L., </w:t>
      </w:r>
      <w:r>
        <w:rPr>
          <w:rFonts w:cs="Times New Roman" w:eastAsia="Times New Roman"/>
          <w:szCs w:val="24"/>
          <w:lang w:val="en-IN"/>
        </w:rPr>
        <w:t>Casolani</w:t>
      </w:r>
      <w:r>
        <w:rPr>
          <w:rFonts w:cs="Times New Roman" w:eastAsia="Times New Roman"/>
          <w:szCs w:val="24"/>
          <w:lang w:val="en-IN"/>
        </w:rPr>
        <w:t xml:space="preserve">, N., Ruggeri, M., Spizzirri, U.G., Aiello, F., Chiodo, E., Martuscelli, M., Restuccia, D. and Mastrocola, D. (2024) ‘Sensory Evaluation and Consumers’ Acceptance of a Low </w:t>
      </w:r>
      <w:r>
        <w:rPr>
          <w:rFonts w:cs="Times New Roman" w:eastAsia="Times New Roman"/>
          <w:szCs w:val="24"/>
          <w:lang w:val="en-IN"/>
        </w:rPr>
        <w:t>Glycemic</w:t>
      </w:r>
      <w:r>
        <w:rPr>
          <w:rFonts w:cs="Times New Roman" w:eastAsia="Times New Roman"/>
          <w:szCs w:val="24"/>
          <w:lang w:val="en-IN"/>
        </w:rPr>
        <w:t xml:space="preserve"> and Gluten-Free Carob-Based Bakery Product’, </w:t>
      </w:r>
      <w:r>
        <w:rPr>
          <w:rFonts w:cs="Times New Roman" w:eastAsia="Times New Roman"/>
          <w:i/>
          <w:iCs/>
          <w:szCs w:val="24"/>
          <w:lang w:val="en-IN"/>
        </w:rPr>
        <w:t>Foods</w:t>
      </w:r>
      <w:r>
        <w:rPr>
          <w:rFonts w:cs="Times New Roman" w:eastAsia="Times New Roman"/>
          <w:szCs w:val="24"/>
          <w:lang w:val="en-IN"/>
        </w:rPr>
        <w:t xml:space="preserve">, 13(17), p. 2815. Available at: </w:t>
      </w:r>
      <w:r>
        <w:rPr/>
        <w:fldChar w:fldCharType="begin"/>
      </w:r>
      <w:r>
        <w:instrText xml:space="preserve"> HYPERLINK "https://doi.org/10.3390/foods13172815" </w:instrText>
      </w:r>
      <w:r>
        <w:rPr/>
        <w:fldChar w:fldCharType="separate"/>
      </w:r>
      <w:r>
        <w:rPr>
          <w:rStyle w:val="style85"/>
          <w:rFonts w:cs="Times New Roman" w:eastAsia="Times New Roman"/>
          <w:szCs w:val="24"/>
          <w:lang w:val="en-IN"/>
        </w:rPr>
        <w:t>https://doi.org/10.3390/foods13172815</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International Trade Administration (2023) </w:t>
      </w:r>
      <w:r>
        <w:rPr>
          <w:rFonts w:cs="Times New Roman" w:eastAsia="Times New Roman"/>
          <w:i/>
          <w:iCs/>
          <w:szCs w:val="24"/>
          <w:lang w:val="en-IN"/>
        </w:rPr>
        <w:t>Chile - Trade Agreements</w:t>
      </w:r>
      <w:r>
        <w:rPr>
          <w:rFonts w:cs="Times New Roman" w:eastAsia="Times New Roman"/>
          <w:szCs w:val="24"/>
          <w:lang w:val="en-IN"/>
        </w:rPr>
        <w:t xml:space="preserve">, </w:t>
      </w:r>
      <w:r>
        <w:rPr>
          <w:rFonts w:cs="Times New Roman" w:eastAsia="Times New Roman"/>
          <w:i/>
          <w:iCs/>
          <w:szCs w:val="24"/>
          <w:lang w:val="en-IN"/>
        </w:rPr>
        <w:t>www.trade.gov</w:t>
      </w:r>
      <w:r>
        <w:rPr>
          <w:rFonts w:cs="Times New Roman" w:eastAsia="Times New Roman"/>
          <w:szCs w:val="24"/>
          <w:lang w:val="en-IN"/>
        </w:rPr>
        <w:t xml:space="preserve">. Available at: </w:t>
      </w:r>
      <w:r>
        <w:rPr/>
        <w:fldChar w:fldCharType="begin"/>
      </w:r>
      <w:r>
        <w:instrText xml:space="preserve"> HYPERLINK "https://www.trade.gov/country-commercial-guides/chile-trade-agreements" </w:instrText>
      </w:r>
      <w:r>
        <w:rPr/>
        <w:fldChar w:fldCharType="separate"/>
      </w:r>
      <w:r>
        <w:rPr>
          <w:rStyle w:val="style85"/>
          <w:rFonts w:cs="Times New Roman" w:eastAsia="Times New Roman"/>
          <w:szCs w:val="24"/>
          <w:lang w:val="en-IN"/>
        </w:rPr>
        <w:t>https://www.trade.gov/country-commercial-guides/chile-trade-agreements</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30 November 2025).</w:t>
      </w:r>
    </w:p>
    <w:p>
      <w:pPr>
        <w:pStyle w:val="style0"/>
        <w:rPr>
          <w:rFonts w:cs="Times New Roman" w:eastAsia="Times New Roman"/>
          <w:szCs w:val="24"/>
          <w:lang w:val="en-IN"/>
        </w:rPr>
      </w:pPr>
      <w:r>
        <w:rPr>
          <w:rFonts w:cs="Times New Roman" w:eastAsia="Times New Roman"/>
          <w:szCs w:val="24"/>
          <w:lang w:val="en-IN"/>
        </w:rPr>
        <w:t>Kanstrén</w:t>
      </w:r>
      <w:r>
        <w:rPr>
          <w:rFonts w:cs="Times New Roman" w:eastAsia="Times New Roman"/>
          <w:szCs w:val="24"/>
          <w:lang w:val="en-IN"/>
        </w:rPr>
        <w:t xml:space="preserve">, K. and Suutari, V. (2021) ‘Development of career capital during expatriation: partners’ perspectives’, </w:t>
      </w:r>
      <w:r>
        <w:rPr>
          <w:rFonts w:cs="Times New Roman" w:eastAsia="Times New Roman"/>
          <w:i/>
          <w:iCs/>
          <w:szCs w:val="24"/>
          <w:lang w:val="en-IN"/>
        </w:rPr>
        <w:t>Career Development International</w:t>
      </w:r>
      <w:r>
        <w:rPr>
          <w:rFonts w:cs="Times New Roman" w:eastAsia="Times New Roman"/>
          <w:szCs w:val="24"/>
          <w:lang w:val="en-IN"/>
        </w:rPr>
        <w:t xml:space="preserve">, 26(6), pp. 824–849. Available at: </w:t>
      </w:r>
      <w:r>
        <w:rPr/>
        <w:fldChar w:fldCharType="begin"/>
      </w:r>
      <w:r>
        <w:instrText xml:space="preserve"> HYPERLINK "https://doi.org/10.1108/cdi-12-2020-0314" </w:instrText>
      </w:r>
      <w:r>
        <w:rPr/>
        <w:fldChar w:fldCharType="separate"/>
      </w:r>
      <w:r>
        <w:rPr>
          <w:rStyle w:val="style85"/>
          <w:rFonts w:cs="Times New Roman" w:eastAsia="Times New Roman"/>
          <w:szCs w:val="24"/>
          <w:lang w:val="en-IN"/>
        </w:rPr>
        <w:t>https://doi.org/10.1108/cdi-12-2020-0314</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Komala, M.G., Ong, S.G., Qadri, M.U., Elshafie, L.M., Pollock, C.A. and Saad, S. (2023) ‘Investigating the Regulatory Process, Safety, Efficacy and Product Transparency for Nutraceuticals in the USA, Europe and Australia’, </w:t>
      </w:r>
      <w:r>
        <w:rPr>
          <w:rFonts w:cs="Times New Roman" w:eastAsia="Times New Roman"/>
          <w:i/>
          <w:iCs/>
          <w:szCs w:val="24"/>
          <w:lang w:val="en-IN"/>
        </w:rPr>
        <w:t>Foods</w:t>
      </w:r>
      <w:r>
        <w:rPr>
          <w:rFonts w:cs="Times New Roman" w:eastAsia="Times New Roman"/>
          <w:szCs w:val="24"/>
          <w:lang w:val="en-IN"/>
        </w:rPr>
        <w:t xml:space="preserve">, 12(2), p. 427. Available at: </w:t>
      </w:r>
      <w:r>
        <w:rPr/>
        <w:fldChar w:fldCharType="begin"/>
      </w:r>
      <w:r>
        <w:instrText xml:space="preserve"> HYPERLINK "https://doi.org/10.3390/foods12020427" </w:instrText>
      </w:r>
      <w:r>
        <w:rPr/>
        <w:fldChar w:fldCharType="separate"/>
      </w:r>
      <w:r>
        <w:rPr>
          <w:rStyle w:val="style85"/>
          <w:rFonts w:cs="Times New Roman" w:eastAsia="Times New Roman"/>
          <w:szCs w:val="24"/>
          <w:lang w:val="en-IN"/>
        </w:rPr>
        <w:t>https://doi.org/10.3390/foods12020427</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López-Vargas, J.C., Meisel, J.D., Cárdenas-Aguirre, D.M. and Medina, P. (2024) ‘Coordination mechanisms applied to logistical systems for local disaster preparedness: a Latin American case’, </w:t>
      </w:r>
      <w:r>
        <w:rPr>
          <w:rFonts w:cs="Times New Roman" w:eastAsia="Times New Roman"/>
          <w:i/>
          <w:iCs/>
          <w:szCs w:val="24"/>
          <w:lang w:val="en-IN"/>
        </w:rPr>
        <w:t>Journal of Humanitarian Logistics and Supply Chain Management</w:t>
      </w:r>
      <w:r>
        <w:rPr>
          <w:rFonts w:cs="Times New Roman" w:eastAsia="Times New Roman"/>
          <w:szCs w:val="24"/>
          <w:lang w:val="en-IN"/>
        </w:rPr>
        <w:t xml:space="preserve">, 15(2). Available at: </w:t>
      </w:r>
      <w:r>
        <w:rPr/>
        <w:fldChar w:fldCharType="begin"/>
      </w:r>
      <w:r>
        <w:instrText xml:space="preserve"> HYPERLINK "https://doi.org/10.1108/jhlscm-09-2023-0085" </w:instrText>
      </w:r>
      <w:r>
        <w:rPr/>
        <w:fldChar w:fldCharType="separate"/>
      </w:r>
      <w:r>
        <w:rPr>
          <w:rStyle w:val="style85"/>
          <w:rFonts w:cs="Times New Roman" w:eastAsia="Times New Roman"/>
          <w:szCs w:val="24"/>
          <w:lang w:val="en-IN"/>
        </w:rPr>
        <w:t>https://doi.org/10.1108/jhlscm-09-2023-0085</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Malek, R., Yang, Q. and </w:t>
      </w:r>
      <w:r>
        <w:rPr>
          <w:rFonts w:cs="Times New Roman" w:eastAsia="Times New Roman"/>
          <w:szCs w:val="24"/>
          <w:lang w:val="en-IN"/>
        </w:rPr>
        <w:t>Dhelim</w:t>
      </w:r>
      <w:r>
        <w:rPr>
          <w:rFonts w:cs="Times New Roman" w:eastAsia="Times New Roman"/>
          <w:szCs w:val="24"/>
          <w:lang w:val="en-IN"/>
        </w:rPr>
        <w:t xml:space="preserve">, S. (2024) ‘Toward Sustainable Global Product Development Performance: Exploring the Criticality of Organizational Factors and the Moderating Influence of Global Innovation Culture’, </w:t>
      </w:r>
      <w:r>
        <w:rPr>
          <w:rFonts w:cs="Times New Roman" w:eastAsia="Times New Roman"/>
          <w:i/>
          <w:iCs/>
          <w:szCs w:val="24"/>
          <w:lang w:val="en-IN"/>
        </w:rPr>
        <w:t>Sustainability</w:t>
      </w:r>
      <w:r>
        <w:rPr>
          <w:rFonts w:cs="Times New Roman" w:eastAsia="Times New Roman"/>
          <w:szCs w:val="24"/>
          <w:lang w:val="en-IN"/>
        </w:rPr>
        <w:t>, 16(10), p. 3911.</w:t>
      </w:r>
      <w:r>
        <w:rPr>
          <w:rFonts w:cs="Times New Roman" w:eastAsia="Times New Roman"/>
          <w:szCs w:val="24"/>
          <w:lang w:val="en-IN"/>
        </w:rPr>
        <w:t xml:space="preserve"> </w:t>
      </w:r>
      <w:r>
        <w:rPr>
          <w:rFonts w:cs="Times New Roman" w:eastAsia="Times New Roman"/>
          <w:szCs w:val="24"/>
          <w:lang w:val="en-IN"/>
        </w:rPr>
        <w:t>Available at:</w:t>
      </w:r>
      <w:r>
        <w:rPr>
          <w:rFonts w:cs="Times New Roman" w:eastAsia="Times New Roman"/>
          <w:szCs w:val="24"/>
          <w:lang w:val="en-IN"/>
        </w:rPr>
        <w:t xml:space="preserve"> </w:t>
      </w:r>
      <w:r>
        <w:rPr/>
        <w:fldChar w:fldCharType="begin"/>
      </w:r>
      <w:r>
        <w:instrText xml:space="preserve"> HYPERLINK "https://doi.org/10.3390/su16103911" </w:instrText>
      </w:r>
      <w:r>
        <w:rPr/>
        <w:fldChar w:fldCharType="separate"/>
      </w:r>
      <w:r>
        <w:rPr>
          <w:rStyle w:val="style85"/>
          <w:rFonts w:cs="Times New Roman" w:eastAsia="Times New Roman"/>
          <w:szCs w:val="24"/>
          <w:lang w:val="en-IN"/>
        </w:rPr>
        <w:t>https://doi.org/10.3390/su16103911</w:t>
      </w:r>
      <w:r>
        <w:rPr/>
        <w:fldChar w:fldCharType="end"/>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Marwiyah</w:t>
      </w:r>
      <w:r>
        <w:rPr>
          <w:rFonts w:cs="Times New Roman" w:eastAsia="Times New Roman"/>
          <w:szCs w:val="24"/>
          <w:lang w:val="en-IN"/>
        </w:rPr>
        <w:t xml:space="preserve">, S., Maksin, M. and </w:t>
      </w:r>
      <w:r>
        <w:rPr>
          <w:rFonts w:cs="Times New Roman" w:eastAsia="Times New Roman"/>
          <w:szCs w:val="24"/>
          <w:lang w:val="en-IN"/>
        </w:rPr>
        <w:t>Queennensa</w:t>
      </w:r>
      <w:r>
        <w:rPr>
          <w:rFonts w:cs="Times New Roman" w:eastAsia="Times New Roman"/>
          <w:szCs w:val="24"/>
          <w:lang w:val="en-IN"/>
        </w:rPr>
        <w:t xml:space="preserve">, M.S. (2025) ‘Optimizing Employee Performance through Physical Work Environment Governance: A Study at the </w:t>
      </w:r>
      <w:r>
        <w:rPr>
          <w:rFonts w:cs="Times New Roman" w:eastAsia="Times New Roman"/>
          <w:szCs w:val="24"/>
          <w:lang w:val="en-IN"/>
        </w:rPr>
        <w:t>Probolinggo</w:t>
      </w:r>
      <w:r>
        <w:rPr>
          <w:rFonts w:cs="Times New Roman" w:eastAsia="Times New Roman"/>
          <w:szCs w:val="24"/>
          <w:lang w:val="en-IN"/>
        </w:rPr>
        <w:t xml:space="preserve"> Social Service’, </w:t>
      </w:r>
      <w:r>
        <w:rPr>
          <w:rFonts w:cs="Times New Roman" w:eastAsia="Times New Roman"/>
          <w:i/>
          <w:iCs/>
          <w:szCs w:val="24"/>
          <w:lang w:val="en-IN"/>
        </w:rPr>
        <w:t>Malikussaleh</w:t>
      </w:r>
      <w:r>
        <w:rPr>
          <w:rFonts w:cs="Times New Roman" w:eastAsia="Times New Roman"/>
          <w:i/>
          <w:iCs/>
          <w:szCs w:val="24"/>
          <w:lang w:val="en-IN"/>
        </w:rPr>
        <w:t xml:space="preserve"> Social and Political Reviews</w:t>
      </w:r>
      <w:r>
        <w:rPr>
          <w:rFonts w:cs="Times New Roman" w:eastAsia="Times New Roman"/>
          <w:szCs w:val="24"/>
          <w:lang w:val="en-IN"/>
        </w:rPr>
        <w:t xml:space="preserve">, 6(1), pp. 47–52. Available at: </w:t>
      </w:r>
      <w:r>
        <w:rPr/>
        <w:fldChar w:fldCharType="begin"/>
      </w:r>
      <w:r>
        <w:instrText xml:space="preserve"> HYPERLINK "https://doi.org/10.29103/mspr.v6i1.22156" </w:instrText>
      </w:r>
      <w:r>
        <w:rPr/>
        <w:fldChar w:fldCharType="separate"/>
      </w:r>
      <w:r>
        <w:rPr>
          <w:rStyle w:val="style85"/>
          <w:rFonts w:cs="Times New Roman" w:eastAsia="Times New Roman"/>
          <w:szCs w:val="24"/>
          <w:lang w:val="en-IN"/>
        </w:rPr>
        <w:t>https://doi.org/10.29103/mspr.v6i1.22156</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Maspul</w:t>
      </w:r>
      <w:r>
        <w:rPr>
          <w:rFonts w:cs="Times New Roman" w:eastAsia="Times New Roman"/>
          <w:szCs w:val="24"/>
          <w:lang w:val="en-IN"/>
        </w:rPr>
        <w:t xml:space="preserve">, K.A. (2025) ‘Coffee Culture’s Role </w:t>
      </w:r>
      <w:r>
        <w:rPr>
          <w:rFonts w:cs="Times New Roman" w:eastAsia="Times New Roman"/>
          <w:szCs w:val="24"/>
          <w:lang w:val="en-IN"/>
        </w:rPr>
        <w:t>In</w:t>
      </w:r>
      <w:r>
        <w:rPr>
          <w:rFonts w:cs="Times New Roman" w:eastAsia="Times New Roman"/>
          <w:szCs w:val="24"/>
          <w:lang w:val="en-IN"/>
        </w:rPr>
        <w:t xml:space="preserve"> Community Resilience: A Case Study Of Buraidah Speciality Coffee’, </w:t>
      </w:r>
      <w:r>
        <w:rPr>
          <w:rFonts w:cs="Times New Roman" w:eastAsia="Times New Roman"/>
          <w:i/>
          <w:iCs/>
          <w:szCs w:val="24"/>
          <w:lang w:val="en-IN"/>
        </w:rPr>
        <w:t>Journal Health of Indonesian</w:t>
      </w:r>
      <w:r>
        <w:rPr>
          <w:rFonts w:cs="Times New Roman" w:eastAsia="Times New Roman"/>
          <w:szCs w:val="24"/>
          <w:lang w:val="en-IN"/>
        </w:rPr>
        <w:t xml:space="preserve">, 3(01), pp. 1–16. Available at: </w:t>
      </w:r>
      <w:r>
        <w:rPr/>
        <w:fldChar w:fldCharType="begin"/>
      </w:r>
      <w:r>
        <w:instrText xml:space="preserve"> HYPERLINK "http://paspama.org/index.php/health/article/view/144" </w:instrText>
      </w:r>
      <w:r>
        <w:rPr/>
        <w:fldChar w:fldCharType="separate"/>
      </w:r>
      <w:r>
        <w:rPr>
          <w:rStyle w:val="style85"/>
          <w:rFonts w:cs="Times New Roman" w:eastAsia="Times New Roman"/>
          <w:szCs w:val="24"/>
          <w:lang w:val="en-IN"/>
        </w:rPr>
        <w:t>http://paspama.org/index.php/health/article/view/144</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McGrath, P., McCarthy, L., Marshall, D. and Rehme, J. (2021) ‘Tools and Technologies of Transparency in Sustainable Global Supply Chains’, </w:t>
      </w:r>
      <w:r>
        <w:rPr>
          <w:rFonts w:cs="Times New Roman" w:eastAsia="Times New Roman"/>
          <w:i/>
          <w:iCs/>
          <w:szCs w:val="24"/>
          <w:lang w:val="en-IN"/>
        </w:rPr>
        <w:t>California Management Review</w:t>
      </w:r>
      <w:r>
        <w:rPr>
          <w:rFonts w:cs="Times New Roman" w:eastAsia="Times New Roman"/>
          <w:szCs w:val="24"/>
          <w:lang w:val="en-IN"/>
        </w:rPr>
        <w:t xml:space="preserve">, 64(1), pp. 67–89. Available at: </w:t>
      </w:r>
      <w:r>
        <w:rPr/>
        <w:fldChar w:fldCharType="begin"/>
      </w:r>
      <w:r>
        <w:instrText xml:space="preserve"> HYPERLINK "https://doi.org/10.1177/00081256211045993" </w:instrText>
      </w:r>
      <w:r>
        <w:rPr/>
        <w:fldChar w:fldCharType="separate"/>
      </w:r>
      <w:r>
        <w:rPr>
          <w:rStyle w:val="style85"/>
          <w:rFonts w:cs="Times New Roman" w:eastAsia="Times New Roman"/>
          <w:szCs w:val="24"/>
          <w:lang w:val="en-IN"/>
        </w:rPr>
        <w:t>https://doi.org/10.1177/00081256211045993</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Nestlé (2023</w:t>
      </w:r>
      <w:r>
        <w:rPr>
          <w:rFonts w:cs="Times New Roman" w:eastAsia="Times New Roman"/>
          <w:szCs w:val="24"/>
          <w:lang w:val="en-IN"/>
        </w:rPr>
        <w:t xml:space="preserve">) </w:t>
      </w:r>
      <w:r>
        <w:rPr>
          <w:rFonts w:cs="Times New Roman" w:eastAsia="Times New Roman"/>
          <w:i/>
          <w:iCs/>
          <w:szCs w:val="24"/>
          <w:lang w:val="en-IN"/>
        </w:rPr>
        <w:t>ANNUAL REPORT AND ACCOUNTS 2023 Nestlé Nigeria PLC</w:t>
      </w:r>
      <w:r>
        <w:rPr>
          <w:rFonts w:cs="Times New Roman" w:eastAsia="Times New Roman"/>
          <w:szCs w:val="24"/>
          <w:lang w:val="en-IN"/>
        </w:rPr>
        <w:t xml:space="preserve">. Available at: </w:t>
      </w:r>
      <w:r>
        <w:rPr/>
        <w:fldChar w:fldCharType="begin"/>
      </w:r>
      <w:r>
        <w:instrText xml:space="preserve"> HYPERLINK "https://www.nestle-cwa.com/sites/g/files/pydnoa346/files/2024-05/2023-annual-report.pdf" </w:instrText>
      </w:r>
      <w:r>
        <w:rPr/>
        <w:fldChar w:fldCharType="separate"/>
      </w:r>
      <w:r>
        <w:rPr>
          <w:rStyle w:val="style85"/>
          <w:rFonts w:cs="Times New Roman" w:eastAsia="Times New Roman"/>
          <w:szCs w:val="24"/>
          <w:lang w:val="en-IN"/>
        </w:rPr>
        <w:t>https://www.nestle-cwa.com/sites/g/files/pydnoa346/files/2024-05/2023-annual-report.pdf</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1 December 2025).</w:t>
      </w:r>
    </w:p>
    <w:p>
      <w:pPr>
        <w:pStyle w:val="style0"/>
        <w:rPr>
          <w:rFonts w:cs="Times New Roman" w:eastAsia="Times New Roman"/>
          <w:szCs w:val="24"/>
          <w:lang w:val="en-IN"/>
        </w:rPr>
      </w:pPr>
      <w:r>
        <w:rPr>
          <w:rFonts w:cs="Times New Roman" w:eastAsia="Times New Roman"/>
          <w:szCs w:val="24"/>
          <w:lang w:val="en-IN"/>
        </w:rPr>
        <w:t xml:space="preserve">Nestle (2025) </w:t>
      </w:r>
      <w:r>
        <w:rPr>
          <w:rFonts w:cs="Times New Roman" w:eastAsia="Times New Roman"/>
          <w:i/>
          <w:iCs/>
          <w:szCs w:val="24"/>
          <w:lang w:val="en-IN"/>
        </w:rPr>
        <w:t>Responsible sourcing: Our work with suppliers and farmers</w:t>
      </w:r>
      <w:r>
        <w:rPr>
          <w:rFonts w:cs="Times New Roman" w:eastAsia="Times New Roman"/>
          <w:szCs w:val="24"/>
          <w:lang w:val="en-IN"/>
        </w:rPr>
        <w:t xml:space="preserve">, </w:t>
      </w:r>
      <w:r>
        <w:rPr>
          <w:rFonts w:cs="Times New Roman" w:eastAsia="Times New Roman"/>
          <w:i/>
          <w:iCs/>
          <w:szCs w:val="24"/>
          <w:lang w:val="en-IN"/>
        </w:rPr>
        <w:t>Nestlé</w:t>
      </w:r>
      <w:r>
        <w:rPr>
          <w:rFonts w:cs="Times New Roman" w:eastAsia="Times New Roman"/>
          <w:szCs w:val="24"/>
          <w:lang w:val="en-IN"/>
        </w:rPr>
        <w:t>. Available at: https://www.nestle-cwa.com/en/aboutus/supliers (Accessed: 1 December 2025).</w:t>
      </w:r>
    </w:p>
    <w:p>
      <w:pPr>
        <w:pStyle w:val="style0"/>
        <w:rPr>
          <w:rFonts w:cs="Times New Roman" w:eastAsia="Times New Roman"/>
          <w:szCs w:val="24"/>
          <w:lang w:val="en-IN"/>
        </w:rPr>
      </w:pPr>
      <w:r>
        <w:rPr>
          <w:rFonts w:cs="Times New Roman" w:eastAsia="Times New Roman"/>
          <w:szCs w:val="24"/>
          <w:lang w:val="en-IN"/>
        </w:rPr>
        <w:t xml:space="preserve">Nestlé (2025a) </w:t>
      </w:r>
      <w:r>
        <w:rPr>
          <w:rFonts w:cs="Times New Roman" w:eastAsia="Times New Roman"/>
          <w:i/>
          <w:iCs/>
          <w:szCs w:val="24"/>
          <w:lang w:val="en-IN"/>
        </w:rPr>
        <w:t>About us</w:t>
      </w:r>
      <w:r>
        <w:rPr>
          <w:rFonts w:cs="Times New Roman" w:eastAsia="Times New Roman"/>
          <w:szCs w:val="24"/>
          <w:lang w:val="en-IN"/>
        </w:rPr>
        <w:t xml:space="preserve">, </w:t>
      </w:r>
      <w:r>
        <w:rPr>
          <w:rFonts w:cs="Times New Roman" w:eastAsia="Times New Roman"/>
          <w:i/>
          <w:iCs/>
          <w:szCs w:val="24"/>
          <w:lang w:val="en-IN"/>
        </w:rPr>
        <w:t>Nestlé Global</w:t>
      </w:r>
      <w:r>
        <w:rPr>
          <w:rFonts w:cs="Times New Roman" w:eastAsia="Times New Roman"/>
          <w:szCs w:val="24"/>
          <w:lang w:val="en-IN"/>
        </w:rPr>
        <w:t xml:space="preserve">. Nestlé. Available at: </w:t>
      </w:r>
      <w:r>
        <w:rPr/>
        <w:fldChar w:fldCharType="begin"/>
      </w:r>
      <w:r>
        <w:instrText xml:space="preserve"> HYPERLINK "https://www.nestle.com/about" </w:instrText>
      </w:r>
      <w:r>
        <w:rPr/>
        <w:fldChar w:fldCharType="separate"/>
      </w:r>
      <w:r>
        <w:rPr>
          <w:rStyle w:val="style85"/>
          <w:rFonts w:cs="Times New Roman" w:eastAsia="Times New Roman"/>
          <w:szCs w:val="24"/>
          <w:lang w:val="en-IN"/>
        </w:rPr>
        <w:t>https://www.nestle.com/about</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1 December 2025).</w:t>
      </w:r>
    </w:p>
    <w:p>
      <w:pPr>
        <w:pStyle w:val="style0"/>
        <w:rPr>
          <w:rFonts w:cs="Times New Roman" w:eastAsia="Times New Roman"/>
          <w:szCs w:val="24"/>
          <w:lang w:val="en-IN"/>
        </w:rPr>
      </w:pPr>
      <w:r>
        <w:rPr>
          <w:rFonts w:cs="Times New Roman" w:eastAsia="Times New Roman"/>
          <w:szCs w:val="24"/>
          <w:lang w:val="en-IN"/>
        </w:rPr>
        <w:t xml:space="preserve">Nestlé (2025b) </w:t>
      </w:r>
      <w:r>
        <w:rPr>
          <w:rFonts w:cs="Times New Roman" w:eastAsia="Times New Roman"/>
          <w:i/>
          <w:iCs/>
          <w:szCs w:val="24"/>
          <w:lang w:val="en-IN"/>
        </w:rPr>
        <w:t>At a glance</w:t>
      </w:r>
      <w:r>
        <w:rPr>
          <w:rFonts w:cs="Times New Roman" w:eastAsia="Times New Roman"/>
          <w:szCs w:val="24"/>
          <w:lang w:val="en-IN"/>
        </w:rPr>
        <w:t xml:space="preserve">, </w:t>
      </w:r>
      <w:r>
        <w:rPr>
          <w:rFonts w:cs="Times New Roman" w:eastAsia="Times New Roman"/>
          <w:i/>
          <w:iCs/>
          <w:szCs w:val="24"/>
          <w:lang w:val="en-IN"/>
        </w:rPr>
        <w:t>Nestle</w:t>
      </w:r>
      <w:r>
        <w:rPr>
          <w:rFonts w:cs="Times New Roman" w:eastAsia="Times New Roman"/>
          <w:szCs w:val="24"/>
          <w:lang w:val="en-IN"/>
        </w:rPr>
        <w:t xml:space="preserve">. Available at: </w:t>
      </w:r>
      <w:r>
        <w:rPr/>
        <w:fldChar w:fldCharType="begin"/>
      </w:r>
      <w:r>
        <w:instrText xml:space="preserve"> HYPERLINK "https://www.nestle.com/about/overview" </w:instrText>
      </w:r>
      <w:r>
        <w:rPr/>
        <w:fldChar w:fldCharType="separate"/>
      </w:r>
      <w:r>
        <w:rPr>
          <w:rStyle w:val="style85"/>
          <w:rFonts w:cs="Times New Roman" w:eastAsia="Times New Roman"/>
          <w:szCs w:val="24"/>
          <w:lang w:val="en-IN"/>
        </w:rPr>
        <w:t>https://www.nestle.com/about/overview</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28 November 2025).</w:t>
      </w:r>
    </w:p>
    <w:p>
      <w:pPr>
        <w:pStyle w:val="style0"/>
        <w:rPr>
          <w:rFonts w:cs="Times New Roman" w:eastAsia="Times New Roman"/>
          <w:szCs w:val="24"/>
          <w:lang w:val="en-IN"/>
        </w:rPr>
      </w:pPr>
      <w:r>
        <w:rPr>
          <w:rFonts w:cs="Times New Roman" w:eastAsia="Times New Roman"/>
          <w:szCs w:val="24"/>
          <w:lang w:val="en-IN"/>
        </w:rPr>
        <w:t xml:space="preserve">Nestlé (2025c) </w:t>
      </w:r>
      <w:r>
        <w:rPr>
          <w:rFonts w:cs="Times New Roman" w:eastAsia="Times New Roman"/>
          <w:i/>
          <w:iCs/>
          <w:szCs w:val="24"/>
          <w:lang w:val="en-IN"/>
        </w:rPr>
        <w:t>Gerber acquisition</w:t>
      </w:r>
      <w:r>
        <w:rPr>
          <w:rFonts w:cs="Times New Roman" w:eastAsia="Times New Roman"/>
          <w:szCs w:val="24"/>
          <w:lang w:val="en-IN"/>
        </w:rPr>
        <w:t xml:space="preserve">, </w:t>
      </w:r>
      <w:r>
        <w:rPr>
          <w:rFonts w:cs="Times New Roman" w:eastAsia="Times New Roman"/>
          <w:i/>
          <w:iCs/>
          <w:szCs w:val="24"/>
          <w:lang w:val="en-IN"/>
        </w:rPr>
        <w:t>Nestlé Global</w:t>
      </w:r>
      <w:r>
        <w:rPr>
          <w:rFonts w:cs="Times New Roman" w:eastAsia="Times New Roman"/>
          <w:szCs w:val="24"/>
          <w:lang w:val="en-IN"/>
        </w:rPr>
        <w:t xml:space="preserve">. Available at: </w:t>
      </w:r>
      <w:r>
        <w:rPr/>
        <w:fldChar w:fldCharType="begin"/>
      </w:r>
      <w:r>
        <w:instrText xml:space="preserve"> HYPERLINK "https://www.nestle.com/investors/overview/mergers-and-acquisitions/gerber-acquisition" </w:instrText>
      </w:r>
      <w:r>
        <w:rPr/>
        <w:fldChar w:fldCharType="separate"/>
      </w:r>
      <w:r>
        <w:rPr>
          <w:rStyle w:val="style85"/>
          <w:rFonts w:cs="Times New Roman" w:eastAsia="Times New Roman"/>
          <w:szCs w:val="24"/>
          <w:lang w:val="en-IN"/>
        </w:rPr>
        <w:t>https://www.nestle.com/investors/overview/mergers-and-acquisitions/gerber-acquisition</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29 November 2025).</w:t>
      </w:r>
    </w:p>
    <w:p>
      <w:pPr>
        <w:pStyle w:val="style0"/>
        <w:rPr>
          <w:rFonts w:cs="Times New Roman" w:eastAsia="Times New Roman"/>
          <w:szCs w:val="24"/>
          <w:lang w:val="en-IN"/>
        </w:rPr>
      </w:pPr>
      <w:r>
        <w:rPr>
          <w:rFonts w:cs="Times New Roman" w:eastAsia="Times New Roman"/>
          <w:szCs w:val="24"/>
          <w:lang w:val="en-IN"/>
        </w:rPr>
        <w:t xml:space="preserve">Nestlé (2025d) </w:t>
      </w:r>
      <w:r>
        <w:rPr>
          <w:rFonts w:cs="Times New Roman" w:eastAsia="Times New Roman"/>
          <w:i/>
          <w:iCs/>
          <w:szCs w:val="24"/>
          <w:lang w:val="en-IN"/>
        </w:rPr>
        <w:t>Our business strategy</w:t>
      </w:r>
      <w:r>
        <w:rPr>
          <w:rFonts w:cs="Times New Roman" w:eastAsia="Times New Roman"/>
          <w:szCs w:val="24"/>
          <w:lang w:val="en-IN"/>
        </w:rPr>
        <w:t xml:space="preserve">, </w:t>
      </w:r>
      <w:r>
        <w:rPr>
          <w:rFonts w:cs="Times New Roman" w:eastAsia="Times New Roman"/>
          <w:i/>
          <w:iCs/>
          <w:szCs w:val="24"/>
          <w:lang w:val="en-IN"/>
        </w:rPr>
        <w:t>Nestlé Global</w:t>
      </w:r>
      <w:r>
        <w:rPr>
          <w:rFonts w:cs="Times New Roman" w:eastAsia="Times New Roman"/>
          <w:szCs w:val="24"/>
          <w:lang w:val="en-IN"/>
        </w:rPr>
        <w:t xml:space="preserve">. www.nestle.com. Available at: </w:t>
      </w:r>
      <w:r>
        <w:rPr/>
        <w:fldChar w:fldCharType="begin"/>
      </w:r>
      <w:r>
        <w:instrText xml:space="preserve"> HYPERLINK "https://www.nestle.com/about/strategy" </w:instrText>
      </w:r>
      <w:r>
        <w:rPr/>
        <w:fldChar w:fldCharType="separate"/>
      </w:r>
      <w:r>
        <w:rPr>
          <w:rStyle w:val="style85"/>
          <w:rFonts w:cs="Times New Roman" w:eastAsia="Times New Roman"/>
          <w:szCs w:val="24"/>
          <w:lang w:val="en-IN"/>
        </w:rPr>
        <w:t>https://www.nestle.com/about/strategy</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29 November 2025).</w:t>
      </w:r>
    </w:p>
    <w:p>
      <w:pPr>
        <w:pStyle w:val="style0"/>
        <w:rPr>
          <w:rFonts w:cs="Times New Roman" w:eastAsia="Times New Roman"/>
          <w:szCs w:val="24"/>
          <w:lang w:val="en-IN"/>
        </w:rPr>
      </w:pPr>
      <w:r>
        <w:rPr>
          <w:rFonts w:cs="Times New Roman" w:eastAsia="Times New Roman"/>
          <w:szCs w:val="24"/>
          <w:lang w:val="en-IN"/>
        </w:rPr>
        <w:t xml:space="preserve">Nestlé (2025e) </w:t>
      </w:r>
      <w:r>
        <w:rPr>
          <w:rFonts w:cs="Times New Roman" w:eastAsia="Times New Roman"/>
          <w:i/>
          <w:iCs/>
          <w:szCs w:val="24"/>
          <w:lang w:val="en-IN"/>
        </w:rPr>
        <w:t xml:space="preserve">Welcome </w:t>
      </w:r>
      <w:r>
        <w:rPr>
          <w:rFonts w:cs="Times New Roman" w:eastAsia="Times New Roman"/>
          <w:i/>
          <w:iCs/>
          <w:szCs w:val="24"/>
          <w:lang w:val="en-IN"/>
        </w:rPr>
        <w:t>To</w:t>
      </w:r>
      <w:r>
        <w:rPr>
          <w:rFonts w:cs="Times New Roman" w:eastAsia="Times New Roman"/>
          <w:i/>
          <w:iCs/>
          <w:szCs w:val="24"/>
          <w:lang w:val="en-IN"/>
        </w:rPr>
        <w:t xml:space="preserve"> Zscaler Directory Authentication</w:t>
      </w:r>
      <w:r>
        <w:rPr>
          <w:rFonts w:cs="Times New Roman" w:eastAsia="Times New Roman"/>
          <w:szCs w:val="24"/>
          <w:lang w:val="en-IN"/>
        </w:rPr>
        <w:t xml:space="preserve">, </w:t>
      </w:r>
      <w:r>
        <w:rPr>
          <w:rFonts w:cs="Times New Roman" w:eastAsia="Times New Roman"/>
          <w:i/>
          <w:iCs/>
          <w:szCs w:val="24"/>
          <w:lang w:val="en-IN"/>
        </w:rPr>
        <w:t>Nestle.com</w:t>
      </w:r>
      <w:r>
        <w:rPr>
          <w:rFonts w:cs="Times New Roman" w:eastAsia="Times New Roman"/>
          <w:szCs w:val="24"/>
          <w:lang w:val="en-IN"/>
        </w:rPr>
        <w:t xml:space="preserve">. Available at: </w:t>
      </w:r>
      <w:r>
        <w:rPr/>
        <w:fldChar w:fldCharType="begin"/>
      </w:r>
      <w:r>
        <w:instrText xml:space="preserve"> HYPERLINK "https://www.nestle.com/media/pressreleases/allpressreleases/full-year-results-2024" </w:instrText>
      </w:r>
      <w:r>
        <w:rPr/>
        <w:fldChar w:fldCharType="separate"/>
      </w:r>
      <w:r>
        <w:rPr>
          <w:rStyle w:val="style85"/>
          <w:rFonts w:cs="Times New Roman" w:eastAsia="Times New Roman"/>
          <w:szCs w:val="24"/>
          <w:lang w:val="en-IN"/>
        </w:rPr>
        <w:t>https://www.nestle.com/media/pressreleases/allpressreleases/full-year-results-2024</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1 December 2025).</w:t>
      </w:r>
    </w:p>
    <w:p>
      <w:pPr>
        <w:pStyle w:val="style0"/>
        <w:rPr>
          <w:rFonts w:cs="Times New Roman" w:eastAsia="Times New Roman"/>
          <w:szCs w:val="24"/>
          <w:lang w:val="en-IN"/>
        </w:rPr>
      </w:pPr>
      <w:r>
        <w:rPr>
          <w:rFonts w:cs="Times New Roman" w:eastAsia="Times New Roman"/>
          <w:szCs w:val="24"/>
          <w:lang w:val="en-IN"/>
        </w:rPr>
        <w:t xml:space="preserve">New Food Magazine (2025) </w:t>
      </w:r>
      <w:r>
        <w:rPr>
          <w:rFonts w:cs="Times New Roman" w:eastAsia="Times New Roman"/>
          <w:i/>
          <w:iCs/>
          <w:szCs w:val="24"/>
          <w:lang w:val="en-IN"/>
        </w:rPr>
        <w:t>Nestlé continues to develop its operations in Chile with CHF 127 million investment</w:t>
      </w:r>
      <w:r>
        <w:rPr>
          <w:rFonts w:cs="Times New Roman" w:eastAsia="Times New Roman"/>
          <w:szCs w:val="24"/>
          <w:lang w:val="en-IN"/>
        </w:rPr>
        <w:t xml:space="preserve">, </w:t>
      </w:r>
      <w:r>
        <w:rPr>
          <w:rFonts w:cs="Times New Roman" w:eastAsia="Times New Roman"/>
          <w:i/>
          <w:iCs/>
          <w:szCs w:val="24"/>
          <w:lang w:val="en-IN"/>
        </w:rPr>
        <w:t>New Food Magazine</w:t>
      </w:r>
      <w:r>
        <w:rPr>
          <w:rFonts w:cs="Times New Roman" w:eastAsia="Times New Roman"/>
          <w:szCs w:val="24"/>
          <w:lang w:val="en-IN"/>
        </w:rPr>
        <w:t xml:space="preserve">. Available at: </w:t>
      </w:r>
      <w:r>
        <w:rPr/>
        <w:fldChar w:fldCharType="begin"/>
      </w:r>
      <w:r>
        <w:instrText xml:space="preserve"> HYPERLINK "https://www.newfoodmagazine.com/news/7415/nestle-continues-to-develop-its-operations-in-chile-with-chf-127-million-investment/" </w:instrText>
      </w:r>
      <w:r>
        <w:rPr/>
        <w:fldChar w:fldCharType="separate"/>
      </w:r>
      <w:r>
        <w:rPr>
          <w:rStyle w:val="style85"/>
          <w:rFonts w:cs="Times New Roman" w:eastAsia="Times New Roman"/>
          <w:szCs w:val="24"/>
          <w:lang w:val="en-IN"/>
        </w:rPr>
        <w:t>https://www.newfoodmagazine.com/news/7415/nestle-continues-to-develop-its-operations-in-chile-with-chf-127-million-investment/</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29 November 2025).</w:t>
      </w:r>
    </w:p>
    <w:p>
      <w:pPr>
        <w:pStyle w:val="style94"/>
        <w:spacing w:before="0" w:beforeAutospacing="false" w:after="240" w:afterAutospacing="false" w:lineRule="auto" w:line="360"/>
        <w:jc w:val="both"/>
        <w:rPr/>
      </w:pPr>
      <w:r>
        <w:t>Statista (2025a</w:t>
      </w:r>
      <w:r>
        <w:t xml:space="preserve">) </w:t>
      </w:r>
      <w:r>
        <w:rPr>
          <w:i/>
          <w:iCs/>
        </w:rPr>
        <w:t>Nestlé revenue 2024| Statista</w:t>
      </w:r>
      <w:r>
        <w:t xml:space="preserve">, </w:t>
      </w:r>
      <w:r>
        <w:rPr>
          <w:i/>
          <w:iCs/>
        </w:rPr>
        <w:t>Statista</w:t>
      </w:r>
      <w:r>
        <w:t xml:space="preserve">. Available at: </w:t>
      </w:r>
      <w:r>
        <w:rPr/>
        <w:fldChar w:fldCharType="begin"/>
      </w:r>
      <w:r>
        <w:instrText xml:space="preserve"> HYPERLINK "https://www.statista.com/statistics/268892/nestle-groups-global-sales/?srsltid=AfmBOor1RyFBsEbCxpi8-gBOhrUK9ZBYz6bcb3UXJRspnp5NhmcVeIR4" </w:instrText>
      </w:r>
      <w:r>
        <w:rPr/>
        <w:fldChar w:fldCharType="separate"/>
      </w:r>
      <w:r>
        <w:rPr>
          <w:rStyle w:val="style85"/>
        </w:rPr>
        <w:t>https://www.statista.com/statistics/268892/nestle-groups-global-sales/?srsltid=AfmBOor1RyFBsEbCxpi8-gBOhrUK9ZBYz6bcb3UXJRspnp5NhmcVeIR4</w:t>
      </w:r>
      <w:r>
        <w:rPr/>
        <w:fldChar w:fldCharType="end"/>
      </w:r>
      <w:r>
        <w:t xml:space="preserve"> </w:t>
      </w:r>
      <w:r>
        <w:t>(Accessed: 3 December 2025).</w:t>
      </w:r>
    </w:p>
    <w:p>
      <w:pPr>
        <w:pStyle w:val="style94"/>
        <w:spacing w:before="0" w:beforeAutospacing="false" w:after="240" w:afterAutospacing="false" w:lineRule="auto" w:line="360"/>
        <w:jc w:val="both"/>
        <w:rPr/>
      </w:pPr>
      <w:r>
        <w:t>Statista (2025b</w:t>
      </w:r>
      <w:r>
        <w:t xml:space="preserve">) </w:t>
      </w:r>
      <w:r>
        <w:rPr>
          <w:i/>
          <w:iCs/>
        </w:rPr>
        <w:t>Nestlé Group operating profit 2024| Statista</w:t>
      </w:r>
      <w:r>
        <w:t xml:space="preserve">, </w:t>
      </w:r>
      <w:r>
        <w:rPr>
          <w:i/>
          <w:iCs/>
        </w:rPr>
        <w:t>Statista</w:t>
      </w:r>
      <w:r>
        <w:t xml:space="preserve">. Available at: </w:t>
      </w:r>
      <w:r>
        <w:rPr/>
        <w:fldChar w:fldCharType="begin"/>
      </w:r>
      <w:r>
        <w:instrText xml:space="preserve"> HYPERLINK "https://www.statista.com/statistics/268888/ebit-of-the-nestle-group-worldwide/?srsltid=AfmBOoor_vpFa0UHBow3iI2R2SRj3ee8P9vYJVSm27HJm56QUxIvxwqL" </w:instrText>
      </w:r>
      <w:r>
        <w:rPr/>
        <w:fldChar w:fldCharType="separate"/>
      </w:r>
      <w:r>
        <w:rPr>
          <w:rStyle w:val="style85"/>
        </w:rPr>
        <w:t>https://www.statista.com/statistics/268888/ebit-of-the-nestle-group-worldwide/?srsltid=AfmBOoor_vpFa0UHBow3iI2R2SRj3ee8P9vYJVSm27HJm56QUxIvxwqL</w:t>
      </w:r>
      <w:r>
        <w:rPr/>
        <w:fldChar w:fldCharType="end"/>
      </w:r>
      <w:r>
        <w:t xml:space="preserve"> </w:t>
      </w:r>
      <w:r>
        <w:t>(Accessed: 3 December 2025).</w:t>
      </w:r>
    </w:p>
    <w:p>
      <w:pPr>
        <w:pStyle w:val="style0"/>
        <w:rPr>
          <w:rFonts w:cs="Times New Roman" w:eastAsia="Times New Roman"/>
          <w:szCs w:val="24"/>
          <w:lang w:val="en-IN"/>
        </w:rPr>
      </w:pPr>
      <w:r>
        <w:rPr>
          <w:rFonts w:cs="Times New Roman" w:eastAsia="Times New Roman"/>
          <w:szCs w:val="24"/>
          <w:lang w:val="en-IN"/>
        </w:rPr>
        <w:t xml:space="preserve">The Culture Factor (2025) </w:t>
      </w:r>
      <w:r>
        <w:rPr>
          <w:rFonts w:cs="Times New Roman" w:eastAsia="Times New Roman"/>
          <w:i/>
          <w:iCs/>
          <w:szCs w:val="24"/>
          <w:lang w:val="en-IN"/>
        </w:rPr>
        <w:t>Country comparison tool</w:t>
      </w:r>
      <w:r>
        <w:rPr>
          <w:rFonts w:cs="Times New Roman" w:eastAsia="Times New Roman"/>
          <w:szCs w:val="24"/>
          <w:lang w:val="en-IN"/>
        </w:rPr>
        <w:t xml:space="preserve">, </w:t>
      </w:r>
      <w:r>
        <w:rPr>
          <w:rFonts w:cs="Times New Roman" w:eastAsia="Times New Roman"/>
          <w:i/>
          <w:iCs/>
          <w:szCs w:val="24"/>
          <w:lang w:val="en-IN"/>
        </w:rPr>
        <w:t>Theculturefactor.com</w:t>
      </w:r>
      <w:r>
        <w:rPr>
          <w:rFonts w:cs="Times New Roman" w:eastAsia="Times New Roman"/>
          <w:szCs w:val="24"/>
          <w:lang w:val="en-IN"/>
        </w:rPr>
        <w:t xml:space="preserve">. Available at: </w:t>
      </w:r>
      <w:r>
        <w:rPr/>
        <w:fldChar w:fldCharType="begin"/>
      </w:r>
      <w:r>
        <w:instrText xml:space="preserve"> HYPERLINK "https://www.theculturefactor.com/country-comparison-tool?countries=chile%2Cswitzerland" </w:instrText>
      </w:r>
      <w:r>
        <w:rPr/>
        <w:fldChar w:fldCharType="separate"/>
      </w:r>
      <w:r>
        <w:rPr>
          <w:rStyle w:val="style85"/>
          <w:rFonts w:cs="Times New Roman" w:eastAsia="Times New Roman"/>
          <w:szCs w:val="24"/>
          <w:lang w:val="en-IN"/>
        </w:rPr>
        <w:t>https://www.theculturefactor.com/country-comparison-tool?countries=chile%2Cswitzerland</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1 December 2025).</w:t>
      </w:r>
    </w:p>
    <w:p>
      <w:pPr>
        <w:pStyle w:val="style0"/>
        <w:rPr>
          <w:rFonts w:cs="Times New Roman" w:eastAsia="Times New Roman"/>
          <w:szCs w:val="24"/>
          <w:lang w:val="en-IN"/>
        </w:rPr>
      </w:pPr>
      <w:r>
        <w:rPr>
          <w:rFonts w:cs="Times New Roman" w:eastAsia="Times New Roman"/>
          <w:szCs w:val="24"/>
          <w:lang w:val="en-IN"/>
        </w:rPr>
        <w:t xml:space="preserve">The Heritage Foundation (2023) </w:t>
      </w:r>
      <w:r>
        <w:rPr>
          <w:rFonts w:cs="Times New Roman" w:eastAsia="Times New Roman"/>
          <w:i/>
          <w:iCs/>
          <w:szCs w:val="24"/>
          <w:lang w:val="en-IN"/>
        </w:rPr>
        <w:t>Index of Economic Freedom: Chile | The Heritage Foundation</w:t>
      </w:r>
      <w:r>
        <w:rPr>
          <w:rFonts w:cs="Times New Roman" w:eastAsia="Times New Roman"/>
          <w:szCs w:val="24"/>
          <w:lang w:val="en-IN"/>
        </w:rPr>
        <w:t xml:space="preserve">, </w:t>
      </w:r>
      <w:r>
        <w:rPr>
          <w:rFonts w:cs="Times New Roman" w:eastAsia="Times New Roman"/>
          <w:i/>
          <w:iCs/>
          <w:szCs w:val="24"/>
          <w:lang w:val="en-IN"/>
        </w:rPr>
        <w:t>Index of Economic Freedom | The Heritage Foundation</w:t>
      </w:r>
      <w:r>
        <w:rPr>
          <w:rFonts w:cs="Times New Roman" w:eastAsia="Times New Roman"/>
          <w:szCs w:val="24"/>
          <w:lang w:val="en-IN"/>
        </w:rPr>
        <w:t xml:space="preserve">. Available at: </w:t>
      </w:r>
      <w:r>
        <w:rPr/>
        <w:fldChar w:fldCharType="begin"/>
      </w:r>
      <w:r>
        <w:instrText xml:space="preserve"> HYPERLINK "https://www.heritage.org/index/pages/country-pages/chile" </w:instrText>
      </w:r>
      <w:r>
        <w:rPr/>
        <w:fldChar w:fldCharType="separate"/>
      </w:r>
      <w:r>
        <w:rPr>
          <w:rStyle w:val="style85"/>
          <w:rFonts w:cs="Times New Roman" w:eastAsia="Times New Roman"/>
          <w:szCs w:val="24"/>
          <w:lang w:val="en-IN"/>
        </w:rPr>
        <w:t>https://www.heritage.org/index/pages/country-pages/chile</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28 November 2025).</w:t>
      </w:r>
    </w:p>
    <w:p>
      <w:pPr>
        <w:pStyle w:val="style0"/>
        <w:rPr>
          <w:rFonts w:cs="Times New Roman" w:eastAsia="Times New Roman"/>
          <w:szCs w:val="24"/>
          <w:lang w:val="en-IN"/>
        </w:rPr>
      </w:pPr>
      <w:r>
        <w:rPr>
          <w:rFonts w:cs="Times New Roman" w:eastAsia="Times New Roman"/>
          <w:szCs w:val="24"/>
          <w:lang w:val="en-IN"/>
        </w:rPr>
        <w:t xml:space="preserve">Williams, P., Escalas, J.E. and Morningstar, A. (2022) ‘Conceptualizing Brand Purpose and considering Its Implications for Consumer Eudaimonic Well‐being’, </w:t>
      </w:r>
      <w:r>
        <w:rPr>
          <w:rFonts w:cs="Times New Roman" w:eastAsia="Times New Roman"/>
          <w:i/>
          <w:iCs/>
          <w:szCs w:val="24"/>
          <w:lang w:val="en-IN"/>
        </w:rPr>
        <w:t>Journal of Consumer Psychology</w:t>
      </w:r>
      <w:r>
        <w:rPr>
          <w:rFonts w:cs="Times New Roman" w:eastAsia="Times New Roman"/>
          <w:szCs w:val="24"/>
          <w:lang w:val="en-IN"/>
        </w:rPr>
        <w:t xml:space="preserve">, 32(4), pp. 699–723. Available at: </w:t>
      </w:r>
      <w:r>
        <w:rPr/>
        <w:fldChar w:fldCharType="begin"/>
      </w:r>
      <w:r>
        <w:instrText xml:space="preserve"> HYPERLINK "https://doi.org/10.1002/jcpy.1324" </w:instrText>
      </w:r>
      <w:r>
        <w:rPr/>
        <w:fldChar w:fldCharType="separate"/>
      </w:r>
      <w:r>
        <w:rPr>
          <w:rStyle w:val="style85"/>
          <w:rFonts w:cs="Times New Roman" w:eastAsia="Times New Roman"/>
          <w:szCs w:val="24"/>
          <w:lang w:val="en-IN"/>
        </w:rPr>
        <w:t>https://doi.org/10.1002/jcpy.1324</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World Bank (2024a) </w:t>
      </w:r>
      <w:r>
        <w:rPr>
          <w:rFonts w:cs="Times New Roman" w:eastAsia="Times New Roman"/>
          <w:i/>
          <w:iCs/>
          <w:szCs w:val="24"/>
          <w:lang w:val="en-IN"/>
        </w:rPr>
        <w:t>Chile | Data</w:t>
      </w:r>
      <w:r>
        <w:rPr>
          <w:rFonts w:cs="Times New Roman" w:eastAsia="Times New Roman"/>
          <w:szCs w:val="24"/>
          <w:lang w:val="en-IN"/>
        </w:rPr>
        <w:t xml:space="preserve">, </w:t>
      </w:r>
      <w:r>
        <w:rPr>
          <w:rFonts w:cs="Times New Roman" w:eastAsia="Times New Roman"/>
          <w:i/>
          <w:iCs/>
          <w:szCs w:val="24"/>
          <w:lang w:val="en-IN"/>
        </w:rPr>
        <w:t>Worldbank.org</w:t>
      </w:r>
      <w:r>
        <w:rPr>
          <w:rFonts w:cs="Times New Roman" w:eastAsia="Times New Roman"/>
          <w:szCs w:val="24"/>
          <w:lang w:val="en-IN"/>
        </w:rPr>
        <w:t xml:space="preserve">. Available at: </w:t>
      </w:r>
      <w:r>
        <w:rPr/>
        <w:fldChar w:fldCharType="begin"/>
      </w:r>
      <w:r>
        <w:instrText xml:space="preserve"> HYPERLINK "https://data.worldbank.org/country/chile" </w:instrText>
      </w:r>
      <w:r>
        <w:rPr/>
        <w:fldChar w:fldCharType="separate"/>
      </w:r>
      <w:r>
        <w:rPr>
          <w:rStyle w:val="style85"/>
          <w:rFonts w:cs="Times New Roman" w:eastAsia="Times New Roman"/>
          <w:szCs w:val="24"/>
          <w:lang w:val="en-IN"/>
        </w:rPr>
        <w:t>https://data.worldbank.org/country/chile</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29 November 2025).</w:t>
      </w:r>
    </w:p>
    <w:p>
      <w:pPr>
        <w:pStyle w:val="style0"/>
        <w:rPr>
          <w:rFonts w:cs="Times New Roman" w:eastAsia="Times New Roman"/>
          <w:szCs w:val="24"/>
          <w:lang w:val="en-IN"/>
        </w:rPr>
      </w:pPr>
      <w:r>
        <w:rPr>
          <w:rFonts w:cs="Times New Roman" w:eastAsia="Times New Roman"/>
          <w:szCs w:val="24"/>
          <w:lang w:val="en-IN"/>
        </w:rPr>
        <w:t xml:space="preserve">World Bank (2024b) </w:t>
      </w:r>
      <w:r>
        <w:rPr>
          <w:rFonts w:cs="Times New Roman" w:eastAsia="Times New Roman"/>
          <w:i/>
          <w:iCs/>
          <w:szCs w:val="24"/>
          <w:lang w:val="en-IN"/>
        </w:rPr>
        <w:t>Population, total - Chile</w:t>
      </w:r>
      <w:r>
        <w:rPr>
          <w:rFonts w:cs="Times New Roman" w:eastAsia="Times New Roman"/>
          <w:szCs w:val="24"/>
          <w:lang w:val="en-IN"/>
        </w:rPr>
        <w:t xml:space="preserve">. Available at: </w:t>
      </w:r>
      <w:r>
        <w:rPr/>
        <w:fldChar w:fldCharType="begin"/>
      </w:r>
      <w:r>
        <w:instrText xml:space="preserve"> HYPERLINK "https://data.worldbank.org/indicator/SP.POP.TOTL?end=2024&amp;locations=CL&amp;start=2024&amp;view=map" </w:instrText>
      </w:r>
      <w:r>
        <w:rPr/>
        <w:fldChar w:fldCharType="separate"/>
      </w:r>
      <w:r>
        <w:rPr>
          <w:rStyle w:val="style85"/>
          <w:rFonts w:cs="Times New Roman" w:eastAsia="Times New Roman"/>
          <w:szCs w:val="24"/>
          <w:lang w:val="en-IN"/>
        </w:rPr>
        <w:t>https://data.worldbank.org/indicator/SP.POP.TOTL?end=2024&amp;locations=CL&amp;start=2024&amp;view=map</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1 December 2025).</w:t>
      </w:r>
    </w:p>
    <w:p>
      <w:pPr>
        <w:pStyle w:val="style0"/>
        <w:rPr>
          <w:rFonts w:cs="Times New Roman" w:eastAsia="Times New Roman"/>
          <w:szCs w:val="24"/>
          <w:lang w:val="en-IN"/>
        </w:rPr>
      </w:pPr>
      <w:r>
        <w:rPr>
          <w:rFonts w:cs="Times New Roman" w:eastAsia="Times New Roman"/>
          <w:szCs w:val="24"/>
          <w:lang w:val="en-IN"/>
        </w:rPr>
        <w:t xml:space="preserve">World Justice Project (2023) </w:t>
      </w:r>
      <w:r>
        <w:rPr>
          <w:rFonts w:cs="Times New Roman" w:eastAsia="Times New Roman"/>
          <w:i/>
          <w:iCs/>
          <w:szCs w:val="24"/>
          <w:lang w:val="en-IN"/>
        </w:rPr>
        <w:t>Chile Ranks 33rd out of 142 in Rule of Law Index</w:t>
      </w:r>
      <w:r>
        <w:rPr>
          <w:rFonts w:cs="Times New Roman" w:eastAsia="Times New Roman"/>
          <w:szCs w:val="24"/>
          <w:lang w:val="en-IN"/>
        </w:rPr>
        <w:t xml:space="preserve">. Available at: </w:t>
      </w:r>
      <w:r>
        <w:rPr/>
        <w:fldChar w:fldCharType="begin"/>
      </w:r>
      <w:r>
        <w:instrText xml:space="preserve"> HYPERLINK "https://worldjusticeproject.org/sites/default/files/documents/Chile_1.pdf" </w:instrText>
      </w:r>
      <w:r>
        <w:rPr/>
        <w:fldChar w:fldCharType="separate"/>
      </w:r>
      <w:r>
        <w:rPr>
          <w:rStyle w:val="style85"/>
          <w:rFonts w:cs="Times New Roman" w:eastAsia="Times New Roman"/>
          <w:szCs w:val="24"/>
          <w:lang w:val="en-IN"/>
        </w:rPr>
        <w:t>https://worldjusticeproject.org/sites/default/files/documents/Chile_1.pdf</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1 December 2025).</w:t>
      </w:r>
    </w:p>
    <w:p>
      <w:pPr>
        <w:pStyle w:val="style0"/>
        <w:rPr>
          <w:rFonts w:cs="Times New Roman" w:eastAsia="Times New Roman"/>
          <w:szCs w:val="24"/>
          <w:lang w:val="en-IN"/>
        </w:rPr>
      </w:pPr>
      <w:r>
        <w:rPr>
          <w:rFonts w:cs="Times New Roman" w:eastAsia="Times New Roman"/>
          <w:szCs w:val="24"/>
          <w:lang w:val="en-IN"/>
        </w:rPr>
        <w:t xml:space="preserve">World Justice Project (2024) </w:t>
      </w:r>
      <w:r>
        <w:rPr>
          <w:rFonts w:cs="Times New Roman" w:eastAsia="Times New Roman"/>
          <w:i/>
          <w:iCs/>
          <w:szCs w:val="24"/>
          <w:lang w:val="en-IN"/>
        </w:rPr>
        <w:t>WJP Rule of Law Index</w:t>
      </w:r>
      <w:r>
        <w:rPr>
          <w:rFonts w:cs="Times New Roman" w:eastAsia="Times New Roman"/>
          <w:szCs w:val="24"/>
          <w:lang w:val="en-IN"/>
        </w:rPr>
        <w:t xml:space="preserve">, </w:t>
      </w:r>
      <w:r>
        <w:rPr>
          <w:rFonts w:cs="Times New Roman" w:eastAsia="Times New Roman"/>
          <w:i/>
          <w:iCs/>
          <w:szCs w:val="24"/>
          <w:lang w:val="en-IN"/>
        </w:rPr>
        <w:t>World Justice Project</w:t>
      </w:r>
      <w:r>
        <w:rPr>
          <w:rFonts w:cs="Times New Roman" w:eastAsia="Times New Roman"/>
          <w:szCs w:val="24"/>
          <w:lang w:val="en-IN"/>
        </w:rPr>
        <w:t xml:space="preserve">. Available at: </w:t>
      </w:r>
      <w:r>
        <w:rPr/>
        <w:fldChar w:fldCharType="begin"/>
      </w:r>
      <w:r>
        <w:instrText xml:space="preserve"> HYPERLINK "https://worldjusticeproject.org/rule-of-law-index/global" </w:instrText>
      </w:r>
      <w:r>
        <w:rPr/>
        <w:fldChar w:fldCharType="separate"/>
      </w:r>
      <w:r>
        <w:rPr>
          <w:rStyle w:val="style85"/>
          <w:rFonts w:cs="Times New Roman" w:eastAsia="Times New Roman"/>
          <w:szCs w:val="24"/>
          <w:lang w:val="en-IN"/>
        </w:rPr>
        <w:t>https://worldjusticeproject.org/rule-of-law-index/global</w:t>
      </w:r>
      <w:r>
        <w:rPr/>
        <w:fldChar w:fldCharType="end"/>
      </w:r>
      <w:r>
        <w:rPr>
          <w:rFonts w:cs="Times New Roman" w:eastAsia="Times New Roman"/>
          <w:szCs w:val="24"/>
          <w:lang w:val="en-IN"/>
        </w:rPr>
        <w:t xml:space="preserve"> </w:t>
      </w:r>
      <w:r>
        <w:rPr>
          <w:rFonts w:cs="Times New Roman" w:eastAsia="Times New Roman"/>
          <w:szCs w:val="24"/>
          <w:lang w:val="en-IN"/>
        </w:rPr>
        <w:t xml:space="preserve"> (Accessed: 27 November 2025).</w:t>
      </w:r>
    </w:p>
    <w:p>
      <w:pPr>
        <w:pStyle w:val="style0"/>
        <w:rPr>
          <w:rFonts w:cs="Times New Roman" w:eastAsia="Times New Roman"/>
          <w:szCs w:val="24"/>
          <w:lang w:val="en-IN"/>
        </w:rPr>
      </w:pPr>
      <w:r>
        <w:rPr>
          <w:rFonts w:cs="Times New Roman" w:eastAsia="Times New Roman"/>
          <w:szCs w:val="24"/>
          <w:lang w:val="en-IN"/>
        </w:rPr>
        <w:t xml:space="preserve">Xi, D., Zhou, J., Xu, W. and Tang, L. (2024) ‘Discrete Emotion Synchronicity and Video Engagement on Social Media: A Moment-to-Moment Analysis’, </w:t>
      </w:r>
      <w:r>
        <w:rPr>
          <w:rFonts w:cs="Times New Roman" w:eastAsia="Times New Roman"/>
          <w:i/>
          <w:iCs/>
          <w:szCs w:val="24"/>
          <w:lang w:val="en-IN"/>
        </w:rPr>
        <w:t>International journal of electronic commerce</w:t>
      </w:r>
      <w:r>
        <w:rPr>
          <w:rFonts w:cs="Times New Roman" w:eastAsia="Times New Roman"/>
          <w:szCs w:val="24"/>
          <w:lang w:val="en-IN"/>
        </w:rPr>
        <w:t xml:space="preserve">, 28(1), pp. 108–144. Available at: </w:t>
      </w:r>
      <w:r>
        <w:rPr/>
        <w:fldChar w:fldCharType="begin"/>
      </w:r>
      <w:r>
        <w:instrText xml:space="preserve"> HYPERLINK "https://doi.org/10.1080/10864415.2023.2295072" </w:instrText>
      </w:r>
      <w:r>
        <w:rPr/>
        <w:fldChar w:fldCharType="separate"/>
      </w:r>
      <w:r>
        <w:rPr>
          <w:rStyle w:val="style85"/>
          <w:rFonts w:cs="Times New Roman" w:eastAsia="Times New Roman"/>
          <w:szCs w:val="24"/>
          <w:lang w:val="en-IN"/>
        </w:rPr>
        <w:t>https://doi.org/10.1080/10864415.2023.2295072</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IN"/>
        </w:rPr>
      </w:pPr>
      <w:r>
        <w:rPr>
          <w:rFonts w:cs="Times New Roman" w:eastAsia="Times New Roman"/>
          <w:szCs w:val="24"/>
          <w:lang w:val="en-IN"/>
        </w:rPr>
        <w:t xml:space="preserve">Zhao, J. (2025) </w:t>
      </w:r>
      <w:r>
        <w:rPr>
          <w:rFonts w:cs="Times New Roman" w:eastAsia="Times New Roman"/>
          <w:i/>
          <w:iCs/>
          <w:szCs w:val="24"/>
          <w:lang w:val="en-IN"/>
        </w:rPr>
        <w:t>Impacts of global value chains on foreign direct investment (The case of Asian developing countries)</w:t>
      </w:r>
      <w:r>
        <w:rPr>
          <w:rFonts w:cs="Times New Roman" w:eastAsia="Times New Roman"/>
          <w:szCs w:val="24"/>
          <w:lang w:val="en-IN"/>
        </w:rPr>
        <w:t xml:space="preserve">. Available at: </w:t>
      </w:r>
      <w:r>
        <w:rPr/>
        <w:fldChar w:fldCharType="begin"/>
      </w:r>
      <w:r>
        <w:instrText xml:space="preserve"> HYPERLINK "http://www.accessecon.com/Pubs/EB/2021/Volume41/EB-21-V41-I3-P96.pdf" </w:instrText>
      </w:r>
      <w:r>
        <w:rPr/>
        <w:fldChar w:fldCharType="separate"/>
      </w:r>
      <w:r>
        <w:rPr>
          <w:rStyle w:val="style85"/>
          <w:rFonts w:cs="Times New Roman" w:eastAsia="Times New Roman"/>
          <w:szCs w:val="24"/>
          <w:lang w:val="en-IN"/>
        </w:rPr>
        <w:t>http://www.accessecon.com/Pubs/EB/2021/Volume41/EB-21-V41-I3-P96.pdf</w:t>
      </w:r>
      <w:r>
        <w:rPr/>
        <w:fldChar w:fldCharType="end"/>
      </w:r>
      <w:r>
        <w:rPr>
          <w:rFonts w:cs="Times New Roman" w:eastAsia="Times New Roman"/>
          <w:szCs w:val="24"/>
          <w:lang w:val="en-IN"/>
        </w:rPr>
        <w:t>.</w:t>
      </w:r>
      <w:r>
        <w:rPr>
          <w:rFonts w:cs="Times New Roman" w:eastAsia="Times New Roman"/>
          <w:szCs w:val="24"/>
          <w:lang w:val="en-IN"/>
        </w:rPr>
        <w:t xml:space="preserve"> </w:t>
      </w:r>
    </w:p>
    <w:p>
      <w:pPr>
        <w:pStyle w:val="style0"/>
        <w:rPr>
          <w:rFonts w:cs="Times New Roman" w:eastAsia="Times New Roman"/>
          <w:szCs w:val="24"/>
          <w:lang w:val="en-GB"/>
        </w:rPr>
      </w:pPr>
    </w:p>
    <w:sectPr>
      <w:footerReference w:type="default" r:id="rId12"/>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3</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0A2B2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hideSpellingErrors/>
  <w:hideGrammaticalError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IN"/>
      </w:rPr>
    </w:rPrDefault>
    <w:pPrDefault>
      <w:pPr>
        <w:spacing w:lineRule="auto" w:line="276"/>
      </w:pPr>
    </w:pPrDefault>
  </w:docDefaults>
  <w:style w:type="paragraph" w:default="1" w:styleId="style0">
    <w:name w:val="Normal"/>
    <w:next w:val="style0"/>
    <w:qFormat/>
    <w:pPr>
      <w:spacing w:before="120" w:after="120" w:lineRule="auto" w:line="360"/>
      <w:jc w:val="both"/>
    </w:pPr>
    <w:rPr>
      <w:rFonts w:ascii="Times New Roman" w:hAnsi="Times New Roman"/>
      <w:sz w:val="24"/>
    </w:rPr>
  </w:style>
  <w:style w:type="paragraph" w:styleId="style1">
    <w:name w:val="heading 1"/>
    <w:basedOn w:val="style0"/>
    <w:next w:val="style0"/>
    <w:qFormat/>
    <w:uiPriority w:val="9"/>
    <w:pPr>
      <w:keepNext/>
      <w:keepLines/>
      <w:outlineLvl w:val="0"/>
    </w:pPr>
    <w:rPr>
      <w:rFonts w:cs="Times New Roman" w:eastAsia="Times New Roman"/>
      <w:b/>
      <w:bCs/>
      <w:sz w:val="28"/>
      <w:szCs w:val="28"/>
    </w:rPr>
  </w:style>
  <w:style w:type="paragraph" w:styleId="style2">
    <w:name w:val="heading 2"/>
    <w:basedOn w:val="style0"/>
    <w:next w:val="style0"/>
    <w:qFormat/>
    <w:uiPriority w:val="9"/>
    <w:pPr>
      <w:keepNext/>
      <w:keepLines/>
      <w:outlineLvl w:val="1"/>
    </w:pPr>
    <w:rPr>
      <w:rFonts w:cs="Times New Roman" w:eastAsia="Times New Roman"/>
      <w:b/>
      <w:bCs/>
      <w:szCs w:val="24"/>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31">
    <w:name w:val="header"/>
    <w:basedOn w:val="style0"/>
    <w:next w:val="style31"/>
    <w:link w:val="style4098"/>
    <w:uiPriority w:val="99"/>
    <w:pPr>
      <w:tabs>
        <w:tab w:val="center" w:leader="none" w:pos="4513"/>
        <w:tab w:val="right" w:leader="none" w:pos="9026"/>
      </w:tabs>
      <w:spacing w:lineRule="auto" w:line="240"/>
    </w:pPr>
    <w:rPr/>
  </w:style>
  <w:style w:type="character" w:customStyle="1" w:styleId="style4098">
    <w:name w:val="Header Char_52bd6c00-6106-4722-8c86-2652c24665c2"/>
    <w:basedOn w:val="style65"/>
    <w:next w:val="style4098"/>
    <w:link w:val="style31"/>
    <w:uiPriority w:val="99"/>
  </w:style>
  <w:style w:type="paragraph" w:styleId="style32">
    <w:name w:val="footer"/>
    <w:basedOn w:val="style0"/>
    <w:next w:val="style32"/>
    <w:link w:val="style4099"/>
    <w:uiPriority w:val="99"/>
    <w:pPr>
      <w:tabs>
        <w:tab w:val="center" w:leader="none" w:pos="4513"/>
        <w:tab w:val="right" w:leader="none" w:pos="9026"/>
      </w:tabs>
      <w:spacing w:lineRule="auto" w:line="240"/>
    </w:pPr>
    <w:rPr/>
  </w:style>
  <w:style w:type="character" w:customStyle="1" w:styleId="style4099">
    <w:name w:val="Footer Char_aa237c87-cdf8-4b4d-af23-aaaf6701e8e2"/>
    <w:basedOn w:val="style65"/>
    <w:next w:val="style4099"/>
    <w:link w:val="style32"/>
    <w:uiPriority w:val="99"/>
  </w:style>
  <w:style w:type="paragraph" w:styleId="style179">
    <w:name w:val="List Paragraph"/>
    <w:basedOn w:val="style0"/>
    <w:next w:val="style179"/>
    <w:qFormat/>
    <w:uiPriority w:val="34"/>
    <w:pPr>
      <w:ind w:left="720"/>
      <w:contextualSpacing/>
    </w:pPr>
    <w:rPr/>
  </w:style>
  <w:style w:type="character" w:styleId="style85">
    <w:name w:val="Hyperlink"/>
    <w:basedOn w:val="style65"/>
    <w:next w:val="style85"/>
    <w:uiPriority w:val="99"/>
    <w:rPr>
      <w:color w:val="0000ff"/>
      <w:u w:val="single"/>
    </w:rPr>
  </w:style>
  <w:style w:type="character" w:customStyle="1" w:styleId="style4100">
    <w:name w:val="Unresolved Mention"/>
    <w:basedOn w:val="style65"/>
    <w:next w:val="style4100"/>
    <w:uiPriority w:val="99"/>
    <w:rPr>
      <w:color w:val="605e5c"/>
      <w:shd w:val="clear" w:color="auto" w:fill="e1dfdd"/>
    </w:rPr>
  </w:style>
  <w:style w:type="paragraph" w:styleId="style266">
    <w:name w:val="TOC Heading"/>
    <w:basedOn w:val="style1"/>
    <w:next w:val="style0"/>
    <w:qFormat/>
    <w:uiPriority w:val="39"/>
    <w:pPr>
      <w:spacing w:before="240" w:lineRule="auto" w:line="259"/>
      <w:outlineLvl w:val="9"/>
    </w:pPr>
    <w:rPr>
      <w:rFonts w:ascii="Calibri" w:cs="宋体" w:eastAsia="宋体" w:hAnsi="Calibri"/>
      <w:b w:val="false"/>
      <w:bCs w:val="false"/>
      <w:color w:val="365f91"/>
      <w:sz w:val="32"/>
      <w:szCs w:val="32"/>
      <w:lang w:val="en-US" w:eastAsia="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94">
    <w:name w:val="Normal (Web)"/>
    <w:basedOn w:val="style0"/>
    <w:next w:val="style94"/>
    <w:uiPriority w:val="99"/>
    <w:pPr>
      <w:spacing w:before="100" w:beforeAutospacing="true" w:after="100" w:afterAutospacing="true" w:lineRule="auto" w:line="240"/>
      <w:jc w:val="left"/>
    </w:pPr>
    <w:rPr>
      <w:rFonts w:cs="Times New Roman" w:eastAsia="Times New Roman"/>
      <w:szCs w:val="24"/>
      <w:lang w:val="en-GB" w:eastAsia="en-GB"/>
    </w:rPr>
  </w:style>
</w:styles>
</file>

<file path=word/_rels/document.xml.rels><?xml version="1.0" encoding="UTF-8"?>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styles" Target="styles.xml"/><Relationship Id="rId12"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settings" Target="settings.xml"/><Relationship Id="rId14"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theme" Target="theme/theme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393A0-ECAD-4BBA-B5A0-D7666D033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Words>6261</Words>
  <Pages>26</Pages>
  <Characters>38463</Characters>
  <Application>WPS Office</Application>
  <DocSecurity>0</DocSecurity>
  <Paragraphs>186</Paragraphs>
  <ScaleCrop>false</ScaleCrop>
  <LinksUpToDate>false</LinksUpToDate>
  <CharactersWithSpaces>44601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2025-12-03T08:58:00Z</dcterms:created>
  <dc:creator>WPS Office</dc:creator>
  <lastModifiedBy>2411DRN47I</lastModifiedBy>
  <dcterms:modified xsi:type="dcterms:W3CDTF">2025-12-10T14:42:19Z</dcterms:modified>
  <revision>119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f555bd00-9d9d-403d-b2b9-c33cbe6072db</vt:lpwstr>
  </property>
  <property fmtid="{D5CDD505-2E9C-101B-9397-08002B2CF9AE}" pid="3" name="ICV">
    <vt:lpwstr>a19c763d7ba643afbf3e8003dc74dddf</vt:lpwstr>
  </property>
</Properties>
</file>