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C6EB3" w:rsidRDefault="00FC6EB3" w:rsidP="00FC6EB3">
      <w:pPr>
        <w:jc w:val="center"/>
        <w:rPr>
          <w:u w:val="single"/>
        </w:rPr>
      </w:pPr>
      <w:r>
        <w:rPr>
          <w:u w:val="single"/>
        </w:rPr>
        <w:t>Dissertation Outline</w:t>
      </w:r>
    </w:p>
    <w:p w:rsidR="002504D1" w:rsidRDefault="002504D1" w:rsidP="00FC6EB3">
      <w:pPr>
        <w:jc w:val="center"/>
        <w:rPr>
          <w:u w:val="single"/>
        </w:rPr>
      </w:pPr>
    </w:p>
    <w:p w:rsidR="002504D1" w:rsidRDefault="002504D1" w:rsidP="00FC6EB3">
      <w:pPr>
        <w:jc w:val="center"/>
        <w:rPr>
          <w:u w:val="single"/>
        </w:rPr>
      </w:pPr>
    </w:p>
    <w:p w:rsidR="002504D1" w:rsidRDefault="002504D1" w:rsidP="002504D1">
      <w:pPr>
        <w:rPr>
          <w:u w:val="single"/>
        </w:rPr>
      </w:pPr>
      <w:r>
        <w:rPr>
          <w:u w:val="single"/>
        </w:rPr>
        <w:t>Topic Summary</w:t>
      </w:r>
    </w:p>
    <w:p w:rsidR="002504D1" w:rsidRDefault="002504D1" w:rsidP="002504D1">
      <w:r>
        <w:t xml:space="preserve">The dissertation title is, </w:t>
      </w:r>
      <w:r w:rsidR="00E22FC3">
        <w:t>‘</w:t>
      </w:r>
      <w:r>
        <w:t>cultural memory controls the narrative of modern American media representations of the War of Independence</w:t>
      </w:r>
      <w:r w:rsidR="00E22FC3">
        <w:t>’</w:t>
      </w:r>
      <w:r>
        <w:t xml:space="preserve">. The purpose of this dissertation is to seek a link between the cultural memory in the United States concerning the War of Independence, and modern forms of media concerning this topic. </w:t>
      </w:r>
      <w:r w:rsidR="00E22FC3">
        <w:t xml:space="preserve">This will involve making an examination of three parts. The first part of the examination will be to assess exactly what the American cultural memory is. How do the people of the United States consider the American Revolution? What ideals and/or opinions do people attach to this event? </w:t>
      </w:r>
      <w:r w:rsidR="00086568">
        <w:t>The second part of the examination will be an assessment of exactly what the narrative is concerning the War of Independence</w:t>
      </w:r>
      <w:r w:rsidR="00680844">
        <w:t xml:space="preserve">. What story is expected concerning the War of Independence? The third part of the examination will be of modern forms of media representations. </w:t>
      </w:r>
      <w:r w:rsidR="00B31520">
        <w:t xml:space="preserve">Different forms of media will be examined to assess if they prove or disprove the points that were made previously. After these various examinations have been completed, a conclusion will be made as to if cultural memory does have any kind of effect on modern media representations of the War of Independence. </w:t>
      </w:r>
    </w:p>
    <w:p w:rsidR="00B31520" w:rsidRDefault="00B31520" w:rsidP="002504D1"/>
    <w:p w:rsidR="00B31520" w:rsidRDefault="00B31520" w:rsidP="002504D1">
      <w:pPr>
        <w:rPr>
          <w:u w:val="single"/>
        </w:rPr>
      </w:pPr>
      <w:r>
        <w:rPr>
          <w:u w:val="single"/>
        </w:rPr>
        <w:t xml:space="preserve">How the Topic has been Narrowed </w:t>
      </w:r>
    </w:p>
    <w:p w:rsidR="00B31520" w:rsidRDefault="00A51611" w:rsidP="002504D1">
      <w:r>
        <w:t xml:space="preserve">The subject of this dissertation has been narrowed considerably since the research was started. </w:t>
      </w:r>
      <w:r w:rsidR="005E6196">
        <w:t xml:space="preserve">Originally this dissertation was going to be an examination of historical work </w:t>
      </w:r>
      <w:r w:rsidR="00C170E6">
        <w:t xml:space="preserve">and media representations </w:t>
      </w:r>
      <w:r w:rsidR="005E6196">
        <w:t xml:space="preserve">relating to the War of Independence. </w:t>
      </w:r>
      <w:r w:rsidR="00C170E6">
        <w:t xml:space="preserve">It soon became clear that this was too wide of a field to properly study. An examination of this topic could not be properly studied within the confines of a </w:t>
      </w:r>
      <w:proofErr w:type="gramStart"/>
      <w:r w:rsidR="00C170E6">
        <w:t>ten thousand word</w:t>
      </w:r>
      <w:proofErr w:type="gramEnd"/>
      <w:r w:rsidR="00C170E6">
        <w:t xml:space="preserve"> dissertation. Upon consultation with the dissertation supervisor, the decision was made to narrow the focus of the study to just media representations. However, after some research it became clear that this might also be too wide of an area to properly examine. </w:t>
      </w:r>
      <w:r w:rsidR="000942E0">
        <w:t xml:space="preserve">The timeframe of media sources to be examined in this dissertation was narrowed to just </w:t>
      </w:r>
      <w:r w:rsidR="00CD16CA">
        <w:t xml:space="preserve">representations since the beginning of the twentieth century. However, even within this more restricted </w:t>
      </w:r>
      <w:proofErr w:type="gramStart"/>
      <w:r w:rsidR="00CD16CA">
        <w:t>time period</w:t>
      </w:r>
      <w:proofErr w:type="gramEnd"/>
      <w:r w:rsidR="00CD16CA">
        <w:t xml:space="preserve">, the available media representations to be examined was still too big. Many useful sources would have to be left out of the dissertation. The sources that could be examined would not be covered in enough detail to properly analyse them. </w:t>
      </w:r>
      <w:r w:rsidR="00D03C54">
        <w:t>It also became clear that there was a great deal of information available on the topic of cultural memory in the</w:t>
      </w:r>
      <w:r w:rsidR="00915325">
        <w:t xml:space="preserve"> United States. The </w:t>
      </w:r>
      <w:r w:rsidR="00915325">
        <w:lastRenderedPageBreak/>
        <w:t xml:space="preserve">cultural memory of the United States impacts heavily upon the focus of this dissertation. </w:t>
      </w:r>
      <w:proofErr w:type="gramStart"/>
      <w:r w:rsidR="00915325">
        <w:t>Taking into account</w:t>
      </w:r>
      <w:proofErr w:type="gramEnd"/>
      <w:r w:rsidR="00915325">
        <w:t xml:space="preserve"> the inclusion of cultural memory as a topic for this dissertation, and a narrowed focus of sources, the current working title of this dissertation has been changed. The dissertation title is ‘cultural memory controls the narrative of modern American media representations of the War of Independence’.</w:t>
      </w:r>
    </w:p>
    <w:p w:rsidR="00ED73EB" w:rsidRDefault="00ED73EB" w:rsidP="002504D1"/>
    <w:p w:rsidR="00ED73EB" w:rsidRDefault="00ED73EB" w:rsidP="002504D1">
      <w:pPr>
        <w:rPr>
          <w:u w:val="single"/>
        </w:rPr>
      </w:pPr>
      <w:r>
        <w:rPr>
          <w:u w:val="single"/>
        </w:rPr>
        <w:t>Media Sources</w:t>
      </w:r>
    </w:p>
    <w:p w:rsidR="00BB5DB9" w:rsidRDefault="00962C48" w:rsidP="002504D1">
      <w:r>
        <w:t xml:space="preserve">The decision was made to place two limitations upon the choice of media representations for this dissertation. The first limitation was to make them only modern forms of media, only sources made in the last seventeen years. </w:t>
      </w:r>
      <w:r w:rsidR="00110630">
        <w:t xml:space="preserve">The second limitation was to make the sources American in origin. The first limitation was necessary </w:t>
      </w:r>
      <w:proofErr w:type="gramStart"/>
      <w:r w:rsidR="00110630">
        <w:t>in order to</w:t>
      </w:r>
      <w:proofErr w:type="gramEnd"/>
      <w:r w:rsidR="00110630">
        <w:t xml:space="preserve"> allow for a detailed examination of enough media sources, the second in order to satisfy the cultural memory requirements. </w:t>
      </w:r>
    </w:p>
    <w:p w:rsidR="00666615" w:rsidRDefault="00666615" w:rsidP="002504D1">
      <w:r>
        <w:t xml:space="preserve">Three media sources will be used in this dissertation, with a possible fourth added depending on the word count. The first source that will be examined is the movie </w:t>
      </w:r>
      <w:r>
        <w:rPr>
          <w:i/>
        </w:rPr>
        <w:t>The Patriot</w:t>
      </w:r>
      <w:r>
        <w:t>.</w:t>
      </w:r>
      <w:r>
        <w:rPr>
          <w:rStyle w:val="FootnoteReference"/>
        </w:rPr>
        <w:footnoteReference w:id="1"/>
      </w:r>
      <w:r>
        <w:t xml:space="preserve"> This source was released in the year 2000 and will be an extremely valuable source for this dissertation. The second source that will be examined is the video game </w:t>
      </w:r>
      <w:r>
        <w:rPr>
          <w:i/>
        </w:rPr>
        <w:t>Assassin’s Creed 2</w:t>
      </w:r>
      <w:r>
        <w:t>.</w:t>
      </w:r>
      <w:r>
        <w:rPr>
          <w:rStyle w:val="FootnoteReference"/>
        </w:rPr>
        <w:footnoteReference w:id="2"/>
      </w:r>
      <w:r>
        <w:t xml:space="preserve"> As a video game, this interactive source will provide a completely different point of comparison when compared to a standard media source. </w:t>
      </w:r>
      <w:r w:rsidR="00D02FBA">
        <w:t xml:space="preserve">The third source that will be examined is the </w:t>
      </w:r>
      <w:r w:rsidR="003D72E6">
        <w:t xml:space="preserve">dissertation is the television series </w:t>
      </w:r>
      <w:r w:rsidR="003D72E6">
        <w:rPr>
          <w:i/>
        </w:rPr>
        <w:t>Turn: Washington’s Spies</w:t>
      </w:r>
      <w:r w:rsidR="003D72E6">
        <w:t>.</w:t>
      </w:r>
      <w:r w:rsidR="003D72E6">
        <w:rPr>
          <w:rStyle w:val="FootnoteReference"/>
        </w:rPr>
        <w:footnoteReference w:id="3"/>
      </w:r>
      <w:r w:rsidR="003D72E6">
        <w:t xml:space="preserve"> While this type of source is very similar to </w:t>
      </w:r>
      <w:r w:rsidR="003D72E6">
        <w:rPr>
          <w:i/>
        </w:rPr>
        <w:t>The Patriot</w:t>
      </w:r>
      <w:r w:rsidR="003D72E6">
        <w:t xml:space="preserve">, the actual content of the source is different. </w:t>
      </w:r>
      <w:r w:rsidR="003D72E6">
        <w:rPr>
          <w:i/>
        </w:rPr>
        <w:t xml:space="preserve">The Patriot </w:t>
      </w:r>
      <w:r w:rsidR="003D72E6">
        <w:t xml:space="preserve">storyline concerns the events during the War of Independence in the southern theatre of the conflict. While the events in the television series </w:t>
      </w:r>
      <w:r w:rsidR="003D72E6">
        <w:rPr>
          <w:i/>
        </w:rPr>
        <w:t xml:space="preserve">Turn: Washington’s Spies </w:t>
      </w:r>
      <w:r w:rsidR="003D72E6">
        <w:t xml:space="preserve">concern the events that take place in the northern theatre of the war. </w:t>
      </w:r>
      <w:r w:rsidR="00CF70BD">
        <w:t xml:space="preserve">While these two sources cover different aspects of the war and help prevent repetitiveness in the analysis, they also have similarities that help support certain arguments and opinions. </w:t>
      </w:r>
      <w:proofErr w:type="gramStart"/>
      <w:r w:rsidR="00CF70BD">
        <w:t>In particular, they</w:t>
      </w:r>
      <w:proofErr w:type="gramEnd"/>
      <w:r w:rsidR="00CF70BD">
        <w:t xml:space="preserve"> both contain interesting points concerning the roles of different racial groups within the colonies. These two sources have enough similarities and differences to properly complement each other without </w:t>
      </w:r>
      <w:r w:rsidR="00185859">
        <w:t xml:space="preserve">it becoming repetitive. </w:t>
      </w:r>
      <w:r w:rsidR="00FD417C">
        <w:t xml:space="preserve">The video game source shares similarities with </w:t>
      </w:r>
      <w:proofErr w:type="gramStart"/>
      <w:r w:rsidR="00FD417C">
        <w:t>both of the other</w:t>
      </w:r>
      <w:proofErr w:type="gramEnd"/>
      <w:r w:rsidR="00FD417C">
        <w:t xml:space="preserve"> sources, this will help to support any hypothesis</w:t>
      </w:r>
      <w:r w:rsidR="005D1700">
        <w:t xml:space="preserve"> made in the dissertation. Video games are a very unique type of interactive media, and the ability for a participant to interact with the storyline will provide this dissertation with a very different perspective. </w:t>
      </w:r>
      <w:r w:rsidR="008B1818">
        <w:t xml:space="preserve">The possible fourth source that could be used in this </w:t>
      </w:r>
      <w:r w:rsidR="008B1818">
        <w:lastRenderedPageBreak/>
        <w:t xml:space="preserve">dissertation has not yet been decided. </w:t>
      </w:r>
      <w:r w:rsidR="00A74F8D">
        <w:t xml:space="preserve">There are a few possible media representations that could be considered, but no final decision has yet been made on which one. One possible source that could be considered is a television series called </w:t>
      </w:r>
      <w:r w:rsidR="00F6310C">
        <w:rPr>
          <w:i/>
        </w:rPr>
        <w:t>Sons of Liberty</w:t>
      </w:r>
      <w:r w:rsidR="00A74F8D">
        <w:t>.</w:t>
      </w:r>
      <w:r w:rsidR="00A74F8D">
        <w:rPr>
          <w:rStyle w:val="FootnoteReference"/>
        </w:rPr>
        <w:footnoteReference w:id="4"/>
      </w:r>
      <w:r w:rsidR="00A74F8D">
        <w:t xml:space="preserve"> Another possible source is a musical called </w:t>
      </w:r>
      <w:r w:rsidR="00A74F8D">
        <w:rPr>
          <w:i/>
        </w:rPr>
        <w:t>Hamilton</w:t>
      </w:r>
      <w:r w:rsidR="00A74F8D">
        <w:t>.</w:t>
      </w:r>
      <w:r w:rsidR="00A74F8D">
        <w:rPr>
          <w:rStyle w:val="FootnoteReference"/>
        </w:rPr>
        <w:footnoteReference w:id="5"/>
      </w:r>
    </w:p>
    <w:p w:rsidR="0001566C" w:rsidRDefault="00E60996" w:rsidP="002504D1">
      <w:r>
        <w:t xml:space="preserve">There are certain points that will be examined within each of the media sources. The dissertation will be looking at </w:t>
      </w:r>
      <w:r w:rsidR="009670AF">
        <w:t xml:space="preserve">the narrative of each of the sources, and at the sources themselves. The origins of the sources will be examined, looking at exactly when each source was made (in comparison to each of the other sources) and who made the source. An analysis will also be made of who the possible target audience is, with a possible explanation of why the source was made. </w:t>
      </w:r>
      <w:r w:rsidR="00397B11">
        <w:t xml:space="preserve">A summary of the storyline will be made, with an analysis of how it compares to actual historical events. </w:t>
      </w:r>
      <w:r w:rsidR="002D4765">
        <w:t xml:space="preserve">Any accuracies or inaccuracies will be assessed to determine why they were made that way. </w:t>
      </w:r>
      <w:r w:rsidR="00911643">
        <w:t xml:space="preserve">An evaluation of the reception of each source will also be completed. It will be of interest to see how it was received in different countries, for instance how it was received in the United Kingdom in comparison to the United States. </w:t>
      </w:r>
      <w:r w:rsidR="00A9585C">
        <w:t xml:space="preserve">Finally, then a comparison will be made between </w:t>
      </w:r>
      <w:proofErr w:type="gramStart"/>
      <w:r w:rsidR="00A9585C">
        <w:t>all of</w:t>
      </w:r>
      <w:proofErr w:type="gramEnd"/>
      <w:r w:rsidR="00A9585C">
        <w:t xml:space="preserve"> the chosen media representations. Similarities and differences will be examined, and possible explanations will be provided. An evaluation of how these sources support or disprove the dissertation title will then be provided. </w:t>
      </w:r>
    </w:p>
    <w:p w:rsidR="0001566C" w:rsidRDefault="0001566C" w:rsidP="002504D1"/>
    <w:p w:rsidR="0001566C" w:rsidRDefault="0001566C" w:rsidP="002504D1">
      <w:pPr>
        <w:rPr>
          <w:u w:val="single"/>
        </w:rPr>
      </w:pPr>
      <w:r>
        <w:rPr>
          <w:u w:val="single"/>
        </w:rPr>
        <w:t>Other Sources</w:t>
      </w:r>
    </w:p>
    <w:p w:rsidR="00E60996" w:rsidRDefault="00324936" w:rsidP="002504D1">
      <w:r>
        <w:t xml:space="preserve">A variety of sources will be provided </w:t>
      </w:r>
      <w:proofErr w:type="gramStart"/>
      <w:r>
        <w:t>in order to</w:t>
      </w:r>
      <w:proofErr w:type="gramEnd"/>
      <w:r>
        <w:t xml:space="preserve"> make a full examination of the media representations. Firstly, an analysis will be made of exactly what the cultural memory in the United States</w:t>
      </w:r>
      <w:r w:rsidR="00A9585C">
        <w:t xml:space="preserve"> </w:t>
      </w:r>
      <w:r>
        <w:t xml:space="preserve">is. Some sources have already been found that will allow this to happen. The first source that will be used is a book by Janice Hume called </w:t>
      </w:r>
      <w:r>
        <w:rPr>
          <w:i/>
        </w:rPr>
        <w:t>Popular Media and the American Revolution</w:t>
      </w:r>
      <w:r>
        <w:t>.</w:t>
      </w:r>
      <w:r>
        <w:rPr>
          <w:rStyle w:val="FootnoteReference"/>
        </w:rPr>
        <w:footnoteReference w:id="6"/>
      </w:r>
      <w:r w:rsidR="005267D4">
        <w:t xml:space="preserve"> This book makes an examination of how sources like newspapers have shaped the cultural memory in the United States. </w:t>
      </w:r>
      <w:r w:rsidR="00D87659">
        <w:t xml:space="preserve">Janice Hume has also made a journal article called </w:t>
      </w:r>
      <w:r w:rsidR="00D87659">
        <w:rPr>
          <w:i/>
        </w:rPr>
        <w:t>Media. Memory and Revolution</w:t>
      </w:r>
      <w:r w:rsidR="00D87659">
        <w:t>.</w:t>
      </w:r>
      <w:r w:rsidR="00D87659">
        <w:rPr>
          <w:rStyle w:val="FootnoteReference"/>
        </w:rPr>
        <w:footnoteReference w:id="7"/>
      </w:r>
      <w:r w:rsidR="00D87659">
        <w:t xml:space="preserve"> These two sources complement each other very well, and will be invaluable when making an evaluation of exactly what cultural memory is. </w:t>
      </w:r>
    </w:p>
    <w:p w:rsidR="00D87659" w:rsidRDefault="00D87659" w:rsidP="002504D1">
      <w:r>
        <w:lastRenderedPageBreak/>
        <w:t xml:space="preserve">A key part of this dissertation is in understanding exactly how cultural memory can interact with narrative. </w:t>
      </w:r>
      <w:r w:rsidR="00E77F6A">
        <w:t xml:space="preserve">This is an </w:t>
      </w:r>
      <w:r w:rsidR="007350AB">
        <w:t xml:space="preserve">almost intangible aspect of the dissertation and could be difficult to properly explain. A very useful article has been discovered called </w:t>
      </w:r>
      <w:r w:rsidR="007350AB">
        <w:rPr>
          <w:i/>
        </w:rPr>
        <w:t>The Value of Narrativity in the Representation of Reality</w:t>
      </w:r>
      <w:r w:rsidR="007350AB">
        <w:t>, by Hayden White.</w:t>
      </w:r>
      <w:r w:rsidR="007350AB">
        <w:rPr>
          <w:rStyle w:val="FootnoteReference"/>
        </w:rPr>
        <w:footnoteReference w:id="8"/>
      </w:r>
      <w:r w:rsidR="00004B51">
        <w:t xml:space="preserve"> This source goes into detail when trying to explain how memory can impact narrative. </w:t>
      </w:r>
    </w:p>
    <w:p w:rsidR="00C16D9D" w:rsidRDefault="00E73713" w:rsidP="002504D1">
      <w:pPr>
        <w:rPr>
          <w:i/>
        </w:rPr>
      </w:pPr>
      <w:r>
        <w:t xml:space="preserve">One of the large parts of analysing the media sources is in understanding the storylines and how they compare with historical events. This will be achieved by comparing the media representations with a wide variety of historical academic works. An attempt will be made to use as many academic sources as possible, this will help to guarantee accuracy and trustworthiness. </w:t>
      </w:r>
      <w:r w:rsidR="00034BAA">
        <w:t xml:space="preserve">The sources will come from a variety of different places and times. </w:t>
      </w:r>
      <w:proofErr w:type="gramStart"/>
      <w:r w:rsidR="00034BAA">
        <w:t>In particular, a</w:t>
      </w:r>
      <w:proofErr w:type="gramEnd"/>
      <w:r w:rsidR="00034BAA">
        <w:t xml:space="preserve"> book called </w:t>
      </w:r>
      <w:r w:rsidR="00034BAA">
        <w:rPr>
          <w:i/>
        </w:rPr>
        <w:t xml:space="preserve">Scars of Independence </w:t>
      </w:r>
      <w:r w:rsidR="00034BAA">
        <w:t xml:space="preserve">by Holger </w:t>
      </w:r>
      <w:proofErr w:type="spellStart"/>
      <w:r w:rsidR="00034BAA">
        <w:t>Hoock</w:t>
      </w:r>
      <w:proofErr w:type="spellEnd"/>
      <w:r w:rsidR="00034BAA">
        <w:t xml:space="preserve"> will be very useful.</w:t>
      </w:r>
      <w:r w:rsidR="00034BAA">
        <w:rPr>
          <w:rStyle w:val="FootnoteReference"/>
        </w:rPr>
        <w:footnoteReference w:id="9"/>
      </w:r>
      <w:r w:rsidR="005F7D73">
        <w:t xml:space="preserve"> As a German historian, </w:t>
      </w:r>
      <w:proofErr w:type="spellStart"/>
      <w:r w:rsidR="005F7D73">
        <w:t>Hoock</w:t>
      </w:r>
      <w:proofErr w:type="spellEnd"/>
      <w:r w:rsidR="005F7D73">
        <w:t xml:space="preserve"> makes a concerted effort to paint an objective picture of the War of Independence. He gives a fair account of how both sides acted within the war, and how their conduct compared to other conflicts in the same period. </w:t>
      </w:r>
      <w:r w:rsidR="0042055D">
        <w:t xml:space="preserve">Another key aspect of the media representations is how different racial groups were treated within the conflict. The book </w:t>
      </w:r>
      <w:r w:rsidR="0042055D">
        <w:rPr>
          <w:i/>
        </w:rPr>
        <w:t xml:space="preserve">Rough Crossings </w:t>
      </w:r>
      <w:r w:rsidR="0042055D">
        <w:t xml:space="preserve">by Simon </w:t>
      </w:r>
      <w:proofErr w:type="spellStart"/>
      <w:r w:rsidR="0042055D">
        <w:t>Schama</w:t>
      </w:r>
      <w:proofErr w:type="spellEnd"/>
      <w:r w:rsidR="0042055D">
        <w:t xml:space="preserve"> will be invaluable in studying this aspect of the war.</w:t>
      </w:r>
      <w:r w:rsidR="0042055D">
        <w:rPr>
          <w:rStyle w:val="FootnoteReference"/>
        </w:rPr>
        <w:footnoteReference w:id="10"/>
      </w:r>
      <w:r w:rsidR="0042055D">
        <w:rPr>
          <w:i/>
        </w:rPr>
        <w:t xml:space="preserve"> </w:t>
      </w:r>
    </w:p>
    <w:p w:rsidR="007E039A" w:rsidRPr="007E039A" w:rsidRDefault="007E039A" w:rsidP="002504D1">
      <w:r>
        <w:t xml:space="preserve">A part of the examination of the media representations will concern how the sources have been received after release. </w:t>
      </w:r>
      <w:r w:rsidR="00D67E8F">
        <w:t xml:space="preserve">Newspapers and reviews will make up a large part of the supporting sources used for this section. </w:t>
      </w:r>
    </w:p>
    <w:p w:rsidR="00D106B7" w:rsidRDefault="00D106B7" w:rsidP="002504D1"/>
    <w:p w:rsidR="00D106B7" w:rsidRDefault="00D106B7" w:rsidP="002504D1">
      <w:pPr>
        <w:rPr>
          <w:u w:val="single"/>
        </w:rPr>
      </w:pPr>
      <w:r>
        <w:rPr>
          <w:u w:val="single"/>
        </w:rPr>
        <w:t>The Chapters</w:t>
      </w:r>
    </w:p>
    <w:p w:rsidR="00D106B7" w:rsidRDefault="00D106B7" w:rsidP="002504D1">
      <w:r>
        <w:t xml:space="preserve">The exact dividing and number of chapters in the dissertation is still not clear. </w:t>
      </w:r>
      <w:r w:rsidR="000753CF">
        <w:t xml:space="preserve">The first chapter of aims and methodology </w:t>
      </w:r>
      <w:r w:rsidR="00463203">
        <w:t xml:space="preserve">will include a summary of what the dissertation will cover, how it will be covered, and perhaps a summary of how the cultural memory impacts the narrative. </w:t>
      </w:r>
      <w:r w:rsidR="00A64CE4">
        <w:t xml:space="preserve">It is not clear at this point if cultural memory and narrative will make up its own chapter. </w:t>
      </w:r>
      <w:r w:rsidR="005B4662">
        <w:t xml:space="preserve">The three separate media sources will each have their own chapter, and introductions and conclusions will link the chapters together and prevent the dissertation from becoming blocky and disjointed. </w:t>
      </w:r>
      <w:r w:rsidR="00810508">
        <w:t xml:space="preserve">The final chapter will be a conclusion that will summarise all the points made in the previous chapters and detail how they prove or disprove the original hypothesis. </w:t>
      </w:r>
    </w:p>
    <w:p w:rsidR="003E6CF5" w:rsidRDefault="003E6CF5" w:rsidP="002504D1"/>
    <w:p w:rsidR="003E6CF5" w:rsidRDefault="003E6CF5" w:rsidP="002504D1">
      <w:pPr>
        <w:rPr>
          <w:u w:val="single"/>
        </w:rPr>
      </w:pPr>
      <w:r>
        <w:rPr>
          <w:u w:val="single"/>
        </w:rPr>
        <w:lastRenderedPageBreak/>
        <w:t>Future Research</w:t>
      </w:r>
    </w:p>
    <w:p w:rsidR="003E6CF5" w:rsidRDefault="003E6CF5" w:rsidP="002504D1">
      <w:r>
        <w:t xml:space="preserve">In depth research has been completed on the movie </w:t>
      </w:r>
      <w:r>
        <w:rPr>
          <w:i/>
        </w:rPr>
        <w:t>The Patriot</w:t>
      </w:r>
      <w:r>
        <w:t xml:space="preserve">, with detailed points for research and supporting sources found. However, other sources are still to be analysed and proper supporting sources still to be found. A great deal of general information sources </w:t>
      </w:r>
      <w:proofErr w:type="gramStart"/>
      <w:r>
        <w:t>have</w:t>
      </w:r>
      <w:proofErr w:type="gramEnd"/>
      <w:r>
        <w:t xml:space="preserve"> already been discovered and these can utilised when researching for all the sources. More research will need to be completed </w:t>
      </w:r>
      <w:proofErr w:type="gramStart"/>
      <w:r w:rsidR="008B223F">
        <w:t>on the subject of cultural</w:t>
      </w:r>
      <w:proofErr w:type="gramEnd"/>
      <w:r w:rsidR="008B223F">
        <w:t xml:space="preserve"> memory. The main points for the section have been listed, however, more supporting evidence and sources will need to be found for it. </w:t>
      </w:r>
    </w:p>
    <w:p w:rsidR="00E200BC" w:rsidRDefault="00E200BC" w:rsidP="002504D1"/>
    <w:p w:rsidR="00E200BC" w:rsidRDefault="00E200BC" w:rsidP="002504D1">
      <w:pPr>
        <w:rPr>
          <w:u w:val="single"/>
        </w:rPr>
      </w:pPr>
      <w:r>
        <w:rPr>
          <w:u w:val="single"/>
        </w:rPr>
        <w:t>Aim</w:t>
      </w:r>
    </w:p>
    <w:p w:rsidR="00E200BC" w:rsidRPr="00E200BC" w:rsidRDefault="00E200BC" w:rsidP="002504D1">
      <w:r>
        <w:t xml:space="preserve">The aim of this dissertation is to prove that a certain cultural memory exists in the United States. It is also to prove that this cultural memory can be seen and proved by looking at how it interacts with the narrative of modern American media representations of the conflict. </w:t>
      </w:r>
    </w:p>
    <w:p w:rsidR="00110630" w:rsidRPr="00ED73EB" w:rsidRDefault="00110630" w:rsidP="002504D1"/>
    <w:p w:rsidR="00FC6EB3" w:rsidRDefault="00FC6EB3" w:rsidP="00FC6EB3">
      <w:pPr>
        <w:jc w:val="center"/>
        <w:rPr>
          <w:u w:val="single"/>
        </w:rPr>
      </w:pPr>
    </w:p>
    <w:p w:rsidR="001D0921" w:rsidRDefault="001D0921" w:rsidP="00FC6EB3">
      <w:pPr>
        <w:jc w:val="center"/>
        <w:rPr>
          <w:u w:val="single"/>
        </w:rPr>
      </w:pPr>
    </w:p>
    <w:p w:rsidR="001D0921" w:rsidRDefault="001D0921" w:rsidP="00FC6EB3">
      <w:pPr>
        <w:jc w:val="center"/>
        <w:rPr>
          <w:u w:val="single"/>
        </w:rPr>
      </w:pPr>
    </w:p>
    <w:p w:rsidR="001D0921" w:rsidRDefault="001D0921" w:rsidP="00FC6EB3">
      <w:pPr>
        <w:jc w:val="center"/>
        <w:rPr>
          <w:u w:val="single"/>
        </w:rPr>
      </w:pPr>
    </w:p>
    <w:p w:rsidR="00D03EC6" w:rsidRDefault="00D03EC6" w:rsidP="00FC6EB3">
      <w:pPr>
        <w:jc w:val="center"/>
        <w:rPr>
          <w:u w:val="single"/>
        </w:rPr>
      </w:pPr>
    </w:p>
    <w:p w:rsidR="00D03EC6" w:rsidRDefault="00D03EC6" w:rsidP="00FC6EB3">
      <w:pPr>
        <w:jc w:val="center"/>
        <w:rPr>
          <w:u w:val="single"/>
        </w:rPr>
      </w:pPr>
    </w:p>
    <w:p w:rsidR="00D03EC6" w:rsidRDefault="00D03EC6" w:rsidP="00FC6EB3">
      <w:pPr>
        <w:jc w:val="center"/>
        <w:rPr>
          <w:u w:val="single"/>
        </w:rPr>
      </w:pPr>
    </w:p>
    <w:p w:rsidR="00D03EC6" w:rsidRDefault="00D03EC6" w:rsidP="00FC6EB3">
      <w:pPr>
        <w:jc w:val="center"/>
        <w:rPr>
          <w:u w:val="single"/>
        </w:rPr>
      </w:pPr>
    </w:p>
    <w:p w:rsidR="00D03EC6" w:rsidRDefault="00D03EC6" w:rsidP="00FC6EB3">
      <w:pPr>
        <w:jc w:val="center"/>
        <w:rPr>
          <w:u w:val="single"/>
        </w:rPr>
      </w:pPr>
    </w:p>
    <w:p w:rsidR="00D03EC6" w:rsidRDefault="00D03EC6" w:rsidP="00FC6EB3">
      <w:pPr>
        <w:jc w:val="center"/>
        <w:rPr>
          <w:u w:val="single"/>
        </w:rPr>
      </w:pPr>
    </w:p>
    <w:p w:rsidR="00D03EC6" w:rsidRDefault="00D03EC6" w:rsidP="00FC6EB3">
      <w:pPr>
        <w:jc w:val="center"/>
        <w:rPr>
          <w:u w:val="single"/>
        </w:rPr>
      </w:pPr>
    </w:p>
    <w:p w:rsidR="00D03EC6" w:rsidRDefault="00D03EC6" w:rsidP="00FC6EB3">
      <w:pPr>
        <w:jc w:val="center"/>
        <w:rPr>
          <w:u w:val="single"/>
        </w:rPr>
      </w:pPr>
    </w:p>
    <w:p w:rsidR="00D03EC6" w:rsidRDefault="00D03EC6" w:rsidP="00FC6EB3">
      <w:pPr>
        <w:jc w:val="center"/>
        <w:rPr>
          <w:u w:val="single"/>
        </w:rPr>
      </w:pPr>
    </w:p>
    <w:p w:rsidR="00D03EC6" w:rsidRDefault="00D03EC6" w:rsidP="00FC6EB3">
      <w:pPr>
        <w:jc w:val="center"/>
        <w:rPr>
          <w:u w:val="single"/>
        </w:rPr>
      </w:pPr>
    </w:p>
    <w:p w:rsidR="00144A20" w:rsidRDefault="00FC6EB3" w:rsidP="00B4575B">
      <w:pPr>
        <w:rPr>
          <w:u w:val="single"/>
        </w:rPr>
      </w:pPr>
      <w:r>
        <w:rPr>
          <w:u w:val="single"/>
        </w:rPr>
        <w:lastRenderedPageBreak/>
        <w:t>Bibliography</w:t>
      </w:r>
    </w:p>
    <w:p w:rsidR="00B4575B" w:rsidRPr="00B4575B" w:rsidRDefault="00B4575B" w:rsidP="00B4575B">
      <w:pPr>
        <w:rPr>
          <w:u w:val="single"/>
        </w:rPr>
      </w:pPr>
    </w:p>
    <w:p w:rsidR="00B4575B" w:rsidRPr="00B4575B" w:rsidRDefault="00B4575B" w:rsidP="00FC6EB3">
      <w:pPr>
        <w:pStyle w:val="ListParagraph"/>
        <w:numPr>
          <w:ilvl w:val="0"/>
          <w:numId w:val="1"/>
        </w:numPr>
        <w:rPr>
          <w:u w:val="single"/>
        </w:rPr>
      </w:pPr>
      <w:bookmarkStart w:id="0" w:name="_Hlk497586365"/>
      <w:r>
        <w:t xml:space="preserve">Alex Hutchinson for Ubisoft, </w:t>
      </w:r>
      <w:r>
        <w:rPr>
          <w:i/>
        </w:rPr>
        <w:t xml:space="preserve">Assassin’s Creed III </w:t>
      </w:r>
      <w:r>
        <w:t xml:space="preserve">(2012), </w:t>
      </w:r>
      <w:proofErr w:type="spellStart"/>
      <w:r>
        <w:t>Playstation</w:t>
      </w:r>
      <w:proofErr w:type="spellEnd"/>
      <w:r>
        <w:t>, Xbox and Microsoft Windows</w:t>
      </w:r>
      <w:bookmarkEnd w:id="0"/>
      <w:r>
        <w:t xml:space="preserve">. </w:t>
      </w:r>
    </w:p>
    <w:p w:rsidR="00880111" w:rsidRPr="00880111" w:rsidRDefault="00880111" w:rsidP="00FC6EB3">
      <w:pPr>
        <w:pStyle w:val="ListParagraph"/>
        <w:numPr>
          <w:ilvl w:val="0"/>
          <w:numId w:val="1"/>
        </w:numPr>
        <w:rPr>
          <w:u w:val="single"/>
        </w:rPr>
      </w:pPr>
      <w:r>
        <w:t xml:space="preserve">Bird H, The French and Indian War 1754-1763. </w:t>
      </w:r>
      <w:r w:rsidR="00587970">
        <w:rPr>
          <w:i/>
        </w:rPr>
        <w:t xml:space="preserve">‘Battle for a Continent’ </w:t>
      </w:r>
      <w:r w:rsidR="00587970">
        <w:t>(New York: Oxford University Press, 1965).</w:t>
      </w:r>
    </w:p>
    <w:p w:rsidR="001C4262" w:rsidRPr="00733D0B" w:rsidRDefault="001C4262" w:rsidP="00FC6EB3">
      <w:pPr>
        <w:pStyle w:val="ListParagraph"/>
        <w:numPr>
          <w:ilvl w:val="0"/>
          <w:numId w:val="1"/>
        </w:numPr>
        <w:rPr>
          <w:u w:val="single"/>
        </w:rPr>
      </w:pPr>
      <w:r>
        <w:t xml:space="preserve">Conway S, Modern Wars. </w:t>
      </w:r>
      <w:r>
        <w:rPr>
          <w:i/>
        </w:rPr>
        <w:t xml:space="preserve">‘The War of American Independence 1774-1783’ </w:t>
      </w:r>
      <w:r>
        <w:t>(</w:t>
      </w:r>
      <w:r w:rsidR="00733D0B">
        <w:t>London: St. Martin’s Press Inc, 1995).</w:t>
      </w:r>
    </w:p>
    <w:p w:rsidR="00733D0B" w:rsidRPr="0093330A" w:rsidRDefault="00733D0B" w:rsidP="00FC6EB3">
      <w:pPr>
        <w:pStyle w:val="ListParagraph"/>
        <w:numPr>
          <w:ilvl w:val="0"/>
          <w:numId w:val="1"/>
        </w:numPr>
        <w:rPr>
          <w:u w:val="single"/>
        </w:rPr>
      </w:pPr>
      <w:proofErr w:type="spellStart"/>
      <w:r>
        <w:t>Foner</w:t>
      </w:r>
      <w:proofErr w:type="spellEnd"/>
      <w:r>
        <w:t xml:space="preserve"> E, An American History. </w:t>
      </w:r>
      <w:r>
        <w:rPr>
          <w:i/>
        </w:rPr>
        <w:t xml:space="preserve">‘Give Me Liberty!’ </w:t>
      </w:r>
      <w:r>
        <w:t>(London: W. W. Norton &amp; Company, Inc, 2014).</w:t>
      </w:r>
    </w:p>
    <w:p w:rsidR="0093330A" w:rsidRPr="006C7CA2" w:rsidRDefault="0093330A" w:rsidP="00FC6EB3">
      <w:pPr>
        <w:pStyle w:val="ListParagraph"/>
        <w:numPr>
          <w:ilvl w:val="0"/>
          <w:numId w:val="1"/>
        </w:numPr>
        <w:rPr>
          <w:u w:val="single"/>
        </w:rPr>
      </w:pPr>
      <w:r>
        <w:t xml:space="preserve">Greene J, ‘Blackwell Companions to American History’. J Pole </w:t>
      </w:r>
      <w:proofErr w:type="spellStart"/>
      <w:r>
        <w:t>eds</w:t>
      </w:r>
      <w:proofErr w:type="spellEnd"/>
      <w:r>
        <w:t xml:space="preserve">, </w:t>
      </w:r>
      <w:r>
        <w:rPr>
          <w:i/>
        </w:rPr>
        <w:t xml:space="preserve">A Companion to The American Revolution. </w:t>
      </w:r>
      <w:r>
        <w:t xml:space="preserve">Oxford, Blackwell Publishing Ltd, (2004). </w:t>
      </w:r>
    </w:p>
    <w:p w:rsidR="006C7CA2" w:rsidRPr="001C4262" w:rsidRDefault="006C7CA2" w:rsidP="00FC6EB3">
      <w:pPr>
        <w:pStyle w:val="ListParagraph"/>
        <w:numPr>
          <w:ilvl w:val="0"/>
          <w:numId w:val="1"/>
        </w:numPr>
        <w:rPr>
          <w:u w:val="single"/>
        </w:rPr>
      </w:pPr>
      <w:r>
        <w:rPr>
          <w:i/>
        </w:rPr>
        <w:t xml:space="preserve">Hamilton, </w:t>
      </w:r>
      <w:r>
        <w:t xml:space="preserve">dir. by Ron </w:t>
      </w:r>
      <w:proofErr w:type="spellStart"/>
      <w:r>
        <w:t>Chernow</w:t>
      </w:r>
      <w:proofErr w:type="spellEnd"/>
      <w:r>
        <w:t xml:space="preserve"> (The Public </w:t>
      </w:r>
      <w:proofErr w:type="spellStart"/>
      <w:r>
        <w:t>Theater</w:t>
      </w:r>
      <w:proofErr w:type="spellEnd"/>
      <w:r>
        <w:t xml:space="preserve">, 2015). </w:t>
      </w:r>
    </w:p>
    <w:p w:rsidR="00F874EE" w:rsidRPr="00834A93" w:rsidRDefault="00F874EE" w:rsidP="00FC6EB3">
      <w:pPr>
        <w:pStyle w:val="ListParagraph"/>
        <w:numPr>
          <w:ilvl w:val="0"/>
          <w:numId w:val="1"/>
        </w:numPr>
        <w:rPr>
          <w:u w:val="single"/>
        </w:rPr>
      </w:pPr>
      <w:proofErr w:type="spellStart"/>
      <w:r>
        <w:t>Hoock</w:t>
      </w:r>
      <w:proofErr w:type="spellEnd"/>
      <w:r>
        <w:t xml:space="preserve"> H, </w:t>
      </w:r>
      <w:bookmarkStart w:id="1" w:name="_Hlk497573275"/>
      <w:bookmarkStart w:id="2" w:name="_Hlk497573253"/>
      <w:r>
        <w:t xml:space="preserve">America’s Violent Birth. </w:t>
      </w:r>
      <w:r>
        <w:rPr>
          <w:i/>
        </w:rPr>
        <w:t xml:space="preserve">‘Scars of Independence’ </w:t>
      </w:r>
      <w:r>
        <w:t>(New York: Crown, 2017</w:t>
      </w:r>
      <w:bookmarkEnd w:id="1"/>
      <w:r>
        <w:t>).</w:t>
      </w:r>
    </w:p>
    <w:p w:rsidR="00834A93" w:rsidRPr="00324936" w:rsidRDefault="00834A93" w:rsidP="00FC6EB3">
      <w:pPr>
        <w:pStyle w:val="ListParagraph"/>
        <w:numPr>
          <w:ilvl w:val="0"/>
          <w:numId w:val="1"/>
        </w:numPr>
        <w:rPr>
          <w:u w:val="single"/>
        </w:rPr>
      </w:pPr>
      <w:bookmarkStart w:id="3" w:name="_Hlk497585157"/>
      <w:r>
        <w:t xml:space="preserve">Hume J, Media, Memory and Revolution. </w:t>
      </w:r>
      <w:r>
        <w:rPr>
          <w:i/>
        </w:rPr>
        <w:t xml:space="preserve">Journal of the American Revolution: </w:t>
      </w:r>
      <w:r>
        <w:t>(2013).</w:t>
      </w:r>
      <w:bookmarkEnd w:id="3"/>
      <w:r>
        <w:t xml:space="preserve"> </w:t>
      </w:r>
    </w:p>
    <w:bookmarkEnd w:id="2"/>
    <w:p w:rsidR="00324936" w:rsidRPr="00455CAE" w:rsidRDefault="00324936" w:rsidP="00FC6EB3">
      <w:pPr>
        <w:pStyle w:val="ListParagraph"/>
        <w:numPr>
          <w:ilvl w:val="0"/>
          <w:numId w:val="1"/>
        </w:numPr>
        <w:rPr>
          <w:u w:val="single"/>
        </w:rPr>
      </w:pPr>
      <w:r>
        <w:t xml:space="preserve">Hume J, </w:t>
      </w:r>
      <w:bookmarkStart w:id="4" w:name="_Hlk497571554"/>
      <w:r>
        <w:t xml:space="preserve">Shaping Collective Memory. </w:t>
      </w:r>
      <w:r>
        <w:rPr>
          <w:i/>
        </w:rPr>
        <w:t xml:space="preserve">‘Popular Media and the American Revolution’ </w:t>
      </w:r>
      <w:r>
        <w:t xml:space="preserve">(New York: Routledge, 2014). </w:t>
      </w:r>
      <w:bookmarkEnd w:id="4"/>
    </w:p>
    <w:p w:rsidR="00455CAE" w:rsidRPr="00F874EE" w:rsidRDefault="00455CAE" w:rsidP="00FC6EB3">
      <w:pPr>
        <w:pStyle w:val="ListParagraph"/>
        <w:numPr>
          <w:ilvl w:val="0"/>
          <w:numId w:val="1"/>
        </w:numPr>
        <w:rPr>
          <w:u w:val="single"/>
        </w:rPr>
      </w:pPr>
      <w:r>
        <w:t xml:space="preserve">Jones J, A Visual History. </w:t>
      </w:r>
      <w:r>
        <w:rPr>
          <w:i/>
        </w:rPr>
        <w:t xml:space="preserve">‘The American Revolution’ </w:t>
      </w:r>
      <w:r>
        <w:t>(New York: Penguin Random House, 2016).</w:t>
      </w:r>
    </w:p>
    <w:p w:rsidR="00F874EE" w:rsidRPr="00834A93" w:rsidRDefault="00F874EE" w:rsidP="00FC6EB3">
      <w:pPr>
        <w:pStyle w:val="ListParagraph"/>
        <w:numPr>
          <w:ilvl w:val="0"/>
          <w:numId w:val="1"/>
        </w:numPr>
        <w:rPr>
          <w:u w:val="single"/>
        </w:rPr>
      </w:pPr>
      <w:r>
        <w:t xml:space="preserve">Lanning M, The People, Battles, and Events of the American War for Independence, Ranked by Their Significance. </w:t>
      </w:r>
      <w:r>
        <w:rPr>
          <w:i/>
        </w:rPr>
        <w:t xml:space="preserve">‘The American Revolution 100’ </w:t>
      </w:r>
      <w:r>
        <w:t>(Naperville: Sourcebooks, Inc, 2009).</w:t>
      </w:r>
    </w:p>
    <w:p w:rsidR="00834A93" w:rsidRPr="00195787" w:rsidRDefault="00834A93" w:rsidP="00FC6EB3">
      <w:pPr>
        <w:pStyle w:val="ListParagraph"/>
        <w:numPr>
          <w:ilvl w:val="0"/>
          <w:numId w:val="1"/>
        </w:numPr>
        <w:rPr>
          <w:u w:val="single"/>
        </w:rPr>
      </w:pPr>
      <w:r>
        <w:t xml:space="preserve">Lynch W, Tarleton and the British Legion at Tarrant’s Tavern. </w:t>
      </w:r>
      <w:r>
        <w:rPr>
          <w:i/>
        </w:rPr>
        <w:t xml:space="preserve">Journal of the American Revolution: </w:t>
      </w:r>
      <w:r>
        <w:t>(2013).</w:t>
      </w:r>
    </w:p>
    <w:p w:rsidR="00195787" w:rsidRPr="00F874EE" w:rsidRDefault="00195787" w:rsidP="00FC6EB3">
      <w:pPr>
        <w:pStyle w:val="ListParagraph"/>
        <w:numPr>
          <w:ilvl w:val="0"/>
          <w:numId w:val="1"/>
        </w:numPr>
        <w:rPr>
          <w:u w:val="single"/>
        </w:rPr>
      </w:pPr>
      <w:proofErr w:type="spellStart"/>
      <w:r>
        <w:t>Mackesy</w:t>
      </w:r>
      <w:proofErr w:type="spellEnd"/>
      <w:r>
        <w:t xml:space="preserve"> P. </w:t>
      </w:r>
      <w:r>
        <w:rPr>
          <w:i/>
        </w:rPr>
        <w:t>‘</w:t>
      </w:r>
      <w:r w:rsidR="001766E0">
        <w:rPr>
          <w:i/>
        </w:rPr>
        <w:t>The War f</w:t>
      </w:r>
      <w:r>
        <w:rPr>
          <w:i/>
        </w:rPr>
        <w:t xml:space="preserve">or America 1775-1783’ </w:t>
      </w:r>
      <w:r>
        <w:t xml:space="preserve">(London: Longmans, 1964). </w:t>
      </w:r>
    </w:p>
    <w:p w:rsidR="00F874EE" w:rsidRPr="00F874EE" w:rsidRDefault="00F874EE" w:rsidP="00FC6EB3">
      <w:pPr>
        <w:pStyle w:val="ListParagraph"/>
        <w:numPr>
          <w:ilvl w:val="0"/>
          <w:numId w:val="1"/>
        </w:numPr>
        <w:rPr>
          <w:u w:val="single"/>
        </w:rPr>
      </w:pPr>
      <w:r>
        <w:t xml:space="preserve">Marston D, Essential Histories. </w:t>
      </w:r>
      <w:r>
        <w:rPr>
          <w:i/>
        </w:rPr>
        <w:t xml:space="preserve">‘The American Revolution 1774-1783’ </w:t>
      </w:r>
      <w:r>
        <w:t>(Oxford: Osprey Publishing, 2002).</w:t>
      </w:r>
    </w:p>
    <w:p w:rsidR="00F874EE" w:rsidRPr="00BF4F77" w:rsidRDefault="00F874EE" w:rsidP="00FC6EB3">
      <w:pPr>
        <w:pStyle w:val="ListParagraph"/>
        <w:numPr>
          <w:ilvl w:val="0"/>
          <w:numId w:val="1"/>
        </w:numPr>
        <w:rPr>
          <w:u w:val="single"/>
        </w:rPr>
      </w:pPr>
      <w:r>
        <w:t xml:space="preserve">McCullough D, American and Britain at War. </w:t>
      </w:r>
      <w:r>
        <w:rPr>
          <w:i/>
        </w:rPr>
        <w:t xml:space="preserve">‘1776’ </w:t>
      </w:r>
      <w:r>
        <w:t>(</w:t>
      </w:r>
      <w:r w:rsidR="00941DFC">
        <w:t>New York: Simon &amp; Schuster Paperbacks, 2005).</w:t>
      </w:r>
    </w:p>
    <w:p w:rsidR="00BF4F77" w:rsidRPr="00F874EE" w:rsidRDefault="00BF4F77" w:rsidP="00B607BE">
      <w:pPr>
        <w:pStyle w:val="ListParagraph"/>
        <w:numPr>
          <w:ilvl w:val="0"/>
          <w:numId w:val="1"/>
        </w:numPr>
        <w:rPr>
          <w:u w:val="single"/>
        </w:rPr>
      </w:pPr>
      <w:r>
        <w:t xml:space="preserve">‘Mel Gibson’s latest hero: a rapist who hunted Indians for fun’, </w:t>
      </w:r>
      <w:r>
        <w:rPr>
          <w:i/>
        </w:rPr>
        <w:t xml:space="preserve">The </w:t>
      </w:r>
      <w:proofErr w:type="spellStart"/>
      <w:r>
        <w:rPr>
          <w:i/>
        </w:rPr>
        <w:t>Guardican</w:t>
      </w:r>
      <w:proofErr w:type="spellEnd"/>
      <w:r>
        <w:rPr>
          <w:i/>
        </w:rPr>
        <w:t xml:space="preserve">, </w:t>
      </w:r>
      <w:r>
        <w:t xml:space="preserve">(2000), </w:t>
      </w:r>
      <w:r w:rsidR="00B607BE">
        <w:t>&lt;</w:t>
      </w:r>
      <w:bookmarkStart w:id="5" w:name="_GoBack"/>
      <w:bookmarkEnd w:id="5"/>
      <w:r w:rsidR="00B607BE" w:rsidRPr="00B607BE">
        <w:t>https://www.theguardian.com/film/2000/jun/15/news.melgibson</w:t>
      </w:r>
      <w:r w:rsidR="00B607BE">
        <w:t>&gt;</w:t>
      </w:r>
      <w:r w:rsidR="00B607BE" w:rsidRPr="00B607BE">
        <w:t xml:space="preserve"> </w:t>
      </w:r>
      <w:r>
        <w:t xml:space="preserve">[accessed 6 October 2017]. </w:t>
      </w:r>
    </w:p>
    <w:p w:rsidR="00F874EE" w:rsidRPr="00941DFC" w:rsidRDefault="00F874EE" w:rsidP="00FC6EB3">
      <w:pPr>
        <w:pStyle w:val="ListParagraph"/>
        <w:numPr>
          <w:ilvl w:val="0"/>
          <w:numId w:val="1"/>
        </w:numPr>
        <w:rPr>
          <w:u w:val="single"/>
        </w:rPr>
      </w:pPr>
      <w:proofErr w:type="spellStart"/>
      <w:r>
        <w:t>Middlekauff</w:t>
      </w:r>
      <w:proofErr w:type="spellEnd"/>
      <w:r>
        <w:t xml:space="preserve"> R, The American Revolution, 1763-1789. </w:t>
      </w:r>
      <w:r>
        <w:rPr>
          <w:i/>
        </w:rPr>
        <w:t xml:space="preserve">‘The Glorious Cause’ </w:t>
      </w:r>
      <w:r>
        <w:t>(Oxford: Oxford University Press, 2005).</w:t>
      </w:r>
    </w:p>
    <w:p w:rsidR="00941DFC" w:rsidRPr="00A97F17" w:rsidRDefault="00941DFC" w:rsidP="00FC6EB3">
      <w:pPr>
        <w:pStyle w:val="ListParagraph"/>
        <w:numPr>
          <w:ilvl w:val="0"/>
          <w:numId w:val="1"/>
        </w:numPr>
        <w:rPr>
          <w:u w:val="single"/>
        </w:rPr>
      </w:pPr>
      <w:r>
        <w:lastRenderedPageBreak/>
        <w:t xml:space="preserve">Morrissey B, The Shot Heard Around the World. </w:t>
      </w:r>
      <w:r>
        <w:rPr>
          <w:i/>
        </w:rPr>
        <w:t xml:space="preserve">‘Boston 1775’ </w:t>
      </w:r>
      <w:r>
        <w:t>(Oxford: Osprey Publishing, 1995).</w:t>
      </w:r>
    </w:p>
    <w:p w:rsidR="00A97F17" w:rsidRPr="00177EB7" w:rsidRDefault="00A97F17" w:rsidP="00FC6EB3">
      <w:pPr>
        <w:pStyle w:val="ListParagraph"/>
        <w:numPr>
          <w:ilvl w:val="0"/>
          <w:numId w:val="1"/>
        </w:numPr>
        <w:rPr>
          <w:u w:val="single"/>
        </w:rPr>
      </w:pPr>
      <w:r>
        <w:t xml:space="preserve">Morton B. </w:t>
      </w:r>
      <w:r w:rsidR="004C2894">
        <w:rPr>
          <w:i/>
        </w:rPr>
        <w:t xml:space="preserve">‘1776’ </w:t>
      </w:r>
      <w:r w:rsidR="004C2894">
        <w:t xml:space="preserve">(Toronto: Samuel Stevens </w:t>
      </w:r>
      <w:proofErr w:type="spellStart"/>
      <w:r w:rsidR="004C2894">
        <w:t>Hakkert</w:t>
      </w:r>
      <w:proofErr w:type="spellEnd"/>
      <w:r w:rsidR="004C2894">
        <w:t xml:space="preserve"> &amp; Company, 1976). </w:t>
      </w:r>
    </w:p>
    <w:p w:rsidR="00177EB7" w:rsidRPr="006163F6" w:rsidRDefault="00177EB7" w:rsidP="00B607BE">
      <w:pPr>
        <w:pStyle w:val="ListParagraph"/>
        <w:numPr>
          <w:ilvl w:val="0"/>
          <w:numId w:val="1"/>
        </w:numPr>
        <w:rPr>
          <w:u w:val="single"/>
        </w:rPr>
      </w:pPr>
      <w:r>
        <w:t xml:space="preserve">‘Patriotic Liverpool up in arms </w:t>
      </w:r>
      <w:r w:rsidR="00BF4F77">
        <w:t xml:space="preserve">over Gibson blockbuster’, </w:t>
      </w:r>
      <w:r w:rsidR="00BF4F77">
        <w:rPr>
          <w:i/>
        </w:rPr>
        <w:t xml:space="preserve">The Guardian, </w:t>
      </w:r>
      <w:r w:rsidR="00BF4F77">
        <w:t>(2000</w:t>
      </w:r>
      <w:proofErr w:type="gramStart"/>
      <w:r w:rsidR="00BF4F77">
        <w:t>),</w:t>
      </w:r>
      <w:r w:rsidR="00B607BE">
        <w:t xml:space="preserve"> </w:t>
      </w:r>
      <w:r w:rsidR="00BF4F77">
        <w:t xml:space="preserve"> </w:t>
      </w:r>
      <w:r w:rsidR="00B607BE">
        <w:t>&lt;</w:t>
      </w:r>
      <w:proofErr w:type="gramEnd"/>
      <w:r w:rsidR="00B607BE" w:rsidRPr="00B607BE">
        <w:t>https://www.theguardian.com/film/2000/jun/30/news.melgibson</w:t>
      </w:r>
      <w:r w:rsidR="00B607BE">
        <w:t>&gt;</w:t>
      </w:r>
      <w:r w:rsidR="00B607BE" w:rsidRPr="00B607BE">
        <w:t xml:space="preserve"> </w:t>
      </w:r>
      <w:r w:rsidR="00BF4F77">
        <w:t>[accessed 6 October 2017].</w:t>
      </w:r>
    </w:p>
    <w:p w:rsidR="006163F6" w:rsidRPr="00F874EE" w:rsidRDefault="006163F6" w:rsidP="00FC6EB3">
      <w:pPr>
        <w:pStyle w:val="ListParagraph"/>
        <w:numPr>
          <w:ilvl w:val="0"/>
          <w:numId w:val="1"/>
        </w:numPr>
        <w:rPr>
          <w:u w:val="single"/>
        </w:rPr>
      </w:pPr>
      <w:r>
        <w:t xml:space="preserve">Pole J, Documents and Commentaries. </w:t>
      </w:r>
      <w:r w:rsidR="00BB475B">
        <w:rPr>
          <w:i/>
        </w:rPr>
        <w:t xml:space="preserve">‘The Revolution in America 1754-1788’ </w:t>
      </w:r>
      <w:r w:rsidR="00BB475B">
        <w:t>(Bath: Macmillan and Co LTD, 1970)</w:t>
      </w:r>
    </w:p>
    <w:p w:rsidR="00FC6EB3" w:rsidRPr="0039475E" w:rsidRDefault="00FC6EB3" w:rsidP="00FC6EB3">
      <w:pPr>
        <w:pStyle w:val="ListParagraph"/>
        <w:numPr>
          <w:ilvl w:val="0"/>
          <w:numId w:val="1"/>
        </w:numPr>
        <w:rPr>
          <w:u w:val="single"/>
        </w:rPr>
      </w:pPr>
      <w:proofErr w:type="spellStart"/>
      <w:r>
        <w:t>Schama</w:t>
      </w:r>
      <w:proofErr w:type="spellEnd"/>
      <w:r>
        <w:t xml:space="preserve"> S, </w:t>
      </w:r>
      <w:bookmarkStart w:id="6" w:name="_Hlk497573967"/>
      <w:r>
        <w:t xml:space="preserve">Britain, the Slaves and the American Revolution. </w:t>
      </w:r>
      <w:r>
        <w:rPr>
          <w:i/>
        </w:rPr>
        <w:t xml:space="preserve">‘Rough Crossings’ </w:t>
      </w:r>
      <w:r>
        <w:t>(London: Vintage Books</w:t>
      </w:r>
      <w:r w:rsidR="00F874EE">
        <w:t>, 2009</w:t>
      </w:r>
      <w:bookmarkEnd w:id="6"/>
      <w:r w:rsidR="00F874EE">
        <w:t>).</w:t>
      </w:r>
    </w:p>
    <w:p w:rsidR="0039475E" w:rsidRPr="00BF4F77" w:rsidRDefault="0039475E" w:rsidP="00FC6EB3">
      <w:pPr>
        <w:pStyle w:val="ListParagraph"/>
        <w:numPr>
          <w:ilvl w:val="0"/>
          <w:numId w:val="1"/>
        </w:numPr>
        <w:rPr>
          <w:u w:val="single"/>
        </w:rPr>
      </w:pPr>
      <w:bookmarkStart w:id="7" w:name="_Hlk497585491"/>
      <w:r>
        <w:rPr>
          <w:i/>
        </w:rPr>
        <w:t xml:space="preserve">Sons of Liberty, </w:t>
      </w:r>
      <w:r>
        <w:t xml:space="preserve">dir. by Kari </w:t>
      </w:r>
      <w:proofErr w:type="spellStart"/>
      <w:r>
        <w:t>Skogland</w:t>
      </w:r>
      <w:proofErr w:type="spellEnd"/>
      <w:r>
        <w:t xml:space="preserve"> (Stephen David Entertainment, 2015).</w:t>
      </w:r>
      <w:bookmarkEnd w:id="7"/>
    </w:p>
    <w:p w:rsidR="00BF4F77" w:rsidRPr="00927BE7" w:rsidRDefault="00BF4F77" w:rsidP="00B607BE">
      <w:pPr>
        <w:pStyle w:val="ListParagraph"/>
        <w:numPr>
          <w:ilvl w:val="0"/>
          <w:numId w:val="1"/>
        </w:numPr>
        <w:rPr>
          <w:u w:val="single"/>
        </w:rPr>
      </w:pPr>
      <w:r>
        <w:t xml:space="preserve">‘Spike Lee slams Patriot’, </w:t>
      </w:r>
      <w:r>
        <w:rPr>
          <w:i/>
        </w:rPr>
        <w:t xml:space="preserve">The Guardian, </w:t>
      </w:r>
      <w:r>
        <w:t>(2000</w:t>
      </w:r>
      <w:proofErr w:type="gramStart"/>
      <w:r>
        <w:t xml:space="preserve">),  </w:t>
      </w:r>
      <w:r w:rsidR="00B607BE">
        <w:t>&lt;</w:t>
      </w:r>
      <w:proofErr w:type="gramEnd"/>
      <w:r w:rsidR="00B607BE" w:rsidRPr="00B607BE">
        <w:t>https://www.theguardian.com/film/2000/jul/06/news.spikelee</w:t>
      </w:r>
      <w:r w:rsidR="00B607BE">
        <w:t>&gt;</w:t>
      </w:r>
      <w:r w:rsidR="00B607BE" w:rsidRPr="00B607BE">
        <w:t xml:space="preserve"> </w:t>
      </w:r>
      <w:r>
        <w:t>[accessed 6 October 2017].</w:t>
      </w:r>
    </w:p>
    <w:p w:rsidR="00927BE7" w:rsidRPr="004B6564" w:rsidRDefault="00927BE7" w:rsidP="00FC6EB3">
      <w:pPr>
        <w:pStyle w:val="ListParagraph"/>
        <w:numPr>
          <w:ilvl w:val="0"/>
          <w:numId w:val="1"/>
        </w:numPr>
        <w:rPr>
          <w:u w:val="single"/>
        </w:rPr>
      </w:pPr>
      <w:bookmarkStart w:id="8" w:name="_Hlk497584994"/>
      <w:r>
        <w:rPr>
          <w:i/>
        </w:rPr>
        <w:t xml:space="preserve">The Patriot, </w:t>
      </w:r>
      <w:r>
        <w:t>dir. by Roland Emmerich (</w:t>
      </w:r>
      <w:r w:rsidR="004B6564">
        <w:t>Columbia Pictures, 2000).</w:t>
      </w:r>
      <w:bookmarkEnd w:id="8"/>
    </w:p>
    <w:p w:rsidR="004B6564" w:rsidRPr="00BC43B0" w:rsidRDefault="004B6564" w:rsidP="00FC6EB3">
      <w:pPr>
        <w:pStyle w:val="ListParagraph"/>
        <w:numPr>
          <w:ilvl w:val="0"/>
          <w:numId w:val="1"/>
        </w:numPr>
        <w:rPr>
          <w:u w:val="single"/>
        </w:rPr>
      </w:pPr>
      <w:bookmarkStart w:id="9" w:name="_Hlk497585058"/>
      <w:r w:rsidRPr="00F6310C">
        <w:t xml:space="preserve">Turn: Washington’s Spies, dir. by Henry </w:t>
      </w:r>
      <w:proofErr w:type="spellStart"/>
      <w:r w:rsidRPr="00F6310C">
        <w:t>Bronchtein</w:t>
      </w:r>
      <w:proofErr w:type="spellEnd"/>
      <w:r w:rsidRPr="00F6310C">
        <w:t xml:space="preserve"> (AMC, 2014-2017).</w:t>
      </w:r>
      <w:bookmarkEnd w:id="9"/>
      <w:r w:rsidRPr="00F6310C">
        <w:t xml:space="preserve"> </w:t>
      </w:r>
    </w:p>
    <w:p w:rsidR="00F874EE" w:rsidRPr="00F6310C" w:rsidRDefault="00BC43B0" w:rsidP="00F6310C">
      <w:pPr>
        <w:pStyle w:val="ListParagraph"/>
        <w:numPr>
          <w:ilvl w:val="0"/>
          <w:numId w:val="1"/>
        </w:numPr>
        <w:rPr>
          <w:u w:val="single"/>
        </w:rPr>
      </w:pPr>
      <w:r>
        <w:t xml:space="preserve">White H, </w:t>
      </w:r>
      <w:r w:rsidR="00834A93">
        <w:t xml:space="preserve">The Value of Narrativity in the Representation of Reality. </w:t>
      </w:r>
      <w:r w:rsidR="00834A93">
        <w:rPr>
          <w:i/>
        </w:rPr>
        <w:t xml:space="preserve">Critical inquiry, </w:t>
      </w:r>
      <w:proofErr w:type="spellStart"/>
      <w:r w:rsidR="00834A93">
        <w:t>vol</w:t>
      </w:r>
      <w:proofErr w:type="spellEnd"/>
      <w:r w:rsidR="00834A93">
        <w:t xml:space="preserve"> 7: (1980).</w:t>
      </w:r>
    </w:p>
    <w:sectPr w:rsidR="00F874EE" w:rsidRPr="00F6310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479E9" w:rsidRDefault="004479E9" w:rsidP="00833AEB">
      <w:pPr>
        <w:spacing w:after="0" w:line="240" w:lineRule="auto"/>
      </w:pPr>
      <w:r>
        <w:separator/>
      </w:r>
    </w:p>
  </w:endnote>
  <w:endnote w:type="continuationSeparator" w:id="0">
    <w:p w:rsidR="004479E9" w:rsidRDefault="004479E9" w:rsidP="00833A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33AEB" w:rsidRDefault="00833AEB">
    <w:pPr>
      <w:pStyle w:val="Footer"/>
    </w:pPr>
    <w:r>
      <w:t xml:space="preserve">1500258 – Richard Harries </w:t>
    </w:r>
  </w:p>
  <w:p w:rsidR="00833AEB" w:rsidRDefault="00833A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479E9" w:rsidRDefault="004479E9" w:rsidP="00833AEB">
      <w:pPr>
        <w:spacing w:after="0" w:line="240" w:lineRule="auto"/>
      </w:pPr>
      <w:r>
        <w:separator/>
      </w:r>
    </w:p>
  </w:footnote>
  <w:footnote w:type="continuationSeparator" w:id="0">
    <w:p w:rsidR="004479E9" w:rsidRDefault="004479E9" w:rsidP="00833AEB">
      <w:pPr>
        <w:spacing w:after="0" w:line="240" w:lineRule="auto"/>
      </w:pPr>
      <w:r>
        <w:continuationSeparator/>
      </w:r>
    </w:p>
  </w:footnote>
  <w:footnote w:id="1">
    <w:p w:rsidR="00666615" w:rsidRDefault="00666615">
      <w:pPr>
        <w:pStyle w:val="FootnoteText"/>
      </w:pPr>
      <w:r>
        <w:rPr>
          <w:rStyle w:val="FootnoteReference"/>
        </w:rPr>
        <w:footnoteRef/>
      </w:r>
      <w:r>
        <w:t xml:space="preserve"> </w:t>
      </w:r>
      <w:r w:rsidR="00F6310C">
        <w:rPr>
          <w:i/>
        </w:rPr>
        <w:t xml:space="preserve">The Patriot, </w:t>
      </w:r>
      <w:r w:rsidR="00F6310C">
        <w:t>dir. by Roland Emmerich (Columbia Pictures, 2000).</w:t>
      </w:r>
    </w:p>
  </w:footnote>
  <w:footnote w:id="2">
    <w:p w:rsidR="00666615" w:rsidRDefault="00666615">
      <w:pPr>
        <w:pStyle w:val="FootnoteText"/>
      </w:pPr>
      <w:r>
        <w:rPr>
          <w:rStyle w:val="FootnoteReference"/>
        </w:rPr>
        <w:footnoteRef/>
      </w:r>
      <w:r>
        <w:t xml:space="preserve"> </w:t>
      </w:r>
      <w:r w:rsidR="00B4575B">
        <w:t xml:space="preserve">Alex Hutchinson for Ubisoft, </w:t>
      </w:r>
      <w:r w:rsidR="00B4575B">
        <w:rPr>
          <w:i/>
        </w:rPr>
        <w:t xml:space="preserve">Assassin’s Creed III </w:t>
      </w:r>
      <w:r w:rsidR="00B4575B">
        <w:t xml:space="preserve">(2012), </w:t>
      </w:r>
      <w:proofErr w:type="spellStart"/>
      <w:r w:rsidR="00B4575B">
        <w:t>Playstation</w:t>
      </w:r>
      <w:proofErr w:type="spellEnd"/>
      <w:r w:rsidR="00B4575B">
        <w:t>, Xbox and Microsoft Windows</w:t>
      </w:r>
      <w:r w:rsidR="00B4575B">
        <w:t xml:space="preserve">. </w:t>
      </w:r>
    </w:p>
  </w:footnote>
  <w:footnote w:id="3">
    <w:p w:rsidR="003D72E6" w:rsidRDefault="003D72E6">
      <w:pPr>
        <w:pStyle w:val="FootnoteText"/>
      </w:pPr>
      <w:r>
        <w:rPr>
          <w:rStyle w:val="FootnoteReference"/>
        </w:rPr>
        <w:footnoteRef/>
      </w:r>
      <w:r>
        <w:t xml:space="preserve"> </w:t>
      </w:r>
      <w:r w:rsidR="00F6310C" w:rsidRPr="00F6310C">
        <w:t xml:space="preserve">Turn: Washington’s Spies, dir. by Henry </w:t>
      </w:r>
      <w:proofErr w:type="spellStart"/>
      <w:r w:rsidR="00F6310C" w:rsidRPr="00F6310C">
        <w:t>Bronchtein</w:t>
      </w:r>
      <w:proofErr w:type="spellEnd"/>
      <w:r w:rsidR="00F6310C" w:rsidRPr="00F6310C">
        <w:t xml:space="preserve"> (AMC, 2014-2017).</w:t>
      </w:r>
    </w:p>
  </w:footnote>
  <w:footnote w:id="4">
    <w:p w:rsidR="00A74F8D" w:rsidRDefault="00A74F8D">
      <w:pPr>
        <w:pStyle w:val="FootnoteText"/>
      </w:pPr>
      <w:r>
        <w:rPr>
          <w:rStyle w:val="FootnoteReference"/>
        </w:rPr>
        <w:footnoteRef/>
      </w:r>
      <w:r>
        <w:t xml:space="preserve"> </w:t>
      </w:r>
      <w:r w:rsidR="0039475E">
        <w:rPr>
          <w:i/>
        </w:rPr>
        <w:t xml:space="preserve">Sons of Liberty, </w:t>
      </w:r>
      <w:r w:rsidR="0039475E">
        <w:t xml:space="preserve">dir. by Kari </w:t>
      </w:r>
      <w:proofErr w:type="spellStart"/>
      <w:r w:rsidR="0039475E">
        <w:t>Skogland</w:t>
      </w:r>
      <w:proofErr w:type="spellEnd"/>
      <w:r w:rsidR="0039475E">
        <w:t xml:space="preserve"> (Stephen David Entertainment, 2015).</w:t>
      </w:r>
    </w:p>
  </w:footnote>
  <w:footnote w:id="5">
    <w:p w:rsidR="00A74F8D" w:rsidRDefault="00A74F8D">
      <w:pPr>
        <w:pStyle w:val="FootnoteText"/>
      </w:pPr>
      <w:r>
        <w:rPr>
          <w:rStyle w:val="FootnoteReference"/>
        </w:rPr>
        <w:footnoteRef/>
      </w:r>
      <w:r>
        <w:t xml:space="preserve"> </w:t>
      </w:r>
      <w:r w:rsidR="00E37870">
        <w:rPr>
          <w:i/>
        </w:rPr>
        <w:t xml:space="preserve">Hamilton, </w:t>
      </w:r>
      <w:r w:rsidR="00E37870">
        <w:t xml:space="preserve">dir. by Ron </w:t>
      </w:r>
      <w:proofErr w:type="spellStart"/>
      <w:r w:rsidR="00E37870">
        <w:t>Chernow</w:t>
      </w:r>
      <w:proofErr w:type="spellEnd"/>
      <w:r w:rsidR="00E37870">
        <w:t xml:space="preserve"> (The Public </w:t>
      </w:r>
      <w:proofErr w:type="spellStart"/>
      <w:r w:rsidR="00E37870">
        <w:t>Theater</w:t>
      </w:r>
      <w:proofErr w:type="spellEnd"/>
      <w:r w:rsidR="00E37870">
        <w:t>, 2015).</w:t>
      </w:r>
    </w:p>
  </w:footnote>
  <w:footnote w:id="6">
    <w:p w:rsidR="00324936" w:rsidRDefault="00324936">
      <w:pPr>
        <w:pStyle w:val="FootnoteText"/>
      </w:pPr>
      <w:r>
        <w:rPr>
          <w:rStyle w:val="FootnoteReference"/>
        </w:rPr>
        <w:footnoteRef/>
      </w:r>
      <w:r>
        <w:t xml:space="preserve"> J Hume, Shaping Collective Memory. </w:t>
      </w:r>
      <w:r>
        <w:rPr>
          <w:i/>
        </w:rPr>
        <w:t xml:space="preserve">‘Popular Media and the American Revolution’ </w:t>
      </w:r>
      <w:r>
        <w:t>(New York: Routledge, 2014).</w:t>
      </w:r>
    </w:p>
  </w:footnote>
  <w:footnote w:id="7">
    <w:p w:rsidR="00D87659" w:rsidRDefault="00D87659">
      <w:pPr>
        <w:pStyle w:val="FootnoteText"/>
      </w:pPr>
      <w:r>
        <w:rPr>
          <w:rStyle w:val="FootnoteReference"/>
        </w:rPr>
        <w:footnoteRef/>
      </w:r>
      <w:r>
        <w:t xml:space="preserve"> </w:t>
      </w:r>
      <w:r w:rsidR="00A576AA">
        <w:t>J Hume</w:t>
      </w:r>
      <w:r w:rsidR="00A576AA">
        <w:t xml:space="preserve">, Media, Memory and Revolution. </w:t>
      </w:r>
      <w:r w:rsidR="00A576AA">
        <w:rPr>
          <w:i/>
        </w:rPr>
        <w:t xml:space="preserve">Journal of the American Revolution: </w:t>
      </w:r>
      <w:r w:rsidR="00A576AA">
        <w:t>(2013).</w:t>
      </w:r>
    </w:p>
  </w:footnote>
  <w:footnote w:id="8">
    <w:p w:rsidR="007350AB" w:rsidRDefault="007350AB">
      <w:pPr>
        <w:pStyle w:val="FootnoteText"/>
      </w:pPr>
      <w:r>
        <w:rPr>
          <w:rStyle w:val="FootnoteReference"/>
        </w:rPr>
        <w:footnoteRef/>
      </w:r>
      <w:r>
        <w:t xml:space="preserve"> </w:t>
      </w:r>
      <w:r w:rsidR="00E56F0F">
        <w:t>H White</w:t>
      </w:r>
      <w:r w:rsidR="00E56F0F">
        <w:t xml:space="preserve">, The Value of Narrativity in the Representation of Reality. </w:t>
      </w:r>
      <w:r w:rsidR="00E56F0F">
        <w:rPr>
          <w:i/>
        </w:rPr>
        <w:t xml:space="preserve">Critical inquiry, </w:t>
      </w:r>
      <w:proofErr w:type="spellStart"/>
      <w:r w:rsidR="00E56F0F">
        <w:t>vol</w:t>
      </w:r>
      <w:proofErr w:type="spellEnd"/>
      <w:r w:rsidR="00E56F0F">
        <w:t xml:space="preserve"> 7: (1980)</w:t>
      </w:r>
      <w:r w:rsidR="00E56F0F">
        <w:t>.</w:t>
      </w:r>
    </w:p>
  </w:footnote>
  <w:footnote w:id="9">
    <w:p w:rsidR="00034BAA" w:rsidRDefault="00034BAA">
      <w:pPr>
        <w:pStyle w:val="FootnoteText"/>
      </w:pPr>
      <w:r>
        <w:rPr>
          <w:rStyle w:val="FootnoteReference"/>
        </w:rPr>
        <w:footnoteRef/>
      </w:r>
      <w:r>
        <w:t xml:space="preserve"> H </w:t>
      </w:r>
      <w:proofErr w:type="spellStart"/>
      <w:r>
        <w:t>Hoock</w:t>
      </w:r>
      <w:proofErr w:type="spellEnd"/>
      <w:r>
        <w:t xml:space="preserve">, America’s Violent Birth. </w:t>
      </w:r>
      <w:r>
        <w:rPr>
          <w:i/>
        </w:rPr>
        <w:t xml:space="preserve">‘Scars of Independence’ </w:t>
      </w:r>
      <w:r>
        <w:t>(New York: Crown, 2017).</w:t>
      </w:r>
    </w:p>
  </w:footnote>
  <w:footnote w:id="10">
    <w:p w:rsidR="0042055D" w:rsidRDefault="0042055D">
      <w:pPr>
        <w:pStyle w:val="FootnoteText"/>
      </w:pPr>
      <w:r>
        <w:rPr>
          <w:rStyle w:val="FootnoteReference"/>
        </w:rPr>
        <w:footnoteRef/>
      </w:r>
      <w:r>
        <w:t xml:space="preserve">S </w:t>
      </w:r>
      <w:proofErr w:type="spellStart"/>
      <w:r>
        <w:t>Schama</w:t>
      </w:r>
      <w:proofErr w:type="spellEnd"/>
      <w:r>
        <w:t xml:space="preserve">, Britain, the Slaves and the American Revolution. </w:t>
      </w:r>
      <w:r>
        <w:rPr>
          <w:i/>
        </w:rPr>
        <w:t xml:space="preserve">‘Rough Crossings’ </w:t>
      </w:r>
      <w:r>
        <w:t>(London: Vintage Books, 2009).</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55352CE"/>
    <w:multiLevelType w:val="hybridMultilevel"/>
    <w:tmpl w:val="FC2836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49CD"/>
    <w:rsid w:val="00004B51"/>
    <w:rsid w:val="0001566C"/>
    <w:rsid w:val="00021340"/>
    <w:rsid w:val="00034BAA"/>
    <w:rsid w:val="000753CF"/>
    <w:rsid w:val="00086568"/>
    <w:rsid w:val="00090762"/>
    <w:rsid w:val="000942E0"/>
    <w:rsid w:val="00110630"/>
    <w:rsid w:val="00144A20"/>
    <w:rsid w:val="001766E0"/>
    <w:rsid w:val="00177EB7"/>
    <w:rsid w:val="00185859"/>
    <w:rsid w:val="00195787"/>
    <w:rsid w:val="001C4262"/>
    <w:rsid w:val="001D0921"/>
    <w:rsid w:val="00200673"/>
    <w:rsid w:val="002504D1"/>
    <w:rsid w:val="002D4765"/>
    <w:rsid w:val="00324936"/>
    <w:rsid w:val="0039475E"/>
    <w:rsid w:val="00397B11"/>
    <w:rsid w:val="003D72E6"/>
    <w:rsid w:val="003E6CF5"/>
    <w:rsid w:val="0042055D"/>
    <w:rsid w:val="004479E9"/>
    <w:rsid w:val="00455CAE"/>
    <w:rsid w:val="00463203"/>
    <w:rsid w:val="00482D83"/>
    <w:rsid w:val="004B6564"/>
    <w:rsid w:val="004C2894"/>
    <w:rsid w:val="005267D4"/>
    <w:rsid w:val="00587970"/>
    <w:rsid w:val="005B4662"/>
    <w:rsid w:val="005D1700"/>
    <w:rsid w:val="005E6196"/>
    <w:rsid w:val="005F7D73"/>
    <w:rsid w:val="006163F6"/>
    <w:rsid w:val="006649CD"/>
    <w:rsid w:val="00666615"/>
    <w:rsid w:val="00680844"/>
    <w:rsid w:val="006C7CA2"/>
    <w:rsid w:val="00733D0B"/>
    <w:rsid w:val="007350AB"/>
    <w:rsid w:val="007E039A"/>
    <w:rsid w:val="00810508"/>
    <w:rsid w:val="00833AEB"/>
    <w:rsid w:val="00834A93"/>
    <w:rsid w:val="00880111"/>
    <w:rsid w:val="008B1818"/>
    <w:rsid w:val="008B223F"/>
    <w:rsid w:val="00911643"/>
    <w:rsid w:val="00915325"/>
    <w:rsid w:val="00927BE7"/>
    <w:rsid w:val="0093330A"/>
    <w:rsid w:val="00941DFC"/>
    <w:rsid w:val="00962C48"/>
    <w:rsid w:val="009670AF"/>
    <w:rsid w:val="00A51611"/>
    <w:rsid w:val="00A576AA"/>
    <w:rsid w:val="00A64CE4"/>
    <w:rsid w:val="00A74F8D"/>
    <w:rsid w:val="00A75883"/>
    <w:rsid w:val="00A85912"/>
    <w:rsid w:val="00A9585C"/>
    <w:rsid w:val="00A97F17"/>
    <w:rsid w:val="00AE21BA"/>
    <w:rsid w:val="00B0794F"/>
    <w:rsid w:val="00B31520"/>
    <w:rsid w:val="00B4575B"/>
    <w:rsid w:val="00B607BE"/>
    <w:rsid w:val="00BB475B"/>
    <w:rsid w:val="00BB5DB9"/>
    <w:rsid w:val="00BC43B0"/>
    <w:rsid w:val="00BF4F77"/>
    <w:rsid w:val="00C16D9D"/>
    <w:rsid w:val="00C170E6"/>
    <w:rsid w:val="00CD16CA"/>
    <w:rsid w:val="00CE2525"/>
    <w:rsid w:val="00CF70BD"/>
    <w:rsid w:val="00D02FBA"/>
    <w:rsid w:val="00D03C54"/>
    <w:rsid w:val="00D03EC6"/>
    <w:rsid w:val="00D106B7"/>
    <w:rsid w:val="00D552F2"/>
    <w:rsid w:val="00D67E8F"/>
    <w:rsid w:val="00D87659"/>
    <w:rsid w:val="00DD045C"/>
    <w:rsid w:val="00E200BC"/>
    <w:rsid w:val="00E22FC3"/>
    <w:rsid w:val="00E243D0"/>
    <w:rsid w:val="00E37870"/>
    <w:rsid w:val="00E56F0F"/>
    <w:rsid w:val="00E60996"/>
    <w:rsid w:val="00E73713"/>
    <w:rsid w:val="00E77F6A"/>
    <w:rsid w:val="00ED73EB"/>
    <w:rsid w:val="00F37643"/>
    <w:rsid w:val="00F6310C"/>
    <w:rsid w:val="00F874EE"/>
    <w:rsid w:val="00FC6EB3"/>
    <w:rsid w:val="00FD41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C0C18A"/>
  <w15:chartTrackingRefBased/>
  <w15:docId w15:val="{980145F2-049A-4E92-AFB4-924AD0EFA7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HAnsi"/>
        <w:sz w:val="22"/>
        <w:szCs w:val="22"/>
        <w:lang w:val="en-GB" w:eastAsia="en-US" w:bidi="ar-SA"/>
      </w:rPr>
    </w:rPrDefault>
    <w:pPrDefault>
      <w:pPr>
        <w:spacing w:after="16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C6EB3"/>
    <w:pPr>
      <w:ind w:left="720"/>
      <w:contextualSpacing/>
    </w:pPr>
  </w:style>
  <w:style w:type="paragraph" w:styleId="Header">
    <w:name w:val="header"/>
    <w:basedOn w:val="Normal"/>
    <w:link w:val="HeaderChar"/>
    <w:uiPriority w:val="99"/>
    <w:unhideWhenUsed/>
    <w:rsid w:val="00833A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3AEB"/>
  </w:style>
  <w:style w:type="paragraph" w:styleId="Footer">
    <w:name w:val="footer"/>
    <w:basedOn w:val="Normal"/>
    <w:link w:val="FooterChar"/>
    <w:uiPriority w:val="99"/>
    <w:unhideWhenUsed/>
    <w:rsid w:val="00833A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3AEB"/>
  </w:style>
  <w:style w:type="paragraph" w:styleId="FootnoteText">
    <w:name w:val="footnote text"/>
    <w:basedOn w:val="Normal"/>
    <w:link w:val="FootnoteTextChar"/>
    <w:uiPriority w:val="99"/>
    <w:semiHidden/>
    <w:unhideWhenUsed/>
    <w:rsid w:val="0066661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66615"/>
    <w:rPr>
      <w:sz w:val="20"/>
      <w:szCs w:val="20"/>
    </w:rPr>
  </w:style>
  <w:style w:type="character" w:styleId="FootnoteReference">
    <w:name w:val="footnote reference"/>
    <w:basedOn w:val="DefaultParagraphFont"/>
    <w:uiPriority w:val="99"/>
    <w:semiHidden/>
    <w:unhideWhenUsed/>
    <w:rsid w:val="00666615"/>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6EAC21-5C59-4280-BA6C-F3DF79B85A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1055</TotalTime>
  <Pages>7</Pages>
  <Words>2017</Words>
  <Characters>11498</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Harries</dc:creator>
  <cp:keywords/>
  <dc:description/>
  <cp:lastModifiedBy>Richard Harries</cp:lastModifiedBy>
  <cp:revision>57</cp:revision>
  <dcterms:created xsi:type="dcterms:W3CDTF">2017-10-24T14:19:00Z</dcterms:created>
  <dcterms:modified xsi:type="dcterms:W3CDTF">2017-11-04T19:34:00Z</dcterms:modified>
</cp:coreProperties>
</file>