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558" w:rsidRDefault="00AC0558" w:rsidP="00AC0558">
      <w:pPr>
        <w:jc w:val="center"/>
        <w:rPr>
          <w:rFonts w:ascii="Arial" w:hAnsi="Arial" w:cs="Arial"/>
          <w:b/>
          <w:sz w:val="72"/>
        </w:rPr>
      </w:pPr>
      <w:r>
        <w:rPr>
          <w:noProof/>
          <w:lang w:eastAsia="en-GB"/>
        </w:rPr>
        <w:drawing>
          <wp:anchor distT="0" distB="0" distL="114300" distR="114300" simplePos="0" relativeHeight="251658240" behindDoc="0" locked="0" layoutInCell="1" allowOverlap="1">
            <wp:simplePos x="0" y="0"/>
            <wp:positionH relativeFrom="column">
              <wp:posOffset>3781425</wp:posOffset>
            </wp:positionH>
            <wp:positionV relativeFrom="paragraph">
              <wp:posOffset>-494665</wp:posOffset>
            </wp:positionV>
            <wp:extent cx="2364740" cy="930275"/>
            <wp:effectExtent l="0" t="0" r="0" b="3175"/>
            <wp:wrapNone/>
            <wp:docPr id="23" name="Picture 23" descr="http://www.uniswales.ac.uk/wp/media/TSD_logo2013.png"/>
            <wp:cNvGraphicFramePr/>
            <a:graphic xmlns:a="http://schemas.openxmlformats.org/drawingml/2006/main">
              <a:graphicData uri="http://schemas.openxmlformats.org/drawingml/2006/picture">
                <pic:pic xmlns:pic="http://schemas.openxmlformats.org/drawingml/2006/picture">
                  <pic:nvPicPr>
                    <pic:cNvPr id="23" name="Picture 23" descr="http://www.uniswales.ac.uk/wp/media/TSD_logo2013.pn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4740" cy="930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C0558" w:rsidRPr="00AC0558" w:rsidRDefault="00AC0558" w:rsidP="00AC0558">
      <w:pPr>
        <w:jc w:val="center"/>
        <w:rPr>
          <w:rFonts w:ascii="Arial" w:hAnsi="Arial" w:cs="Arial"/>
          <w:b/>
          <w:sz w:val="52"/>
        </w:rPr>
      </w:pPr>
    </w:p>
    <w:p w:rsidR="00AC0558" w:rsidRDefault="005D1C15" w:rsidP="00AC0558">
      <w:pPr>
        <w:jc w:val="center"/>
        <w:rPr>
          <w:rFonts w:ascii="Arial" w:hAnsi="Arial" w:cs="Arial"/>
          <w:b/>
          <w:sz w:val="72"/>
        </w:rPr>
      </w:pPr>
      <w:r>
        <w:rPr>
          <w:rFonts w:ascii="Arial" w:hAnsi="Arial" w:cs="Arial"/>
          <w:b/>
          <w:sz w:val="72"/>
        </w:rPr>
        <w:t>ECAD6004</w:t>
      </w:r>
    </w:p>
    <w:p w:rsidR="00AC0558" w:rsidRPr="00AC0558" w:rsidRDefault="00AC0558" w:rsidP="00AC0558">
      <w:pPr>
        <w:jc w:val="center"/>
        <w:rPr>
          <w:rFonts w:ascii="Arial" w:hAnsi="Arial" w:cs="Arial"/>
          <w:b/>
        </w:rPr>
      </w:pPr>
    </w:p>
    <w:p w:rsidR="00AC0558" w:rsidRDefault="00AC0558" w:rsidP="00AC0558">
      <w:pPr>
        <w:jc w:val="center"/>
        <w:rPr>
          <w:rFonts w:ascii="Arial" w:hAnsi="Arial" w:cs="Arial"/>
          <w:sz w:val="56"/>
        </w:rPr>
      </w:pPr>
      <w:r>
        <w:rPr>
          <w:rFonts w:ascii="Arial" w:hAnsi="Arial" w:cs="Arial"/>
          <w:sz w:val="56"/>
        </w:rPr>
        <w:t>Primary Education with QTS</w:t>
      </w:r>
    </w:p>
    <w:p w:rsidR="00AC0558" w:rsidRDefault="00AC0558" w:rsidP="00AC0558">
      <w:pPr>
        <w:jc w:val="center"/>
        <w:rPr>
          <w:rFonts w:ascii="Arial" w:hAnsi="Arial" w:cs="Arial"/>
          <w:sz w:val="48"/>
          <w:szCs w:val="48"/>
        </w:rPr>
      </w:pPr>
    </w:p>
    <w:p w:rsidR="005D1C15" w:rsidRPr="005D1C15" w:rsidRDefault="002A4AB6" w:rsidP="005D1C15">
      <w:pPr>
        <w:jc w:val="center"/>
        <w:rPr>
          <w:rFonts w:ascii="Arial" w:hAnsi="Arial" w:cs="Arial"/>
          <w:b/>
          <w:sz w:val="40"/>
        </w:rPr>
      </w:pPr>
      <w:r w:rsidRPr="005D1C15">
        <w:rPr>
          <w:rFonts w:cs="Arial"/>
          <w:b/>
          <w:bCs/>
          <w:sz w:val="40"/>
        </w:rPr>
        <w:t>“</w:t>
      </w:r>
      <w:r w:rsidR="005D1C15" w:rsidRPr="005D1C15">
        <w:rPr>
          <w:rFonts w:ascii="Arial" w:hAnsi="Arial" w:cs="Arial"/>
          <w:b/>
          <w:sz w:val="40"/>
        </w:rPr>
        <w:t>Critically evaluate your creativity and enterprise dispositions in terms of the Entrecomp framework and how you might develop these to the next level and demonstrate progression”</w:t>
      </w:r>
    </w:p>
    <w:p w:rsidR="00AC0558" w:rsidRDefault="00AC0558" w:rsidP="005D1C15">
      <w:pPr>
        <w:rPr>
          <w:rFonts w:ascii="Arial" w:hAnsi="Arial" w:cs="Arial"/>
          <w:sz w:val="24"/>
        </w:rPr>
      </w:pPr>
    </w:p>
    <w:p w:rsidR="00AC0558" w:rsidRDefault="00AC0558" w:rsidP="00AC0558">
      <w:pPr>
        <w:jc w:val="center"/>
        <w:rPr>
          <w:rFonts w:ascii="Arial" w:hAnsi="Arial" w:cs="Arial"/>
          <w:sz w:val="48"/>
        </w:rPr>
      </w:pPr>
    </w:p>
    <w:p w:rsidR="00AC0558" w:rsidRDefault="00AC0558" w:rsidP="00AC0558">
      <w:pPr>
        <w:jc w:val="center"/>
        <w:rPr>
          <w:rFonts w:ascii="Arial" w:hAnsi="Arial" w:cs="Arial"/>
          <w:sz w:val="36"/>
          <w:szCs w:val="18"/>
        </w:rPr>
      </w:pPr>
      <w:r>
        <w:rPr>
          <w:rFonts w:ascii="Arial" w:hAnsi="Arial" w:cs="Arial"/>
          <w:sz w:val="40"/>
        </w:rPr>
        <w:t xml:space="preserve">Module Lead: </w:t>
      </w:r>
      <w:r w:rsidR="005D1C15">
        <w:rPr>
          <w:rFonts w:ascii="Arial" w:hAnsi="Arial" w:cs="Arial"/>
          <w:sz w:val="40"/>
        </w:rPr>
        <w:t>Tom Cox</w:t>
      </w:r>
    </w:p>
    <w:p w:rsidR="00AC0558" w:rsidRDefault="00AC0558" w:rsidP="00AC0558">
      <w:pPr>
        <w:jc w:val="center"/>
        <w:rPr>
          <w:rFonts w:ascii="Arial" w:hAnsi="Arial" w:cs="Arial"/>
          <w:b/>
          <w:sz w:val="72"/>
        </w:rPr>
      </w:pPr>
    </w:p>
    <w:p w:rsidR="00AC0558" w:rsidRDefault="00AC0558" w:rsidP="00AC0558">
      <w:pPr>
        <w:jc w:val="center"/>
        <w:rPr>
          <w:rFonts w:ascii="Arial" w:hAnsi="Arial" w:cs="Arial"/>
          <w:b/>
          <w:sz w:val="72"/>
        </w:rPr>
      </w:pPr>
      <w:r>
        <w:rPr>
          <w:rFonts w:ascii="Arial" w:hAnsi="Arial" w:cs="Arial"/>
          <w:b/>
          <w:sz w:val="72"/>
        </w:rPr>
        <w:t>1500444</w:t>
      </w:r>
    </w:p>
    <w:p w:rsidR="00AC0558" w:rsidRDefault="00AC0558">
      <w:r>
        <w:rPr>
          <w:noProof/>
          <w:lang w:eastAsia="en-GB"/>
        </w:rPr>
        <w:drawing>
          <wp:anchor distT="0" distB="0" distL="114300" distR="114300" simplePos="0" relativeHeight="251660288" behindDoc="0" locked="0" layoutInCell="1" allowOverlap="1">
            <wp:simplePos x="0" y="0"/>
            <wp:positionH relativeFrom="column">
              <wp:posOffset>-293370</wp:posOffset>
            </wp:positionH>
            <wp:positionV relativeFrom="paragraph">
              <wp:posOffset>302895</wp:posOffset>
            </wp:positionV>
            <wp:extent cx="2364740" cy="930275"/>
            <wp:effectExtent l="0" t="0" r="0" b="3175"/>
            <wp:wrapNone/>
            <wp:docPr id="1" name="Picture 1" descr="http://www.uniswales.ac.uk/wp/media/TSD_logo2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niswales.ac.uk/wp/media/TSD_logo201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64740" cy="930275"/>
                    </a:xfrm>
                    <a:prstGeom prst="rect">
                      <a:avLst/>
                    </a:prstGeom>
                    <a:noFill/>
                  </pic:spPr>
                </pic:pic>
              </a:graphicData>
            </a:graphic>
            <wp14:sizeRelH relativeFrom="page">
              <wp14:pctWidth>0</wp14:pctWidth>
            </wp14:sizeRelH>
            <wp14:sizeRelV relativeFrom="page">
              <wp14:pctHeight>0</wp14:pctHeight>
            </wp14:sizeRelV>
          </wp:anchor>
        </w:drawing>
      </w:r>
    </w:p>
    <w:p w:rsidR="00AC0558" w:rsidRDefault="00AC0558"/>
    <w:p w:rsidR="00A14C87" w:rsidRDefault="00A14C87" w:rsidP="00A14C87">
      <w:pPr>
        <w:spacing w:line="360" w:lineRule="auto"/>
        <w:rPr>
          <w:rFonts w:ascii="Times New Roman" w:hAnsi="Times New Roman" w:cs="Times New Roman"/>
          <w:b/>
          <w:sz w:val="28"/>
          <w:u w:val="single"/>
        </w:rPr>
      </w:pPr>
    </w:p>
    <w:p w:rsidR="00A14C87" w:rsidRDefault="00A14C87" w:rsidP="00A14C87">
      <w:pPr>
        <w:spacing w:line="360" w:lineRule="auto"/>
        <w:rPr>
          <w:rFonts w:ascii="Times New Roman" w:hAnsi="Times New Roman" w:cs="Times New Roman"/>
          <w:b/>
          <w:sz w:val="28"/>
          <w:u w:val="single"/>
        </w:rPr>
      </w:pPr>
    </w:p>
    <w:tbl>
      <w:tblPr>
        <w:tblStyle w:val="TableGrid"/>
        <w:tblW w:w="10632" w:type="dxa"/>
        <w:jc w:val="center"/>
        <w:tblInd w:w="0" w:type="dxa"/>
        <w:tblLook w:val="00A0" w:firstRow="1" w:lastRow="0" w:firstColumn="1" w:lastColumn="0" w:noHBand="0" w:noVBand="0"/>
      </w:tblPr>
      <w:tblGrid>
        <w:gridCol w:w="10632"/>
      </w:tblGrid>
      <w:tr w:rsidR="00A14C87" w:rsidTr="00A14C87">
        <w:trPr>
          <w:jc w:val="center"/>
        </w:trPr>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A14C87" w:rsidRDefault="00A14C87">
            <w:pPr>
              <w:pStyle w:val="BodyText1"/>
              <w:jc w:val="center"/>
              <w:rPr>
                <w:rFonts w:ascii="Calibri" w:hAnsi="Calibri"/>
                <w:sz w:val="22"/>
                <w:szCs w:val="22"/>
              </w:rPr>
            </w:pPr>
            <w:r>
              <w:rPr>
                <w:rFonts w:ascii="Calibri" w:hAnsi="Calibri" w:cs="Calibri"/>
                <w:b/>
                <w:color w:val="000000"/>
                <w:sz w:val="40"/>
              </w:rPr>
              <w:lastRenderedPageBreak/>
              <w:t>Student Self Evaluation Form</w:t>
            </w:r>
          </w:p>
        </w:tc>
      </w:tr>
    </w:tbl>
    <w:p w:rsidR="00A14C87" w:rsidRDefault="00A14C87" w:rsidP="00A14C87">
      <w:pPr>
        <w:pStyle w:val="BodyText1"/>
        <w:jc w:val="both"/>
        <w:rPr>
          <w:rFonts w:ascii="Calibri" w:hAnsi="Calibri"/>
          <w:sz w:val="22"/>
          <w:szCs w:val="22"/>
        </w:rPr>
      </w:pPr>
    </w:p>
    <w:p w:rsidR="00A14C87" w:rsidRDefault="00A14C87" w:rsidP="00A14C87">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A14C87" w:rsidRDefault="00A14C87" w:rsidP="00A14C87">
      <w:pPr>
        <w:pStyle w:val="BodyText1"/>
        <w:jc w:val="both"/>
        <w:rPr>
          <w:rFonts w:ascii="Calibri" w:hAnsi="Calibri"/>
          <w:sz w:val="22"/>
          <w:szCs w:val="22"/>
        </w:rPr>
      </w:pPr>
      <w:r w:rsidRPr="00A14C87">
        <w:rPr>
          <w:rFonts w:ascii="Calibri" w:hAnsi="Calibri" w:cs="Calibri"/>
          <w:b/>
          <w:noProof/>
          <w:lang w:eastAsia="en-GB"/>
        </w:rPr>
        <mc:AlternateContent>
          <mc:Choice Requires="wps">
            <w:drawing>
              <wp:anchor distT="45720" distB="45720" distL="114300" distR="114300" simplePos="0" relativeHeight="251685888" behindDoc="0" locked="0" layoutInCell="1" allowOverlap="1" wp14:anchorId="1423A389" wp14:editId="36458594">
                <wp:simplePos x="0" y="0"/>
                <wp:positionH relativeFrom="column">
                  <wp:posOffset>2859966</wp:posOffset>
                </wp:positionH>
                <wp:positionV relativeFrom="paragraph">
                  <wp:posOffset>5879712</wp:posOffset>
                </wp:positionV>
                <wp:extent cx="3562597" cy="1769424"/>
                <wp:effectExtent l="0" t="0" r="19050" b="2159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597" cy="1769424"/>
                        </a:xfrm>
                        <a:prstGeom prst="rect">
                          <a:avLst/>
                        </a:prstGeom>
                        <a:solidFill>
                          <a:srgbClr val="FFFFFF"/>
                        </a:solidFill>
                        <a:ln w="9525">
                          <a:solidFill>
                            <a:srgbClr val="000000"/>
                          </a:solidFill>
                          <a:miter lim="800000"/>
                          <a:headEnd/>
                          <a:tailEnd/>
                        </a:ln>
                      </wps:spPr>
                      <wps:txbx>
                        <w:txbxContent>
                          <w:p w:rsidR="00357B55" w:rsidRDefault="00357B55" w:rsidP="00A14C87">
                            <w:r>
                              <w:rPr>
                                <w:rFonts w:ascii="Calibri" w:hAnsi="Calibri"/>
                                <w:szCs w:val="32"/>
                              </w:rPr>
                              <w:t>I feel that areas in which I need to develop are ensuring that I am more critical in order to show a balanced argument throughout my work</w:t>
                            </w:r>
                            <w:r w:rsidR="004E4232">
                              <w:rPr>
                                <w:rFonts w:ascii="Calibri" w:hAnsi="Calibri"/>
                                <w:szCs w:val="32"/>
                              </w:rPr>
                              <w:t>, especially when evaluating my own performance</w:t>
                            </w:r>
                            <w:r>
                              <w:rPr>
                                <w:rFonts w:ascii="Calibri" w:hAnsi="Calibri"/>
                                <w:szCs w:val="32"/>
                              </w:rPr>
                              <w:t xml:space="preserve">. However, I found it difficult to </w:t>
                            </w:r>
                            <w:r w:rsidR="004E4232">
                              <w:rPr>
                                <w:rFonts w:ascii="Calibri" w:hAnsi="Calibri"/>
                                <w:szCs w:val="32"/>
                              </w:rPr>
                              <w:t xml:space="preserve">select specific readings to link to my own performance due to the limited work count.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23A389" id="_x0000_t202" coordsize="21600,21600" o:spt="202" path="m,l,21600r21600,l21600,xe">
                <v:stroke joinstyle="miter"/>
                <v:path gradientshapeok="t" o:connecttype="rect"/>
              </v:shapetype>
              <v:shape id="Text Box 2" o:spid="_x0000_s1026" type="#_x0000_t202" style="position:absolute;left:0;text-align:left;margin-left:225.2pt;margin-top:462.95pt;width:280.5pt;height:139.3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">
                <v:textbox>
                  <w:txbxContent>
                    <w:p w:rsidR="00357B55" w:rsidRDefault="00357B55" w:rsidP="00A14C87">
                      <w:r>
                        <w:rPr>
                          <w:rFonts w:ascii="Calibri" w:hAnsi="Calibri"/>
                          <w:szCs w:val="32"/>
                        </w:rPr>
                        <w:t>I feel that areas in which I need to develop are ensuring that I am more critical in order to show a balanced argument throughout my work</w:t>
                      </w:r>
                      <w:r w:rsidR="004E4232">
                        <w:rPr>
                          <w:rFonts w:ascii="Calibri" w:hAnsi="Calibri"/>
                          <w:szCs w:val="32"/>
                        </w:rPr>
                        <w:t>, especially when evaluating my own performance</w:t>
                      </w:r>
                      <w:r>
                        <w:rPr>
                          <w:rFonts w:ascii="Calibri" w:hAnsi="Calibri"/>
                          <w:szCs w:val="32"/>
                        </w:rPr>
                        <w:t xml:space="preserve">. However, I found it difficult to </w:t>
                      </w:r>
                      <w:r w:rsidR="004E4232">
                        <w:rPr>
                          <w:rFonts w:ascii="Calibri" w:hAnsi="Calibri"/>
                          <w:szCs w:val="32"/>
                        </w:rPr>
                        <w:t xml:space="preserve">select specific readings to link to my own performance due to the limited work count. </w:t>
                      </w:r>
                    </w:p>
                  </w:txbxContent>
                </v:textbox>
              </v:shape>
            </w:pict>
          </mc:Fallback>
        </mc:AlternateContent>
      </w:r>
      <w:r w:rsidRPr="00A14C87">
        <w:rPr>
          <w:rFonts w:ascii="Calibri" w:hAnsi="Calibri" w:cs="Calibri"/>
          <w:b/>
          <w:noProof/>
          <w:lang w:eastAsia="en-GB"/>
        </w:rPr>
        <mc:AlternateContent>
          <mc:Choice Requires="wps">
            <w:drawing>
              <wp:anchor distT="45720" distB="45720" distL="114300" distR="114300" simplePos="0" relativeHeight="251683840" behindDoc="0" locked="0" layoutInCell="1" allowOverlap="1">
                <wp:simplePos x="0" y="0"/>
                <wp:positionH relativeFrom="column">
                  <wp:posOffset>-700645</wp:posOffset>
                </wp:positionH>
                <wp:positionV relativeFrom="paragraph">
                  <wp:posOffset>5882483</wp:posOffset>
                </wp:positionV>
                <wp:extent cx="3562597" cy="1769424"/>
                <wp:effectExtent l="0" t="0" r="19050" b="2159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597" cy="1769424"/>
                        </a:xfrm>
                        <a:prstGeom prst="rect">
                          <a:avLst/>
                        </a:prstGeom>
                        <a:solidFill>
                          <a:srgbClr val="FFFFFF"/>
                        </a:solidFill>
                        <a:ln w="9525">
                          <a:solidFill>
                            <a:srgbClr val="000000"/>
                          </a:solidFill>
                          <a:miter lim="800000"/>
                          <a:headEnd/>
                          <a:tailEnd/>
                        </a:ln>
                      </wps:spPr>
                      <wps:txbx>
                        <w:txbxContent>
                          <w:p w:rsidR="00357B55" w:rsidRDefault="00357B55">
                            <w:r>
                              <w:rPr>
                                <w:rFonts w:ascii="Calibri" w:hAnsi="Calibri"/>
                                <w:szCs w:val="32"/>
                              </w:rPr>
                              <w:t xml:space="preserve">I feel that I have successfully used a </w:t>
                            </w:r>
                            <w:r w:rsidR="004E4232">
                              <w:rPr>
                                <w:rFonts w:ascii="Calibri" w:hAnsi="Calibri"/>
                                <w:szCs w:val="32"/>
                              </w:rPr>
                              <w:t xml:space="preserve">wide range of reading in order to support the points made within my work. Additionally, I have begun to critically evaluate my own performance relating to creativity and enterprise weighing up both the strengths and weaknesses. Finally, I think that my work is well presented with very few errors.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55.15pt;margin-top:463.2pt;width:280.5pt;height:139.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">
                <v:textbox>
                  <w:txbxContent>
                    <w:p w:rsidR="00357B55" w:rsidRDefault="00357B55">
                      <w:r>
                        <w:rPr>
                          <w:rFonts w:ascii="Calibri" w:hAnsi="Calibri"/>
                          <w:szCs w:val="32"/>
                        </w:rPr>
                        <w:t xml:space="preserve">I feel that I have successfully used a </w:t>
                      </w:r>
                      <w:r w:rsidR="004E4232">
                        <w:rPr>
                          <w:rFonts w:ascii="Calibri" w:hAnsi="Calibri"/>
                          <w:szCs w:val="32"/>
                        </w:rPr>
                        <w:t xml:space="preserve">wide range of reading in order to support the points made within my work. Additionally, I have begun to critically evaluate my own performance relating to creativity and enterprise weighing up both the strengths and weaknesses. Finally, I think that my work is well presented with very few errors. </w:t>
                      </w:r>
                    </w:p>
                  </w:txbxContent>
                </v:textbox>
              </v:shape>
            </w:pict>
          </mc:Fallback>
        </mc:AlternateContent>
      </w:r>
    </w:p>
    <w:tbl>
      <w:tblPr>
        <w:tblW w:w="6203" w:type="pct"/>
        <w:jc w:val="center"/>
        <w:tblLayout w:type="fixed"/>
        <w:tblLook w:val="04A0" w:firstRow="1" w:lastRow="0" w:firstColumn="1" w:lastColumn="0" w:noHBand="0" w:noVBand="1"/>
      </w:tblPr>
      <w:tblGrid>
        <w:gridCol w:w="2509"/>
        <w:gridCol w:w="1238"/>
        <w:gridCol w:w="1176"/>
        <w:gridCol w:w="670"/>
        <w:gridCol w:w="523"/>
        <w:gridCol w:w="1342"/>
        <w:gridCol w:w="1193"/>
        <w:gridCol w:w="1294"/>
        <w:gridCol w:w="1240"/>
      </w:tblGrid>
      <w:tr w:rsidR="00A14C87" w:rsidTr="00A14C87">
        <w:trPr>
          <w:jc w:val="center"/>
        </w:trPr>
        <w:tc>
          <w:tcPr>
            <w:tcW w:w="2509"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8676" w:type="dxa"/>
            <w:gridSpan w:val="8"/>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rPr>
            </w:pPr>
            <w:r>
              <w:rPr>
                <w:rFonts w:ascii="Calibri" w:hAnsi="Calibri"/>
                <w:b/>
              </w:rPr>
              <w:t>Level of Achievement</w:t>
            </w:r>
          </w:p>
        </w:tc>
      </w:tr>
      <w:tr w:rsidR="00A14C87" w:rsidTr="00A14C87">
        <w:trPr>
          <w:trHeight w:val="548"/>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b/>
                <w:szCs w:val="24"/>
                <w:lang w:val="en-US"/>
              </w:rPr>
            </w:pPr>
          </w:p>
        </w:tc>
        <w:tc>
          <w:tcPr>
            <w:tcW w:w="2414"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REFER</w:t>
            </w:r>
          </w:p>
        </w:tc>
        <w:tc>
          <w:tcPr>
            <w:tcW w:w="1193"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3</w:t>
            </w:r>
            <w:r>
              <w:rPr>
                <w:rFonts w:ascii="Calibri" w:hAnsi="Calibri"/>
                <w:b/>
                <w:sz w:val="18"/>
                <w:vertAlign w:val="superscript"/>
              </w:rPr>
              <w:t>rd</w:t>
            </w:r>
          </w:p>
        </w:tc>
        <w:tc>
          <w:tcPr>
            <w:tcW w:w="13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2:2</w:t>
            </w:r>
          </w:p>
        </w:tc>
        <w:tc>
          <w:tcPr>
            <w:tcW w:w="119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2:1</w:t>
            </w:r>
          </w:p>
        </w:tc>
        <w:tc>
          <w:tcPr>
            <w:tcW w:w="2534"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jc w:val="center"/>
              <w:rPr>
                <w:rFonts w:ascii="Calibri" w:hAnsi="Calibri"/>
                <w:b/>
                <w:sz w:val="18"/>
              </w:rPr>
            </w:pPr>
            <w:r>
              <w:rPr>
                <w:rFonts w:ascii="Calibri" w:hAnsi="Calibri"/>
                <w:b/>
                <w:sz w:val="18"/>
              </w:rPr>
              <w:t>1</w:t>
            </w:r>
            <w:r>
              <w:rPr>
                <w:rFonts w:ascii="Calibri" w:hAnsi="Calibri"/>
                <w:b/>
                <w:sz w:val="18"/>
                <w:vertAlign w:val="superscript"/>
              </w:rPr>
              <w:t>st</w:t>
            </w:r>
          </w:p>
        </w:tc>
      </w:tr>
      <w:tr w:rsidR="00A14C87" w:rsidTr="00A14C87">
        <w:trPr>
          <w:trHeight w:val="450"/>
          <w:jc w:val="center"/>
        </w:trPr>
        <w:tc>
          <w:tcPr>
            <w:tcW w:w="2509" w:type="dxa"/>
            <w:tcBorders>
              <w:top w:val="single" w:sz="4" w:space="0" w:color="auto"/>
              <w:left w:val="single" w:sz="4" w:space="0" w:color="auto"/>
              <w:bottom w:val="nil"/>
              <w:right w:val="single" w:sz="4" w:space="0" w:color="auto"/>
            </w:tcBorders>
            <w:shd w:val="clear" w:color="auto" w:fill="BFBFBF"/>
          </w:tcPr>
          <w:p w:rsidR="00A14C87" w:rsidRDefault="00A14C87">
            <w:pPr>
              <w:rPr>
                <w:rFonts w:ascii="Calibri" w:hAnsi="Calibri"/>
                <w:b/>
                <w:sz w:val="24"/>
                <w:szCs w:val="16"/>
              </w:rPr>
            </w:pPr>
          </w:p>
        </w:tc>
        <w:tc>
          <w:tcPr>
            <w:tcW w:w="123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OUTRIGHT FAIL</w:t>
            </w:r>
          </w:p>
        </w:tc>
        <w:tc>
          <w:tcPr>
            <w:tcW w:w="11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UNSATISFACTORY</w:t>
            </w:r>
          </w:p>
        </w:tc>
        <w:tc>
          <w:tcPr>
            <w:tcW w:w="1193"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SATISFACTORY</w:t>
            </w:r>
          </w:p>
        </w:tc>
        <w:tc>
          <w:tcPr>
            <w:tcW w:w="134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GOOD</w:t>
            </w:r>
          </w:p>
        </w:tc>
        <w:tc>
          <w:tcPr>
            <w:tcW w:w="119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VERY GOOD</w:t>
            </w:r>
          </w:p>
        </w:tc>
        <w:tc>
          <w:tcPr>
            <w:tcW w:w="129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EXCELLENT</w:t>
            </w:r>
          </w:p>
        </w:tc>
        <w:tc>
          <w:tcPr>
            <w:tcW w:w="1240"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14C87" w:rsidRDefault="00A14C87">
            <w:pPr>
              <w:spacing w:after="120"/>
              <w:jc w:val="center"/>
              <w:rPr>
                <w:rFonts w:ascii="Calibri" w:hAnsi="Calibri"/>
                <w:b/>
                <w:sz w:val="12"/>
                <w:szCs w:val="16"/>
              </w:rPr>
            </w:pPr>
            <w:r>
              <w:rPr>
                <w:rFonts w:ascii="Calibri" w:hAnsi="Calibri"/>
                <w:b/>
                <w:sz w:val="12"/>
                <w:szCs w:val="16"/>
              </w:rPr>
              <w:t>EXCEPTIONAL</w:t>
            </w: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46"/>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4"/>
                <w:szCs w:val="1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hideMark/>
          </w:tcPr>
          <w:p w:rsidR="00A14C87" w:rsidRDefault="00A14C87">
            <w:pPr>
              <w:jc w:val="center"/>
              <w:rPr>
                <w:rFonts w:ascii="Calibri" w:hAnsi="Calibri"/>
                <w:szCs w:val="32"/>
              </w:rPr>
            </w:pP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02192F">
            <w:pPr>
              <w:jc w:val="center"/>
              <w:rPr>
                <w:rFonts w:ascii="Calibri" w:hAnsi="Calibri"/>
                <w:szCs w:val="32"/>
              </w:rPr>
            </w:pPr>
            <w:r>
              <w:rPr>
                <w:noProof/>
                <w:szCs w:val="24"/>
                <w:lang w:eastAsia="en-GB"/>
              </w:rPr>
              <w:drawing>
                <wp:anchor distT="0" distB="0" distL="114300" distR="114300" simplePos="0" relativeHeight="251679744" behindDoc="0" locked="0" layoutInCell="1" allowOverlap="1">
                  <wp:simplePos x="0" y="0"/>
                  <wp:positionH relativeFrom="column">
                    <wp:posOffset>155575</wp:posOffset>
                  </wp:positionH>
                  <wp:positionV relativeFrom="paragraph">
                    <wp:posOffset>38100</wp:posOffset>
                  </wp:positionV>
                  <wp:extent cx="304800" cy="281940"/>
                  <wp:effectExtent l="0" t="0" r="0" b="3810"/>
                  <wp:wrapNone/>
                  <wp:docPr id="16" name="Picture 16"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18"/>
                <w:szCs w:val="32"/>
              </w:rPr>
            </w:pP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70"/>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b/>
                <w:sz w:val="24"/>
                <w:szCs w:val="2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hideMark/>
          </w:tcPr>
          <w:p w:rsidR="00A14C87" w:rsidRDefault="00A14C87">
            <w:pPr>
              <w:jc w:val="center"/>
              <w:rPr>
                <w:rFonts w:ascii="Calibri" w:hAnsi="Calibri"/>
                <w:szCs w:val="32"/>
              </w:rPr>
            </w:pPr>
            <w:r>
              <w:rPr>
                <w:noProof/>
                <w:szCs w:val="24"/>
                <w:lang w:eastAsia="en-GB"/>
              </w:rPr>
              <w:drawing>
                <wp:anchor distT="0" distB="0" distL="114300" distR="114300" simplePos="0" relativeHeight="251680768" behindDoc="0" locked="0" layoutInCell="1" allowOverlap="1">
                  <wp:simplePos x="0" y="0"/>
                  <wp:positionH relativeFrom="column">
                    <wp:posOffset>154305</wp:posOffset>
                  </wp:positionH>
                  <wp:positionV relativeFrom="paragraph">
                    <wp:posOffset>138430</wp:posOffset>
                  </wp:positionV>
                  <wp:extent cx="304800" cy="281940"/>
                  <wp:effectExtent l="0" t="0" r="0" b="3810"/>
                  <wp:wrapNone/>
                  <wp:docPr id="15" name="Picture 15"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193"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450"/>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b/>
                <w:szCs w:val="16"/>
              </w:rPr>
            </w:pPr>
            <w:r>
              <w:rPr>
                <w:rFonts w:ascii="Calibri" w:hAnsi="Calibri"/>
                <w:b/>
                <w:szCs w:val="16"/>
              </w:rPr>
              <w:t>3. Pedagogic and Professional Applications</w:t>
            </w:r>
          </w:p>
          <w:p w:rsidR="00A14C87" w:rsidRDefault="00A14C87">
            <w:pPr>
              <w:rPr>
                <w:rFonts w:ascii="Calibri" w:hAnsi="Calibri"/>
                <w:sz w:val="18"/>
                <w:szCs w:val="18"/>
              </w:rPr>
            </w:pPr>
            <w:r>
              <w:rPr>
                <w:rFonts w:ascii="Calibri" w:hAnsi="Calibri"/>
                <w:sz w:val="18"/>
                <w:szCs w:val="18"/>
              </w:rPr>
              <w:t>(Practical Application and Deployment)</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1095"/>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8"/>
                <w:szCs w:val="18"/>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hideMark/>
          </w:tcPr>
          <w:p w:rsidR="00A14C87" w:rsidRDefault="004E4232">
            <w:pPr>
              <w:jc w:val="center"/>
              <w:rPr>
                <w:rFonts w:ascii="Calibri" w:hAnsi="Calibri"/>
                <w:szCs w:val="32"/>
              </w:rPr>
            </w:pPr>
            <w:r>
              <w:rPr>
                <w:noProof/>
                <w:szCs w:val="24"/>
                <w:lang w:eastAsia="en-GB"/>
              </w:rPr>
              <w:drawing>
                <wp:anchor distT="0" distB="0" distL="114300" distR="114300" simplePos="0" relativeHeight="251678720" behindDoc="0" locked="0" layoutInCell="1" allowOverlap="1">
                  <wp:simplePos x="0" y="0"/>
                  <wp:positionH relativeFrom="column">
                    <wp:posOffset>165735</wp:posOffset>
                  </wp:positionH>
                  <wp:positionV relativeFrom="paragraph">
                    <wp:posOffset>48895</wp:posOffset>
                  </wp:positionV>
                  <wp:extent cx="304800" cy="281940"/>
                  <wp:effectExtent l="0" t="0" r="0" b="3810"/>
                  <wp:wrapNone/>
                  <wp:docPr id="14" name="Picture 14"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94"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451"/>
          <w:jc w:val="center"/>
        </w:trPr>
        <w:tc>
          <w:tcPr>
            <w:tcW w:w="2509" w:type="dxa"/>
            <w:vMerge w:val="restart"/>
            <w:tcBorders>
              <w:top w:val="single" w:sz="4" w:space="0" w:color="auto"/>
              <w:left w:val="single" w:sz="4" w:space="0" w:color="auto"/>
              <w:bottom w:val="single" w:sz="4" w:space="0" w:color="auto"/>
              <w:right w:val="single" w:sz="4" w:space="0" w:color="auto"/>
            </w:tcBorders>
            <w:hideMark/>
          </w:tcPr>
          <w:p w:rsidR="00A14C87" w:rsidRDefault="00A14C87">
            <w:pPr>
              <w:rPr>
                <w:rFonts w:ascii="Calibri" w:hAnsi="Calibri"/>
                <w:sz w:val="14"/>
                <w:szCs w:val="14"/>
              </w:rPr>
            </w:pPr>
            <w:r>
              <w:rPr>
                <w:rFonts w:ascii="Calibri" w:hAnsi="Calibri"/>
                <w:b/>
                <w:szCs w:val="16"/>
              </w:rPr>
              <w:t>4. Key Transferable Skills</w:t>
            </w:r>
          </w:p>
        </w:tc>
        <w:tc>
          <w:tcPr>
            <w:tcW w:w="1238"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szCs w:val="24"/>
              </w:rPr>
            </w:pPr>
            <w:r>
              <w:rPr>
                <w:rFonts w:ascii="Calibri" w:hAnsi="Calibri"/>
                <w:sz w:val="18"/>
              </w:rPr>
              <w:t>0-29%</w:t>
            </w:r>
          </w:p>
        </w:tc>
        <w:tc>
          <w:tcPr>
            <w:tcW w:w="1176"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sz w:val="18"/>
              </w:rPr>
            </w:pPr>
            <w:r>
              <w:rPr>
                <w:rFonts w:ascii="Calibri" w:hAnsi="Calibri"/>
                <w:sz w:val="18"/>
              </w:rPr>
              <w:t>30-39%</w:t>
            </w:r>
          </w:p>
        </w:tc>
        <w:tc>
          <w:tcPr>
            <w:tcW w:w="1193" w:type="dxa"/>
            <w:gridSpan w:val="2"/>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40-49%</w:t>
            </w:r>
          </w:p>
        </w:tc>
        <w:tc>
          <w:tcPr>
            <w:tcW w:w="1342"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50-59%</w:t>
            </w:r>
          </w:p>
        </w:tc>
        <w:tc>
          <w:tcPr>
            <w:tcW w:w="1193"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60-69%</w:t>
            </w:r>
          </w:p>
        </w:tc>
        <w:tc>
          <w:tcPr>
            <w:tcW w:w="1294"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70-79%</w:t>
            </w:r>
          </w:p>
        </w:tc>
        <w:tc>
          <w:tcPr>
            <w:tcW w:w="1240" w:type="dxa"/>
            <w:tcBorders>
              <w:top w:val="single" w:sz="4" w:space="0" w:color="auto"/>
              <w:left w:val="single" w:sz="4" w:space="0" w:color="auto"/>
              <w:bottom w:val="single" w:sz="4" w:space="0" w:color="auto"/>
              <w:right w:val="single" w:sz="4" w:space="0" w:color="auto"/>
            </w:tcBorders>
            <w:hideMark/>
          </w:tcPr>
          <w:p w:rsidR="00A14C87" w:rsidRDefault="00A14C87">
            <w:pPr>
              <w:jc w:val="center"/>
              <w:rPr>
                <w:rFonts w:ascii="Calibri" w:hAnsi="Calibri"/>
                <w:b/>
                <w:sz w:val="18"/>
              </w:rPr>
            </w:pPr>
            <w:r>
              <w:rPr>
                <w:rFonts w:ascii="Calibri" w:hAnsi="Calibri"/>
                <w:b/>
                <w:sz w:val="18"/>
              </w:rPr>
              <w:t>80-100%</w:t>
            </w:r>
          </w:p>
        </w:tc>
      </w:tr>
      <w:tr w:rsidR="00A14C87" w:rsidTr="00A14C87">
        <w:trPr>
          <w:trHeight w:val="947"/>
          <w:jc w:val="center"/>
        </w:trPr>
        <w:tc>
          <w:tcPr>
            <w:tcW w:w="2509" w:type="dxa"/>
            <w:vMerge/>
            <w:tcBorders>
              <w:top w:val="single" w:sz="4" w:space="0" w:color="auto"/>
              <w:left w:val="single" w:sz="4" w:space="0" w:color="auto"/>
              <w:bottom w:val="single" w:sz="4" w:space="0" w:color="auto"/>
              <w:right w:val="single" w:sz="4" w:space="0" w:color="auto"/>
            </w:tcBorders>
            <w:vAlign w:val="center"/>
            <w:hideMark/>
          </w:tcPr>
          <w:p w:rsidR="00A14C87" w:rsidRDefault="00A14C87">
            <w:pPr>
              <w:rPr>
                <w:rFonts w:ascii="Calibri" w:hAnsi="Calibri"/>
                <w:sz w:val="14"/>
                <w:szCs w:val="14"/>
                <w:lang w:val="en-US"/>
              </w:rPr>
            </w:pPr>
          </w:p>
        </w:tc>
        <w:tc>
          <w:tcPr>
            <w:tcW w:w="1238"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 w:val="24"/>
                <w:szCs w:val="32"/>
              </w:rPr>
            </w:pPr>
          </w:p>
        </w:tc>
        <w:tc>
          <w:tcPr>
            <w:tcW w:w="1176"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gridSpan w:val="2"/>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342"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193"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c>
          <w:tcPr>
            <w:tcW w:w="1294" w:type="dxa"/>
            <w:tcBorders>
              <w:top w:val="single" w:sz="4" w:space="0" w:color="auto"/>
              <w:left w:val="single" w:sz="4" w:space="0" w:color="auto"/>
              <w:bottom w:val="single" w:sz="4" w:space="0" w:color="auto"/>
              <w:right w:val="single" w:sz="4" w:space="0" w:color="auto"/>
            </w:tcBorders>
            <w:vAlign w:val="center"/>
            <w:hideMark/>
          </w:tcPr>
          <w:p w:rsidR="00A14C87" w:rsidRDefault="00A14C87">
            <w:pPr>
              <w:jc w:val="center"/>
              <w:rPr>
                <w:rFonts w:ascii="Calibri" w:hAnsi="Calibri"/>
                <w:szCs w:val="32"/>
              </w:rPr>
            </w:pPr>
            <w:r>
              <w:rPr>
                <w:noProof/>
                <w:szCs w:val="24"/>
                <w:lang w:eastAsia="en-GB"/>
              </w:rPr>
              <w:drawing>
                <wp:anchor distT="0" distB="0" distL="114300" distR="114300" simplePos="0" relativeHeight="251681792" behindDoc="0" locked="0" layoutInCell="1" allowOverlap="1">
                  <wp:simplePos x="0" y="0"/>
                  <wp:positionH relativeFrom="column">
                    <wp:posOffset>213995</wp:posOffset>
                  </wp:positionH>
                  <wp:positionV relativeFrom="paragraph">
                    <wp:posOffset>150495</wp:posOffset>
                  </wp:positionV>
                  <wp:extent cx="304800" cy="281940"/>
                  <wp:effectExtent l="0" t="0" r="0" b="3810"/>
                  <wp:wrapNone/>
                  <wp:docPr id="6" name="Picture 6" descr="Image result for tick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ick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800" cy="281940"/>
                          </a:xfrm>
                          <a:prstGeom prst="rect">
                            <a:avLst/>
                          </a:prstGeom>
                          <a:noFill/>
                        </pic:spPr>
                      </pic:pic>
                    </a:graphicData>
                  </a:graphic>
                  <wp14:sizeRelH relativeFrom="page">
                    <wp14:pctWidth>0</wp14:pctWidth>
                  </wp14:sizeRelH>
                  <wp14:sizeRelV relativeFrom="page">
                    <wp14:pctHeight>0</wp14:pctHeight>
                  </wp14:sizeRelV>
                </wp:anchor>
              </w:drawing>
            </w:r>
          </w:p>
        </w:tc>
        <w:tc>
          <w:tcPr>
            <w:tcW w:w="1240" w:type="dxa"/>
            <w:tcBorders>
              <w:top w:val="single" w:sz="4" w:space="0" w:color="auto"/>
              <w:left w:val="single" w:sz="4" w:space="0" w:color="auto"/>
              <w:bottom w:val="single" w:sz="4" w:space="0" w:color="auto"/>
              <w:right w:val="single" w:sz="4" w:space="0" w:color="auto"/>
            </w:tcBorders>
            <w:vAlign w:val="center"/>
          </w:tcPr>
          <w:p w:rsidR="00A14C87" w:rsidRDefault="00A14C87">
            <w:pPr>
              <w:jc w:val="center"/>
              <w:rPr>
                <w:rFonts w:ascii="Calibri" w:hAnsi="Calibri"/>
                <w:szCs w:val="32"/>
              </w:rPr>
            </w:pPr>
          </w:p>
        </w:tc>
      </w:tr>
      <w:tr w:rsidR="00A14C87" w:rsidTr="00A14C87">
        <w:trPr>
          <w:trHeight w:val="167"/>
          <w:jc w:val="center"/>
        </w:trPr>
        <w:tc>
          <w:tcPr>
            <w:tcW w:w="11185" w:type="dxa"/>
            <w:gridSpan w:val="9"/>
            <w:tcBorders>
              <w:top w:val="single" w:sz="4" w:space="0" w:color="auto"/>
              <w:left w:val="nil"/>
              <w:bottom w:val="single" w:sz="4" w:space="0" w:color="auto"/>
              <w:right w:val="nil"/>
            </w:tcBorders>
          </w:tcPr>
          <w:p w:rsidR="00A14C87" w:rsidRDefault="00A14C87">
            <w:pPr>
              <w:spacing w:before="120" w:after="120"/>
              <w:jc w:val="both"/>
              <w:rPr>
                <w:rFonts w:ascii="Calibri" w:hAnsi="Calibri" w:cs="Calibri"/>
                <w:b/>
                <w:sz w:val="4"/>
                <w:szCs w:val="24"/>
              </w:rPr>
            </w:pPr>
          </w:p>
        </w:tc>
      </w:tr>
      <w:tr w:rsidR="00A14C87" w:rsidTr="00A14C87">
        <w:trPr>
          <w:trHeight w:val="953"/>
          <w:jc w:val="center"/>
        </w:trPr>
        <w:tc>
          <w:tcPr>
            <w:tcW w:w="559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A14C87" w:rsidRDefault="00A14C87">
            <w:pPr>
              <w:spacing w:before="120" w:after="120"/>
              <w:jc w:val="both"/>
              <w:rPr>
                <w:rFonts w:ascii="Calibri" w:hAnsi="Calibri" w:cs="Calibri"/>
                <w:b/>
                <w:sz w:val="24"/>
              </w:rPr>
            </w:pPr>
            <w:r>
              <w:rPr>
                <w:rFonts w:ascii="Calibri" w:hAnsi="Calibri" w:cs="Calibri"/>
                <w:b/>
              </w:rPr>
              <w:t xml:space="preserve">PLEASE COMMENT ON AREAS IN WHICH YOU FEEL THAT YOU HAVE PERFORMED WELL </w:t>
            </w:r>
          </w:p>
        </w:tc>
        <w:tc>
          <w:tcPr>
            <w:tcW w:w="5592" w:type="dxa"/>
            <w:gridSpan w:val="5"/>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A14C87" w:rsidRDefault="00A14C8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bl>
    <w:p w:rsidR="00A14C87" w:rsidRDefault="00A14C87" w:rsidP="00A14C87">
      <w:pPr>
        <w:rPr>
          <w:szCs w:val="24"/>
          <w:lang w:val="en-US"/>
        </w:rPr>
      </w:pPr>
    </w:p>
    <w:p w:rsidR="00A14C87" w:rsidRDefault="00A14C87" w:rsidP="00A14C87"/>
    <w:p w:rsidR="00A14C87" w:rsidRDefault="00A14C87" w:rsidP="00AC0558">
      <w:pPr>
        <w:spacing w:line="360" w:lineRule="auto"/>
        <w:jc w:val="center"/>
        <w:rPr>
          <w:rFonts w:ascii="Times New Roman" w:hAnsi="Times New Roman" w:cs="Times New Roman"/>
          <w:b/>
          <w:sz w:val="28"/>
          <w:u w:val="single"/>
        </w:rPr>
      </w:pPr>
    </w:p>
    <w:p w:rsidR="00A14C87" w:rsidRDefault="00A14C87" w:rsidP="00AC0558">
      <w:pPr>
        <w:spacing w:line="360" w:lineRule="auto"/>
        <w:jc w:val="center"/>
        <w:rPr>
          <w:rFonts w:ascii="Times New Roman" w:hAnsi="Times New Roman" w:cs="Times New Roman"/>
          <w:b/>
          <w:sz w:val="28"/>
          <w:u w:val="single"/>
        </w:rPr>
      </w:pPr>
    </w:p>
    <w:p w:rsidR="00A14C87" w:rsidRDefault="00A14C87" w:rsidP="00AC0558">
      <w:pPr>
        <w:spacing w:line="360" w:lineRule="auto"/>
        <w:jc w:val="center"/>
        <w:rPr>
          <w:rFonts w:ascii="Times New Roman" w:hAnsi="Times New Roman" w:cs="Times New Roman"/>
          <w:b/>
          <w:sz w:val="28"/>
          <w:u w:val="single"/>
        </w:rPr>
      </w:pPr>
    </w:p>
    <w:p w:rsidR="0002192F" w:rsidRDefault="0002192F" w:rsidP="00AC0558"/>
    <w:p w:rsidR="00AC0558" w:rsidRDefault="005D1C15" w:rsidP="005D1C15">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ECAD6004</w:t>
      </w:r>
      <w:r w:rsidR="00DA3766">
        <w:rPr>
          <w:rFonts w:ascii="Times New Roman" w:hAnsi="Times New Roman" w:cs="Times New Roman"/>
          <w:b/>
          <w:sz w:val="24"/>
          <w:szCs w:val="24"/>
          <w:u w:val="single"/>
        </w:rPr>
        <w:t xml:space="preserve"> Assignment</w:t>
      </w:r>
    </w:p>
    <w:p w:rsidR="005D1C15" w:rsidRDefault="005D1C15" w:rsidP="005D1C15">
      <w:pPr>
        <w:spacing w:line="360" w:lineRule="auto"/>
        <w:rPr>
          <w:rFonts w:ascii="Times New Roman" w:hAnsi="Times New Roman" w:cs="Times New Roman"/>
          <w:b/>
          <w:sz w:val="24"/>
          <w:szCs w:val="24"/>
          <w:u w:val="single"/>
        </w:rPr>
      </w:pPr>
    </w:p>
    <w:p w:rsid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“Creativity means a person’s capacity to produce new or original ideas, insights, restructurings, inventions, or artistic objects, which are accepted by experts as being of scientific, aesthetic, social, or technological value” (Vernon, as cited in Jones and Wyse, 2004:3). Creativity and enterprise can be enhanced within the primary school by the way that teachers work with learners. Wilson (2015) and Desailly (2012) highlights the importance of modelling and nurturing one’s own creativity with the children, which as a result will provide opportunities for these learners to enhance and foster their own creativity and enterprise skills, whilst giving them the “confidence to try” (Wilson, 2015:34). Creativity and enterprise within the primary school provides several opportunities and challenges which teachers need to consider. As Boden, 2001 (as cited in Wilson, 2015) states, creative thinking comes from what we already know and engaging with other people’s ideas. Therefore every child within the class will have some elements of creativity which can be developed through collaboration with others and from modelling by the practitioner. Enterprise can be defined as “the generation of ideas that leads to creativity” (Cox, 2017) which shows how creativity and enterprise are closely correlated. Within the Successful Futures report, Donaldson (2015:28) states that creativity and enterprise are central features of modern life and thus learners should have opportunities to “stimulate their imagination in ways that engender excitement, are personally fulfilling and foster creative thinking”. Additionally Bacigalupo et al (2016) highlights that the development of the entrepreneurial capacity has been a main objective for the EU for many years, hence it is important that as a teacher the creativity and enterprise dispositions are developed in order to promote this within the child’s learning.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Land (1968) conducted a study into the levels of creativity in children and adults. From this he found that 98% of 5 year olds were considered “creative geniuses”, whilst only 2% of adults reached this level of creativity using the same tests. Therefore, it is evident from research that teachers should foster and inspire the children’s creativity and enterprise levels within the primary school especially in order to ensure that the future decline of the creativity levels does not continue to be as radical as the statistics Land achieved. This could be achieved by using more divergent thinking within the classroom to allow the learners to use free-flowing processes of thinking and a heutagogy style of learning.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The Entrepreneurship Competence Framework (Entrecomp) is a tool which has been designed in order to improve the entrepreneurial skills of individuals. The Entrcomp framework was developed by the Joint Research Centre (JRC) and European Commission whom proposed eight key competences to achieve lifelong learning. One of these involved ‘a sense of initiative and entrepreneurship’ which according to the European Commission will ensure a knowledge-based society. As a result, this framework was established in order to ensure a clear definition of entrepreneurship was used effectively by all countries to eliminate the different variations. Entrepreneurship is defined as “a transversal competence, which applies to all spheres of life” Bacigalupo et al (2016:6), which is needed by every citizen for personal fulfilment and development. It is acting upon opportunities and ideas and transforming them into value for others. This framework is commonly used in order to act as a bridge between the worlds of work and education.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This framework can be beneficial for all users as it allows one to measure their own levels of proficiency linked to the different competences against set criteria, hence allowing progression and improvements to be made. Additional benefits of the Entrecomp is that it is easily adaptable and flexible in order to support different contexts such as for businesses and non-formal learning contexts to education and training in order to assist with the design of the curricula. Furthermore, it allows one to develop their personal and social development which may be beneficial whilst entering the job sector. Hence, should be implemented within schools as “schools are having to prepare our young people for jobs that have not yet been created and challenges we are yet to encounter” (Williams, 2017:2).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However this framework also has its limitations as it was developed from a robust research methodology and hence as of yet the framework has not been adapted to, or tested in real contexts. Therefore the effectiveness of this framework cannot be sufficiently measured. Additionally, because this framework has outcomes which are used to measure the different levels of ones competences, it may be limited and the outcomes may not be relatable to every individual. For example, if an individual does not fit the level descriptor for any of the levels of proficiency for creativity, does this mean that the individual is not creative? Wilson (2015) and Treffinger et al (2002) agree stating that it is difficult in order to identify the personal characteristics of a creative person, as there are many different definitions of creativity. </w:t>
      </w:r>
      <w:r w:rsidRPr="005D1C15">
        <w:rPr>
          <w:rFonts w:ascii="Times New Roman" w:hAnsi="Times New Roman" w:cs="Times New Roman"/>
          <w:sz w:val="24"/>
          <w:szCs w:val="24"/>
        </w:rPr>
        <w:lastRenderedPageBreak/>
        <w:t xml:space="preserve">Additionally one can be creative in different areas using own personal preferences. This framework has been designed to be used by private, public and third sectors. Hence this framework has been generalised and may be difficult to adapt to specific scenarios. Also, as the framework is made up of 15 different competences, more emphasis will be placed on specific competences and hence some may not be seen as of relevance, which may be seen as a limitation for this framework.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One method of measuring different competences linked to entrepreneurship is by using the Entrecomp progression model. Within this model, there are 15 different competences which are used as building blocks to measure someone’s level of entrepreneurship. This model can be used as a reference for the development of the different competences as it is made up of four levels; foundation, intermediate, advanced and expert level. Within this essay, I will use the Entrecomp progression model in order to evaluate my own levels of some of the different competences, looking for ways to ensure progression. The competences I will assess from the </w:t>
      </w:r>
      <w:r w:rsidRPr="0006130B">
        <w:rPr>
          <w:rFonts w:ascii="Times New Roman" w:hAnsi="Times New Roman" w:cs="Times New Roman"/>
          <w:sz w:val="24"/>
          <w:szCs w:val="24"/>
        </w:rPr>
        <w:t>wheel (appendix 1) include; creativity</w:t>
      </w:r>
      <w:r w:rsidRPr="005D1C15">
        <w:rPr>
          <w:rFonts w:ascii="Times New Roman" w:hAnsi="Times New Roman" w:cs="Times New Roman"/>
          <w:sz w:val="24"/>
          <w:szCs w:val="24"/>
        </w:rPr>
        <w:t xml:space="preserve">, planning and management, and motivation and perseverance.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Creativity within the primary school is becoming increasingly important within all elements of the school curriculum and teaching and learning. The word ‘creative’ is mentioned within Donaldson’s (2015) report 59 times. Therefore it is evident that creativity needs to be promoted throughout a child’s education. There are many myths that creativity is only linked to the arts and that it cannot be taught. However Robinson (2015:118) contradicts this stating that “creativity is putting your imagination to work” and is driven by passion and motivation. As a teacher it is important that their learners are provided with opportunities to “experiment, enquire, ask questions and develop the skills and dispositions of original thinking” (Robinson, 2015:127). </w:t>
      </w:r>
    </w:p>
    <w:p w:rsidR="005D1C15" w:rsidRPr="005D1C15" w:rsidRDefault="005D1C15" w:rsidP="005D1C15">
      <w:pPr>
        <w:spacing w:line="360" w:lineRule="auto"/>
        <w:rPr>
          <w:rFonts w:ascii="Times New Roman" w:hAnsi="Times New Roman" w:cs="Times New Roman"/>
          <w:color w:val="FF0000"/>
          <w:sz w:val="24"/>
          <w:szCs w:val="24"/>
        </w:rPr>
      </w:pPr>
      <w:r w:rsidRPr="005D1C15">
        <w:rPr>
          <w:rFonts w:ascii="Times New Roman" w:hAnsi="Times New Roman" w:cs="Times New Roman"/>
          <w:sz w:val="24"/>
          <w:szCs w:val="24"/>
        </w:rPr>
        <w:t xml:space="preserve">From looking at the Entrecomp progression model, I think that I am working at the intermediate level 4 proficiency level relating to creativity with some elements of level 5. I think this because firstly “I can actively search for new solutions that improve the value-creating process”. This was evident within a recent professional teaching practice (PTE) as one of my lessons involved teaching the learners about the different waterproof materials. However, instead of presenting the different materials to the children and revealing that we would be learning about waterproof materials, I researched different ways in which I could </w:t>
      </w:r>
      <w:r w:rsidRPr="005D1C15">
        <w:rPr>
          <w:rFonts w:ascii="Times New Roman" w:hAnsi="Times New Roman" w:cs="Times New Roman"/>
          <w:sz w:val="24"/>
          <w:szCs w:val="24"/>
        </w:rPr>
        <w:lastRenderedPageBreak/>
        <w:t xml:space="preserve">present the scenario creatively and more unique. From this, I decided to begin my lesson by using a morfo video of a dragon presenting a problem-based scenario. From this, it was evident that more thoughtful and valuable solutions were thought of by the </w:t>
      </w:r>
      <w:r w:rsidRPr="0006130B">
        <w:rPr>
          <w:rFonts w:ascii="Times New Roman" w:hAnsi="Times New Roman" w:cs="Times New Roman"/>
          <w:sz w:val="24"/>
          <w:szCs w:val="24"/>
        </w:rPr>
        <w:t>learners (appendix 2).</w:t>
      </w:r>
      <w:r w:rsidRPr="005D1C15">
        <w:rPr>
          <w:rFonts w:ascii="Times New Roman" w:hAnsi="Times New Roman" w:cs="Times New Roman"/>
          <w:sz w:val="24"/>
          <w:szCs w:val="24"/>
        </w:rPr>
        <w:t xml:space="preserve"> Grigg (2010) and Penaluna (2017) highlights the importance of these scenarios as it allowed the learners to take control of the learners and enliven the learning by using different teaching methodologies as without curious learners “we would just there and talk at them”.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Secondly, within the progression model, I can relate to the strand “I can assemble, test and progressively refine prototypes that stimulate the value I want to create”. This was evident in my own teaching as I created numerous different behaviour management strategies to trial within the classroom. This allowed me to adapt my teaching style accordingly and to test different strategies to see which would work most effectively for myself and the learners (</w:t>
      </w:r>
      <w:r w:rsidRPr="0006130B">
        <w:rPr>
          <w:rFonts w:ascii="Times New Roman" w:hAnsi="Times New Roman" w:cs="Times New Roman"/>
          <w:sz w:val="24"/>
          <w:szCs w:val="24"/>
        </w:rPr>
        <w:t>appendix 3)</w:t>
      </w:r>
      <w:r w:rsidR="0006130B">
        <w:rPr>
          <w:rFonts w:ascii="Times New Roman" w:hAnsi="Times New Roman" w:cs="Times New Roman"/>
          <w:sz w:val="24"/>
          <w:szCs w:val="24"/>
        </w:rPr>
        <w:t xml:space="preserve">. </w:t>
      </w:r>
      <w:r w:rsidRPr="005D1C15">
        <w:rPr>
          <w:rFonts w:ascii="Times New Roman" w:hAnsi="Times New Roman" w:cs="Times New Roman"/>
          <w:sz w:val="24"/>
          <w:szCs w:val="24"/>
        </w:rPr>
        <w:t xml:space="preserve">Grigg (2010:332) emphasises the importance of ensuring numerous different strategies are used within the classroom as “every child and class presents unique challenges and teachers develop their own approaches to suit these needs”. However, in order to progress onto the advanced level for creativity, I feel that I need to continue to develop the behaviour management strategies I have created in order to add more value to the class, by improving my overall teaching. In order to achieve this, I need to gain more confidence in trialling and adapting these strategies, and not be afraid of failure, as “if something fails, something else will replace it (Penaluna, 2017). Grigg (2010) and Steer (2009) both suggest that trainee teachers are not sufficiently prepared to deal with behaviour problems within the classroom prior to qualifying.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Additionally, to ensure progression to the next level of proficiency for creativity, I need to ensure that I involve all stakeholders of the school in the creation of new ideas. This could be achieved by asking other staff members for advice on different elements of my professional teaching and involving parents with new initiatives introduced within the classroom.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Another competence highlighted within the framework, which is important within the school environment is planning and management. Planning and management is an important disposition that can be used in order to enhance creativity and enterprise skills if used effectively. “Planning is the platform for good teaching” (Grigg, 2010). In order to be creative, learners need to feel confident in building upon their experiences, take risks and try new ideas and resources. Therefore, it is important that the teacher carefully considers the </w:t>
      </w:r>
      <w:r w:rsidRPr="005D1C15">
        <w:rPr>
          <w:rFonts w:ascii="Times New Roman" w:hAnsi="Times New Roman" w:cs="Times New Roman"/>
          <w:sz w:val="24"/>
          <w:szCs w:val="24"/>
        </w:rPr>
        <w:lastRenderedPageBreak/>
        <w:t xml:space="preserve">planning and management in order to ensure all of the needs of the learners are taken into consideration. This is supported by Jones and Wyse (2004) and Gardner (1991) as planning needs to consider learning activities which cater for individual differences, hence supporting Gardner’s multiple intelligence theory. </w:t>
      </w:r>
    </w:p>
    <w:p w:rsidR="005D1C15" w:rsidRPr="005D1C15" w:rsidRDefault="005D1C15" w:rsidP="005D1C15">
      <w:pPr>
        <w:spacing w:line="360" w:lineRule="auto"/>
        <w:rPr>
          <w:rFonts w:ascii="Times New Roman" w:hAnsi="Times New Roman" w:cs="Times New Roman"/>
          <w:color w:val="FF0000"/>
          <w:sz w:val="24"/>
          <w:szCs w:val="24"/>
        </w:rPr>
      </w:pPr>
      <w:r w:rsidRPr="005D1C15">
        <w:rPr>
          <w:rFonts w:ascii="Times New Roman" w:hAnsi="Times New Roman" w:cs="Times New Roman"/>
          <w:sz w:val="24"/>
          <w:szCs w:val="24"/>
        </w:rPr>
        <w:t xml:space="preserve">From looking at the progression model, I think that I am working at the intermediate proficiency level for planning and management as I have shown elements of these strands within my own teaching. These include “allowing for possibility of changes to my plan”, as during an observation on PTE, I was required to adapt my outdoor lesson due to unforeseen weather circumstances. As a result, I decided to turn the indoors into the outdoors, by allowing the learners to use their imaginations and </w:t>
      </w:r>
      <w:r w:rsidRPr="0006130B">
        <w:rPr>
          <w:rFonts w:ascii="Times New Roman" w:hAnsi="Times New Roman" w:cs="Times New Roman"/>
          <w:sz w:val="24"/>
          <w:szCs w:val="24"/>
        </w:rPr>
        <w:t>creativity (</w:t>
      </w:r>
      <w:r w:rsidR="0006130B" w:rsidRPr="0006130B">
        <w:rPr>
          <w:rFonts w:ascii="Times New Roman" w:hAnsi="Times New Roman" w:cs="Times New Roman"/>
          <w:sz w:val="24"/>
          <w:szCs w:val="24"/>
        </w:rPr>
        <w:t>appendix 4</w:t>
      </w:r>
      <w:r w:rsidRPr="0006130B">
        <w:rPr>
          <w:rFonts w:ascii="Times New Roman" w:hAnsi="Times New Roman" w:cs="Times New Roman"/>
          <w:sz w:val="24"/>
          <w:szCs w:val="24"/>
        </w:rPr>
        <w:t>).</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Also, “I can set short-term goals that I can act upon”. On teaching placement, at the end of each week I completed an end of week review which reflected on my week of teaching. Within these reviews, I identified my areas of weakness which needed improvement. From this, I then completed an action plan which identified short-term goals to work towards within the upcoming </w:t>
      </w:r>
      <w:r w:rsidRPr="00783862">
        <w:rPr>
          <w:rFonts w:ascii="Times New Roman" w:hAnsi="Times New Roman" w:cs="Times New Roman"/>
          <w:sz w:val="24"/>
          <w:szCs w:val="24"/>
        </w:rPr>
        <w:t>week (</w:t>
      </w:r>
      <w:r w:rsidR="0006130B" w:rsidRPr="00783862">
        <w:rPr>
          <w:rFonts w:ascii="Times New Roman" w:hAnsi="Times New Roman" w:cs="Times New Roman"/>
          <w:sz w:val="24"/>
          <w:szCs w:val="24"/>
        </w:rPr>
        <w:t>appendix 5</w:t>
      </w:r>
      <w:r w:rsidRPr="00783862">
        <w:rPr>
          <w:rFonts w:ascii="Times New Roman" w:hAnsi="Times New Roman" w:cs="Times New Roman"/>
          <w:sz w:val="24"/>
          <w:szCs w:val="24"/>
        </w:rPr>
        <w:t>). Short-term goals</w:t>
      </w:r>
      <w:r w:rsidRPr="005D1C15">
        <w:rPr>
          <w:rFonts w:ascii="Times New Roman" w:hAnsi="Times New Roman" w:cs="Times New Roman"/>
          <w:sz w:val="24"/>
          <w:szCs w:val="24"/>
        </w:rPr>
        <w:t xml:space="preserve"> are important in order to achieve motivation and as a way to evaluate your own performance and ensure progression (Adams, 2011). According to Desailly (2012:18) “working towards a goal” is considered a key element of creativity.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In order to develop my planning and management to the next level, I am going to ensure that I create an effective strategy in order to achieve my goals linked to my vision. This will assist with developing my creativity and enterprise skills within the classroom, as by setting a goal and making it accessible and achievable will allow everyone to achieve it, Desailly (2012). Additionally, I am going to improve my use of contingency planning and having alternative activities planned in case of any changes that may arise, hence ensuring that the value-creating process is not affected.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Motivation and perseverance should be present within the classroom in order to ensure the learners are inspired and use their creativity and enterprise skills effectively. Jones and Wyse (2004), Fumoto et al (2012) and Desailly (2012) all agree that effective creative thinking involves having motivational foundations, in particularly intrinsic motivation. This is because the children are ‘learning to learn’ and engaging in creative learning for their own benefits and self-esteem rather that an extrinsic reward. Motivation and perseverance “drives </w:t>
      </w:r>
      <w:r w:rsidRPr="005D1C15">
        <w:rPr>
          <w:rFonts w:ascii="Times New Roman" w:hAnsi="Times New Roman" w:cs="Times New Roman"/>
          <w:sz w:val="24"/>
          <w:szCs w:val="24"/>
        </w:rPr>
        <w:lastRenderedPageBreak/>
        <w:t>performance” (Grigg, 2010). Maslow (as cited in Grigg, 2010) developed a hierarchy of needs which he designed to use as a drive for motivation, starting with survival and safety leading to self-actualisation. However, some may argue this stating that motivation comes from within and is not always achieved in stages. One key feature of improving ones entrepreneurial mind-set is to understand one’s own motivation in order to sustain an idea and improve the enthusiasm and enquiry (Quality Assurance Agency, 2012)</w:t>
      </w:r>
      <w:r>
        <w:rPr>
          <w:rFonts w:ascii="Times New Roman" w:hAnsi="Times New Roman" w:cs="Times New Roman"/>
          <w:sz w:val="24"/>
          <w:szCs w:val="24"/>
        </w:rPr>
        <w:t xml:space="preserve">.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From looking at the Entrecomp progression model, I think that I am working at the advanced level of proficiency for motivation and perseverance. This is because I feel that within my teaching I am well-motivated and “I drive my effort by using my desire for achievement and belief in my ability to achieve”. This was evident during PTE, as my main focus whilst teaching was to ensure the children were engaged within my lessons and the individual</w:t>
      </w:r>
      <w:r w:rsidR="00783862">
        <w:rPr>
          <w:rFonts w:ascii="Times New Roman" w:hAnsi="Times New Roman" w:cs="Times New Roman"/>
          <w:sz w:val="24"/>
          <w:szCs w:val="24"/>
        </w:rPr>
        <w:t xml:space="preserve"> needs of the learners were met (appendix 6).</w:t>
      </w:r>
      <w:r w:rsidRPr="005D1C15">
        <w:rPr>
          <w:rFonts w:ascii="Times New Roman" w:hAnsi="Times New Roman" w:cs="Times New Roman"/>
          <w:sz w:val="24"/>
          <w:szCs w:val="24"/>
        </w:rPr>
        <w:t xml:space="preserve"> This aspect of placement was my main focus and drive, which allowed me to develop my own creativity and enterprise skills in order to create effective resources for the learners. Additionally, throughout my teaching experiences I have tried to ensure that I inspire others to work hard on their goals by showing passion and a sense of ownership. This was achieved through the celebration of the children’s work, by creating a display, which displayed examples of children’s work and story maps they had produced, and QR codes of videos the children had </w:t>
      </w:r>
      <w:r w:rsidRPr="00AE0BE5">
        <w:rPr>
          <w:rFonts w:ascii="Times New Roman" w:hAnsi="Times New Roman" w:cs="Times New Roman"/>
          <w:sz w:val="24"/>
          <w:szCs w:val="24"/>
        </w:rPr>
        <w:t>created (</w:t>
      </w:r>
      <w:r w:rsidR="00783862" w:rsidRPr="00AE0BE5">
        <w:rPr>
          <w:rFonts w:ascii="Times New Roman" w:hAnsi="Times New Roman" w:cs="Times New Roman"/>
          <w:sz w:val="24"/>
          <w:szCs w:val="24"/>
        </w:rPr>
        <w:t>appendix 7</w:t>
      </w:r>
      <w:r w:rsidRPr="00AE0BE5">
        <w:rPr>
          <w:rFonts w:ascii="Times New Roman" w:hAnsi="Times New Roman" w:cs="Times New Roman"/>
          <w:sz w:val="24"/>
          <w:szCs w:val="24"/>
        </w:rPr>
        <w:t>).</w:t>
      </w:r>
      <w:r w:rsidRPr="005D1C15">
        <w:rPr>
          <w:rFonts w:ascii="Times New Roman" w:hAnsi="Times New Roman" w:cs="Times New Roman"/>
          <w:sz w:val="24"/>
          <w:szCs w:val="24"/>
        </w:rPr>
        <w:t xml:space="preserve">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Displays can be used within the classroom in order to create a stimulating environment, to enrich and reinforce what is being taught, promote classroom management and improve the motivation of the learners (Smawfield, 2006).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In order to move onto the next level of proficiency for motivation and perseverance, I need to ensure that I introduce a range of different strategies into the classroom in order to motivate the whole team. This includes both the teacher assistants and the learners. One way of achieving this for the children would be to create a reward system to motivate the children within the classroom. Furthermore, in order to progress within my final teaching experience, I will ensure that I am better at taking control and a sense of independence whilst dealing with any setbacks and failures ensuring a positive ethos within the classroom rather than relying solely on support and guidance from my mentor. </w:t>
      </w: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 </w:t>
      </w: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p>
    <w:p w:rsidR="005D1C15" w:rsidRPr="005D1C15" w:rsidRDefault="005D1C15" w:rsidP="005D1C15">
      <w:pPr>
        <w:spacing w:line="360" w:lineRule="auto"/>
        <w:rPr>
          <w:rFonts w:ascii="Times New Roman" w:hAnsi="Times New Roman" w:cs="Times New Roman"/>
          <w:sz w:val="24"/>
          <w:szCs w:val="24"/>
        </w:rPr>
      </w:pPr>
      <w:r w:rsidRPr="005D1C15">
        <w:rPr>
          <w:rFonts w:ascii="Times New Roman" w:hAnsi="Times New Roman" w:cs="Times New Roman"/>
          <w:sz w:val="24"/>
          <w:szCs w:val="24"/>
        </w:rPr>
        <w:t xml:space="preserve">In conclusion, from critically evaluating my own performance relating to creativity and enterprise linked to the Entrecomp framework, I think that I am consciously developing my own dispositions relating to the framework. I currently feel that overall I am working at the intermediate level of the progression model. This shows that there is room for improvement and progression in order to deepen my own levels of the different competences which would allow me to improve within my professional teaching. It is important that one’s own creativity and enterprise is improved and prioritised in order to meet the changes that Donaldson (2015) and Williams (2017) are proposing to ensure that our learners evolve into enterprising, creative and critical thinkers. Hopwood (2017) supports this as “if you want to become creative practitioners you are going to have to look and listen and see and hear”. Progression in the levels of enterprise and creativity as a teacher should be ensured in order to allow the children to feel valued and promote a creative school ethos like Ynystawe, as “the teachers of tomorrow will have to respond to the changing nature of knowledge in society” (Furlong, 2015:5). </w:t>
      </w:r>
    </w:p>
    <w:p w:rsidR="005D1C15" w:rsidRPr="00DA3766" w:rsidRDefault="005D1C15" w:rsidP="005D1C15">
      <w:pPr>
        <w:spacing w:line="360" w:lineRule="auto"/>
        <w:rPr>
          <w:rFonts w:ascii="Times New Roman" w:hAnsi="Times New Roman" w:cs="Times New Roman"/>
          <w:sz w:val="24"/>
          <w:szCs w:val="24"/>
        </w:rPr>
      </w:pPr>
    </w:p>
    <w:p w:rsidR="00BD25E0" w:rsidRDefault="00DA3766" w:rsidP="00DA3766">
      <w:pPr>
        <w:spacing w:line="360" w:lineRule="auto"/>
        <w:rPr>
          <w:rFonts w:ascii="Times New Roman" w:hAnsi="Times New Roman" w:cs="Times New Roman"/>
          <w:sz w:val="24"/>
          <w:szCs w:val="24"/>
        </w:rPr>
      </w:pPr>
      <w:r w:rsidRPr="00DA3766">
        <w:rPr>
          <w:rFonts w:ascii="Times New Roman" w:hAnsi="Times New Roman" w:cs="Times New Roman"/>
          <w:sz w:val="24"/>
          <w:szCs w:val="24"/>
        </w:rPr>
        <w:t xml:space="preserve"> </w:t>
      </w:r>
    </w:p>
    <w:p w:rsidR="00BD25E0" w:rsidRPr="00DA3766" w:rsidRDefault="00AE0BE5" w:rsidP="00DA3766">
      <w:pPr>
        <w:spacing w:line="360" w:lineRule="auto"/>
        <w:rPr>
          <w:rFonts w:ascii="Times New Roman" w:hAnsi="Times New Roman" w:cs="Times New Roman"/>
          <w:sz w:val="24"/>
          <w:szCs w:val="24"/>
        </w:rPr>
      </w:pPr>
      <w:r>
        <w:rPr>
          <w:rFonts w:ascii="Times New Roman" w:hAnsi="Times New Roman" w:cs="Times New Roman"/>
          <w:sz w:val="24"/>
          <w:szCs w:val="24"/>
        </w:rPr>
        <w:t>2675</w:t>
      </w:r>
      <w:r w:rsidR="00BD25E0">
        <w:rPr>
          <w:rFonts w:ascii="Times New Roman" w:hAnsi="Times New Roman" w:cs="Times New Roman"/>
          <w:sz w:val="24"/>
          <w:szCs w:val="24"/>
        </w:rPr>
        <w:t xml:space="preserve"> Words</w:t>
      </w:r>
    </w:p>
    <w:p w:rsidR="00DA3766" w:rsidRPr="00AC0558" w:rsidRDefault="00DA3766" w:rsidP="00AC0558">
      <w:pPr>
        <w:tabs>
          <w:tab w:val="left" w:pos="5925"/>
        </w:tabs>
        <w:spacing w:line="360" w:lineRule="auto"/>
        <w:jc w:val="both"/>
        <w:rPr>
          <w:rFonts w:ascii="Times New Roman" w:hAnsi="Times New Roman" w:cs="Times New Roman"/>
          <w:sz w:val="24"/>
        </w:rPr>
      </w:pPr>
    </w:p>
    <w:p w:rsidR="00AC0558" w:rsidRDefault="00AC0558" w:rsidP="00AC0558">
      <w:pPr>
        <w:rPr>
          <w:rFonts w:ascii="Times New Roman" w:hAnsi="Times New Roman" w:cs="Times New Roman"/>
          <w:sz w:val="24"/>
          <w:szCs w:val="24"/>
        </w:rPr>
      </w:pPr>
    </w:p>
    <w:p w:rsidR="00AC0558" w:rsidRDefault="00AC0558" w:rsidP="00AC0558">
      <w:pPr>
        <w:rPr>
          <w:rFonts w:ascii="Times New Roman" w:hAnsi="Times New Roman" w:cs="Times New Roman"/>
          <w:sz w:val="24"/>
          <w:szCs w:val="24"/>
        </w:rPr>
      </w:pPr>
    </w:p>
    <w:p w:rsidR="00AC0558" w:rsidRDefault="00AC0558" w:rsidP="00AC0558">
      <w:pPr>
        <w:rPr>
          <w:rFonts w:ascii="Times New Roman" w:hAnsi="Times New Roman" w:cs="Times New Roman"/>
          <w:sz w:val="24"/>
          <w:szCs w:val="24"/>
        </w:rPr>
      </w:pPr>
    </w:p>
    <w:p w:rsidR="00AC0558" w:rsidRDefault="00AC0558" w:rsidP="00AC0558">
      <w:pPr>
        <w:rPr>
          <w:rFonts w:ascii="Times New Roman" w:hAnsi="Times New Roman" w:cs="Times New Roman"/>
          <w:sz w:val="24"/>
          <w:szCs w:val="24"/>
        </w:rPr>
      </w:pPr>
    </w:p>
    <w:p w:rsidR="00EE7548" w:rsidRDefault="00EE7548" w:rsidP="00AC0558">
      <w:pPr>
        <w:jc w:val="center"/>
        <w:rPr>
          <w:rFonts w:ascii="Times New Roman" w:hAnsi="Times New Roman" w:cs="Times New Roman"/>
          <w:b/>
          <w:sz w:val="24"/>
          <w:szCs w:val="24"/>
          <w:u w:val="single"/>
        </w:rPr>
      </w:pPr>
    </w:p>
    <w:p w:rsidR="00DA3766" w:rsidRDefault="00DA3766" w:rsidP="00AC0558">
      <w:pPr>
        <w:jc w:val="center"/>
        <w:rPr>
          <w:rFonts w:ascii="Times New Roman" w:hAnsi="Times New Roman" w:cs="Times New Roman"/>
          <w:b/>
          <w:sz w:val="24"/>
          <w:szCs w:val="24"/>
          <w:u w:val="single"/>
        </w:rPr>
      </w:pPr>
    </w:p>
    <w:p w:rsidR="00AE0BE5" w:rsidRDefault="00AE0BE5" w:rsidP="00AC0558">
      <w:pPr>
        <w:jc w:val="center"/>
        <w:rPr>
          <w:rFonts w:ascii="Times New Roman" w:hAnsi="Times New Roman" w:cs="Times New Roman"/>
          <w:b/>
          <w:sz w:val="24"/>
          <w:szCs w:val="24"/>
          <w:u w:val="single"/>
        </w:rPr>
      </w:pPr>
    </w:p>
    <w:p w:rsidR="00AE0BE5" w:rsidRDefault="00AE0BE5" w:rsidP="00AC0558">
      <w:pPr>
        <w:jc w:val="center"/>
        <w:rPr>
          <w:rFonts w:ascii="Times New Roman" w:hAnsi="Times New Roman" w:cs="Times New Roman"/>
          <w:b/>
          <w:sz w:val="24"/>
          <w:szCs w:val="24"/>
          <w:u w:val="single"/>
        </w:rPr>
      </w:pPr>
    </w:p>
    <w:p w:rsidR="00AE0BE5" w:rsidRDefault="00AE0BE5" w:rsidP="00AC0558">
      <w:pPr>
        <w:jc w:val="center"/>
        <w:rPr>
          <w:rFonts w:ascii="Times New Roman" w:hAnsi="Times New Roman" w:cs="Times New Roman"/>
          <w:b/>
          <w:sz w:val="24"/>
          <w:szCs w:val="24"/>
          <w:u w:val="single"/>
        </w:rPr>
      </w:pPr>
    </w:p>
    <w:p w:rsidR="00DA3766" w:rsidRDefault="00DA3766" w:rsidP="00AC0558">
      <w:pPr>
        <w:jc w:val="center"/>
        <w:rPr>
          <w:rFonts w:ascii="Times New Roman" w:hAnsi="Times New Roman" w:cs="Times New Roman"/>
          <w:b/>
          <w:sz w:val="24"/>
          <w:szCs w:val="24"/>
          <w:u w:val="single"/>
        </w:rPr>
      </w:pPr>
    </w:p>
    <w:p w:rsidR="003455BE" w:rsidRDefault="003455BE" w:rsidP="00053C93">
      <w:pPr>
        <w:spacing w:line="360" w:lineRule="auto"/>
        <w:rPr>
          <w:rFonts w:ascii="Times New Roman" w:hAnsi="Times New Roman" w:cs="Times New Roman"/>
          <w:b/>
          <w:sz w:val="24"/>
          <w:szCs w:val="24"/>
          <w:u w:val="single"/>
        </w:rPr>
      </w:pPr>
    </w:p>
    <w:p w:rsidR="003455BE" w:rsidRDefault="003455BE" w:rsidP="003455BE">
      <w:pPr>
        <w:spacing w:line="360" w:lineRule="auto"/>
        <w:rPr>
          <w:rFonts w:ascii="Times New Roman" w:hAnsi="Times New Roman" w:cs="Times New Roman"/>
          <w:b/>
          <w:sz w:val="24"/>
          <w:u w:val="single"/>
        </w:rPr>
      </w:pPr>
      <w:r>
        <w:rPr>
          <w:rFonts w:ascii="Times New Roman" w:hAnsi="Times New Roman" w:cs="Times New Roman"/>
          <w:b/>
          <w:sz w:val="24"/>
          <w:u w:val="single"/>
        </w:rPr>
        <w:lastRenderedPageBreak/>
        <w:t>Appendix 1</w:t>
      </w:r>
      <w:r w:rsidR="009668F3">
        <w:rPr>
          <w:rFonts w:ascii="Times New Roman" w:hAnsi="Times New Roman" w:cs="Times New Roman"/>
          <w:b/>
          <w:sz w:val="24"/>
          <w:u w:val="single"/>
        </w:rPr>
        <w:t xml:space="preserve"> – </w:t>
      </w:r>
      <w:r w:rsidR="00357B55">
        <w:rPr>
          <w:rFonts w:ascii="Times New Roman" w:hAnsi="Times New Roman" w:cs="Times New Roman"/>
          <w:b/>
          <w:sz w:val="24"/>
          <w:u w:val="single"/>
        </w:rPr>
        <w:t>Entrecomp wheel</w:t>
      </w:r>
    </w:p>
    <w:p w:rsidR="00DA3766" w:rsidRDefault="00357B55" w:rsidP="003455BE">
      <w:pPr>
        <w:spacing w:line="360" w:lineRule="auto"/>
        <w:rPr>
          <w:rFonts w:ascii="Times New Roman" w:hAnsi="Times New Roman" w:cs="Times New Roman"/>
          <w:b/>
          <w:sz w:val="24"/>
          <w:u w:val="single"/>
        </w:rPr>
      </w:pPr>
      <w:r>
        <w:rPr>
          <w:noProof/>
          <w:lang w:eastAsia="en-GB"/>
        </w:rPr>
        <w:drawing>
          <wp:anchor distT="0" distB="0" distL="114300" distR="114300" simplePos="0" relativeHeight="251696128" behindDoc="0" locked="0" layoutInCell="1" allowOverlap="1">
            <wp:simplePos x="0" y="0"/>
            <wp:positionH relativeFrom="column">
              <wp:posOffset>-126124</wp:posOffset>
            </wp:positionH>
            <wp:positionV relativeFrom="paragraph">
              <wp:posOffset>313067</wp:posOffset>
            </wp:positionV>
            <wp:extent cx="5819476" cy="553369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245" t="17733" r="32529" b="19311"/>
                    <a:stretch/>
                  </pic:blipFill>
                  <pic:spPr bwMode="auto">
                    <a:xfrm>
                      <a:off x="0" y="0"/>
                      <a:ext cx="5819476" cy="5533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80CF2" w:rsidRDefault="00580CF2" w:rsidP="003455BE">
      <w:pPr>
        <w:spacing w:line="360" w:lineRule="auto"/>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3455BE" w:rsidRDefault="003455BE"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580CF2" w:rsidRDefault="00580CF2" w:rsidP="009668F3">
      <w:pPr>
        <w:spacing w:line="360" w:lineRule="auto"/>
        <w:rPr>
          <w:rFonts w:ascii="Times New Roman" w:hAnsi="Times New Roman" w:cs="Times New Roman"/>
          <w:b/>
          <w:sz w:val="24"/>
          <w:szCs w:val="24"/>
          <w:u w:val="single"/>
        </w:rPr>
      </w:pPr>
    </w:p>
    <w:p w:rsidR="00BD25E0" w:rsidRDefault="00BD25E0" w:rsidP="00580CF2">
      <w:pPr>
        <w:spacing w:line="360" w:lineRule="auto"/>
        <w:rPr>
          <w:rFonts w:ascii="Times New Roman" w:hAnsi="Times New Roman" w:cs="Times New Roman"/>
          <w:b/>
          <w:sz w:val="24"/>
          <w:szCs w:val="24"/>
          <w:u w:val="single"/>
        </w:rPr>
      </w:pPr>
    </w:p>
    <w:p w:rsidR="00580CF2" w:rsidRDefault="00580CF2" w:rsidP="00580CF2">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Appendix 2</w:t>
      </w:r>
      <w:r w:rsidR="009668F3">
        <w:rPr>
          <w:rFonts w:ascii="Times New Roman" w:hAnsi="Times New Roman" w:cs="Times New Roman"/>
          <w:b/>
          <w:sz w:val="24"/>
          <w:szCs w:val="24"/>
          <w:u w:val="single"/>
        </w:rPr>
        <w:t xml:space="preserve"> – </w:t>
      </w:r>
      <w:r w:rsidR="00357B55">
        <w:rPr>
          <w:rFonts w:ascii="Times New Roman" w:hAnsi="Times New Roman" w:cs="Times New Roman"/>
          <w:b/>
          <w:sz w:val="24"/>
          <w:szCs w:val="24"/>
          <w:u w:val="single"/>
        </w:rPr>
        <w:t>Evidence of C</w:t>
      </w:r>
      <w:r w:rsidR="0006130B">
        <w:rPr>
          <w:rFonts w:ascii="Times New Roman" w:hAnsi="Times New Roman" w:cs="Times New Roman"/>
          <w:b/>
          <w:sz w:val="24"/>
          <w:szCs w:val="24"/>
          <w:u w:val="single"/>
        </w:rPr>
        <w:t>reativity on PTE- use of a Morf</w:t>
      </w:r>
      <w:r w:rsidR="00357B55">
        <w:rPr>
          <w:rFonts w:ascii="Times New Roman" w:hAnsi="Times New Roman" w:cs="Times New Roman"/>
          <w:b/>
          <w:sz w:val="24"/>
          <w:szCs w:val="24"/>
          <w:u w:val="single"/>
        </w:rPr>
        <w:t>o video</w:t>
      </w:r>
    </w:p>
    <w:p w:rsidR="00357B55" w:rsidRDefault="0006130B" w:rsidP="00580CF2">
      <w:pPr>
        <w:spacing w:line="360" w:lineRule="auto"/>
        <w:rPr>
          <w:rFonts w:ascii="Times New Roman" w:hAnsi="Times New Roman" w:cs="Times New Roman"/>
          <w:b/>
          <w:sz w:val="24"/>
          <w:szCs w:val="24"/>
          <w:u w:val="single"/>
        </w:rPr>
      </w:pPr>
      <w:r>
        <w:rPr>
          <w:noProof/>
          <w:lang w:eastAsia="en-GB"/>
        </w:rPr>
        <w:drawing>
          <wp:anchor distT="0" distB="0" distL="114300" distR="114300" simplePos="0" relativeHeight="251697152" behindDoc="0" locked="0" layoutInCell="1" allowOverlap="1">
            <wp:simplePos x="0" y="0"/>
            <wp:positionH relativeFrom="column">
              <wp:posOffset>-419100</wp:posOffset>
            </wp:positionH>
            <wp:positionV relativeFrom="paragraph">
              <wp:posOffset>159385</wp:posOffset>
            </wp:positionV>
            <wp:extent cx="6533450" cy="2638425"/>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3842" b="24335"/>
                    <a:stretch/>
                  </pic:blipFill>
                  <pic:spPr bwMode="auto">
                    <a:xfrm>
                      <a:off x="0" y="0"/>
                      <a:ext cx="6533450"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57B55" w:rsidRDefault="00357B55" w:rsidP="00580CF2">
      <w:pPr>
        <w:spacing w:line="360" w:lineRule="auto"/>
        <w:rPr>
          <w:rFonts w:ascii="Times New Roman" w:hAnsi="Times New Roman" w:cs="Times New Roman"/>
          <w:b/>
          <w:sz w:val="24"/>
          <w:szCs w:val="24"/>
          <w:u w:val="single"/>
        </w:rPr>
      </w:pPr>
    </w:p>
    <w:p w:rsidR="009668F3" w:rsidRDefault="009668F3" w:rsidP="00580CF2">
      <w:pPr>
        <w:spacing w:line="360" w:lineRule="auto"/>
        <w:rPr>
          <w:noProof/>
          <w:lang w:eastAsia="en-GB"/>
        </w:rPr>
      </w:pPr>
    </w:p>
    <w:p w:rsidR="00357B55" w:rsidRDefault="00357B55" w:rsidP="00580CF2">
      <w:pPr>
        <w:spacing w:line="360" w:lineRule="auto"/>
        <w:rPr>
          <w:noProof/>
          <w:lang w:eastAsia="en-GB"/>
        </w:rPr>
      </w:pPr>
    </w:p>
    <w:p w:rsidR="00357B55" w:rsidRDefault="00357B55" w:rsidP="00580CF2">
      <w:pPr>
        <w:spacing w:line="360" w:lineRule="auto"/>
        <w:rPr>
          <w:noProof/>
          <w:lang w:eastAsia="en-GB"/>
        </w:rPr>
      </w:pPr>
    </w:p>
    <w:p w:rsidR="00357B55" w:rsidRDefault="00357B55" w:rsidP="00580CF2">
      <w:pPr>
        <w:spacing w:line="360" w:lineRule="auto"/>
        <w:rPr>
          <w:rFonts w:ascii="Times New Roman" w:hAnsi="Times New Roman" w:cs="Times New Roman"/>
          <w:b/>
          <w:sz w:val="24"/>
          <w:szCs w:val="24"/>
          <w:u w:val="single"/>
        </w:rPr>
      </w:pPr>
    </w:p>
    <w:p w:rsidR="00580CF2" w:rsidRDefault="00580CF2" w:rsidP="003455BE">
      <w:pPr>
        <w:spacing w:line="360" w:lineRule="auto"/>
        <w:jc w:val="center"/>
        <w:rPr>
          <w:rFonts w:ascii="Times New Roman" w:hAnsi="Times New Roman" w:cs="Times New Roman"/>
          <w:b/>
          <w:sz w:val="24"/>
          <w:szCs w:val="24"/>
          <w:u w:val="single"/>
        </w:rPr>
      </w:pPr>
    </w:p>
    <w:p w:rsidR="009668F3" w:rsidRDefault="009668F3" w:rsidP="0085584B">
      <w:pPr>
        <w:spacing w:line="360" w:lineRule="auto"/>
        <w:rPr>
          <w:rFonts w:ascii="Times New Roman" w:hAnsi="Times New Roman" w:cs="Times New Roman"/>
          <w:b/>
          <w:sz w:val="24"/>
          <w:szCs w:val="24"/>
          <w:u w:val="single"/>
        </w:rPr>
      </w:pPr>
    </w:p>
    <w:p w:rsidR="00BD25E0" w:rsidRDefault="00BD25E0"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9668F3" w:rsidRDefault="0085584B" w:rsidP="0085584B">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Appendix 3</w:t>
      </w:r>
      <w:r w:rsidR="009668F3">
        <w:rPr>
          <w:rFonts w:ascii="Times New Roman" w:hAnsi="Times New Roman" w:cs="Times New Roman"/>
          <w:b/>
          <w:sz w:val="24"/>
          <w:szCs w:val="24"/>
          <w:u w:val="single"/>
        </w:rPr>
        <w:t xml:space="preserve"> – </w:t>
      </w:r>
      <w:r w:rsidR="0006130B">
        <w:rPr>
          <w:rFonts w:ascii="Times New Roman" w:hAnsi="Times New Roman" w:cs="Times New Roman"/>
          <w:b/>
          <w:sz w:val="24"/>
          <w:szCs w:val="24"/>
          <w:u w:val="single"/>
        </w:rPr>
        <w:t xml:space="preserve">Evidence of Creativity on PTE- </w:t>
      </w:r>
      <w:r w:rsidR="0006130B">
        <w:rPr>
          <w:rFonts w:ascii="Times New Roman" w:hAnsi="Times New Roman" w:cs="Times New Roman"/>
          <w:b/>
          <w:sz w:val="24"/>
          <w:szCs w:val="24"/>
          <w:u w:val="single"/>
        </w:rPr>
        <w:t>behaviour management strategies</w:t>
      </w:r>
    </w:p>
    <w:p w:rsidR="0006130B" w:rsidRDefault="0006130B" w:rsidP="0085584B">
      <w:pPr>
        <w:spacing w:line="360" w:lineRule="auto"/>
        <w:rPr>
          <w:rFonts w:ascii="Times New Roman" w:hAnsi="Times New Roman" w:cs="Times New Roman"/>
          <w:b/>
          <w:sz w:val="24"/>
          <w:szCs w:val="24"/>
          <w:u w:val="single"/>
        </w:rPr>
      </w:pPr>
      <w:r>
        <w:rPr>
          <w:noProof/>
          <w:lang w:eastAsia="en-GB"/>
        </w:rPr>
        <w:drawing>
          <wp:anchor distT="0" distB="0" distL="114300" distR="114300" simplePos="0" relativeHeight="251698176" behindDoc="0" locked="0" layoutInCell="1" allowOverlap="1">
            <wp:simplePos x="0" y="0"/>
            <wp:positionH relativeFrom="column">
              <wp:posOffset>-706755</wp:posOffset>
            </wp:positionH>
            <wp:positionV relativeFrom="paragraph">
              <wp:posOffset>124460</wp:posOffset>
            </wp:positionV>
            <wp:extent cx="6820535" cy="13716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4138" b="60098"/>
                    <a:stretch/>
                  </pic:blipFill>
                  <pic:spPr bwMode="auto">
                    <a:xfrm>
                      <a:off x="0" y="0"/>
                      <a:ext cx="6820535"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06130B" w:rsidRDefault="0006130B" w:rsidP="0085584B">
      <w:pPr>
        <w:spacing w:line="360" w:lineRule="auto"/>
        <w:rPr>
          <w:rFonts w:ascii="Times New Roman" w:hAnsi="Times New Roman" w:cs="Times New Roman"/>
          <w:b/>
          <w:sz w:val="24"/>
          <w:szCs w:val="24"/>
          <w:u w:val="single"/>
        </w:rPr>
      </w:pPr>
    </w:p>
    <w:p w:rsidR="009668F3" w:rsidRDefault="0006130B" w:rsidP="0085584B">
      <w:pPr>
        <w:spacing w:line="360" w:lineRule="auto"/>
        <w:rPr>
          <w:rFonts w:ascii="Times New Roman" w:hAnsi="Times New Roman" w:cs="Times New Roman"/>
          <w:b/>
          <w:sz w:val="24"/>
          <w:szCs w:val="24"/>
          <w:u w:val="single"/>
        </w:rPr>
      </w:pPr>
      <w:r>
        <w:rPr>
          <w:noProof/>
          <w:lang w:eastAsia="en-GB"/>
        </w:rPr>
        <w:lastRenderedPageBreak/>
        <w:drawing>
          <wp:anchor distT="0" distB="0" distL="114300" distR="114300" simplePos="0" relativeHeight="251699200" behindDoc="0" locked="0" layoutInCell="1" allowOverlap="1">
            <wp:simplePos x="0" y="0"/>
            <wp:positionH relativeFrom="column">
              <wp:posOffset>-266700</wp:posOffset>
            </wp:positionH>
            <wp:positionV relativeFrom="paragraph">
              <wp:posOffset>457200</wp:posOffset>
            </wp:positionV>
            <wp:extent cx="6147436" cy="7658100"/>
            <wp:effectExtent l="0" t="0" r="571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570" t="19803" r="34024" b="8399"/>
                    <a:stretch/>
                  </pic:blipFill>
                  <pic:spPr bwMode="auto">
                    <a:xfrm>
                      <a:off x="0" y="0"/>
                      <a:ext cx="6147436" cy="765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68F3">
        <w:rPr>
          <w:rFonts w:ascii="Times New Roman" w:hAnsi="Times New Roman" w:cs="Times New Roman"/>
          <w:b/>
          <w:sz w:val="24"/>
          <w:szCs w:val="24"/>
          <w:u w:val="single"/>
        </w:rPr>
        <w:t>Appendix 4 –</w:t>
      </w:r>
      <w:r>
        <w:rPr>
          <w:rFonts w:ascii="Times New Roman" w:hAnsi="Times New Roman" w:cs="Times New Roman"/>
          <w:b/>
          <w:sz w:val="24"/>
          <w:szCs w:val="24"/>
          <w:u w:val="single"/>
        </w:rPr>
        <w:t xml:space="preserve"> Evidence of planning and management on PTE – changing my plan </w:t>
      </w:r>
    </w:p>
    <w:p w:rsidR="0085584B" w:rsidRDefault="0085584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3607A3" w:rsidRDefault="003607A3" w:rsidP="009668F3">
      <w:pPr>
        <w:spacing w:line="360" w:lineRule="auto"/>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3455BE">
      <w:pPr>
        <w:spacing w:line="360" w:lineRule="auto"/>
        <w:jc w:val="center"/>
        <w:rPr>
          <w:rFonts w:ascii="Times New Roman" w:hAnsi="Times New Roman" w:cs="Times New Roman"/>
          <w:b/>
          <w:sz w:val="24"/>
          <w:szCs w:val="24"/>
          <w:u w:val="single"/>
        </w:rPr>
      </w:pPr>
    </w:p>
    <w:p w:rsidR="0006130B" w:rsidRDefault="0006130B" w:rsidP="00AE0BE5">
      <w:pPr>
        <w:spacing w:line="360" w:lineRule="auto"/>
        <w:rPr>
          <w:rFonts w:ascii="Times New Roman" w:hAnsi="Times New Roman" w:cs="Times New Roman"/>
          <w:b/>
          <w:sz w:val="24"/>
          <w:szCs w:val="24"/>
          <w:u w:val="single"/>
        </w:rPr>
      </w:pPr>
    </w:p>
    <w:p w:rsidR="003607A3" w:rsidRDefault="00783862" w:rsidP="009668F3">
      <w:pPr>
        <w:spacing w:line="36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w:drawing>
          <wp:anchor distT="0" distB="0" distL="114300" distR="114300" simplePos="0" relativeHeight="251700224" behindDoc="0" locked="0" layoutInCell="1" allowOverlap="1">
            <wp:simplePos x="0" y="0"/>
            <wp:positionH relativeFrom="column">
              <wp:posOffset>-225631</wp:posOffset>
            </wp:positionH>
            <wp:positionV relativeFrom="paragraph">
              <wp:posOffset>360045</wp:posOffset>
            </wp:positionV>
            <wp:extent cx="6052144" cy="4539443"/>
            <wp:effectExtent l="0" t="0" r="635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13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52144" cy="4539443"/>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szCs w:val="24"/>
          <w:u w:val="single"/>
        </w:rPr>
        <w:t>Appendix 5 – Evidence of planning and management on PTE – Short-term goals</w:t>
      </w:r>
    </w:p>
    <w:p w:rsidR="009668F3" w:rsidRDefault="009668F3" w:rsidP="009668F3">
      <w:pPr>
        <w:spacing w:line="360" w:lineRule="auto"/>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3607A3" w:rsidRDefault="003607A3" w:rsidP="003455BE">
      <w:pPr>
        <w:spacing w:line="360" w:lineRule="auto"/>
        <w:jc w:val="center"/>
        <w:rPr>
          <w:rFonts w:ascii="Times New Roman" w:hAnsi="Times New Roman" w:cs="Times New Roman"/>
          <w:b/>
          <w:sz w:val="24"/>
          <w:szCs w:val="24"/>
          <w:u w:val="single"/>
        </w:rPr>
      </w:pPr>
    </w:p>
    <w:p w:rsidR="00783862" w:rsidRDefault="00783862" w:rsidP="00FF7DDB">
      <w:pPr>
        <w:spacing w:line="360" w:lineRule="auto"/>
        <w:rPr>
          <w:rFonts w:ascii="Times New Roman" w:hAnsi="Times New Roman" w:cs="Times New Roman"/>
          <w:b/>
          <w:sz w:val="24"/>
          <w:szCs w:val="24"/>
          <w:u w:val="single"/>
        </w:rPr>
      </w:pPr>
    </w:p>
    <w:p w:rsidR="009668F3" w:rsidRDefault="009668F3" w:rsidP="00FF7DDB">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w:t>
      </w:r>
      <w:r w:rsidR="00783862">
        <w:rPr>
          <w:rFonts w:ascii="Times New Roman" w:hAnsi="Times New Roman" w:cs="Times New Roman"/>
          <w:b/>
          <w:sz w:val="24"/>
          <w:szCs w:val="24"/>
          <w:u w:val="single"/>
        </w:rPr>
        <w:t xml:space="preserve">ix 6 – Example of motivation and perseverance on PTE – Being well-motivated  </w:t>
      </w:r>
    </w:p>
    <w:p w:rsidR="00A14C87" w:rsidRDefault="00783862" w:rsidP="003455BE">
      <w:pPr>
        <w:spacing w:line="360" w:lineRule="auto"/>
        <w:jc w:val="center"/>
        <w:rPr>
          <w:rFonts w:ascii="Times New Roman" w:hAnsi="Times New Roman" w:cs="Times New Roman"/>
          <w:b/>
          <w:sz w:val="24"/>
          <w:szCs w:val="24"/>
          <w:u w:val="single"/>
        </w:rPr>
      </w:pPr>
      <w:r>
        <w:rPr>
          <w:noProof/>
          <w:lang w:eastAsia="en-GB"/>
        </w:rPr>
        <w:drawing>
          <wp:anchor distT="0" distB="0" distL="114300" distR="114300" simplePos="0" relativeHeight="251701248" behindDoc="0" locked="0" layoutInCell="1" allowOverlap="1">
            <wp:simplePos x="0" y="0"/>
            <wp:positionH relativeFrom="column">
              <wp:posOffset>-426902</wp:posOffset>
            </wp:positionH>
            <wp:positionV relativeFrom="paragraph">
              <wp:posOffset>201369</wp:posOffset>
            </wp:positionV>
            <wp:extent cx="6759500" cy="3028208"/>
            <wp:effectExtent l="0" t="0" r="3810" b="127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4422" b="15892"/>
                    <a:stretch/>
                  </pic:blipFill>
                  <pic:spPr bwMode="auto">
                    <a:xfrm>
                      <a:off x="0" y="0"/>
                      <a:ext cx="6759500" cy="30282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3455BE">
      <w:pPr>
        <w:spacing w:line="360" w:lineRule="auto"/>
        <w:jc w:val="center"/>
        <w:rPr>
          <w:rFonts w:ascii="Times New Roman" w:hAnsi="Times New Roman" w:cs="Times New Roman"/>
          <w:b/>
          <w:sz w:val="24"/>
          <w:szCs w:val="24"/>
          <w:u w:val="single"/>
        </w:rPr>
      </w:pPr>
    </w:p>
    <w:p w:rsidR="009668F3" w:rsidRDefault="009668F3" w:rsidP="002A4AB6">
      <w:pPr>
        <w:spacing w:line="360" w:lineRule="auto"/>
        <w:rPr>
          <w:rFonts w:ascii="Times New Roman" w:hAnsi="Times New Roman" w:cs="Times New Roman"/>
          <w:b/>
          <w:sz w:val="24"/>
          <w:szCs w:val="24"/>
          <w:u w:val="single"/>
        </w:rPr>
      </w:pPr>
    </w:p>
    <w:p w:rsidR="009668F3" w:rsidRDefault="00783862" w:rsidP="009668F3">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Appendix 7 – Examples of motivation and perseverance on PTE – Celebrating the children’s work</w:t>
      </w:r>
    </w:p>
    <w:p w:rsidR="009668F3" w:rsidRDefault="00AE0BE5" w:rsidP="009668F3">
      <w:pPr>
        <w:rPr>
          <w:sz w:val="24"/>
        </w:rPr>
      </w:pPr>
      <w:r>
        <w:rPr>
          <w:noProof/>
          <w:sz w:val="24"/>
          <w:lang w:eastAsia="en-GB"/>
        </w:rPr>
        <w:drawing>
          <wp:anchor distT="0" distB="0" distL="114300" distR="114300" simplePos="0" relativeHeight="251702272" behindDoc="0" locked="0" layoutInCell="1" allowOverlap="1">
            <wp:simplePos x="0" y="0"/>
            <wp:positionH relativeFrom="column">
              <wp:posOffset>-249381</wp:posOffset>
            </wp:positionH>
            <wp:positionV relativeFrom="paragraph">
              <wp:posOffset>215661</wp:posOffset>
            </wp:positionV>
            <wp:extent cx="6093723" cy="3396343"/>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026.JPG"/>
                    <pic:cNvPicPr/>
                  </pic:nvPicPr>
                  <pic:blipFill rotWithShape="1">
                    <a:blip r:embed="rId15" cstate="print">
                      <a:extLst>
                        <a:ext uri="{28A0092B-C50C-407E-A947-70E740481C1C}">
                          <a14:useLocalDpi xmlns:a14="http://schemas.microsoft.com/office/drawing/2010/main" val="0"/>
                        </a:ext>
                      </a:extLst>
                    </a:blip>
                    <a:srcRect b="25383"/>
                    <a:stretch/>
                  </pic:blipFill>
                  <pic:spPr bwMode="auto">
                    <a:xfrm>
                      <a:off x="0" y="0"/>
                      <a:ext cx="6093723" cy="33963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r>
        <w:rPr>
          <w:noProof/>
          <w:lang w:eastAsia="en-GB"/>
        </w:rPr>
        <w:drawing>
          <wp:anchor distT="0" distB="0" distL="114300" distR="114300" simplePos="0" relativeHeight="251703296" behindDoc="0" locked="0" layoutInCell="1" allowOverlap="1">
            <wp:simplePos x="0" y="0"/>
            <wp:positionH relativeFrom="column">
              <wp:posOffset>-616890</wp:posOffset>
            </wp:positionH>
            <wp:positionV relativeFrom="paragraph">
              <wp:posOffset>376687</wp:posOffset>
            </wp:positionV>
            <wp:extent cx="6863938" cy="1706942"/>
            <wp:effectExtent l="0" t="0" r="0"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3685" b="52086"/>
                    <a:stretch/>
                  </pic:blipFill>
                  <pic:spPr bwMode="auto">
                    <a:xfrm>
                      <a:off x="0" y="0"/>
                      <a:ext cx="6863938" cy="17069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Default="00AE0BE5" w:rsidP="009668F3">
      <w:pPr>
        <w:rPr>
          <w:sz w:val="24"/>
        </w:rPr>
      </w:pPr>
    </w:p>
    <w:p w:rsidR="00AE0BE5" w:rsidRPr="005827E7" w:rsidRDefault="00AE0BE5" w:rsidP="009668F3">
      <w:pPr>
        <w:rPr>
          <w:sz w:val="24"/>
        </w:rPr>
      </w:pPr>
    </w:p>
    <w:p w:rsidR="002A4AB6" w:rsidRDefault="002A4AB6" w:rsidP="009668F3">
      <w:pPr>
        <w:spacing w:line="360" w:lineRule="auto"/>
        <w:rPr>
          <w:rFonts w:ascii="Times New Roman" w:hAnsi="Times New Roman" w:cs="Times New Roman"/>
          <w:b/>
          <w:sz w:val="24"/>
          <w:szCs w:val="24"/>
          <w:u w:val="single"/>
        </w:rPr>
      </w:pPr>
    </w:p>
    <w:p w:rsidR="004A6CE2" w:rsidRPr="004A6CE2" w:rsidRDefault="00AC0558" w:rsidP="004A6CE2">
      <w:pPr>
        <w:spacing w:line="360" w:lineRule="auto"/>
        <w:jc w:val="center"/>
        <w:rPr>
          <w:rFonts w:ascii="Times New Roman" w:hAnsi="Times New Roman" w:cs="Times New Roman"/>
          <w:b/>
          <w:sz w:val="24"/>
          <w:szCs w:val="24"/>
          <w:u w:val="single"/>
        </w:rPr>
      </w:pPr>
      <w:r w:rsidRPr="00AC0558">
        <w:rPr>
          <w:rFonts w:ascii="Times New Roman" w:hAnsi="Times New Roman" w:cs="Times New Roman"/>
          <w:b/>
          <w:sz w:val="24"/>
          <w:szCs w:val="24"/>
          <w:u w:val="single"/>
        </w:rPr>
        <w:lastRenderedPageBreak/>
        <w:t>Reference List</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Adams, D. (2011)</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The Importance of Setting Short-Term Goals</w:t>
      </w:r>
      <w:r w:rsidR="004A6CE2">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sidR="004A6CE2">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InstantShift - Web Designers and Developers Daily Resource. Available at: </w:t>
      </w:r>
      <w:r w:rsidR="004A6CE2" w:rsidRPr="004A6CE2">
        <w:rPr>
          <w:rFonts w:ascii="Times New Roman" w:eastAsia="Times New Roman" w:hAnsi="Times New Roman" w:cs="Times New Roman"/>
          <w:color w:val="2E74B5" w:themeColor="accent1" w:themeShade="BF"/>
          <w:sz w:val="24"/>
          <w:szCs w:val="24"/>
          <w:u w:val="single"/>
          <w:lang w:eastAsia="en-GB"/>
        </w:rPr>
        <w:t xml:space="preserve">http://www.instantshift.com/2011/08/16/the-importance-of-setting-short-term-goals/ </w:t>
      </w:r>
      <w:r w:rsidR="004A6CE2" w:rsidRPr="004A6CE2">
        <w:rPr>
          <w:rFonts w:ascii="Times New Roman" w:eastAsia="Times New Roman" w:hAnsi="Times New Roman" w:cs="Times New Roman"/>
          <w:color w:val="000000"/>
          <w:sz w:val="24"/>
          <w:szCs w:val="24"/>
          <w:lang w:eastAsia="en-GB"/>
        </w:rPr>
        <w:t>[Accessed</w:t>
      </w:r>
      <w:r w:rsidR="004A6CE2">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11</w:t>
      </w:r>
      <w:r w:rsidR="004A6CE2">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4A6CE2" w:rsidRDefault="004A6CE2" w:rsidP="004A6CE2">
      <w:pPr>
        <w:spacing w:after="180" w:line="360" w:lineRule="auto"/>
        <w:rPr>
          <w:rFonts w:ascii="Times New Roman" w:eastAsia="Times New Roman" w:hAnsi="Times New Roman" w:cs="Times New Roman"/>
          <w:color w:val="000000"/>
          <w:sz w:val="24"/>
          <w:szCs w:val="24"/>
          <w:lang w:eastAsia="en-GB"/>
        </w:rPr>
      </w:pPr>
      <w:r w:rsidRPr="004A6CE2">
        <w:rPr>
          <w:rFonts w:ascii="Times New Roman" w:eastAsia="Times New Roman" w:hAnsi="Times New Roman" w:cs="Times New Roman"/>
          <w:color w:val="000000"/>
          <w:sz w:val="24"/>
          <w:szCs w:val="24"/>
          <w:lang w:eastAsia="en-GB"/>
        </w:rPr>
        <w:t>Bacigalupo, M., Kampylis, P., Punie, Y</w:t>
      </w:r>
      <w:r w:rsidR="00183BC4">
        <w:rPr>
          <w:rFonts w:ascii="Times New Roman" w:eastAsia="Times New Roman" w:hAnsi="Times New Roman" w:cs="Times New Roman"/>
          <w:color w:val="000000"/>
          <w:sz w:val="24"/>
          <w:szCs w:val="24"/>
          <w:lang w:eastAsia="en-GB"/>
        </w:rPr>
        <w:t>. and Van den Brande, G. (2016)</w:t>
      </w:r>
      <w:r w:rsidRPr="004A6CE2">
        <w:rPr>
          <w:rFonts w:ascii="Times New Roman" w:eastAsia="Times New Roman" w:hAnsi="Times New Roman" w:cs="Times New Roman"/>
          <w:color w:val="000000"/>
          <w:sz w:val="24"/>
          <w:szCs w:val="24"/>
          <w:lang w:eastAsia="en-GB"/>
        </w:rPr>
        <w:t> </w:t>
      </w:r>
      <w:r w:rsidRPr="004A6CE2">
        <w:rPr>
          <w:rFonts w:ascii="Times New Roman" w:eastAsia="Times New Roman" w:hAnsi="Times New Roman" w:cs="Times New Roman"/>
          <w:i/>
          <w:iCs/>
          <w:color w:val="000000"/>
          <w:sz w:val="24"/>
          <w:szCs w:val="24"/>
          <w:lang w:eastAsia="en-GB"/>
        </w:rPr>
        <w:t>EntreComp: The Entrepreneurship Competence Framework</w:t>
      </w:r>
      <w:r>
        <w:rPr>
          <w:rFonts w:ascii="Times New Roman" w:eastAsia="Times New Roman" w:hAnsi="Times New Roman" w:cs="Times New Roman"/>
          <w:color w:val="000000"/>
          <w:sz w:val="24"/>
          <w:szCs w:val="24"/>
          <w:lang w:eastAsia="en-GB"/>
        </w:rPr>
        <w:t>. [O</w:t>
      </w:r>
      <w:r w:rsidRPr="004A6CE2">
        <w:rPr>
          <w:rFonts w:ascii="Times New Roman" w:eastAsia="Times New Roman" w:hAnsi="Times New Roman" w:cs="Times New Roman"/>
          <w:color w:val="000000"/>
          <w:sz w:val="24"/>
          <w:szCs w:val="24"/>
          <w:lang w:eastAsia="en-GB"/>
        </w:rPr>
        <w:t>nline]</w:t>
      </w:r>
      <w:r>
        <w:rPr>
          <w:rFonts w:ascii="Times New Roman" w:eastAsia="Times New Roman" w:hAnsi="Times New Roman" w:cs="Times New Roman"/>
          <w:color w:val="000000"/>
          <w:sz w:val="24"/>
          <w:szCs w:val="24"/>
          <w:lang w:eastAsia="en-GB"/>
        </w:rPr>
        <w:t>.</w:t>
      </w:r>
      <w:r w:rsidRPr="004A6CE2">
        <w:rPr>
          <w:rFonts w:ascii="Times New Roman" w:eastAsia="Times New Roman" w:hAnsi="Times New Roman" w:cs="Times New Roman"/>
          <w:color w:val="000000"/>
          <w:sz w:val="24"/>
          <w:szCs w:val="24"/>
          <w:lang w:eastAsia="en-GB"/>
        </w:rPr>
        <w:t xml:space="preserve"> Luxembourg: Publication Office of the European Union. Available at: </w:t>
      </w:r>
      <w:r w:rsidRPr="004A6CE2">
        <w:rPr>
          <w:rFonts w:ascii="Times New Roman" w:eastAsia="Times New Roman" w:hAnsi="Times New Roman" w:cs="Times New Roman"/>
          <w:color w:val="2E74B5" w:themeColor="accent1" w:themeShade="BF"/>
          <w:sz w:val="24"/>
          <w:szCs w:val="24"/>
          <w:u w:val="single"/>
          <w:lang w:eastAsia="en-GB"/>
        </w:rPr>
        <w:t>http://publications.jrc.ec.europa.eu/repository/bitstream/JRC101581/lfna27939enn.pdf</w:t>
      </w:r>
      <w:r w:rsidRPr="004A6CE2">
        <w:rPr>
          <w:rFonts w:ascii="Times New Roman" w:eastAsia="Times New Roman" w:hAnsi="Times New Roman" w:cs="Times New Roman"/>
          <w:color w:val="2E74B5" w:themeColor="accent1" w:themeShade="BF"/>
          <w:sz w:val="24"/>
          <w:szCs w:val="24"/>
          <w:lang w:eastAsia="en-GB"/>
        </w:rPr>
        <w:t xml:space="preserve"> </w:t>
      </w:r>
      <w:r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Pr="004A6CE2">
        <w:rPr>
          <w:rFonts w:ascii="Times New Roman" w:eastAsia="Times New Roman" w:hAnsi="Times New Roman" w:cs="Times New Roman"/>
          <w:color w:val="000000"/>
          <w:sz w:val="24"/>
          <w:szCs w:val="24"/>
          <w:lang w:eastAsia="en-GB"/>
        </w:rPr>
        <w:t xml:space="preserve"> 1</w:t>
      </w:r>
      <w:r>
        <w:rPr>
          <w:rFonts w:ascii="Times New Roman" w:eastAsia="Times New Roman" w:hAnsi="Times New Roman" w:cs="Times New Roman"/>
          <w:color w:val="000000"/>
          <w:sz w:val="24"/>
          <w:szCs w:val="24"/>
          <w:lang w:eastAsia="en-GB"/>
        </w:rPr>
        <w:t>st December</w:t>
      </w:r>
      <w:r w:rsidRPr="004A6CE2">
        <w:rPr>
          <w:rFonts w:ascii="Times New Roman" w:eastAsia="Times New Roman" w:hAnsi="Times New Roman" w:cs="Times New Roman"/>
          <w:color w:val="000000"/>
          <w:sz w:val="24"/>
          <w:szCs w:val="24"/>
          <w:lang w:eastAsia="en-GB"/>
        </w:rPr>
        <w:t xml:space="preserve"> 2017].</w:t>
      </w:r>
    </w:p>
    <w:p w:rsidR="007A5D65" w:rsidRPr="004A6CE2" w:rsidRDefault="007A5D65"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Cox, T. (2017) </w:t>
      </w:r>
      <w:r>
        <w:rPr>
          <w:rFonts w:ascii="Times New Roman" w:eastAsia="Times New Roman" w:hAnsi="Times New Roman" w:cs="Times New Roman"/>
          <w:i/>
          <w:color w:val="000000"/>
          <w:sz w:val="24"/>
          <w:szCs w:val="24"/>
          <w:lang w:eastAsia="en-GB"/>
        </w:rPr>
        <w:t xml:space="preserve">Enterprising and Creative Teaching and Learning. </w:t>
      </w:r>
      <w:r>
        <w:rPr>
          <w:rFonts w:ascii="Times New Roman" w:eastAsia="Times New Roman" w:hAnsi="Times New Roman" w:cs="Times New Roman"/>
          <w:color w:val="000000"/>
          <w:sz w:val="24"/>
          <w:szCs w:val="24"/>
          <w:lang w:eastAsia="en-GB"/>
        </w:rPr>
        <w:t>University of Wales Trinity Saint David</w:t>
      </w:r>
      <w:r w:rsidR="00E37CE3">
        <w:rPr>
          <w:rFonts w:ascii="Times New Roman" w:eastAsia="Times New Roman" w:hAnsi="Times New Roman" w:cs="Times New Roman"/>
          <w:color w:val="000000"/>
          <w:sz w:val="24"/>
          <w:szCs w:val="24"/>
          <w:lang w:eastAsia="en-GB"/>
        </w:rPr>
        <w:t xml:space="preserve">, Carmarthen, October. </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Desailly, J. (2012)</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Creativity in the Primary Classroom</w:t>
      </w:r>
      <w:r w:rsidR="004A6CE2" w:rsidRPr="004A6CE2">
        <w:rPr>
          <w:rFonts w:ascii="Times New Roman" w:eastAsia="Times New Roman" w:hAnsi="Times New Roman" w:cs="Times New Roman"/>
          <w:color w:val="000000"/>
          <w:sz w:val="24"/>
          <w:szCs w:val="24"/>
          <w:lang w:eastAsia="en-GB"/>
        </w:rPr>
        <w:t>. [E-book]</w:t>
      </w:r>
      <w:r w:rsidR="004A6CE2">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London: SAGE Publications. Available at: </w:t>
      </w:r>
      <w:r w:rsidR="004A6CE2" w:rsidRPr="004A6CE2">
        <w:rPr>
          <w:rFonts w:ascii="Times New Roman" w:eastAsia="Times New Roman" w:hAnsi="Times New Roman" w:cs="Times New Roman"/>
          <w:color w:val="2E74B5" w:themeColor="accent1" w:themeShade="BF"/>
          <w:sz w:val="24"/>
          <w:szCs w:val="24"/>
          <w:u w:val="single"/>
          <w:lang w:eastAsia="en-GB"/>
        </w:rPr>
        <w:t>https://www-dawsonera-com.ezproxy.uwtsd.ac.uk/readonline/9781446258347</w:t>
      </w:r>
      <w:r w:rsidR="004A6CE2" w:rsidRPr="004A6CE2">
        <w:rPr>
          <w:rFonts w:ascii="Times New Roman" w:eastAsia="Times New Roman" w:hAnsi="Times New Roman" w:cs="Times New Roman"/>
          <w:color w:val="000000"/>
          <w:sz w:val="24"/>
          <w:szCs w:val="24"/>
          <w:lang w:eastAsia="en-GB"/>
        </w:rPr>
        <w:t xml:space="preserve"> [Accessed</w:t>
      </w:r>
      <w:r w:rsidR="004A6CE2">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4</w:t>
      </w:r>
      <w:r w:rsidR="004A6CE2">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4A6CE2" w:rsidRPr="004A6CE2" w:rsidRDefault="004A6CE2" w:rsidP="004A6CE2">
      <w:pPr>
        <w:spacing w:line="360" w:lineRule="auto"/>
        <w:rPr>
          <w:rFonts w:ascii="Times New Roman" w:hAnsi="Times New Roman" w:cs="Times New Roman"/>
          <w:sz w:val="24"/>
          <w:szCs w:val="24"/>
        </w:rPr>
      </w:pPr>
      <w:r w:rsidRPr="004A6CE2">
        <w:rPr>
          <w:rFonts w:ascii="Times New Roman" w:hAnsi="Times New Roman" w:cs="Times New Roman"/>
          <w:sz w:val="24"/>
          <w:szCs w:val="24"/>
        </w:rPr>
        <w:t xml:space="preserve">Donaldson. G. (2015) </w:t>
      </w:r>
      <w:r w:rsidRPr="004A6CE2">
        <w:rPr>
          <w:rFonts w:ascii="Times New Roman" w:hAnsi="Times New Roman" w:cs="Times New Roman"/>
          <w:i/>
          <w:sz w:val="24"/>
          <w:szCs w:val="24"/>
        </w:rPr>
        <w:t xml:space="preserve">Successful Futures. </w:t>
      </w:r>
      <w:r w:rsidRPr="004A6CE2">
        <w:rPr>
          <w:rFonts w:ascii="Times New Roman" w:hAnsi="Times New Roman" w:cs="Times New Roman"/>
          <w:sz w:val="24"/>
          <w:szCs w:val="24"/>
        </w:rPr>
        <w:t xml:space="preserve">Cardiff: Welsh Government. </w:t>
      </w:r>
    </w:p>
    <w:p w:rsidR="004A6CE2" w:rsidRPr="004A6CE2" w:rsidRDefault="004A6CE2" w:rsidP="004A6CE2">
      <w:pPr>
        <w:spacing w:after="180" w:line="360" w:lineRule="auto"/>
        <w:rPr>
          <w:rFonts w:ascii="Times New Roman" w:eastAsia="Times New Roman" w:hAnsi="Times New Roman" w:cs="Times New Roman"/>
          <w:color w:val="000000"/>
          <w:sz w:val="24"/>
          <w:szCs w:val="24"/>
          <w:lang w:eastAsia="en-GB"/>
        </w:rPr>
      </w:pPr>
      <w:r w:rsidRPr="004A6CE2">
        <w:rPr>
          <w:rFonts w:ascii="Times New Roman" w:eastAsia="Times New Roman" w:hAnsi="Times New Roman" w:cs="Times New Roman"/>
          <w:color w:val="000000"/>
          <w:sz w:val="24"/>
          <w:szCs w:val="24"/>
          <w:lang w:eastAsia="en-GB"/>
        </w:rPr>
        <w:t>Fumoto, H., Robson, S., Greenfiel</w:t>
      </w:r>
      <w:r w:rsidR="00183BC4">
        <w:rPr>
          <w:rFonts w:ascii="Times New Roman" w:eastAsia="Times New Roman" w:hAnsi="Times New Roman" w:cs="Times New Roman"/>
          <w:color w:val="000000"/>
          <w:sz w:val="24"/>
          <w:szCs w:val="24"/>
          <w:lang w:eastAsia="en-GB"/>
        </w:rPr>
        <w:t>d, S. and Hargreaves, D. (2012)</w:t>
      </w:r>
      <w:r w:rsidRPr="004A6CE2">
        <w:rPr>
          <w:rFonts w:ascii="Times New Roman" w:eastAsia="Times New Roman" w:hAnsi="Times New Roman" w:cs="Times New Roman"/>
          <w:color w:val="000000"/>
          <w:sz w:val="24"/>
          <w:szCs w:val="24"/>
          <w:lang w:eastAsia="en-GB"/>
        </w:rPr>
        <w:t> </w:t>
      </w:r>
      <w:r w:rsidRPr="004A6CE2">
        <w:rPr>
          <w:rFonts w:ascii="Times New Roman" w:eastAsia="Times New Roman" w:hAnsi="Times New Roman" w:cs="Times New Roman"/>
          <w:i/>
          <w:iCs/>
          <w:color w:val="000000"/>
          <w:sz w:val="24"/>
          <w:szCs w:val="24"/>
          <w:lang w:eastAsia="en-GB"/>
        </w:rPr>
        <w:t>Young Children's Creative Thinking</w:t>
      </w:r>
      <w:r w:rsidRPr="004A6CE2">
        <w:rPr>
          <w:rFonts w:ascii="Times New Roman" w:eastAsia="Times New Roman" w:hAnsi="Times New Roman" w:cs="Times New Roman"/>
          <w:color w:val="000000"/>
          <w:sz w:val="24"/>
          <w:szCs w:val="24"/>
          <w:lang w:eastAsia="en-GB"/>
        </w:rPr>
        <w:t>. London: SAGE Publications.</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Furlong, J. (2015)</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Teaching Tomorrow's Teachers</w:t>
      </w:r>
      <w:r w:rsidR="004A6CE2">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sidR="004A6CE2">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Oxford: University of Oxford. Available at</w:t>
      </w:r>
      <w:r w:rsidR="004A6CE2" w:rsidRPr="004A6CE2">
        <w:rPr>
          <w:rFonts w:ascii="Times New Roman" w:eastAsia="Times New Roman" w:hAnsi="Times New Roman" w:cs="Times New Roman"/>
          <w:color w:val="2E74B5" w:themeColor="accent1" w:themeShade="BF"/>
          <w:sz w:val="24"/>
          <w:szCs w:val="24"/>
          <w:u w:val="single"/>
          <w:lang w:eastAsia="en-GB"/>
        </w:rPr>
        <w:t>: http://gov.wales/docs/dcells/publications/150309-teaching-tomorrows-teachers-final.pdf</w:t>
      </w:r>
      <w:r w:rsidR="004A6CE2" w:rsidRPr="004A6CE2">
        <w:rPr>
          <w:rFonts w:ascii="Times New Roman" w:eastAsia="Times New Roman" w:hAnsi="Times New Roman" w:cs="Times New Roman"/>
          <w:color w:val="2E74B5" w:themeColor="accent1" w:themeShade="BF"/>
          <w:sz w:val="24"/>
          <w:szCs w:val="24"/>
          <w:lang w:eastAsia="en-GB"/>
        </w:rPr>
        <w:t xml:space="preserve"> </w:t>
      </w:r>
      <w:r w:rsidR="004A6CE2"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2</w:t>
      </w:r>
      <w:r>
        <w:rPr>
          <w:rFonts w:ascii="Times New Roman" w:eastAsia="Times New Roman" w:hAnsi="Times New Roman" w:cs="Times New Roman"/>
          <w:color w:val="000000"/>
          <w:sz w:val="24"/>
          <w:szCs w:val="24"/>
          <w:lang w:eastAsia="en-GB"/>
        </w:rPr>
        <w:t>nd December</w:t>
      </w:r>
      <w:r w:rsidR="004A6CE2" w:rsidRPr="004A6CE2">
        <w:rPr>
          <w:rFonts w:ascii="Times New Roman" w:eastAsia="Times New Roman" w:hAnsi="Times New Roman" w:cs="Times New Roman"/>
          <w:color w:val="000000"/>
          <w:sz w:val="24"/>
          <w:szCs w:val="24"/>
          <w:lang w:eastAsia="en-GB"/>
        </w:rPr>
        <w:t xml:space="preserve"> 2017].</w:t>
      </w:r>
    </w:p>
    <w:p w:rsid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Grigg, R. (2010)</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Becoming an Outstanding Primary School Teacher</w:t>
      </w:r>
      <w:r>
        <w:rPr>
          <w:rFonts w:ascii="Times New Roman" w:eastAsia="Times New Roman" w:hAnsi="Times New Roman" w:cs="Times New Roman"/>
          <w:color w:val="000000"/>
          <w:sz w:val="24"/>
          <w:szCs w:val="24"/>
          <w:lang w:eastAsia="en-GB"/>
        </w:rPr>
        <w:t>. [E-</w:t>
      </w:r>
      <w:r w:rsidR="004A6CE2" w:rsidRPr="004A6CE2">
        <w:rPr>
          <w:rFonts w:ascii="Times New Roman" w:eastAsia="Times New Roman" w:hAnsi="Times New Roman" w:cs="Times New Roman"/>
          <w:color w:val="000000"/>
          <w:sz w:val="24"/>
          <w:szCs w:val="24"/>
          <w:lang w:eastAsia="en-GB"/>
        </w:rPr>
        <w:t>book]</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Essex: Pearson Education. Available at: </w:t>
      </w:r>
      <w:r w:rsidR="004A6CE2" w:rsidRPr="004A6CE2">
        <w:rPr>
          <w:rFonts w:ascii="Times New Roman" w:eastAsia="Times New Roman" w:hAnsi="Times New Roman" w:cs="Times New Roman"/>
          <w:color w:val="2E74B5" w:themeColor="accent1" w:themeShade="BF"/>
          <w:sz w:val="24"/>
          <w:szCs w:val="24"/>
          <w:u w:val="single"/>
          <w:lang w:eastAsia="en-GB"/>
        </w:rPr>
        <w:t>https://www-dawsonera-com.ezproxy.uwtsd.ac.uk/readonline/9781408263143</w:t>
      </w:r>
      <w:r w:rsidR="004A6CE2" w:rsidRPr="004A6CE2">
        <w:rPr>
          <w:rFonts w:ascii="Times New Roman" w:eastAsia="Times New Roman" w:hAnsi="Times New Roman" w:cs="Times New Roman"/>
          <w:color w:val="000000"/>
          <w:sz w:val="24"/>
          <w:szCs w:val="24"/>
          <w:lang w:eastAsia="en-GB"/>
        </w:rPr>
        <w:t xml:space="preserve"> [Accessed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6</w:t>
      </w:r>
      <w:r>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E37CE3" w:rsidRPr="004A6CE2" w:rsidRDefault="00E37CE3" w:rsidP="004A6CE2">
      <w:pPr>
        <w:spacing w:after="180" w:line="360" w:lineRule="auto"/>
        <w:rPr>
          <w:rFonts w:ascii="Times New Roman" w:eastAsia="Times New Roman" w:hAnsi="Times New Roman" w:cs="Times New Roman"/>
          <w:i/>
          <w:color w:val="000000"/>
          <w:sz w:val="24"/>
          <w:szCs w:val="24"/>
          <w:lang w:eastAsia="en-GB"/>
        </w:rPr>
      </w:pPr>
      <w:r>
        <w:rPr>
          <w:rFonts w:ascii="Times New Roman" w:eastAsia="Times New Roman" w:hAnsi="Times New Roman" w:cs="Times New Roman"/>
          <w:color w:val="000000"/>
          <w:sz w:val="24"/>
          <w:szCs w:val="24"/>
          <w:lang w:eastAsia="en-GB"/>
        </w:rPr>
        <w:t xml:space="preserve">Hopwood, M. (2017) </w:t>
      </w:r>
      <w:r>
        <w:rPr>
          <w:rFonts w:ascii="Times New Roman" w:eastAsia="Times New Roman" w:hAnsi="Times New Roman" w:cs="Times New Roman"/>
          <w:i/>
          <w:color w:val="000000"/>
          <w:sz w:val="24"/>
          <w:szCs w:val="24"/>
          <w:lang w:eastAsia="en-GB"/>
        </w:rPr>
        <w:t xml:space="preserve">Practical Poetics: Reflecting on the image. </w:t>
      </w:r>
      <w:r>
        <w:rPr>
          <w:rFonts w:ascii="Times New Roman" w:eastAsia="Times New Roman" w:hAnsi="Times New Roman" w:cs="Times New Roman"/>
          <w:color w:val="000000"/>
          <w:sz w:val="24"/>
          <w:szCs w:val="24"/>
          <w:lang w:eastAsia="en-GB"/>
        </w:rPr>
        <w:t>University of Wales Trinity Saint David, Carmarthen, October.</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Jones, R. and Wyse, D. (2004)</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Creativity in the primary curriculum</w:t>
      </w:r>
      <w:r w:rsidR="004A6CE2" w:rsidRPr="004A6CE2">
        <w:rPr>
          <w:rFonts w:ascii="Times New Roman" w:eastAsia="Times New Roman" w:hAnsi="Times New Roman" w:cs="Times New Roman"/>
          <w:color w:val="000000"/>
          <w:sz w:val="24"/>
          <w:szCs w:val="24"/>
          <w:lang w:eastAsia="en-GB"/>
        </w:rPr>
        <w:t>. London: Taylor &amp; Francis Group.</w:t>
      </w:r>
    </w:p>
    <w:p w:rsid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Naiman, L. (2017)</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 xml:space="preserve">Can Creativity be </w:t>
      </w:r>
      <w:r w:rsidR="004E4232" w:rsidRPr="004A6CE2">
        <w:rPr>
          <w:rFonts w:ascii="Times New Roman" w:eastAsia="Times New Roman" w:hAnsi="Times New Roman" w:cs="Times New Roman"/>
          <w:i/>
          <w:iCs/>
          <w:color w:val="000000"/>
          <w:sz w:val="24"/>
          <w:szCs w:val="24"/>
          <w:lang w:eastAsia="en-GB"/>
        </w:rPr>
        <w:t>taught</w:t>
      </w:r>
      <w:r w:rsidR="004A6CE2" w:rsidRPr="004A6CE2">
        <w:rPr>
          <w:rFonts w:ascii="Times New Roman" w:eastAsia="Times New Roman" w:hAnsi="Times New Roman" w:cs="Times New Roman"/>
          <w:i/>
          <w:iCs/>
          <w:color w:val="000000"/>
          <w:sz w:val="24"/>
          <w:szCs w:val="24"/>
          <w:lang w:eastAsia="en-GB"/>
        </w:rPr>
        <w:t>? Results from research studies</w:t>
      </w:r>
      <w:r>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Creativity at Work. Available at: </w:t>
      </w:r>
      <w:r w:rsidR="004A6CE2" w:rsidRPr="004A6CE2">
        <w:rPr>
          <w:rFonts w:ascii="Times New Roman" w:eastAsia="Times New Roman" w:hAnsi="Times New Roman" w:cs="Times New Roman"/>
          <w:color w:val="2E74B5" w:themeColor="accent1" w:themeShade="BF"/>
          <w:sz w:val="24"/>
          <w:szCs w:val="24"/>
          <w:u w:val="single"/>
          <w:lang w:eastAsia="en-GB"/>
        </w:rPr>
        <w:t>https://www.creativityatwork.com/2012/03/23/can-creativity-be-taught/</w:t>
      </w:r>
      <w:r w:rsidR="004A6CE2" w:rsidRPr="004A6CE2">
        <w:rPr>
          <w:rFonts w:ascii="Times New Roman" w:eastAsia="Times New Roman" w:hAnsi="Times New Roman" w:cs="Times New Roman"/>
          <w:color w:val="2E74B5" w:themeColor="accent1" w:themeShade="BF"/>
          <w:sz w:val="24"/>
          <w:szCs w:val="24"/>
          <w:lang w:eastAsia="en-GB"/>
        </w:rPr>
        <w:t xml:space="preserve"> </w:t>
      </w:r>
      <w:r w:rsidR="004A6CE2"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9</w:t>
      </w:r>
      <w:r>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E37CE3" w:rsidRPr="004A6CE2" w:rsidRDefault="00E37CE3" w:rsidP="004A6CE2">
      <w:pPr>
        <w:spacing w:after="180" w:line="360" w:lineRule="auto"/>
        <w:rPr>
          <w:rFonts w:ascii="Times New Roman" w:eastAsia="Times New Roman" w:hAnsi="Times New Roman" w:cs="Times New Roman"/>
          <w:i/>
          <w:color w:val="000000"/>
          <w:sz w:val="24"/>
          <w:szCs w:val="24"/>
          <w:lang w:eastAsia="en-GB"/>
        </w:rPr>
      </w:pPr>
      <w:r>
        <w:rPr>
          <w:rFonts w:ascii="Times New Roman" w:eastAsia="Times New Roman" w:hAnsi="Times New Roman" w:cs="Times New Roman"/>
          <w:color w:val="000000"/>
          <w:sz w:val="24"/>
          <w:szCs w:val="24"/>
          <w:lang w:eastAsia="en-GB"/>
        </w:rPr>
        <w:t xml:space="preserve">Penaluna, A. and Penaluna, K. (2017) </w:t>
      </w:r>
      <w:r>
        <w:rPr>
          <w:rFonts w:ascii="Times New Roman" w:eastAsia="Times New Roman" w:hAnsi="Times New Roman" w:cs="Times New Roman"/>
          <w:i/>
          <w:color w:val="000000"/>
          <w:sz w:val="24"/>
          <w:szCs w:val="24"/>
          <w:lang w:eastAsia="en-GB"/>
        </w:rPr>
        <w:t xml:space="preserve">Future Proofing Education: the innovative imperative. </w:t>
      </w:r>
      <w:r>
        <w:rPr>
          <w:rFonts w:ascii="Times New Roman" w:eastAsia="Times New Roman" w:hAnsi="Times New Roman" w:cs="Times New Roman"/>
          <w:color w:val="000000"/>
          <w:sz w:val="24"/>
          <w:szCs w:val="24"/>
          <w:lang w:eastAsia="en-GB"/>
        </w:rPr>
        <w:t xml:space="preserve">University of Wales Trinity Saint David, Carmarthen, </w:t>
      </w:r>
      <w:r>
        <w:rPr>
          <w:rFonts w:ascii="Times New Roman" w:eastAsia="Times New Roman" w:hAnsi="Times New Roman" w:cs="Times New Roman"/>
          <w:color w:val="000000"/>
          <w:sz w:val="24"/>
          <w:szCs w:val="24"/>
          <w:lang w:eastAsia="en-GB"/>
        </w:rPr>
        <w:t xml:space="preserve">November. </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Quality Assurance Agency (2012)</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Enterprise and entrepreneurship education: Guidance for UK education providers</w:t>
      </w:r>
      <w:r>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Gloucester: QAA. Available at: </w:t>
      </w:r>
      <w:r w:rsidR="004A6CE2" w:rsidRPr="004A6CE2">
        <w:rPr>
          <w:rFonts w:ascii="Times New Roman" w:eastAsia="Times New Roman" w:hAnsi="Times New Roman" w:cs="Times New Roman"/>
          <w:color w:val="2E74B5" w:themeColor="accent1" w:themeShade="BF"/>
          <w:sz w:val="24"/>
          <w:szCs w:val="24"/>
          <w:u w:val="single"/>
          <w:lang w:eastAsia="en-GB"/>
        </w:rPr>
        <w:t>http://moodle.uwtsd.ac.uk/pluginfile.php/111405/mod_resource/content/1/enterprise-entrepreneurship-guidance.pdf</w:t>
      </w:r>
      <w:r w:rsidR="004A6CE2" w:rsidRPr="004A6CE2">
        <w:rPr>
          <w:rFonts w:ascii="Times New Roman" w:eastAsia="Times New Roman" w:hAnsi="Times New Roman" w:cs="Times New Roman"/>
          <w:color w:val="2E74B5" w:themeColor="accent1" w:themeShade="BF"/>
          <w:sz w:val="24"/>
          <w:szCs w:val="24"/>
          <w:lang w:eastAsia="en-GB"/>
        </w:rPr>
        <w:t xml:space="preserve"> </w:t>
      </w:r>
      <w:r w:rsidR="004A6CE2"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4</w:t>
      </w:r>
      <w:r>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4A6CE2" w:rsidRPr="004A6CE2" w:rsidRDefault="004A6CE2" w:rsidP="004A6CE2">
      <w:pPr>
        <w:spacing w:after="180" w:line="360" w:lineRule="auto"/>
        <w:ind w:left="450" w:hanging="450"/>
        <w:rPr>
          <w:rFonts w:ascii="Times New Roman" w:eastAsia="Times New Roman" w:hAnsi="Times New Roman" w:cs="Times New Roman"/>
          <w:color w:val="000000"/>
          <w:sz w:val="24"/>
          <w:szCs w:val="24"/>
          <w:lang w:eastAsia="en-GB"/>
        </w:rPr>
      </w:pPr>
      <w:r w:rsidRPr="004A6CE2">
        <w:rPr>
          <w:rFonts w:ascii="Times New Roman" w:eastAsia="Times New Roman" w:hAnsi="Times New Roman" w:cs="Times New Roman"/>
          <w:color w:val="000000"/>
          <w:sz w:val="24"/>
          <w:szCs w:val="24"/>
          <w:lang w:eastAsia="en-GB"/>
        </w:rPr>
        <w:t>Robi</w:t>
      </w:r>
      <w:r w:rsidR="00183BC4">
        <w:rPr>
          <w:rFonts w:ascii="Times New Roman" w:eastAsia="Times New Roman" w:hAnsi="Times New Roman" w:cs="Times New Roman"/>
          <w:color w:val="000000"/>
          <w:sz w:val="24"/>
          <w:szCs w:val="24"/>
          <w:lang w:eastAsia="en-GB"/>
        </w:rPr>
        <w:t>nson, K. and Aronica, L. (2015)</w:t>
      </w:r>
      <w:r w:rsidRPr="004A6CE2">
        <w:rPr>
          <w:rFonts w:ascii="Times New Roman" w:eastAsia="Times New Roman" w:hAnsi="Times New Roman" w:cs="Times New Roman"/>
          <w:color w:val="000000"/>
          <w:sz w:val="24"/>
          <w:szCs w:val="24"/>
          <w:lang w:eastAsia="en-GB"/>
        </w:rPr>
        <w:t> </w:t>
      </w:r>
      <w:r w:rsidRPr="004A6CE2">
        <w:rPr>
          <w:rFonts w:ascii="Times New Roman" w:eastAsia="Times New Roman" w:hAnsi="Times New Roman" w:cs="Times New Roman"/>
          <w:i/>
          <w:iCs/>
          <w:color w:val="000000"/>
          <w:sz w:val="24"/>
          <w:szCs w:val="24"/>
          <w:lang w:eastAsia="en-GB"/>
        </w:rPr>
        <w:t>Creative schools</w:t>
      </w:r>
      <w:r w:rsidRPr="004A6CE2">
        <w:rPr>
          <w:rFonts w:ascii="Times New Roman" w:eastAsia="Times New Roman" w:hAnsi="Times New Roman" w:cs="Times New Roman"/>
          <w:color w:val="000000"/>
          <w:sz w:val="24"/>
          <w:szCs w:val="24"/>
          <w:lang w:eastAsia="en-GB"/>
        </w:rPr>
        <w:t>. UK: Allen Lane.</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Smawfield, D. (2006)</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Classroom and School Display</w:t>
      </w:r>
      <w:r>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European Union. Available at: </w:t>
      </w:r>
      <w:r w:rsidR="004A6CE2" w:rsidRPr="004A6CE2">
        <w:rPr>
          <w:rFonts w:ascii="Times New Roman" w:eastAsia="Times New Roman" w:hAnsi="Times New Roman" w:cs="Times New Roman"/>
          <w:color w:val="2E74B5" w:themeColor="accent1" w:themeShade="BF"/>
          <w:sz w:val="24"/>
          <w:szCs w:val="24"/>
          <w:u w:val="single"/>
          <w:lang w:eastAsia="en-GB"/>
        </w:rPr>
        <w:t>http://schoolofeducators.com/wp-content/uploads/2012/05/classroom-display-handbook.pdf</w:t>
      </w:r>
      <w:r w:rsidR="004A6CE2" w:rsidRPr="004A6CE2">
        <w:rPr>
          <w:rFonts w:ascii="Times New Roman" w:eastAsia="Times New Roman" w:hAnsi="Times New Roman" w:cs="Times New Roman"/>
          <w:color w:val="2E74B5" w:themeColor="accent1" w:themeShade="BF"/>
          <w:sz w:val="24"/>
          <w:szCs w:val="24"/>
          <w:lang w:eastAsia="en-GB"/>
        </w:rPr>
        <w:t xml:space="preserve"> </w:t>
      </w:r>
      <w:r w:rsidR="004A6CE2"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10</w:t>
      </w:r>
      <w:r>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4A6CE2" w:rsidRPr="004A6CE2" w:rsidRDefault="00183BC4" w:rsidP="004A6CE2">
      <w:pPr>
        <w:spacing w:after="18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Steer, A. (2009)</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 xml:space="preserve">Learning Behaviour: Lessons </w:t>
      </w:r>
      <w:r w:rsidR="00564663" w:rsidRPr="004A6CE2">
        <w:rPr>
          <w:rFonts w:ascii="Times New Roman" w:eastAsia="Times New Roman" w:hAnsi="Times New Roman" w:cs="Times New Roman"/>
          <w:i/>
          <w:iCs/>
          <w:color w:val="000000"/>
          <w:sz w:val="24"/>
          <w:szCs w:val="24"/>
          <w:lang w:eastAsia="en-GB"/>
        </w:rPr>
        <w:t>Learned</w:t>
      </w:r>
      <w:r>
        <w:rPr>
          <w:rFonts w:ascii="Times New Roman" w:eastAsia="Times New Roman" w:hAnsi="Times New Roman" w:cs="Times New Roman"/>
          <w:color w:val="000000"/>
          <w:sz w:val="24"/>
          <w:szCs w:val="24"/>
          <w:lang w:eastAsia="en-GB"/>
        </w:rPr>
        <w:t>. [O</w:t>
      </w:r>
      <w:r w:rsidR="004A6CE2" w:rsidRPr="004A6CE2">
        <w:rPr>
          <w:rFonts w:ascii="Times New Roman" w:eastAsia="Times New Roman" w:hAnsi="Times New Roman" w:cs="Times New Roman"/>
          <w:color w:val="000000"/>
          <w:sz w:val="24"/>
          <w:szCs w:val="24"/>
          <w:lang w:eastAsia="en-GB"/>
        </w:rPr>
        <w:t>nline]</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Nottingham: Department for Children, Schools and Families. Available at: </w:t>
      </w:r>
      <w:r w:rsidR="004A6CE2" w:rsidRPr="004A6CE2">
        <w:rPr>
          <w:rFonts w:ascii="Times New Roman" w:eastAsia="Times New Roman" w:hAnsi="Times New Roman" w:cs="Times New Roman"/>
          <w:color w:val="2E74B5" w:themeColor="accent1" w:themeShade="BF"/>
          <w:sz w:val="24"/>
          <w:szCs w:val="24"/>
          <w:u w:val="single"/>
          <w:lang w:eastAsia="en-GB"/>
        </w:rPr>
        <w:t xml:space="preserve">http://www.educationengland.org.uk/documents/pdfs/2009-steer-report-lessons-learned.pdf </w:t>
      </w:r>
      <w:bookmarkStart w:id="0" w:name="_GoBack"/>
      <w:bookmarkEnd w:id="0"/>
      <w:r w:rsidR="004A6CE2" w:rsidRPr="004A6CE2">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004A6CE2" w:rsidRPr="004A6CE2">
        <w:rPr>
          <w:rFonts w:ascii="Times New Roman" w:eastAsia="Times New Roman" w:hAnsi="Times New Roman" w:cs="Times New Roman"/>
          <w:color w:val="000000"/>
          <w:sz w:val="24"/>
          <w:szCs w:val="24"/>
          <w:lang w:eastAsia="en-GB"/>
        </w:rPr>
        <w:t xml:space="preserve"> 9</w:t>
      </w:r>
      <w:r>
        <w:rPr>
          <w:rFonts w:ascii="Times New Roman" w:eastAsia="Times New Roman" w:hAnsi="Times New Roman" w:cs="Times New Roman"/>
          <w:color w:val="000000"/>
          <w:sz w:val="24"/>
          <w:szCs w:val="24"/>
          <w:lang w:eastAsia="en-GB"/>
        </w:rPr>
        <w:t>th December</w:t>
      </w:r>
      <w:r w:rsidR="004A6CE2" w:rsidRPr="004A6CE2">
        <w:rPr>
          <w:rFonts w:ascii="Times New Roman" w:eastAsia="Times New Roman" w:hAnsi="Times New Roman" w:cs="Times New Roman"/>
          <w:color w:val="000000"/>
          <w:sz w:val="24"/>
          <w:szCs w:val="24"/>
          <w:lang w:eastAsia="en-GB"/>
        </w:rPr>
        <w:t xml:space="preserve"> 2017].</w:t>
      </w:r>
    </w:p>
    <w:p w:rsidR="004A6CE2" w:rsidRPr="004A6CE2" w:rsidRDefault="004A6CE2" w:rsidP="004A6CE2">
      <w:pPr>
        <w:spacing w:after="180" w:line="360" w:lineRule="auto"/>
        <w:rPr>
          <w:rFonts w:ascii="Times New Roman" w:eastAsia="Times New Roman" w:hAnsi="Times New Roman" w:cs="Times New Roman"/>
          <w:color w:val="000000"/>
          <w:sz w:val="24"/>
          <w:szCs w:val="24"/>
          <w:lang w:eastAsia="en-GB"/>
        </w:rPr>
      </w:pPr>
      <w:r w:rsidRPr="004A6CE2">
        <w:rPr>
          <w:rFonts w:ascii="Times New Roman" w:eastAsia="Times New Roman" w:hAnsi="Times New Roman" w:cs="Times New Roman"/>
          <w:color w:val="000000"/>
          <w:sz w:val="24"/>
          <w:szCs w:val="24"/>
          <w:lang w:eastAsia="en-GB"/>
        </w:rPr>
        <w:t>Treffinger, D., Young, G., Selb</w:t>
      </w:r>
      <w:r w:rsidR="00183BC4">
        <w:rPr>
          <w:rFonts w:ascii="Times New Roman" w:eastAsia="Times New Roman" w:hAnsi="Times New Roman" w:cs="Times New Roman"/>
          <w:color w:val="000000"/>
          <w:sz w:val="24"/>
          <w:szCs w:val="24"/>
          <w:lang w:eastAsia="en-GB"/>
        </w:rPr>
        <w:t>y, E. and Shepardson, C. (2002)</w:t>
      </w:r>
      <w:r w:rsidRPr="004A6CE2">
        <w:rPr>
          <w:rFonts w:ascii="Times New Roman" w:eastAsia="Times New Roman" w:hAnsi="Times New Roman" w:cs="Times New Roman"/>
          <w:color w:val="000000"/>
          <w:sz w:val="24"/>
          <w:szCs w:val="24"/>
          <w:lang w:eastAsia="en-GB"/>
        </w:rPr>
        <w:t> </w:t>
      </w:r>
      <w:r w:rsidRPr="004A6CE2">
        <w:rPr>
          <w:rFonts w:ascii="Times New Roman" w:eastAsia="Times New Roman" w:hAnsi="Times New Roman" w:cs="Times New Roman"/>
          <w:i/>
          <w:iCs/>
          <w:color w:val="000000"/>
          <w:sz w:val="24"/>
          <w:szCs w:val="24"/>
          <w:lang w:eastAsia="en-GB"/>
        </w:rPr>
        <w:t>Assessing Creativity: A Guide for Educators</w:t>
      </w:r>
      <w:r w:rsidR="00183BC4">
        <w:rPr>
          <w:rFonts w:ascii="Times New Roman" w:eastAsia="Times New Roman" w:hAnsi="Times New Roman" w:cs="Times New Roman"/>
          <w:color w:val="000000"/>
          <w:sz w:val="24"/>
          <w:szCs w:val="24"/>
          <w:lang w:eastAsia="en-GB"/>
        </w:rPr>
        <w:t>. [O</w:t>
      </w:r>
      <w:r w:rsidRPr="004A6CE2">
        <w:rPr>
          <w:rFonts w:ascii="Times New Roman" w:eastAsia="Times New Roman" w:hAnsi="Times New Roman" w:cs="Times New Roman"/>
          <w:color w:val="000000"/>
          <w:sz w:val="24"/>
          <w:szCs w:val="24"/>
          <w:lang w:eastAsia="en-GB"/>
        </w:rPr>
        <w:t>nline]</w:t>
      </w:r>
      <w:r w:rsidR="00183BC4">
        <w:rPr>
          <w:rFonts w:ascii="Times New Roman" w:eastAsia="Times New Roman" w:hAnsi="Times New Roman" w:cs="Times New Roman"/>
          <w:color w:val="000000"/>
          <w:sz w:val="24"/>
          <w:szCs w:val="24"/>
          <w:lang w:eastAsia="en-GB"/>
        </w:rPr>
        <w:t>.</w:t>
      </w:r>
      <w:r w:rsidRPr="004A6CE2">
        <w:rPr>
          <w:rFonts w:ascii="Times New Roman" w:eastAsia="Times New Roman" w:hAnsi="Times New Roman" w:cs="Times New Roman"/>
          <w:color w:val="000000"/>
          <w:sz w:val="24"/>
          <w:szCs w:val="24"/>
          <w:lang w:eastAsia="en-GB"/>
        </w:rPr>
        <w:t xml:space="preserve"> Mansfield: National Research Centre on the Gifted and Talented. Available at: </w:t>
      </w:r>
      <w:r w:rsidRPr="004A6CE2">
        <w:rPr>
          <w:rFonts w:ascii="Times New Roman" w:eastAsia="Times New Roman" w:hAnsi="Times New Roman" w:cs="Times New Roman"/>
          <w:color w:val="2E74B5" w:themeColor="accent1" w:themeShade="BF"/>
          <w:sz w:val="24"/>
          <w:szCs w:val="24"/>
          <w:u w:val="single"/>
          <w:lang w:eastAsia="en-GB"/>
        </w:rPr>
        <w:t>https://nrcgt.uconn.edu/wp-content/uploads/sites/953/2015/04/rm02170.pdf</w:t>
      </w:r>
      <w:r w:rsidRPr="004A6CE2">
        <w:rPr>
          <w:rFonts w:ascii="Times New Roman" w:eastAsia="Times New Roman" w:hAnsi="Times New Roman" w:cs="Times New Roman"/>
          <w:color w:val="2E74B5" w:themeColor="accent1" w:themeShade="BF"/>
          <w:sz w:val="24"/>
          <w:szCs w:val="24"/>
          <w:lang w:eastAsia="en-GB"/>
        </w:rPr>
        <w:t xml:space="preserve"> </w:t>
      </w:r>
      <w:r w:rsidRPr="004A6CE2">
        <w:rPr>
          <w:rFonts w:ascii="Times New Roman" w:eastAsia="Times New Roman" w:hAnsi="Times New Roman" w:cs="Times New Roman"/>
          <w:color w:val="000000"/>
          <w:sz w:val="24"/>
          <w:szCs w:val="24"/>
          <w:lang w:eastAsia="en-GB"/>
        </w:rPr>
        <w:t>[Accessed</w:t>
      </w:r>
      <w:r w:rsidR="00183BC4">
        <w:rPr>
          <w:rFonts w:ascii="Times New Roman" w:eastAsia="Times New Roman" w:hAnsi="Times New Roman" w:cs="Times New Roman"/>
          <w:color w:val="000000"/>
          <w:sz w:val="24"/>
          <w:szCs w:val="24"/>
          <w:lang w:eastAsia="en-GB"/>
        </w:rPr>
        <w:t>:</w:t>
      </w:r>
      <w:r w:rsidRPr="004A6CE2">
        <w:rPr>
          <w:rFonts w:ascii="Times New Roman" w:eastAsia="Times New Roman" w:hAnsi="Times New Roman" w:cs="Times New Roman"/>
          <w:color w:val="000000"/>
          <w:sz w:val="24"/>
          <w:szCs w:val="24"/>
          <w:lang w:eastAsia="en-GB"/>
        </w:rPr>
        <w:t xml:space="preserve"> 3</w:t>
      </w:r>
      <w:r w:rsidR="00183BC4">
        <w:rPr>
          <w:rFonts w:ascii="Times New Roman" w:eastAsia="Times New Roman" w:hAnsi="Times New Roman" w:cs="Times New Roman"/>
          <w:color w:val="000000"/>
          <w:sz w:val="24"/>
          <w:szCs w:val="24"/>
          <w:lang w:eastAsia="en-GB"/>
        </w:rPr>
        <w:t>rd December</w:t>
      </w:r>
      <w:r w:rsidRPr="004A6CE2">
        <w:rPr>
          <w:rFonts w:ascii="Times New Roman" w:eastAsia="Times New Roman" w:hAnsi="Times New Roman" w:cs="Times New Roman"/>
          <w:color w:val="000000"/>
          <w:sz w:val="24"/>
          <w:szCs w:val="24"/>
          <w:lang w:eastAsia="en-GB"/>
        </w:rPr>
        <w:t xml:space="preserve"> 2017].</w:t>
      </w:r>
    </w:p>
    <w:p w:rsidR="004A6CE2" w:rsidRPr="004A6CE2" w:rsidRDefault="004A6CE2" w:rsidP="004A6CE2">
      <w:pPr>
        <w:spacing w:after="180" w:line="360" w:lineRule="auto"/>
        <w:rPr>
          <w:rFonts w:ascii="Times New Roman" w:eastAsia="Times New Roman" w:hAnsi="Times New Roman" w:cs="Times New Roman"/>
          <w:sz w:val="24"/>
          <w:szCs w:val="24"/>
          <w:lang w:eastAsia="en-GB"/>
        </w:rPr>
      </w:pPr>
      <w:r w:rsidRPr="004A6CE2">
        <w:rPr>
          <w:rFonts w:ascii="Times New Roman" w:eastAsia="Times New Roman" w:hAnsi="Times New Roman" w:cs="Times New Roman"/>
          <w:sz w:val="24"/>
          <w:szCs w:val="24"/>
          <w:lang w:eastAsia="en-GB"/>
        </w:rPr>
        <w:t>Williams, K.</w:t>
      </w:r>
      <w:r w:rsidR="00183BC4">
        <w:rPr>
          <w:rFonts w:ascii="Times New Roman" w:eastAsia="Times New Roman" w:hAnsi="Times New Roman" w:cs="Times New Roman"/>
          <w:sz w:val="24"/>
          <w:szCs w:val="24"/>
          <w:lang w:eastAsia="en-GB"/>
        </w:rPr>
        <w:t xml:space="preserve"> (2017)</w:t>
      </w:r>
      <w:r w:rsidRPr="004A6CE2">
        <w:rPr>
          <w:rFonts w:ascii="Times New Roman" w:eastAsia="Times New Roman" w:hAnsi="Times New Roman" w:cs="Times New Roman"/>
          <w:sz w:val="24"/>
          <w:szCs w:val="24"/>
          <w:lang w:eastAsia="en-GB"/>
        </w:rPr>
        <w:t> </w:t>
      </w:r>
      <w:r w:rsidRPr="004A6CE2">
        <w:rPr>
          <w:rFonts w:ascii="Times New Roman" w:eastAsia="Times New Roman" w:hAnsi="Times New Roman" w:cs="Times New Roman"/>
          <w:i/>
          <w:iCs/>
          <w:sz w:val="24"/>
          <w:szCs w:val="24"/>
          <w:lang w:eastAsia="en-GB"/>
        </w:rPr>
        <w:t>Education in Wales: Our national mission</w:t>
      </w:r>
      <w:r w:rsidR="00183BC4">
        <w:rPr>
          <w:rFonts w:ascii="Times New Roman" w:eastAsia="Times New Roman" w:hAnsi="Times New Roman" w:cs="Times New Roman"/>
          <w:sz w:val="24"/>
          <w:szCs w:val="24"/>
          <w:lang w:eastAsia="en-GB"/>
        </w:rPr>
        <w:t>. [O</w:t>
      </w:r>
      <w:r w:rsidRPr="004A6CE2">
        <w:rPr>
          <w:rFonts w:ascii="Times New Roman" w:eastAsia="Times New Roman" w:hAnsi="Times New Roman" w:cs="Times New Roman"/>
          <w:sz w:val="24"/>
          <w:szCs w:val="24"/>
          <w:lang w:eastAsia="en-GB"/>
        </w:rPr>
        <w:t>nline]</w:t>
      </w:r>
      <w:r w:rsidR="00183BC4">
        <w:rPr>
          <w:rFonts w:ascii="Times New Roman" w:eastAsia="Times New Roman" w:hAnsi="Times New Roman" w:cs="Times New Roman"/>
          <w:sz w:val="24"/>
          <w:szCs w:val="24"/>
          <w:lang w:eastAsia="en-GB"/>
        </w:rPr>
        <w:t>.</w:t>
      </w:r>
      <w:r w:rsidRPr="004A6CE2">
        <w:rPr>
          <w:rFonts w:ascii="Times New Roman" w:eastAsia="Times New Roman" w:hAnsi="Times New Roman" w:cs="Times New Roman"/>
          <w:sz w:val="24"/>
          <w:szCs w:val="24"/>
          <w:lang w:eastAsia="en-GB"/>
        </w:rPr>
        <w:t xml:space="preserve"> Cardiff: Welsh Government, Available at: </w:t>
      </w:r>
      <w:r w:rsidRPr="004A6CE2">
        <w:rPr>
          <w:rFonts w:ascii="Times New Roman" w:eastAsia="Times New Roman" w:hAnsi="Times New Roman" w:cs="Times New Roman"/>
          <w:color w:val="2E74B5" w:themeColor="accent1" w:themeShade="BF"/>
          <w:sz w:val="24"/>
          <w:szCs w:val="24"/>
          <w:u w:val="single"/>
          <w:lang w:eastAsia="en-GB"/>
        </w:rPr>
        <w:t>http://gov.wales/docs/dcells/publications/170926-education-in-wales-en.pdf</w:t>
      </w:r>
      <w:r w:rsidRPr="004A6CE2">
        <w:rPr>
          <w:rFonts w:ascii="Times New Roman" w:eastAsia="Times New Roman" w:hAnsi="Times New Roman" w:cs="Times New Roman"/>
          <w:sz w:val="24"/>
          <w:szCs w:val="24"/>
          <w:lang w:eastAsia="en-GB"/>
        </w:rPr>
        <w:t xml:space="preserve"> [Accessed: 28th November 2017].</w:t>
      </w:r>
    </w:p>
    <w:p w:rsidR="004A6CE2" w:rsidRPr="004A6CE2" w:rsidRDefault="00183BC4" w:rsidP="004A6CE2">
      <w:pPr>
        <w:spacing w:after="180" w:line="36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Wilson, A. (2015)</w:t>
      </w:r>
      <w:r w:rsidR="004A6CE2" w:rsidRPr="004A6CE2">
        <w:rPr>
          <w:rFonts w:ascii="Times New Roman" w:eastAsia="Times New Roman" w:hAnsi="Times New Roman" w:cs="Times New Roman"/>
          <w:color w:val="000000"/>
          <w:sz w:val="24"/>
          <w:szCs w:val="24"/>
          <w:lang w:eastAsia="en-GB"/>
        </w:rPr>
        <w:t> </w:t>
      </w:r>
      <w:r w:rsidR="004A6CE2" w:rsidRPr="004A6CE2">
        <w:rPr>
          <w:rFonts w:ascii="Times New Roman" w:eastAsia="Times New Roman" w:hAnsi="Times New Roman" w:cs="Times New Roman"/>
          <w:i/>
          <w:iCs/>
          <w:color w:val="000000"/>
          <w:sz w:val="24"/>
          <w:szCs w:val="24"/>
          <w:lang w:eastAsia="en-GB"/>
        </w:rPr>
        <w:t>Creativity in Primary Education</w:t>
      </w:r>
      <w:r w:rsidR="004A6CE2" w:rsidRPr="004A6CE2">
        <w:rPr>
          <w:rFonts w:ascii="Times New Roman" w:eastAsia="Times New Roman" w:hAnsi="Times New Roman" w:cs="Times New Roman"/>
          <w:color w:val="000000"/>
          <w:sz w:val="24"/>
          <w:szCs w:val="24"/>
          <w:lang w:eastAsia="en-GB"/>
        </w:rPr>
        <w:t>. 3rd ed. London: Learning Matters.</w:t>
      </w:r>
    </w:p>
    <w:sectPr w:rsidR="004A6CE2" w:rsidRPr="004A6CE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4992" w:rsidRDefault="00534992" w:rsidP="00AC0558">
      <w:pPr>
        <w:spacing w:after="0" w:line="240" w:lineRule="auto"/>
      </w:pPr>
      <w:r>
        <w:separator/>
      </w:r>
    </w:p>
  </w:endnote>
  <w:endnote w:type="continuationSeparator" w:id="0">
    <w:p w:rsidR="00534992" w:rsidRDefault="00534992" w:rsidP="00AC0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B55" w:rsidRDefault="00357B55" w:rsidP="00D82ECD">
    <w:pPr>
      <w:pStyle w:val="Footer"/>
      <w:tabs>
        <w:tab w:val="left" w:pos="7434"/>
      </w:tabs>
    </w:pPr>
    <w:r>
      <w:tab/>
    </w:r>
    <w:sdt>
      <w:sdtPr>
        <w:id w:val="-104768212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64663">
          <w:rPr>
            <w:noProof/>
          </w:rPr>
          <w:t>16</w:t>
        </w:r>
        <w:r>
          <w:rPr>
            <w:noProof/>
          </w:rPr>
          <w:fldChar w:fldCharType="end"/>
        </w:r>
      </w:sdtContent>
    </w:sdt>
    <w:r>
      <w:rPr>
        <w:noProof/>
      </w:rPr>
      <w:tab/>
    </w:r>
  </w:p>
  <w:p w:rsidR="00357B55" w:rsidRDefault="00357B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4992" w:rsidRDefault="00534992" w:rsidP="00AC0558">
      <w:pPr>
        <w:spacing w:after="0" w:line="240" w:lineRule="auto"/>
      </w:pPr>
      <w:r>
        <w:separator/>
      </w:r>
    </w:p>
  </w:footnote>
  <w:footnote w:type="continuationSeparator" w:id="0">
    <w:p w:rsidR="00534992" w:rsidRDefault="00534992" w:rsidP="00AC055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B55" w:rsidRDefault="00357B55">
    <w:pPr>
      <w:pStyle w:val="Header"/>
    </w:pPr>
    <w:r>
      <w:t>1500444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558"/>
    <w:rsid w:val="000132EA"/>
    <w:rsid w:val="0002192F"/>
    <w:rsid w:val="00035747"/>
    <w:rsid w:val="000418BF"/>
    <w:rsid w:val="00053C93"/>
    <w:rsid w:val="0006130B"/>
    <w:rsid w:val="000D45D1"/>
    <w:rsid w:val="00120DD8"/>
    <w:rsid w:val="00157BA3"/>
    <w:rsid w:val="00183BC4"/>
    <w:rsid w:val="00191350"/>
    <w:rsid w:val="0025701A"/>
    <w:rsid w:val="002A4AB6"/>
    <w:rsid w:val="002D2C47"/>
    <w:rsid w:val="002E3330"/>
    <w:rsid w:val="003455BE"/>
    <w:rsid w:val="00357B55"/>
    <w:rsid w:val="003607A3"/>
    <w:rsid w:val="003A1369"/>
    <w:rsid w:val="003F2A05"/>
    <w:rsid w:val="00435602"/>
    <w:rsid w:val="00460F05"/>
    <w:rsid w:val="004A3820"/>
    <w:rsid w:val="004A5FA2"/>
    <w:rsid w:val="004A6CE2"/>
    <w:rsid w:val="004E4232"/>
    <w:rsid w:val="00534992"/>
    <w:rsid w:val="00551B78"/>
    <w:rsid w:val="0056087B"/>
    <w:rsid w:val="00564663"/>
    <w:rsid w:val="00572EBE"/>
    <w:rsid w:val="00580CF2"/>
    <w:rsid w:val="005D1C15"/>
    <w:rsid w:val="00612C90"/>
    <w:rsid w:val="0067296E"/>
    <w:rsid w:val="006C09B0"/>
    <w:rsid w:val="006E54F1"/>
    <w:rsid w:val="00721C75"/>
    <w:rsid w:val="00783862"/>
    <w:rsid w:val="007A5D65"/>
    <w:rsid w:val="007B641A"/>
    <w:rsid w:val="007F1C1D"/>
    <w:rsid w:val="0085584B"/>
    <w:rsid w:val="008F4673"/>
    <w:rsid w:val="008F64F0"/>
    <w:rsid w:val="00912B20"/>
    <w:rsid w:val="009210FB"/>
    <w:rsid w:val="00950931"/>
    <w:rsid w:val="009668F3"/>
    <w:rsid w:val="009A2962"/>
    <w:rsid w:val="00A14C87"/>
    <w:rsid w:val="00AC0558"/>
    <w:rsid w:val="00AE0BE5"/>
    <w:rsid w:val="00B90EDD"/>
    <w:rsid w:val="00BB363F"/>
    <w:rsid w:val="00BD25E0"/>
    <w:rsid w:val="00BE2D81"/>
    <w:rsid w:val="00C12555"/>
    <w:rsid w:val="00C6100D"/>
    <w:rsid w:val="00CA7C28"/>
    <w:rsid w:val="00D82ECD"/>
    <w:rsid w:val="00D95AC8"/>
    <w:rsid w:val="00DA3766"/>
    <w:rsid w:val="00DB09E4"/>
    <w:rsid w:val="00E17BBE"/>
    <w:rsid w:val="00E37CE3"/>
    <w:rsid w:val="00EB4362"/>
    <w:rsid w:val="00EE7548"/>
    <w:rsid w:val="00F47321"/>
    <w:rsid w:val="00FF7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2926CF-3146-4028-90A1-868BBC221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558"/>
    <w:pPr>
      <w:spacing w:line="256" w:lineRule="auto"/>
    </w:pPr>
  </w:style>
  <w:style w:type="paragraph" w:styleId="Heading2">
    <w:name w:val="heading 2"/>
    <w:basedOn w:val="Normal"/>
    <w:link w:val="Heading2Char"/>
    <w:uiPriority w:val="9"/>
    <w:qFormat/>
    <w:rsid w:val="004A6CE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0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558"/>
  </w:style>
  <w:style w:type="paragraph" w:styleId="Footer">
    <w:name w:val="footer"/>
    <w:basedOn w:val="Normal"/>
    <w:link w:val="FooterChar"/>
    <w:uiPriority w:val="99"/>
    <w:unhideWhenUsed/>
    <w:rsid w:val="00AC0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558"/>
  </w:style>
  <w:style w:type="character" w:styleId="Hyperlink">
    <w:name w:val="Hyperlink"/>
    <w:basedOn w:val="DefaultParagraphFont"/>
    <w:uiPriority w:val="99"/>
    <w:unhideWhenUsed/>
    <w:rsid w:val="00435602"/>
    <w:rPr>
      <w:color w:val="0563C1" w:themeColor="hyperlink"/>
      <w:u w:val="single"/>
    </w:rPr>
  </w:style>
  <w:style w:type="paragraph" w:customStyle="1" w:styleId="BodyText1">
    <w:name w:val="Body Text1"/>
    <w:basedOn w:val="Normal"/>
    <w:rsid w:val="00A14C87"/>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A14C87"/>
    <w:pPr>
      <w:spacing w:after="0" w:line="240" w:lineRule="auto"/>
    </w:pPr>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4A6CE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A6C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4293052">
      <w:bodyDiv w:val="1"/>
      <w:marLeft w:val="0"/>
      <w:marRight w:val="0"/>
      <w:marTop w:val="0"/>
      <w:marBottom w:val="0"/>
      <w:divBdr>
        <w:top w:val="none" w:sz="0" w:space="0" w:color="auto"/>
        <w:left w:val="none" w:sz="0" w:space="0" w:color="auto"/>
        <w:bottom w:val="none" w:sz="0" w:space="0" w:color="auto"/>
        <w:right w:val="none" w:sz="0" w:space="0" w:color="auto"/>
      </w:divBdr>
    </w:div>
    <w:div w:id="701053302">
      <w:bodyDiv w:val="1"/>
      <w:marLeft w:val="0"/>
      <w:marRight w:val="0"/>
      <w:marTop w:val="0"/>
      <w:marBottom w:val="0"/>
      <w:divBdr>
        <w:top w:val="none" w:sz="0" w:space="0" w:color="auto"/>
        <w:left w:val="none" w:sz="0" w:space="0" w:color="auto"/>
        <w:bottom w:val="none" w:sz="0" w:space="0" w:color="auto"/>
        <w:right w:val="none" w:sz="0" w:space="0" w:color="auto"/>
      </w:divBdr>
    </w:div>
    <w:div w:id="767311036">
      <w:bodyDiv w:val="1"/>
      <w:marLeft w:val="0"/>
      <w:marRight w:val="0"/>
      <w:marTop w:val="0"/>
      <w:marBottom w:val="0"/>
      <w:divBdr>
        <w:top w:val="none" w:sz="0" w:space="0" w:color="auto"/>
        <w:left w:val="none" w:sz="0" w:space="0" w:color="auto"/>
        <w:bottom w:val="none" w:sz="0" w:space="0" w:color="auto"/>
        <w:right w:val="none" w:sz="0" w:space="0" w:color="auto"/>
      </w:divBdr>
    </w:div>
    <w:div w:id="822890747">
      <w:bodyDiv w:val="1"/>
      <w:marLeft w:val="0"/>
      <w:marRight w:val="0"/>
      <w:marTop w:val="0"/>
      <w:marBottom w:val="0"/>
      <w:divBdr>
        <w:top w:val="none" w:sz="0" w:space="0" w:color="auto"/>
        <w:left w:val="none" w:sz="0" w:space="0" w:color="auto"/>
        <w:bottom w:val="none" w:sz="0" w:space="0" w:color="auto"/>
        <w:right w:val="none" w:sz="0" w:space="0" w:color="auto"/>
      </w:divBdr>
    </w:div>
    <w:div w:id="866677846">
      <w:bodyDiv w:val="1"/>
      <w:marLeft w:val="0"/>
      <w:marRight w:val="0"/>
      <w:marTop w:val="0"/>
      <w:marBottom w:val="0"/>
      <w:divBdr>
        <w:top w:val="none" w:sz="0" w:space="0" w:color="auto"/>
        <w:left w:val="none" w:sz="0" w:space="0" w:color="auto"/>
        <w:bottom w:val="none" w:sz="0" w:space="0" w:color="auto"/>
        <w:right w:val="none" w:sz="0" w:space="0" w:color="auto"/>
      </w:divBdr>
    </w:div>
    <w:div w:id="104236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A3ECB-9CEA-49C2-8595-A33BC3334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16</Pages>
  <Words>3390</Words>
  <Characters>19328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Wilson</dc:creator>
  <cp:keywords/>
  <dc:description/>
  <cp:lastModifiedBy>Bethan Wilson</cp:lastModifiedBy>
  <cp:revision>5</cp:revision>
  <dcterms:created xsi:type="dcterms:W3CDTF">2017-12-15T11:16:00Z</dcterms:created>
  <dcterms:modified xsi:type="dcterms:W3CDTF">2017-12-15T13:05:00Z</dcterms:modified>
</cp:coreProperties>
</file>