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C7600" w14:textId="6A6D58EC" w:rsidR="001D2C30" w:rsidRPr="00F224C7" w:rsidRDefault="001D2C30">
      <w:pPr>
        <w:rPr>
          <w:rFonts w:cstheme="minorHAnsi"/>
          <w:u w:val="single"/>
          <w:lang w:val="cy-GB"/>
        </w:rPr>
      </w:pPr>
      <w:r w:rsidRPr="00F224C7">
        <w:rPr>
          <w:rFonts w:cstheme="minorHAnsi"/>
          <w:u w:val="single"/>
          <w:lang w:val="cy-GB"/>
        </w:rPr>
        <w:t xml:space="preserve">Rhestr Cyfeiriadau </w:t>
      </w:r>
    </w:p>
    <w:p w14:paraId="6898667B" w14:textId="77777777" w:rsidR="001C0ADC" w:rsidRPr="00F224C7" w:rsidRDefault="001C0ADC" w:rsidP="001C0ADC">
      <w:pPr>
        <w:spacing w:line="480" w:lineRule="auto"/>
        <w:rPr>
          <w:rFonts w:eastAsia="Times New Roman" w:cstheme="minorHAnsi"/>
        </w:rPr>
      </w:pPr>
    </w:p>
    <w:p w14:paraId="39A05A6B" w14:textId="079A15DA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Bhat, A. (dim </w:t>
      </w:r>
      <w:proofErr w:type="spellStart"/>
      <w:r w:rsidRPr="00F224C7">
        <w:rPr>
          <w:rFonts w:cstheme="minorHAnsi"/>
        </w:rPr>
        <w:t>dyddiad</w:t>
      </w:r>
      <w:proofErr w:type="spellEnd"/>
      <w:r w:rsidRPr="00F224C7">
        <w:rPr>
          <w:rFonts w:cstheme="minorHAnsi"/>
        </w:rPr>
        <w:t xml:space="preserve">) </w:t>
      </w:r>
      <w:r w:rsidRPr="00F224C7">
        <w:rPr>
          <w:rFonts w:cstheme="minorHAnsi"/>
          <w:i/>
          <w:iCs/>
        </w:rPr>
        <w:t>Questionnaires: The Ultimate Guide, Samples and Examples</w:t>
      </w:r>
      <w:r w:rsidRPr="00F224C7">
        <w:rPr>
          <w:rFonts w:cstheme="minorHAnsi"/>
        </w:rPr>
        <w:t xml:space="preserve">. Available at: </w:t>
      </w:r>
      <w:hyperlink r:id="rId7" w:history="1">
        <w:r w:rsidRPr="00F224C7">
          <w:rPr>
            <w:rStyle w:val="Hyperlink"/>
            <w:rFonts w:cstheme="minorHAnsi"/>
          </w:rPr>
          <w:t>https://www.questionpro.com/blog/what-is-a-questionnaire/amp/</w:t>
        </w:r>
      </w:hyperlink>
      <w:r w:rsidRPr="00F224C7">
        <w:rPr>
          <w:rFonts w:cstheme="minorHAnsi"/>
        </w:rPr>
        <w:t xml:space="preserve"> (Accessed: 13</w:t>
      </w:r>
      <w:r w:rsidRPr="00F224C7">
        <w:rPr>
          <w:rFonts w:cstheme="minorHAnsi"/>
          <w:vertAlign w:val="superscript"/>
        </w:rPr>
        <w:t>th</w:t>
      </w:r>
      <w:r w:rsidRPr="00F224C7">
        <w:rPr>
          <w:rFonts w:cstheme="minorHAnsi"/>
        </w:rPr>
        <w:t xml:space="preserve"> February 2022).</w:t>
      </w:r>
    </w:p>
    <w:p w14:paraId="3D450537" w14:textId="77777777" w:rsidR="001C0ADC" w:rsidRPr="00F224C7" w:rsidRDefault="001C0ADC" w:rsidP="001C0ADC">
      <w:pPr>
        <w:pStyle w:val="ListParagraph"/>
        <w:spacing w:line="360" w:lineRule="auto"/>
        <w:ind w:left="360"/>
        <w:jc w:val="both"/>
        <w:rPr>
          <w:rFonts w:cstheme="minorHAnsi"/>
        </w:rPr>
      </w:pPr>
    </w:p>
    <w:p w14:paraId="57B99DA0" w14:textId="1BE5F19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Bickman, L. Rog, D.J. (2009) </w:t>
      </w:r>
      <w:r w:rsidRPr="00F224C7">
        <w:rPr>
          <w:rFonts w:cstheme="minorHAnsi"/>
          <w:i/>
          <w:iCs/>
        </w:rPr>
        <w:t>The SAGE Handbook of Applied Social Research Methods</w:t>
      </w:r>
      <w:r w:rsidRPr="00F224C7">
        <w:rPr>
          <w:rFonts w:cstheme="minorHAnsi"/>
        </w:rPr>
        <w:t>. 2</w:t>
      </w:r>
      <w:r w:rsidRPr="00F224C7">
        <w:rPr>
          <w:rFonts w:cstheme="minorHAnsi"/>
          <w:vertAlign w:val="superscript"/>
        </w:rPr>
        <w:t>nd</w:t>
      </w:r>
      <w:r w:rsidRPr="00F224C7">
        <w:rPr>
          <w:rFonts w:cstheme="minorHAnsi"/>
        </w:rPr>
        <w:t xml:space="preserve"> </w:t>
      </w:r>
      <w:proofErr w:type="spellStart"/>
      <w:r w:rsidRPr="00F224C7">
        <w:rPr>
          <w:rFonts w:cstheme="minorHAnsi"/>
        </w:rPr>
        <w:t>edn</w:t>
      </w:r>
      <w:proofErr w:type="spellEnd"/>
      <w:r w:rsidRPr="00F224C7">
        <w:rPr>
          <w:rFonts w:cstheme="minorHAnsi"/>
        </w:rPr>
        <w:t xml:space="preserve">. SAGE </w:t>
      </w:r>
    </w:p>
    <w:p w14:paraId="5F71E2D4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06E0EC67" w14:textId="60BA776B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  <w:r w:rsidRPr="00F224C7">
        <w:rPr>
          <w:rFonts w:cstheme="minorHAnsi"/>
          <w:color w:val="000000" w:themeColor="text1"/>
          <w:lang w:val="cy-GB"/>
        </w:rPr>
        <w:t xml:space="preserve">Care Inspectorate. (No Date) </w:t>
      </w:r>
      <w:r w:rsidRPr="00F224C7">
        <w:rPr>
          <w:rFonts w:cstheme="minorHAnsi"/>
          <w:i/>
          <w:iCs/>
          <w:color w:val="000000" w:themeColor="text1"/>
          <w:lang w:val="cy-GB"/>
        </w:rPr>
        <w:t>Guidance on Adult to Child Ratios in Early Learning and Childcare (ELC) Settings</w:t>
      </w:r>
      <w:r w:rsidRPr="00F224C7">
        <w:rPr>
          <w:rFonts w:cstheme="minorHAnsi"/>
          <w:color w:val="000000" w:themeColor="text1"/>
          <w:lang w:val="cy-GB"/>
        </w:rPr>
        <w:t xml:space="preserve">. </w:t>
      </w:r>
      <w:r w:rsidRPr="00F224C7">
        <w:rPr>
          <w:rFonts w:cstheme="minorHAnsi"/>
          <w:lang w:val="cy-GB"/>
        </w:rPr>
        <w:t xml:space="preserve">[online] Available at: </w:t>
      </w:r>
      <w:hyperlink r:id="rId8" w:history="1">
        <w:r w:rsidRPr="00F224C7">
          <w:rPr>
            <w:rStyle w:val="Hyperlink"/>
            <w:rFonts w:cstheme="minorHAnsi"/>
            <w:lang w:val="cy-GB"/>
          </w:rPr>
          <w:t>https://www.careinspectorate.com/images/ELC_adult-child_ratios_-_final_29.3.18.pdf</w:t>
        </w:r>
      </w:hyperlink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>(Accessed: 7th February 2022).</w:t>
      </w:r>
    </w:p>
    <w:p w14:paraId="6C8422CE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</w:p>
    <w:p w14:paraId="7DD9E6C2" w14:textId="3F1A3D11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  <w:r w:rsidRPr="00F224C7">
        <w:rPr>
          <w:rFonts w:cstheme="minorHAnsi"/>
          <w:color w:val="000000" w:themeColor="text1"/>
          <w:lang w:val="cy-GB"/>
        </w:rPr>
        <w:t xml:space="preserve">Cicero Group. (2019) </w:t>
      </w:r>
      <w:r w:rsidRPr="00F224C7">
        <w:rPr>
          <w:rFonts w:cstheme="minorHAnsi"/>
          <w:i/>
          <w:iCs/>
          <w:color w:val="000000" w:themeColor="text1"/>
          <w:lang w:val="cy-GB"/>
        </w:rPr>
        <w:t>How To Handle Missing Data</w:t>
      </w:r>
      <w:r w:rsidRPr="00F224C7">
        <w:rPr>
          <w:rFonts w:cstheme="minorHAnsi"/>
          <w:color w:val="000000" w:themeColor="text1"/>
          <w:lang w:val="cy-GB"/>
        </w:rPr>
        <w:t xml:space="preserve">. </w:t>
      </w:r>
      <w:r w:rsidRPr="00F224C7">
        <w:rPr>
          <w:rFonts w:cstheme="minorHAnsi"/>
          <w:lang w:val="cy-GB"/>
        </w:rPr>
        <w:t xml:space="preserve">[online] Available at: </w:t>
      </w:r>
      <w:r w:rsidRPr="00F224C7">
        <w:rPr>
          <w:rFonts w:cstheme="minorHAnsi"/>
        </w:rPr>
        <w:fldChar w:fldCharType="begin"/>
      </w:r>
      <w:r w:rsidRPr="00F224C7">
        <w:rPr>
          <w:rFonts w:cstheme="minorHAnsi"/>
        </w:rPr>
        <w:instrText xml:space="preserve"> HYPERLINK "https://cicerogroup.com/how-to-handle-missing-data/" </w:instrText>
      </w:r>
      <w:r w:rsidRPr="00F224C7">
        <w:rPr>
          <w:rFonts w:cstheme="minorHAnsi"/>
        </w:rPr>
        <w:fldChar w:fldCharType="separate"/>
      </w:r>
      <w:r w:rsidRPr="00F224C7">
        <w:rPr>
          <w:rStyle w:val="Hyperlink"/>
          <w:rFonts w:cstheme="minorHAnsi"/>
          <w:lang w:val="cy-GB"/>
        </w:rPr>
        <w:t>https://cicerogroup.com/how-to-handle-missing-data/</w:t>
      </w:r>
      <w:r w:rsidRPr="00F224C7">
        <w:rPr>
          <w:rStyle w:val="Hyperlink"/>
          <w:rFonts w:cstheme="minorHAnsi"/>
          <w:lang w:val="cy-GB"/>
        </w:rPr>
        <w:fldChar w:fldCharType="end"/>
      </w:r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>(Accessed: 5th February 2022).</w:t>
      </w:r>
    </w:p>
    <w:p w14:paraId="6CA583B3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</w:p>
    <w:p w14:paraId="2B769B49" w14:textId="59B014E4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eastAsia="Times New Roman" w:cstheme="minorHAnsi"/>
        </w:rPr>
        <w:t xml:space="preserve">Cleave, Philip. “Advantages of Questionnaires in Online Research.” </w:t>
      </w:r>
      <w:proofErr w:type="spellStart"/>
      <w:r w:rsidRPr="00F224C7">
        <w:rPr>
          <w:rFonts w:eastAsia="Times New Roman" w:cstheme="minorHAnsi"/>
          <w:i/>
        </w:rPr>
        <w:t>SmartSurvey</w:t>
      </w:r>
      <w:proofErr w:type="spellEnd"/>
      <w:r w:rsidRPr="00F224C7">
        <w:rPr>
          <w:rFonts w:eastAsia="Times New Roman" w:cstheme="minorHAnsi"/>
        </w:rPr>
        <w:t xml:space="preserve">, 18 Jan. 2021, </w:t>
      </w:r>
      <w:hyperlink r:id="rId9" w:history="1">
        <w:r w:rsidRPr="00F224C7">
          <w:rPr>
            <w:rStyle w:val="Hyperlink"/>
            <w:rFonts w:eastAsia="Times New Roman" w:cstheme="minorHAnsi"/>
          </w:rPr>
          <w:t>www.smartsurvey.co.uk/blog/advantages-of-questionnaires-in-online-research</w:t>
        </w:r>
      </w:hyperlink>
      <w:r w:rsidRPr="00F224C7">
        <w:rPr>
          <w:rFonts w:eastAsia="Times New Roman" w:cstheme="minorHAnsi"/>
        </w:rPr>
        <w:t xml:space="preserve"> </w:t>
      </w:r>
    </w:p>
    <w:p w14:paraId="531E43B9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00300E46" w14:textId="4C05538E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Coles, E. Cheyne, H. Daniel, B. (2015) Early Years Intervention to Improve Child Health and Wellbeing: What Works, for Whom and in what Circumstances? Protocol for a Realist Review, </w:t>
      </w:r>
      <w:r w:rsidRPr="00F224C7">
        <w:rPr>
          <w:rFonts w:cstheme="minorHAnsi"/>
          <w:i/>
          <w:iCs/>
        </w:rPr>
        <w:t>Systematic Reviews</w:t>
      </w:r>
      <w:r w:rsidRPr="00F224C7">
        <w:rPr>
          <w:rFonts w:cstheme="minorHAnsi"/>
        </w:rPr>
        <w:t>, 4(79), DOI: 10.1186/s13643-015-0068-5</w:t>
      </w:r>
    </w:p>
    <w:p w14:paraId="036357F0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4EA0433C" w14:textId="27630B7B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  <w:r w:rsidRPr="00F224C7">
        <w:rPr>
          <w:rFonts w:cstheme="minorHAnsi"/>
          <w:color w:val="000000" w:themeColor="text1"/>
          <w:lang w:val="cy-GB"/>
        </w:rPr>
        <w:t xml:space="preserve">Cornell, J. 2020) </w:t>
      </w:r>
      <w:r w:rsidRPr="00F224C7">
        <w:rPr>
          <w:rFonts w:cstheme="minorHAnsi"/>
          <w:i/>
          <w:iCs/>
          <w:color w:val="000000" w:themeColor="text1"/>
          <w:lang w:val="cy-GB"/>
        </w:rPr>
        <w:t>12 Advantages &amp; Disadvantages of Questionnaires</w:t>
      </w:r>
      <w:r w:rsidRPr="00F224C7">
        <w:rPr>
          <w:rFonts w:cstheme="minorHAnsi"/>
          <w:color w:val="000000" w:themeColor="text1"/>
          <w:lang w:val="cy-GB"/>
        </w:rPr>
        <w:t xml:space="preserve">. </w:t>
      </w:r>
      <w:r w:rsidRPr="00F224C7">
        <w:rPr>
          <w:rFonts w:cstheme="minorHAnsi"/>
          <w:lang w:val="cy-GB"/>
        </w:rPr>
        <w:t xml:space="preserve">[online] Available at: </w:t>
      </w:r>
      <w:hyperlink r:id="rId10" w:history="1">
        <w:r w:rsidRPr="00F224C7">
          <w:rPr>
            <w:rStyle w:val="Hyperlink"/>
            <w:rFonts w:cstheme="minorHAnsi"/>
            <w:lang w:val="cy-GB"/>
          </w:rPr>
          <w:t>https://www.proprofs.com/c/customer-support/advantages-disadvantages-of-questionnaires/</w:t>
        </w:r>
      </w:hyperlink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>(Accessed: 5th February 2022).</w:t>
      </w:r>
    </w:p>
    <w:p w14:paraId="1DBC2582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</w:p>
    <w:p w14:paraId="75402A4A" w14:textId="7466FDEB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Cottle, M. Alexander, E. (2014) ‘Parent Partnership and ‘Quality’ Early Years’ Service: Practitioners’ Perspectives’, </w:t>
      </w:r>
      <w:r w:rsidRPr="00F224C7">
        <w:rPr>
          <w:rFonts w:cstheme="minorHAnsi"/>
          <w:i/>
          <w:iCs/>
        </w:rPr>
        <w:t>European Early Childhood Education Research Journal</w:t>
      </w:r>
      <w:r w:rsidRPr="00F224C7">
        <w:rPr>
          <w:rFonts w:cstheme="minorHAnsi"/>
        </w:rPr>
        <w:t>, 22(5), pp. 637-659. DOI: 10.1080/1350293X.2013.788314</w:t>
      </w:r>
    </w:p>
    <w:p w14:paraId="2E2814F6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39A34AC6" w14:textId="354C095E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eastAsia="Times New Roman" w:cstheme="minorHAnsi"/>
        </w:rPr>
        <w:lastRenderedPageBreak/>
        <w:t xml:space="preserve">Choudhury, Akash. “Questionnaire Method of Data </w:t>
      </w:r>
      <w:proofErr w:type="gramStart"/>
      <w:r w:rsidRPr="00F224C7">
        <w:rPr>
          <w:rFonts w:eastAsia="Times New Roman" w:cstheme="minorHAnsi"/>
        </w:rPr>
        <w:t>Collection :</w:t>
      </w:r>
      <w:proofErr w:type="gramEnd"/>
      <w:r w:rsidRPr="00F224C7">
        <w:rPr>
          <w:rFonts w:eastAsia="Times New Roman" w:cstheme="minorHAnsi"/>
        </w:rPr>
        <w:t xml:space="preserve"> Advantages and Disadvantages.” </w:t>
      </w:r>
      <w:r w:rsidRPr="00F224C7">
        <w:rPr>
          <w:rFonts w:eastAsia="Times New Roman" w:cstheme="minorHAnsi"/>
          <w:i/>
        </w:rPr>
        <w:t>Your Article Library</w:t>
      </w:r>
      <w:r w:rsidRPr="00F224C7">
        <w:rPr>
          <w:rFonts w:eastAsia="Times New Roman" w:cstheme="minorHAnsi"/>
        </w:rPr>
        <w:t xml:space="preserve">, 26 Aug. 2015, </w:t>
      </w:r>
      <w:hyperlink r:id="rId11" w:history="1">
        <w:r w:rsidRPr="00F224C7">
          <w:rPr>
            <w:rStyle w:val="Hyperlink"/>
            <w:rFonts w:eastAsia="Times New Roman" w:cstheme="minorHAnsi"/>
          </w:rPr>
          <w:t>www.yourarticlelibrary.com/social-research/data-collection/questionnaire-method-of-data-collection-advantages-and-disadvantages/64512</w:t>
        </w:r>
      </w:hyperlink>
      <w:r w:rsidRPr="00F224C7">
        <w:rPr>
          <w:rFonts w:eastAsia="Times New Roman" w:cstheme="minorHAnsi"/>
        </w:rPr>
        <w:t xml:space="preserve">  (Accessed 14 Feb. 2022).</w:t>
      </w:r>
    </w:p>
    <w:p w14:paraId="4110196A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48786B5D" w14:textId="618CAA03" w:rsidR="001C0ADC" w:rsidRPr="00F224C7" w:rsidRDefault="001C0ADC" w:rsidP="001C0ADC">
      <w:pPr>
        <w:spacing w:line="360" w:lineRule="auto"/>
        <w:jc w:val="both"/>
        <w:rPr>
          <w:rFonts w:cstheme="minorHAnsi"/>
          <w:lang w:val="cy-GB"/>
        </w:rPr>
      </w:pPr>
      <w:r w:rsidRPr="00F224C7">
        <w:rPr>
          <w:rFonts w:cstheme="minorHAnsi"/>
          <w:lang w:val="cy-GB"/>
        </w:rPr>
        <w:t xml:space="preserve">Debois, S. (2019) </w:t>
      </w:r>
      <w:r w:rsidRPr="00F224C7">
        <w:rPr>
          <w:rFonts w:cstheme="minorHAnsi"/>
          <w:i/>
          <w:iCs/>
          <w:lang w:val="cy-GB"/>
        </w:rPr>
        <w:t>10 Advantages And Disadvantages Of Questionnaires.</w:t>
      </w:r>
      <w:r w:rsidRPr="00F224C7">
        <w:rPr>
          <w:rFonts w:cstheme="minorHAnsi"/>
          <w:lang w:val="cy-GB"/>
        </w:rPr>
        <w:t xml:space="preserve"> [online] Available at: </w:t>
      </w:r>
      <w:hyperlink r:id="rId12" w:history="1">
        <w:r w:rsidRPr="00F224C7">
          <w:rPr>
            <w:rStyle w:val="Hyperlink"/>
            <w:rFonts w:cstheme="minorHAnsi"/>
            <w:lang w:val="cy-GB"/>
          </w:rPr>
          <w:t>https://surveyanyplace.com/blog/questionnaire-pros-and-cons/</w:t>
        </w:r>
      </w:hyperlink>
      <w:r w:rsidRPr="00F224C7">
        <w:rPr>
          <w:rFonts w:cstheme="minorHAnsi"/>
          <w:lang w:val="cy-GB"/>
        </w:rPr>
        <w:t xml:space="preserve"> (Accessed: 2nd February 2022).</w:t>
      </w:r>
    </w:p>
    <w:p w14:paraId="6C631D3D" w14:textId="77777777" w:rsidR="001C0ADC" w:rsidRPr="00F224C7" w:rsidRDefault="001C0ADC" w:rsidP="001C0ADC">
      <w:pPr>
        <w:spacing w:line="360" w:lineRule="auto"/>
        <w:jc w:val="both"/>
        <w:rPr>
          <w:rFonts w:cstheme="minorHAnsi"/>
          <w:lang w:val="cy-GB"/>
        </w:rPr>
      </w:pPr>
    </w:p>
    <w:p w14:paraId="4EBBBC08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Denscombe, M. (2010) </w:t>
      </w:r>
      <w:r w:rsidRPr="00F224C7">
        <w:rPr>
          <w:rFonts w:cstheme="minorHAnsi"/>
          <w:i/>
          <w:iCs/>
        </w:rPr>
        <w:t>The Good Research Guide for small-scale Social Research Project</w:t>
      </w:r>
      <w:r w:rsidRPr="00F224C7">
        <w:rPr>
          <w:rFonts w:cstheme="minorHAnsi"/>
        </w:rPr>
        <w:t xml:space="preserve">. Open University Press: Berkshire </w:t>
      </w:r>
    </w:p>
    <w:p w14:paraId="1329524E" w14:textId="008701F8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Denscombe, M. (2017) </w:t>
      </w:r>
      <w:r w:rsidRPr="00F224C7">
        <w:rPr>
          <w:rFonts w:cstheme="minorHAnsi"/>
          <w:i/>
          <w:iCs/>
        </w:rPr>
        <w:t>The Good Research Guide</w:t>
      </w:r>
      <w:r w:rsidRPr="00F224C7">
        <w:rPr>
          <w:rFonts w:cstheme="minorHAnsi"/>
        </w:rPr>
        <w:t>. 6</w:t>
      </w:r>
      <w:r w:rsidRPr="00F224C7">
        <w:rPr>
          <w:rFonts w:cstheme="minorHAnsi"/>
          <w:vertAlign w:val="superscript"/>
        </w:rPr>
        <w:t>th</w:t>
      </w:r>
      <w:r w:rsidRPr="00F224C7">
        <w:rPr>
          <w:rFonts w:cstheme="minorHAnsi"/>
        </w:rPr>
        <w:t xml:space="preserve"> </w:t>
      </w:r>
      <w:proofErr w:type="spellStart"/>
      <w:r w:rsidRPr="00F224C7">
        <w:rPr>
          <w:rFonts w:cstheme="minorHAnsi"/>
        </w:rPr>
        <w:t>edn</w:t>
      </w:r>
      <w:proofErr w:type="spellEnd"/>
      <w:r w:rsidRPr="00F224C7">
        <w:rPr>
          <w:rFonts w:cstheme="minorHAnsi"/>
        </w:rPr>
        <w:t xml:space="preserve">. Open University Press: London </w:t>
      </w:r>
    </w:p>
    <w:p w14:paraId="566328E3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3347342F" w14:textId="7FF3F381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Fairhurst, A. Hotham, S. (2017) ‘Going Further than the ‘Daily Mile’, </w:t>
      </w:r>
      <w:r w:rsidRPr="00F224C7">
        <w:rPr>
          <w:rFonts w:cstheme="minorHAnsi"/>
          <w:i/>
          <w:iCs/>
        </w:rPr>
        <w:t>Kent Academic Repository</w:t>
      </w:r>
      <w:r w:rsidRPr="00F224C7">
        <w:rPr>
          <w:rFonts w:cstheme="minorHAnsi"/>
        </w:rPr>
        <w:t>, 137(2), pp. 83-84. DOI: 10.1177/1757913916685639</w:t>
      </w:r>
    </w:p>
    <w:p w14:paraId="4CD19C37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4DA9AB3E" w14:textId="5AEFD62A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  <w:r w:rsidRPr="00F224C7">
        <w:rPr>
          <w:rFonts w:cstheme="minorHAnsi"/>
          <w:color w:val="000000" w:themeColor="text1"/>
          <w:lang w:val="cy-GB"/>
        </w:rPr>
        <w:t xml:space="preserve">Gitlin, J. (No Date) </w:t>
      </w:r>
      <w:r w:rsidRPr="00F224C7">
        <w:rPr>
          <w:rFonts w:cstheme="minorHAnsi"/>
          <w:i/>
          <w:iCs/>
          <w:color w:val="000000" w:themeColor="text1"/>
          <w:lang w:val="cy-GB"/>
        </w:rPr>
        <w:t>Survey Data Cleaning: 8 Things to Check Before You Start Your Analysis</w:t>
      </w:r>
      <w:r w:rsidRPr="00F224C7">
        <w:rPr>
          <w:rFonts w:cstheme="minorHAnsi"/>
          <w:color w:val="000000" w:themeColor="text1"/>
          <w:lang w:val="cy-GB"/>
        </w:rPr>
        <w:t xml:space="preserve">. </w:t>
      </w:r>
      <w:r w:rsidRPr="00F224C7">
        <w:rPr>
          <w:rFonts w:cstheme="minorHAnsi"/>
          <w:lang w:val="cy-GB"/>
        </w:rPr>
        <w:t xml:space="preserve">[online] Available at: </w:t>
      </w:r>
      <w:hyperlink r:id="rId13" w:history="1">
        <w:r w:rsidRPr="00F224C7">
          <w:rPr>
            <w:rStyle w:val="Hyperlink"/>
            <w:rFonts w:cstheme="minorHAnsi"/>
            <w:lang w:val="cy-GB"/>
          </w:rPr>
          <w:t>https://www.surveymonkey.co.uk/curiosity/survey-data-cleaning-7-things-to-check-before-you-start-your-analysis/</w:t>
        </w:r>
      </w:hyperlink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>(Accessed: 5th February 2022).</w:t>
      </w:r>
    </w:p>
    <w:p w14:paraId="3DF7F681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</w:p>
    <w:p w14:paraId="011B3DE6" w14:textId="599AD921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Hawkes, N. (2018) ‘Sixty Seconds on…The Daily Mile’, </w:t>
      </w:r>
      <w:r w:rsidRPr="00F224C7">
        <w:rPr>
          <w:rFonts w:cstheme="minorHAnsi"/>
          <w:i/>
          <w:iCs/>
        </w:rPr>
        <w:t>BMJ</w:t>
      </w:r>
      <w:r w:rsidRPr="00F224C7">
        <w:rPr>
          <w:rFonts w:cstheme="minorHAnsi"/>
        </w:rPr>
        <w:t>, 36(1). DOI: 10.1136/</w:t>
      </w:r>
      <w:proofErr w:type="gramStart"/>
      <w:r w:rsidRPr="00F224C7">
        <w:rPr>
          <w:rFonts w:cstheme="minorHAnsi"/>
        </w:rPr>
        <w:t>bmj.k</w:t>
      </w:r>
      <w:proofErr w:type="gramEnd"/>
      <w:r w:rsidRPr="00F224C7">
        <w:rPr>
          <w:rFonts w:cstheme="minorHAnsi"/>
        </w:rPr>
        <w:t>2142</w:t>
      </w:r>
    </w:p>
    <w:p w14:paraId="24889F08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0D2241E7" w14:textId="1BE26E88" w:rsidR="001C0ADC" w:rsidRPr="00F224C7" w:rsidRDefault="001C0ADC" w:rsidP="001C0ADC">
      <w:pPr>
        <w:spacing w:line="360" w:lineRule="auto"/>
        <w:jc w:val="both"/>
        <w:rPr>
          <w:rFonts w:cstheme="minorHAnsi"/>
          <w:lang w:val="cy-GB"/>
        </w:rPr>
      </w:pPr>
      <w:r w:rsidRPr="00F224C7">
        <w:rPr>
          <w:rFonts w:eastAsia="Times New Roman" w:cstheme="minorHAnsi"/>
          <w:color w:val="000000" w:themeColor="text1"/>
          <w:shd w:val="clear" w:color="auto" w:fill="FFFFFF"/>
          <w:lang w:val="cy-GB" w:eastAsia="en-GB"/>
        </w:rPr>
        <w:t>Jones, T. L., Baxter, M. A., &amp; Khanduja, V. (2013). A quick guide to survey research. </w:t>
      </w:r>
      <w:r w:rsidRPr="00F224C7">
        <w:rPr>
          <w:rFonts w:eastAsia="Times New Roman" w:cstheme="minorHAnsi"/>
          <w:i/>
          <w:iCs/>
          <w:color w:val="000000" w:themeColor="text1"/>
          <w:shd w:val="clear" w:color="auto" w:fill="FFFFFF"/>
          <w:lang w:val="cy-GB" w:eastAsia="en-GB"/>
        </w:rPr>
        <w:t>Annals of the Royal College of Surgeons of England</w:t>
      </w:r>
      <w:r w:rsidRPr="00F224C7">
        <w:rPr>
          <w:rFonts w:eastAsia="Times New Roman" w:cstheme="minorHAnsi"/>
          <w:color w:val="000000" w:themeColor="text1"/>
          <w:shd w:val="clear" w:color="auto" w:fill="FFFFFF"/>
          <w:lang w:val="cy-GB" w:eastAsia="en-GB"/>
        </w:rPr>
        <w:t>, </w:t>
      </w:r>
      <w:r w:rsidRPr="00F224C7">
        <w:rPr>
          <w:rFonts w:eastAsia="Times New Roman" w:cstheme="minorHAnsi"/>
          <w:i/>
          <w:iCs/>
          <w:color w:val="000000" w:themeColor="text1"/>
          <w:shd w:val="clear" w:color="auto" w:fill="FFFFFF"/>
          <w:lang w:val="cy-GB" w:eastAsia="en-GB"/>
        </w:rPr>
        <w:t>95</w:t>
      </w:r>
      <w:r w:rsidRPr="00F224C7">
        <w:rPr>
          <w:rFonts w:eastAsia="Times New Roman" w:cstheme="minorHAnsi"/>
          <w:color w:val="000000" w:themeColor="text1"/>
          <w:shd w:val="clear" w:color="auto" w:fill="FFFFFF"/>
          <w:lang w:val="cy-GB" w:eastAsia="en-GB"/>
        </w:rPr>
        <w:t xml:space="preserve">(1), 5–7. </w:t>
      </w:r>
      <w:r w:rsidRPr="00F224C7">
        <w:rPr>
          <w:rFonts w:cstheme="minorHAnsi"/>
          <w:lang w:val="cy-GB"/>
        </w:rPr>
        <w:t xml:space="preserve">[online] Available at: </w:t>
      </w:r>
      <w:hyperlink r:id="rId14" w:history="1">
        <w:r w:rsidRPr="00F224C7">
          <w:rPr>
            <w:rStyle w:val="Hyperlink"/>
            <w:rFonts w:eastAsia="Times New Roman" w:cstheme="minorHAnsi"/>
            <w:shd w:val="clear" w:color="auto" w:fill="FFFFFF"/>
            <w:lang w:val="cy-GB" w:eastAsia="en-GB"/>
          </w:rPr>
          <w:t>https://www.ncbi.nlm.nih.gov/pmc/articles/PMC3964639/</w:t>
        </w:r>
      </w:hyperlink>
      <w:r w:rsidRPr="00F224C7">
        <w:rPr>
          <w:rFonts w:eastAsia="Times New Roman" w:cstheme="minorHAnsi"/>
          <w:color w:val="000000" w:themeColor="text1"/>
          <w:shd w:val="clear" w:color="auto" w:fill="FFFFFF"/>
          <w:lang w:val="cy-GB" w:eastAsia="en-GB"/>
        </w:rPr>
        <w:t xml:space="preserve"> </w:t>
      </w:r>
      <w:r w:rsidRPr="00F224C7">
        <w:rPr>
          <w:rFonts w:cstheme="minorHAnsi"/>
          <w:lang w:val="cy-GB"/>
        </w:rPr>
        <w:t>(Accessed: 2nd February 2022).</w:t>
      </w:r>
    </w:p>
    <w:p w14:paraId="58B70FFA" w14:textId="01ECC8FC" w:rsidR="001C0ADC" w:rsidRPr="00F224C7" w:rsidRDefault="001C0ADC" w:rsidP="001C0ADC">
      <w:pPr>
        <w:spacing w:line="360" w:lineRule="auto"/>
        <w:jc w:val="both"/>
        <w:rPr>
          <w:rFonts w:cstheme="minorHAnsi"/>
          <w:lang w:val="cy-GB"/>
        </w:rPr>
      </w:pPr>
    </w:p>
    <w:p w14:paraId="73E712E2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</w:p>
    <w:p w14:paraId="29FA7EAD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</w:p>
    <w:p w14:paraId="7646E7E0" w14:textId="604CD14D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Landon, J. (2016) </w:t>
      </w:r>
      <w:r w:rsidRPr="00F224C7">
        <w:rPr>
          <w:rFonts w:cstheme="minorHAnsi"/>
          <w:i/>
          <w:iCs/>
        </w:rPr>
        <w:t>How to Capture Parent Feedback Throughout the School Year</w:t>
      </w:r>
      <w:r w:rsidRPr="00F224C7">
        <w:rPr>
          <w:rFonts w:cstheme="minorHAnsi"/>
        </w:rPr>
        <w:t xml:space="preserve">. Available at: </w:t>
      </w:r>
      <w:hyperlink r:id="rId15" w:anchor=":~:text=This%20feedback%20not%20only%20helps,that%20may%20otherwise%20go%20unnoticed" w:history="1">
        <w:r w:rsidRPr="00F224C7">
          <w:rPr>
            <w:rStyle w:val="Hyperlink"/>
            <w:rFonts w:cstheme="minorHAnsi"/>
          </w:rPr>
          <w:t>https://hubbli.com/capture-parent-feedback-throughout-school-</w:t>
        </w:r>
        <w:r w:rsidRPr="00F224C7">
          <w:rPr>
            <w:rStyle w:val="Hyperlink"/>
            <w:rFonts w:cstheme="minorHAnsi"/>
          </w:rPr>
          <w:lastRenderedPageBreak/>
          <w:t>year/#:~:text=This%20feedback%20not%20only%20helps,that%20may%20otherwise%20go%20unnoticed</w:t>
        </w:r>
      </w:hyperlink>
      <w:r w:rsidRPr="00F224C7">
        <w:rPr>
          <w:rFonts w:cstheme="minorHAnsi"/>
        </w:rPr>
        <w:t>. (Accessed: 13</w:t>
      </w:r>
      <w:r w:rsidRPr="00F224C7">
        <w:rPr>
          <w:rFonts w:cstheme="minorHAnsi"/>
          <w:vertAlign w:val="superscript"/>
        </w:rPr>
        <w:t>th</w:t>
      </w:r>
      <w:r w:rsidRPr="00F224C7">
        <w:rPr>
          <w:rFonts w:cstheme="minorHAnsi"/>
        </w:rPr>
        <w:t xml:space="preserve"> February 2022).</w:t>
      </w:r>
    </w:p>
    <w:p w14:paraId="7E065A40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193A611E" w14:textId="46A6C6E0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  <w:r w:rsidRPr="00F224C7">
        <w:rPr>
          <w:rFonts w:cstheme="minorHAnsi"/>
          <w:color w:val="000000" w:themeColor="text1"/>
          <w:lang w:val="cy-GB"/>
        </w:rPr>
        <w:t xml:space="preserve">Llywodraeth Cymru. (2016) </w:t>
      </w:r>
      <w:r w:rsidRPr="00F224C7">
        <w:rPr>
          <w:rFonts w:cstheme="minorHAnsi"/>
          <w:i/>
          <w:iCs/>
          <w:color w:val="000000" w:themeColor="text1"/>
          <w:lang w:val="cy-GB"/>
        </w:rPr>
        <w:t>National Minimum Standards for Regulated Childcare for Children Up to The Age of 12 Years.</w:t>
      </w:r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 xml:space="preserve">[online] Available at: </w:t>
      </w:r>
      <w:r w:rsidRPr="00F224C7">
        <w:rPr>
          <w:rFonts w:cstheme="minorHAnsi"/>
          <w:lang w:val="cy-GB"/>
        </w:rPr>
        <w:fldChar w:fldCharType="begin"/>
      </w:r>
      <w:r w:rsidRPr="00F224C7">
        <w:rPr>
          <w:rFonts w:cstheme="minorHAnsi"/>
          <w:lang w:val="cy-GB"/>
        </w:rPr>
        <w:instrText xml:space="preserve"> HYPERLINK "https://careinspectorate.wales/sites/default/files/2018-01/160411regchildcareen.pdf" </w:instrText>
      </w:r>
      <w:r w:rsidRPr="00F224C7">
        <w:rPr>
          <w:rFonts w:cstheme="minorHAnsi"/>
          <w:lang w:val="cy-GB"/>
        </w:rPr>
        <w:fldChar w:fldCharType="separate"/>
      </w:r>
      <w:r w:rsidRPr="00F224C7">
        <w:rPr>
          <w:rStyle w:val="Hyperlink"/>
          <w:rFonts w:cstheme="minorHAnsi"/>
          <w:lang w:val="cy-GB"/>
        </w:rPr>
        <w:t>https://careinspectorate.wales/sites/default/files/2018-01/160411regchildcareen.pdf</w:t>
      </w:r>
      <w:r w:rsidRPr="00F224C7">
        <w:rPr>
          <w:rFonts w:cstheme="minorHAnsi"/>
          <w:lang w:val="cy-GB"/>
        </w:rPr>
        <w:fldChar w:fldCharType="end"/>
      </w:r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>(Accessed: 7th February 2022).</w:t>
      </w:r>
    </w:p>
    <w:p w14:paraId="07284A15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</w:p>
    <w:p w14:paraId="6FAC8AF2" w14:textId="2AFE6F38" w:rsidR="001C0ADC" w:rsidRPr="00F224C7" w:rsidRDefault="001C0ADC" w:rsidP="001C0ADC">
      <w:pPr>
        <w:spacing w:line="360" w:lineRule="auto"/>
        <w:jc w:val="both"/>
        <w:rPr>
          <w:rFonts w:eastAsia="Times New Roman" w:cstheme="minorHAnsi"/>
        </w:rPr>
      </w:pPr>
      <w:proofErr w:type="spellStart"/>
      <w:r w:rsidRPr="00F224C7">
        <w:rPr>
          <w:rFonts w:eastAsia="Times New Roman" w:cstheme="minorHAnsi"/>
        </w:rPr>
        <w:t>Llywodraeth</w:t>
      </w:r>
      <w:proofErr w:type="spellEnd"/>
      <w:r w:rsidRPr="00F224C7">
        <w:rPr>
          <w:rFonts w:eastAsia="Times New Roman" w:cstheme="minorHAnsi"/>
        </w:rPr>
        <w:t xml:space="preserve"> Cymru. </w:t>
      </w:r>
      <w:r w:rsidRPr="00F224C7">
        <w:rPr>
          <w:rFonts w:eastAsia="Times New Roman" w:cstheme="minorHAnsi"/>
          <w:i/>
        </w:rPr>
        <w:t>Let’s Get Started a New Curriculum in Wales a Guide for Children, Young People and Families</w:t>
      </w:r>
      <w:r w:rsidRPr="00F224C7">
        <w:rPr>
          <w:rFonts w:eastAsia="Times New Roman" w:cstheme="minorHAnsi"/>
        </w:rPr>
        <w:t>.</w:t>
      </w:r>
    </w:p>
    <w:p w14:paraId="7DFD84E4" w14:textId="77777777" w:rsidR="001C0ADC" w:rsidRPr="00F224C7" w:rsidRDefault="001C0ADC" w:rsidP="001C0ADC">
      <w:pPr>
        <w:spacing w:line="360" w:lineRule="auto"/>
        <w:jc w:val="both"/>
        <w:rPr>
          <w:rFonts w:eastAsia="Times New Roman" w:cstheme="minorHAnsi"/>
        </w:rPr>
      </w:pPr>
    </w:p>
    <w:p w14:paraId="495B57F4" w14:textId="6922425A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Musgrave, J. (2020) </w:t>
      </w:r>
      <w:r w:rsidRPr="00F224C7">
        <w:rPr>
          <w:rFonts w:cstheme="minorHAnsi"/>
          <w:i/>
          <w:iCs/>
        </w:rPr>
        <w:t>Supporting children’s Health and Wellbeing.</w:t>
      </w:r>
      <w:r w:rsidRPr="00F224C7">
        <w:rPr>
          <w:rFonts w:cstheme="minorHAnsi"/>
        </w:rPr>
        <w:t xml:space="preserve"> SAGE: </w:t>
      </w:r>
    </w:p>
    <w:p w14:paraId="6258661D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504A1729" w14:textId="6CDF00E1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Pacey (dim </w:t>
      </w:r>
      <w:proofErr w:type="spellStart"/>
      <w:r w:rsidRPr="00F224C7">
        <w:rPr>
          <w:rFonts w:cstheme="minorHAnsi"/>
        </w:rPr>
        <w:t>dyddiad</w:t>
      </w:r>
      <w:proofErr w:type="spellEnd"/>
      <w:r w:rsidRPr="00F224C7">
        <w:rPr>
          <w:rFonts w:cstheme="minorHAnsi"/>
        </w:rPr>
        <w:t xml:space="preserve">) </w:t>
      </w:r>
      <w:proofErr w:type="spellStart"/>
      <w:r w:rsidRPr="00F224C7">
        <w:rPr>
          <w:rFonts w:cstheme="minorHAnsi"/>
          <w:i/>
          <w:iCs/>
        </w:rPr>
        <w:t>MindEd</w:t>
      </w:r>
      <w:proofErr w:type="spellEnd"/>
      <w:r w:rsidRPr="00F224C7">
        <w:rPr>
          <w:rFonts w:cstheme="minorHAnsi"/>
          <w:i/>
          <w:iCs/>
        </w:rPr>
        <w:t xml:space="preserve"> training</w:t>
      </w:r>
      <w:r w:rsidRPr="00F224C7">
        <w:rPr>
          <w:rFonts w:cstheme="minorHAnsi"/>
        </w:rPr>
        <w:t xml:space="preserve">. Available at: </w:t>
      </w:r>
      <w:hyperlink r:id="rId16" w:history="1">
        <w:r w:rsidRPr="00F224C7">
          <w:rPr>
            <w:rStyle w:val="Hyperlink"/>
            <w:rFonts w:cstheme="minorHAnsi"/>
          </w:rPr>
          <w:t>https://www.pacey.org.uk/training-and-qualifications/other-relevant-training/minded/</w:t>
        </w:r>
      </w:hyperlink>
      <w:r w:rsidRPr="00F224C7">
        <w:rPr>
          <w:rFonts w:cstheme="minorHAnsi"/>
        </w:rPr>
        <w:t xml:space="preserve"> (Accessed: 13</w:t>
      </w:r>
      <w:r w:rsidRPr="00F224C7">
        <w:rPr>
          <w:rFonts w:cstheme="minorHAnsi"/>
          <w:vertAlign w:val="superscript"/>
        </w:rPr>
        <w:t>th</w:t>
      </w:r>
      <w:r w:rsidRPr="00F224C7">
        <w:rPr>
          <w:rFonts w:cstheme="minorHAnsi"/>
        </w:rPr>
        <w:t xml:space="preserve"> February 2022).</w:t>
      </w:r>
    </w:p>
    <w:p w14:paraId="4231ADC0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456772D6" w14:textId="20EDCFB6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Patten, M.L. (2014) </w:t>
      </w:r>
      <w:r w:rsidRPr="00F224C7">
        <w:rPr>
          <w:rFonts w:cstheme="minorHAnsi"/>
          <w:i/>
          <w:iCs/>
        </w:rPr>
        <w:t>Questionnaire Research: A practical Guide</w:t>
      </w:r>
      <w:r w:rsidRPr="00F224C7">
        <w:rPr>
          <w:rFonts w:cstheme="minorHAnsi"/>
        </w:rPr>
        <w:t>. 4</w:t>
      </w:r>
      <w:r w:rsidRPr="00F224C7">
        <w:rPr>
          <w:rFonts w:cstheme="minorHAnsi"/>
          <w:vertAlign w:val="superscript"/>
        </w:rPr>
        <w:t>th</w:t>
      </w:r>
      <w:r w:rsidRPr="00F224C7">
        <w:rPr>
          <w:rFonts w:cstheme="minorHAnsi"/>
        </w:rPr>
        <w:t xml:space="preserve"> </w:t>
      </w:r>
      <w:proofErr w:type="spellStart"/>
      <w:r w:rsidRPr="00F224C7">
        <w:rPr>
          <w:rFonts w:cstheme="minorHAnsi"/>
        </w:rPr>
        <w:t>edn</w:t>
      </w:r>
      <w:proofErr w:type="spellEnd"/>
      <w:r w:rsidRPr="00F224C7">
        <w:rPr>
          <w:rFonts w:cstheme="minorHAnsi"/>
        </w:rPr>
        <w:t xml:space="preserve">. Routledge: Oxon. </w:t>
      </w:r>
    </w:p>
    <w:p w14:paraId="5E463F2C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2CAD47A5" w14:textId="0B53C51B" w:rsidR="001C0ADC" w:rsidRPr="00F224C7" w:rsidRDefault="001C0ADC" w:rsidP="001C0ADC">
      <w:pPr>
        <w:spacing w:line="360" w:lineRule="auto"/>
        <w:jc w:val="both"/>
        <w:rPr>
          <w:rFonts w:eastAsia="Times New Roman" w:cstheme="minorHAnsi"/>
        </w:rPr>
      </w:pPr>
      <w:r w:rsidRPr="00F224C7">
        <w:rPr>
          <w:rFonts w:eastAsia="Times New Roman" w:cstheme="minorHAnsi"/>
        </w:rPr>
        <w:t xml:space="preserve">Patton, Margaret. “Using Images for Authentic Assessment in Stories.” </w:t>
      </w:r>
      <w:proofErr w:type="spellStart"/>
      <w:r w:rsidRPr="00F224C7">
        <w:rPr>
          <w:rFonts w:eastAsia="Times New Roman" w:cstheme="minorHAnsi"/>
          <w:i/>
        </w:rPr>
        <w:t>Educa</w:t>
      </w:r>
      <w:proofErr w:type="spellEnd"/>
      <w:r w:rsidRPr="00F224C7">
        <w:rPr>
          <w:rFonts w:eastAsia="Times New Roman" w:cstheme="minorHAnsi"/>
        </w:rPr>
        <w:t xml:space="preserve">, 13 Mar. 2019, </w:t>
      </w:r>
      <w:hyperlink r:id="rId17" w:history="1">
        <w:r w:rsidRPr="00F224C7">
          <w:rPr>
            <w:rStyle w:val="Hyperlink"/>
            <w:rFonts w:eastAsia="Times New Roman" w:cstheme="minorHAnsi"/>
          </w:rPr>
          <w:t>www.geteduca.com/blog/using-images-for-assessment/</w:t>
        </w:r>
      </w:hyperlink>
      <w:r w:rsidRPr="00F224C7">
        <w:rPr>
          <w:rFonts w:eastAsia="Times New Roman" w:cstheme="minorHAnsi"/>
        </w:rPr>
        <w:t xml:space="preserve"> (Accessed Feb. 2022). </w:t>
      </w:r>
    </w:p>
    <w:p w14:paraId="27BD51A3" w14:textId="77777777" w:rsidR="001C0ADC" w:rsidRPr="00F224C7" w:rsidRDefault="001C0ADC" w:rsidP="001C0ADC">
      <w:pPr>
        <w:spacing w:line="360" w:lineRule="auto"/>
        <w:jc w:val="both"/>
        <w:rPr>
          <w:rFonts w:eastAsia="Times New Roman" w:cstheme="minorHAnsi"/>
        </w:rPr>
      </w:pPr>
    </w:p>
    <w:p w14:paraId="0EA25EDC" w14:textId="3B3BB714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  <w:r w:rsidRPr="00F224C7">
        <w:rPr>
          <w:rFonts w:cstheme="minorHAnsi"/>
          <w:color w:val="000000" w:themeColor="text1"/>
          <w:lang w:val="cy-GB"/>
        </w:rPr>
        <w:t xml:space="preserve">Ramshaw, A. (2017) </w:t>
      </w:r>
      <w:r w:rsidRPr="00F224C7">
        <w:rPr>
          <w:rFonts w:cstheme="minorHAnsi"/>
          <w:i/>
          <w:iCs/>
          <w:color w:val="000000" w:themeColor="text1"/>
          <w:lang w:val="cy-GB"/>
        </w:rPr>
        <w:t>The Advantages and Disadvantages of Surveys You Need to Know</w:t>
      </w:r>
      <w:r w:rsidRPr="00F224C7">
        <w:rPr>
          <w:rFonts w:cstheme="minorHAnsi"/>
          <w:color w:val="000000" w:themeColor="text1"/>
          <w:lang w:val="cy-GB"/>
        </w:rPr>
        <w:t xml:space="preserve">. </w:t>
      </w:r>
      <w:r w:rsidRPr="00F224C7">
        <w:rPr>
          <w:rFonts w:cstheme="minorHAnsi"/>
          <w:lang w:val="cy-GB"/>
        </w:rPr>
        <w:t xml:space="preserve">[online] Available at: </w:t>
      </w:r>
      <w:hyperlink r:id="rId18" w:history="1">
        <w:r w:rsidRPr="00F224C7">
          <w:rPr>
            <w:rStyle w:val="Hyperlink"/>
            <w:rFonts w:cstheme="minorHAnsi"/>
            <w:lang w:val="cy-GB"/>
          </w:rPr>
          <w:t>https://www.genroe.com/blog/pros-and-cons-of-surveys/11471</w:t>
        </w:r>
      </w:hyperlink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>(Accessed: 6th February 2022).</w:t>
      </w:r>
    </w:p>
    <w:p w14:paraId="7CEB5D9E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</w:p>
    <w:p w14:paraId="7D9A51A4" w14:textId="06E766FD" w:rsidR="00F224C7" w:rsidRDefault="001C0ADC" w:rsidP="001C0ADC">
      <w:pPr>
        <w:spacing w:line="360" w:lineRule="auto"/>
        <w:jc w:val="both"/>
        <w:rPr>
          <w:rFonts w:eastAsia="Times New Roman" w:cstheme="minorHAnsi"/>
        </w:rPr>
      </w:pPr>
      <w:r w:rsidRPr="00F224C7">
        <w:rPr>
          <w:rFonts w:eastAsia="Times New Roman" w:cstheme="minorHAnsi"/>
        </w:rPr>
        <w:t xml:space="preserve">Resources For Early Learning. “Early Childhood Assessment: Resources for Early Learning.” </w:t>
      </w:r>
      <w:r w:rsidRPr="00F224C7">
        <w:rPr>
          <w:rFonts w:eastAsia="Times New Roman" w:cstheme="minorHAnsi"/>
          <w:i/>
        </w:rPr>
        <w:t>Resources for Early Learning</w:t>
      </w:r>
      <w:r w:rsidRPr="00F224C7">
        <w:rPr>
          <w:rFonts w:eastAsia="Times New Roman" w:cstheme="minorHAnsi"/>
        </w:rPr>
        <w:t>, 2014, resourcesforearlylearning.org/</w:t>
      </w:r>
      <w:proofErr w:type="spellStart"/>
      <w:r w:rsidRPr="00F224C7">
        <w:rPr>
          <w:rFonts w:eastAsia="Times New Roman" w:cstheme="minorHAnsi"/>
        </w:rPr>
        <w:t>fm</w:t>
      </w:r>
      <w:proofErr w:type="spellEnd"/>
      <w:r w:rsidRPr="00F224C7">
        <w:rPr>
          <w:rFonts w:eastAsia="Times New Roman" w:cstheme="minorHAnsi"/>
        </w:rPr>
        <w:t>/early-childhood-assessment/.  (Accessed Feb. 2022).</w:t>
      </w:r>
    </w:p>
    <w:p w14:paraId="7666BCB1" w14:textId="77777777" w:rsidR="00F224C7" w:rsidRPr="00F224C7" w:rsidRDefault="00F224C7" w:rsidP="001C0ADC">
      <w:pPr>
        <w:spacing w:line="360" w:lineRule="auto"/>
        <w:jc w:val="both"/>
        <w:rPr>
          <w:rFonts w:eastAsia="Times New Roman" w:cstheme="minorHAnsi"/>
        </w:rPr>
      </w:pPr>
    </w:p>
    <w:p w14:paraId="40C909CC" w14:textId="39281FF4" w:rsidR="001C0ADC" w:rsidRPr="00F224C7" w:rsidRDefault="001C0ADC" w:rsidP="001C0ADC">
      <w:pPr>
        <w:spacing w:line="360" w:lineRule="auto"/>
        <w:jc w:val="both"/>
        <w:rPr>
          <w:rFonts w:cstheme="minorHAnsi"/>
          <w:lang w:val="cy-GB"/>
        </w:rPr>
      </w:pPr>
      <w:r w:rsidRPr="00F224C7">
        <w:rPr>
          <w:rFonts w:cstheme="minorHAnsi"/>
          <w:lang w:val="cy-GB"/>
        </w:rPr>
        <w:lastRenderedPageBreak/>
        <w:t xml:space="preserve">ScienceDaily. (2019) </w:t>
      </w:r>
      <w:r w:rsidRPr="00F224C7">
        <w:rPr>
          <w:rFonts w:cstheme="minorHAnsi"/>
          <w:i/>
          <w:iCs/>
          <w:lang w:val="cy-GB"/>
        </w:rPr>
        <w:t xml:space="preserve">Under Time Pressure, People Tell Us What We Want to Hear. </w:t>
      </w:r>
      <w:r w:rsidRPr="00F224C7">
        <w:rPr>
          <w:rFonts w:cstheme="minorHAnsi"/>
          <w:lang w:val="cy-GB"/>
        </w:rPr>
        <w:t xml:space="preserve">[online] Available at: </w:t>
      </w:r>
      <w:r w:rsidRPr="00F224C7">
        <w:rPr>
          <w:rFonts w:cstheme="minorHAnsi"/>
          <w:lang w:val="cy-GB"/>
        </w:rPr>
        <w:fldChar w:fldCharType="begin"/>
      </w:r>
      <w:r w:rsidRPr="00F224C7">
        <w:rPr>
          <w:rFonts w:cstheme="minorHAnsi"/>
          <w:lang w:val="cy-GB"/>
        </w:rPr>
        <w:instrText xml:space="preserve"> HYPERLINK "https://www.sciencedaily.com/releases/2019/10/191011112242.htm" </w:instrText>
      </w:r>
      <w:r w:rsidRPr="00F224C7">
        <w:rPr>
          <w:rFonts w:cstheme="minorHAnsi"/>
          <w:lang w:val="cy-GB"/>
        </w:rPr>
        <w:fldChar w:fldCharType="separate"/>
      </w:r>
      <w:r w:rsidRPr="00F224C7">
        <w:rPr>
          <w:rStyle w:val="Hyperlink"/>
          <w:rFonts w:cstheme="minorHAnsi"/>
          <w:lang w:val="cy-GB"/>
        </w:rPr>
        <w:t>https://www.sciencedaily.com/releases/2019/10/191011112242.htm</w:t>
      </w:r>
      <w:r w:rsidRPr="00F224C7">
        <w:rPr>
          <w:rFonts w:cstheme="minorHAnsi"/>
          <w:lang w:val="cy-GB"/>
        </w:rPr>
        <w:fldChar w:fldCharType="end"/>
      </w:r>
      <w:r w:rsidRPr="00F224C7">
        <w:rPr>
          <w:rFonts w:cstheme="minorHAnsi"/>
          <w:lang w:val="cy-GB"/>
        </w:rPr>
        <w:t xml:space="preserve"> (Accessed: 2nd February 2022). </w:t>
      </w:r>
    </w:p>
    <w:p w14:paraId="535EB0A0" w14:textId="77777777" w:rsidR="001C0ADC" w:rsidRPr="00F224C7" w:rsidRDefault="001C0ADC" w:rsidP="001C0ADC">
      <w:pPr>
        <w:spacing w:line="360" w:lineRule="auto"/>
        <w:jc w:val="both"/>
        <w:rPr>
          <w:rFonts w:cstheme="minorHAnsi"/>
          <w:lang w:val="cy-GB"/>
        </w:rPr>
      </w:pPr>
    </w:p>
    <w:p w14:paraId="7B89A5B5" w14:textId="2668C01B" w:rsidR="001C0ADC" w:rsidRPr="00F224C7" w:rsidRDefault="001C0ADC" w:rsidP="001C0ADC">
      <w:pPr>
        <w:spacing w:line="360" w:lineRule="auto"/>
        <w:jc w:val="both"/>
        <w:rPr>
          <w:rFonts w:eastAsia="Times New Roman" w:cstheme="minorHAnsi"/>
        </w:rPr>
      </w:pPr>
      <w:proofErr w:type="spellStart"/>
      <w:r w:rsidRPr="00F224C7">
        <w:rPr>
          <w:rFonts w:eastAsia="Times New Roman" w:cstheme="minorHAnsi"/>
        </w:rPr>
        <w:t>TouroSGOTTSMAN</w:t>
      </w:r>
      <w:proofErr w:type="spellEnd"/>
      <w:r w:rsidRPr="00F224C7">
        <w:rPr>
          <w:rFonts w:eastAsia="Times New Roman" w:cstheme="minorHAnsi"/>
        </w:rPr>
        <w:t xml:space="preserve">. “Theories of Early Childhood: Maria Montessori, Erik Erikson, Jean Piaget, and Lev Vygotsky - </w:t>
      </w:r>
      <w:proofErr w:type="spellStart"/>
      <w:r w:rsidRPr="00F224C7">
        <w:rPr>
          <w:rFonts w:eastAsia="Times New Roman" w:cstheme="minorHAnsi"/>
        </w:rPr>
        <w:t>TouroSGOTTESMAN</w:t>
      </w:r>
      <w:proofErr w:type="spellEnd"/>
      <w:r w:rsidRPr="00F224C7">
        <w:rPr>
          <w:rFonts w:eastAsia="Times New Roman" w:cstheme="minorHAnsi"/>
        </w:rPr>
        <w:t xml:space="preserve">.” </w:t>
      </w:r>
      <w:r w:rsidRPr="00F224C7">
        <w:rPr>
          <w:rFonts w:eastAsia="Times New Roman" w:cstheme="minorHAnsi"/>
          <w:i/>
        </w:rPr>
        <w:t>Google.com</w:t>
      </w:r>
      <w:r w:rsidRPr="00F224C7">
        <w:rPr>
          <w:rFonts w:eastAsia="Times New Roman" w:cstheme="minorHAnsi"/>
        </w:rPr>
        <w:t>, 2019, sites.google.com/site/tourosgottesman/theories-of-early-childhood. (Accessed Feb. 2022).</w:t>
      </w:r>
    </w:p>
    <w:p w14:paraId="1B9E9205" w14:textId="77777777" w:rsidR="001C0ADC" w:rsidRPr="00F224C7" w:rsidRDefault="001C0ADC" w:rsidP="001C0ADC">
      <w:pPr>
        <w:spacing w:line="360" w:lineRule="auto"/>
        <w:jc w:val="both"/>
        <w:rPr>
          <w:rFonts w:eastAsia="Times New Roman" w:cstheme="minorHAnsi"/>
        </w:rPr>
      </w:pPr>
    </w:p>
    <w:p w14:paraId="6AA6FF59" w14:textId="2DBC051B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proofErr w:type="spellStart"/>
      <w:r w:rsidRPr="00F224C7">
        <w:rPr>
          <w:rFonts w:cstheme="minorHAnsi"/>
        </w:rPr>
        <w:t>Trubey</w:t>
      </w:r>
      <w:proofErr w:type="spellEnd"/>
      <w:r w:rsidRPr="00F224C7">
        <w:rPr>
          <w:rFonts w:cstheme="minorHAnsi"/>
        </w:rPr>
        <w:t xml:space="preserve">, R.J. </w:t>
      </w:r>
      <w:proofErr w:type="spellStart"/>
      <w:r w:rsidRPr="00F224C7">
        <w:rPr>
          <w:rFonts w:cstheme="minorHAnsi"/>
        </w:rPr>
        <w:t>Chestnutt</w:t>
      </w:r>
      <w:proofErr w:type="spellEnd"/>
      <w:r w:rsidRPr="00F224C7">
        <w:rPr>
          <w:rFonts w:cstheme="minorHAnsi"/>
        </w:rPr>
        <w:t xml:space="preserve">, I.G. (2012) </w:t>
      </w:r>
      <w:r w:rsidRPr="00F224C7">
        <w:rPr>
          <w:rFonts w:cstheme="minorHAnsi"/>
          <w:i/>
          <w:iCs/>
        </w:rPr>
        <w:t>Evaluation of a National Child Oral Health Improvement Programme.</w:t>
      </w:r>
      <w:r w:rsidRPr="00F224C7">
        <w:rPr>
          <w:rFonts w:cstheme="minorHAnsi"/>
        </w:rPr>
        <w:t xml:space="preserve"> Available at: </w:t>
      </w:r>
      <w:hyperlink r:id="rId19" w:history="1">
        <w:r w:rsidRPr="00F224C7">
          <w:rPr>
            <w:rStyle w:val="Hyperlink"/>
            <w:rFonts w:cstheme="minorHAnsi"/>
          </w:rPr>
          <w:t>http://www.designedtosmile.org/wp-content/uploads/2017/06/2012-Evaluation-of-a-national-child-oral-health-improvement-programme-Part-II-Evaluation-Interim-Report-I-December-2012.pdf</w:t>
        </w:r>
      </w:hyperlink>
      <w:r w:rsidRPr="00F224C7">
        <w:rPr>
          <w:rFonts w:cstheme="minorHAnsi"/>
        </w:rPr>
        <w:t xml:space="preserve"> (Accessed: 13</w:t>
      </w:r>
      <w:r w:rsidRPr="00F224C7">
        <w:rPr>
          <w:rFonts w:cstheme="minorHAnsi"/>
          <w:vertAlign w:val="superscript"/>
        </w:rPr>
        <w:t>th</w:t>
      </w:r>
      <w:r w:rsidRPr="00F224C7">
        <w:rPr>
          <w:rFonts w:cstheme="minorHAnsi"/>
        </w:rPr>
        <w:t xml:space="preserve"> February 2022).</w:t>
      </w:r>
    </w:p>
    <w:p w14:paraId="211CB500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239ED712" w14:textId="7F339091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  <w:r w:rsidRPr="00F224C7">
        <w:rPr>
          <w:rFonts w:cstheme="minorHAnsi"/>
          <w:color w:val="000000" w:themeColor="text1"/>
          <w:lang w:val="cy-GB"/>
        </w:rPr>
        <w:t xml:space="preserve">Thomson, R. (2014) </w:t>
      </w:r>
      <w:r w:rsidRPr="00F224C7">
        <w:rPr>
          <w:rFonts w:cstheme="minorHAnsi"/>
          <w:i/>
          <w:iCs/>
          <w:color w:val="000000" w:themeColor="text1"/>
          <w:lang w:val="cy-GB"/>
        </w:rPr>
        <w:t>EYFS Best Practice: All About... Risk.</w:t>
      </w:r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 xml:space="preserve">[online] Available at: </w:t>
      </w:r>
      <w:hyperlink r:id="rId20" w:history="1">
        <w:r w:rsidRPr="00F224C7">
          <w:rPr>
            <w:rStyle w:val="Hyperlink"/>
            <w:rFonts w:cstheme="minorHAnsi"/>
            <w:lang w:val="cy-GB"/>
          </w:rPr>
          <w:t>https://www.nurseryworld.co.uk/features/article/eyfs-best-practice-all-about-risk</w:t>
        </w:r>
      </w:hyperlink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>(Accessed: 7th February 2022).</w:t>
      </w:r>
    </w:p>
    <w:p w14:paraId="783E0508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</w:p>
    <w:p w14:paraId="1FAD89EF" w14:textId="44A7AB4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  <w:r w:rsidRPr="00F224C7">
        <w:rPr>
          <w:rFonts w:cstheme="minorHAnsi"/>
        </w:rPr>
        <w:t xml:space="preserve">UNICEF (dim </w:t>
      </w:r>
      <w:proofErr w:type="spellStart"/>
      <w:r w:rsidRPr="00F224C7">
        <w:rPr>
          <w:rFonts w:cstheme="minorHAnsi"/>
        </w:rPr>
        <w:t>dyddiad</w:t>
      </w:r>
      <w:proofErr w:type="spellEnd"/>
      <w:r w:rsidRPr="00F224C7">
        <w:rPr>
          <w:rFonts w:cstheme="minorHAnsi"/>
        </w:rPr>
        <w:t xml:space="preserve">) </w:t>
      </w:r>
      <w:r w:rsidRPr="00F224C7">
        <w:rPr>
          <w:rFonts w:cstheme="minorHAnsi"/>
          <w:i/>
          <w:iCs/>
        </w:rPr>
        <w:t>Research on Child Wellbeing Inequality and Materialism.</w:t>
      </w:r>
      <w:r w:rsidRPr="00F224C7">
        <w:rPr>
          <w:rFonts w:cstheme="minorHAnsi"/>
        </w:rPr>
        <w:t xml:space="preserve"> Available at: </w:t>
      </w:r>
      <w:hyperlink r:id="rId21" w:history="1">
        <w:r w:rsidRPr="00F224C7">
          <w:rPr>
            <w:rStyle w:val="Hyperlink"/>
            <w:rFonts w:cstheme="minorHAnsi"/>
          </w:rPr>
          <w:t>https://downloads.unicef.org.uk/wp-content/uploads/2011/09/Child_Friendly_Report060911-final-from-Ipsos.pdf?_adal_sd=www.unicef.org.uk.1645050357098&amp;_adal_ca=so%3DGoogle%26me%3Dorganic%26ca%3D(not%2520set)%26co%3D(not%2520set)%26ke%3D(not%2520set).1645050357098&amp;_adal_cw=1645050350101.1645050357098&amp;_adal_id=2374a85e-c208-4fe7-933e-4b355ed5ba76.1645050350.2.1645050350.1645050350.20177515-147f-46a4-9a53-2d667c12cd88.1645050357098&amp;_ga=2.104779840.1710030186.1645050349-1858821136.1645050349</w:t>
        </w:r>
      </w:hyperlink>
      <w:r w:rsidRPr="00F224C7">
        <w:rPr>
          <w:rFonts w:cstheme="minorHAnsi"/>
        </w:rPr>
        <w:t xml:space="preserve"> (Accessed: 13</w:t>
      </w:r>
      <w:r w:rsidRPr="00F224C7">
        <w:rPr>
          <w:rFonts w:cstheme="minorHAnsi"/>
          <w:vertAlign w:val="superscript"/>
        </w:rPr>
        <w:t>th</w:t>
      </w:r>
      <w:r w:rsidRPr="00F224C7">
        <w:rPr>
          <w:rFonts w:cstheme="minorHAnsi"/>
        </w:rPr>
        <w:t xml:space="preserve"> February 2022).</w:t>
      </w:r>
    </w:p>
    <w:p w14:paraId="6F62968F" w14:textId="77777777" w:rsidR="001C0ADC" w:rsidRPr="00F224C7" w:rsidRDefault="001C0ADC" w:rsidP="001C0ADC">
      <w:pPr>
        <w:spacing w:line="360" w:lineRule="auto"/>
        <w:jc w:val="both"/>
        <w:rPr>
          <w:rFonts w:cstheme="minorHAnsi"/>
        </w:rPr>
      </w:pPr>
    </w:p>
    <w:p w14:paraId="5F9158BC" w14:textId="77777777" w:rsidR="001C0ADC" w:rsidRPr="00F224C7" w:rsidRDefault="001C0ADC" w:rsidP="001C0ADC">
      <w:pPr>
        <w:spacing w:line="360" w:lineRule="auto"/>
        <w:jc w:val="both"/>
        <w:rPr>
          <w:rFonts w:cstheme="minorHAnsi"/>
          <w:color w:val="000000" w:themeColor="text1"/>
          <w:lang w:val="cy-GB"/>
        </w:rPr>
      </w:pPr>
      <w:r w:rsidRPr="00F224C7">
        <w:rPr>
          <w:rFonts w:cstheme="minorHAnsi"/>
          <w:color w:val="000000" w:themeColor="text1"/>
          <w:lang w:val="cy-GB"/>
        </w:rPr>
        <w:t xml:space="preserve">Worknest. (2019) </w:t>
      </w:r>
      <w:r w:rsidRPr="00F224C7">
        <w:rPr>
          <w:rFonts w:cstheme="minorHAnsi"/>
          <w:i/>
          <w:iCs/>
          <w:color w:val="000000" w:themeColor="text1"/>
          <w:lang w:val="cy-GB"/>
        </w:rPr>
        <w:t>Education – 9 Ways to Keep Your Nursery Health and Safety Compliant</w:t>
      </w:r>
      <w:r w:rsidRPr="00F224C7">
        <w:rPr>
          <w:rFonts w:cstheme="minorHAnsi"/>
          <w:color w:val="000000" w:themeColor="text1"/>
          <w:lang w:val="cy-GB"/>
        </w:rPr>
        <w:t xml:space="preserve">. </w:t>
      </w:r>
      <w:r w:rsidRPr="00F224C7">
        <w:rPr>
          <w:rFonts w:cstheme="minorHAnsi"/>
          <w:lang w:val="cy-GB"/>
        </w:rPr>
        <w:t xml:space="preserve">[online] Available at: </w:t>
      </w:r>
      <w:hyperlink r:id="rId22" w:history="1">
        <w:r w:rsidRPr="00F224C7">
          <w:rPr>
            <w:rStyle w:val="Hyperlink"/>
            <w:rFonts w:cstheme="minorHAnsi"/>
            <w:lang w:val="cy-GB"/>
          </w:rPr>
          <w:t>https://worknest.com/blog/education-9-ways-to-keep-your-nursery-health-and-safety-compliant/</w:t>
        </w:r>
      </w:hyperlink>
      <w:r w:rsidRPr="00F224C7">
        <w:rPr>
          <w:rFonts w:cstheme="minorHAnsi"/>
          <w:color w:val="000000" w:themeColor="text1"/>
          <w:lang w:val="cy-GB"/>
        </w:rPr>
        <w:t xml:space="preserve"> </w:t>
      </w:r>
      <w:r w:rsidRPr="00F224C7">
        <w:rPr>
          <w:rFonts w:cstheme="minorHAnsi"/>
          <w:lang w:val="cy-GB"/>
        </w:rPr>
        <w:t>(Accessed: 7th February 2022).</w:t>
      </w:r>
    </w:p>
    <w:p w14:paraId="7C28BF0D" w14:textId="77777777" w:rsidR="001D2C30" w:rsidRPr="00F224C7" w:rsidRDefault="001D2C30">
      <w:pPr>
        <w:rPr>
          <w:rFonts w:cstheme="minorHAnsi"/>
          <w:u w:val="single"/>
        </w:rPr>
      </w:pPr>
    </w:p>
    <w:sectPr w:rsidR="001D2C30" w:rsidRPr="00F224C7">
      <w:headerReference w:type="default" r:id="rId23"/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F3AE6C" w14:textId="77777777" w:rsidR="00212BE3" w:rsidRDefault="00212BE3" w:rsidP="001C0ADC">
      <w:r>
        <w:separator/>
      </w:r>
    </w:p>
  </w:endnote>
  <w:endnote w:type="continuationSeparator" w:id="0">
    <w:p w14:paraId="7B61EF0D" w14:textId="77777777" w:rsidR="00212BE3" w:rsidRDefault="00212BE3" w:rsidP="001C0A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6573921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ACB2E2E" w14:textId="22F266FE" w:rsidR="001C0ADC" w:rsidRDefault="001C0ADC" w:rsidP="00C32E3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AF66E65" w14:textId="77777777" w:rsidR="001C0ADC" w:rsidRDefault="001C0AD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2466407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2A092A0" w14:textId="521BBF6C" w:rsidR="001C0ADC" w:rsidRDefault="001C0ADC" w:rsidP="00C32E3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9FE4AB6" w14:textId="77777777" w:rsidR="001C0ADC" w:rsidRDefault="001C0A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4B15AB" w14:textId="77777777" w:rsidR="00212BE3" w:rsidRDefault="00212BE3" w:rsidP="001C0ADC">
      <w:r>
        <w:separator/>
      </w:r>
    </w:p>
  </w:footnote>
  <w:footnote w:type="continuationSeparator" w:id="0">
    <w:p w14:paraId="0CE8FAC3" w14:textId="77777777" w:rsidR="00212BE3" w:rsidRDefault="00212BE3" w:rsidP="001C0AD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C517A3" w14:textId="3F481B78" w:rsidR="001C0ADC" w:rsidRDefault="001C0ADC">
    <w:pPr>
      <w:pStyle w:val="Header"/>
    </w:pPr>
    <w:r>
      <w:t>ECEY6008/C</w:t>
    </w:r>
    <w:r>
      <w:tab/>
    </w:r>
    <w:r>
      <w:tab/>
      <w:t>1905077</w:t>
    </w:r>
  </w:p>
  <w:p w14:paraId="24AD80D3" w14:textId="18EA4AAA" w:rsidR="001C0ADC" w:rsidRDefault="001C0ADC">
    <w:pPr>
      <w:pStyle w:val="Header"/>
    </w:pPr>
    <w:r>
      <w:tab/>
    </w:r>
    <w:r>
      <w:tab/>
      <w:t>1902129</w:t>
    </w:r>
  </w:p>
  <w:p w14:paraId="6F227D26" w14:textId="16173E71" w:rsidR="001C0ADC" w:rsidRDefault="001C0ADC">
    <w:pPr>
      <w:pStyle w:val="Header"/>
    </w:pPr>
    <w:r>
      <w:tab/>
    </w:r>
    <w:r>
      <w:tab/>
      <w:t>1901677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857607"/>
    <w:multiLevelType w:val="hybridMultilevel"/>
    <w:tmpl w:val="FF8E81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C30"/>
    <w:rsid w:val="001C0ADC"/>
    <w:rsid w:val="001D2C30"/>
    <w:rsid w:val="00212BE3"/>
    <w:rsid w:val="00F22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5DB593"/>
  <w15:chartTrackingRefBased/>
  <w15:docId w15:val="{A064740F-0220-0449-8AAF-46541E2B1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2C3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D2C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2C3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C0A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C0ADC"/>
  </w:style>
  <w:style w:type="paragraph" w:styleId="Footer">
    <w:name w:val="footer"/>
    <w:basedOn w:val="Normal"/>
    <w:link w:val="FooterChar"/>
    <w:uiPriority w:val="99"/>
    <w:unhideWhenUsed/>
    <w:rsid w:val="001C0A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C0ADC"/>
  </w:style>
  <w:style w:type="character" w:styleId="PageNumber">
    <w:name w:val="page number"/>
    <w:basedOn w:val="DefaultParagraphFont"/>
    <w:uiPriority w:val="99"/>
    <w:semiHidden/>
    <w:unhideWhenUsed/>
    <w:rsid w:val="001C0A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einspectorate.com/images/ELC_adult-child_ratios_-_final_29.3.18.pdf" TargetMode="External"/><Relationship Id="rId13" Type="http://schemas.openxmlformats.org/officeDocument/2006/relationships/hyperlink" Target="https://www.surveymonkey.co.uk/curiosity/survey-data-cleaning-7-things-to-check-before-you-start-your-analysis/" TargetMode="External"/><Relationship Id="rId18" Type="http://schemas.openxmlformats.org/officeDocument/2006/relationships/hyperlink" Target="https://www.genroe.com/blog/pros-and-cons-of-surveys/11471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downloads.unicef.org.uk/wp-content/uploads/2011/09/Child_Friendly_Report060911-final-from-Ipsos.pdf?_adal_sd=www.unicef.org.uk.1645050357098&amp;_adal_ca=so%3DGoogle%26me%3Dorganic%26ca%3D(not%2520set)%26co%3D(not%2520set)%26ke%3D(not%2520set).1645050357098&amp;_adal_cw=1645050350101.1645050357098&amp;_adal_id=2374a85e-c208-4fe7-933e-4b355ed5ba76.1645050350.2.1645050350.1645050350.20177515-147f-46a4-9a53-2d667c12cd88.1645050357098&amp;_ga=2.104779840.1710030186.1645050349-1858821136.1645050349" TargetMode="External"/><Relationship Id="rId7" Type="http://schemas.openxmlformats.org/officeDocument/2006/relationships/hyperlink" Target="https://www.questionpro.com/blog/what-is-a-questionnaire/amp/" TargetMode="External"/><Relationship Id="rId12" Type="http://schemas.openxmlformats.org/officeDocument/2006/relationships/hyperlink" Target="https://surveyanyplace.com/blog/questionnaire-pros-and-cons/" TargetMode="External"/><Relationship Id="rId17" Type="http://schemas.openxmlformats.org/officeDocument/2006/relationships/hyperlink" Target="http://www.geteduca.com/blog/using-images-for-assessment/" TargetMode="External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www.pacey.org.uk/training-and-qualifications/other-relevant-training/minded/" TargetMode="External"/><Relationship Id="rId20" Type="http://schemas.openxmlformats.org/officeDocument/2006/relationships/hyperlink" Target="https://www.nurseryworld.co.uk/features/article/eyfs-best-practice-all-about-ris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yourarticlelibrary.com/social-research/data-collection/questionnaire-method-of-data-collection-advantages-and-disadvantages/64512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hubbli.com/capture-parent-feedback-throughout-school-year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proprofs.com/c/customer-support/advantages-disadvantages-of-questionnaires/" TargetMode="External"/><Relationship Id="rId19" Type="http://schemas.openxmlformats.org/officeDocument/2006/relationships/hyperlink" Target="http://www.designedtosmile.org/wp-content/uploads/2017/06/2012-Evaluation-of-a-national-child-oral-health-improvement-programme-Part-II-Evaluation-Interim-Report-I-December-201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smartsurvey.co.uk/blog/advantages-of-questionnaires-in-online-research" TargetMode="External"/><Relationship Id="rId14" Type="http://schemas.openxmlformats.org/officeDocument/2006/relationships/hyperlink" Target="https://www.ncbi.nlm.nih.gov/pmc/articles/PMC3964639/" TargetMode="External"/><Relationship Id="rId22" Type="http://schemas.openxmlformats.org/officeDocument/2006/relationships/hyperlink" Target="https://worknest.com/blog/education-9-ways-to-keep-your-nursery-health-and-safety-compliant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1306</Words>
  <Characters>7447</Characters>
  <Application>Microsoft Office Word</Application>
  <DocSecurity>0</DocSecurity>
  <Lines>62</Lines>
  <Paragraphs>17</Paragraphs>
  <ScaleCrop>false</ScaleCrop>
  <Company/>
  <LinksUpToDate>false</LinksUpToDate>
  <CharactersWithSpaces>8736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Hannah-Wyn Selwood (1905077)</dc:creator>
  <cp:keywords/>
  <dc:description/>
  <cp:lastModifiedBy>Jessica Morris</cp:lastModifiedBy>
  <cp:revision>2</cp:revision>
  <dcterms:created xsi:type="dcterms:W3CDTF">2022-02-20T22:36:00Z</dcterms:created>
  <dcterms:modified xsi:type="dcterms:W3CDTF">2022-02-20T22:36:00Z</dcterms:modified>
</cp:coreProperties>
</file>