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4866C" w14:textId="77777777" w:rsidR="00654C8B" w:rsidRDefault="00654C8B" w:rsidP="00654C8B">
      <w:pPr>
        <w:spacing w:before="212"/>
        <w:jc w:val="center"/>
        <w:rPr>
          <w:b/>
          <w:sz w:val="56"/>
        </w:rPr>
      </w:pPr>
      <w:bookmarkStart w:id="0" w:name="_ugpts2l9a1fw" w:colFirst="0" w:colLast="0"/>
      <w:bookmarkEnd w:id="0"/>
      <w:r>
        <w:rPr>
          <w:b/>
          <w:noProof/>
          <w:sz w:val="56"/>
        </w:rPr>
        <w:drawing>
          <wp:inline distT="0" distB="0" distL="0" distR="0" wp14:anchorId="0F44C2EA" wp14:editId="5BF63258">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7015C562" w14:textId="77777777" w:rsidR="00654C8B" w:rsidRPr="0066224E" w:rsidRDefault="00654C8B" w:rsidP="00654C8B">
      <w:pPr>
        <w:spacing w:before="212"/>
        <w:jc w:val="center"/>
        <w:rPr>
          <w:b/>
          <w:sz w:val="36"/>
          <w:szCs w:val="36"/>
        </w:rPr>
      </w:pPr>
    </w:p>
    <w:p w14:paraId="0E422D07" w14:textId="77777777" w:rsidR="00654C8B" w:rsidRDefault="00654C8B" w:rsidP="00654C8B">
      <w:pPr>
        <w:spacing w:before="212"/>
        <w:rPr>
          <w:b/>
          <w:sz w:val="56"/>
        </w:rPr>
      </w:pPr>
    </w:p>
    <w:p w14:paraId="1BC612BA" w14:textId="77777777" w:rsidR="00654C8B" w:rsidRDefault="00654C8B" w:rsidP="00654C8B">
      <w:pPr>
        <w:spacing w:before="212"/>
        <w:rPr>
          <w:b/>
          <w:sz w:val="48"/>
          <w:szCs w:val="48"/>
        </w:rPr>
      </w:pPr>
      <w:r w:rsidRPr="00DD5969">
        <w:rPr>
          <w:b/>
          <w:sz w:val="48"/>
          <w:szCs w:val="48"/>
        </w:rPr>
        <w:t>MODULE CODE:</w:t>
      </w:r>
      <w:r>
        <w:rPr>
          <w:b/>
          <w:sz w:val="48"/>
          <w:szCs w:val="48"/>
        </w:rPr>
        <w:t xml:space="preserve"> EDCE7016</w:t>
      </w:r>
    </w:p>
    <w:p w14:paraId="18C9315B" w14:textId="77777777" w:rsidR="00654C8B" w:rsidRDefault="00654C8B" w:rsidP="00654C8B">
      <w:pPr>
        <w:spacing w:before="212"/>
        <w:rPr>
          <w:b/>
          <w:sz w:val="48"/>
          <w:szCs w:val="48"/>
        </w:rPr>
      </w:pPr>
    </w:p>
    <w:p w14:paraId="797723FB" w14:textId="6A439684" w:rsidR="00654C8B" w:rsidRPr="00DD5969" w:rsidRDefault="00654C8B" w:rsidP="00654C8B">
      <w:pPr>
        <w:spacing w:before="212"/>
        <w:rPr>
          <w:b/>
          <w:sz w:val="48"/>
          <w:szCs w:val="48"/>
        </w:rPr>
      </w:pPr>
      <w:r>
        <w:rPr>
          <w:b/>
          <w:sz w:val="48"/>
          <w:szCs w:val="48"/>
        </w:rPr>
        <w:t>ASSESSMENT COMPONENT:</w:t>
      </w:r>
      <w:r>
        <w:rPr>
          <w:b/>
          <w:sz w:val="48"/>
          <w:szCs w:val="48"/>
        </w:rPr>
        <w:t>1</w:t>
      </w:r>
    </w:p>
    <w:p w14:paraId="6AAC4FAA" w14:textId="77777777" w:rsidR="00654C8B" w:rsidRDefault="00654C8B" w:rsidP="00654C8B">
      <w:pPr>
        <w:spacing w:before="7"/>
        <w:jc w:val="center"/>
        <w:rPr>
          <w:b/>
          <w:sz w:val="44"/>
        </w:rPr>
      </w:pPr>
    </w:p>
    <w:p w14:paraId="6F7913C8" w14:textId="77777777" w:rsidR="00654C8B" w:rsidRPr="00DD5969" w:rsidRDefault="00654C8B" w:rsidP="00654C8B">
      <w:pPr>
        <w:spacing w:before="3"/>
        <w:rPr>
          <w:b/>
          <w:sz w:val="48"/>
          <w:szCs w:val="48"/>
        </w:rPr>
      </w:pPr>
      <w:r w:rsidRPr="00DD5969">
        <w:rPr>
          <w:b/>
          <w:sz w:val="48"/>
          <w:szCs w:val="48"/>
        </w:rPr>
        <w:t>STUDENT NAME:</w:t>
      </w:r>
      <w:r>
        <w:rPr>
          <w:b/>
          <w:sz w:val="48"/>
          <w:szCs w:val="48"/>
        </w:rPr>
        <w:t xml:space="preserve"> Owain Glyn Jones</w:t>
      </w:r>
    </w:p>
    <w:p w14:paraId="12F8D67F" w14:textId="77777777" w:rsidR="00654C8B" w:rsidRPr="00DD5969" w:rsidRDefault="00654C8B" w:rsidP="00654C8B">
      <w:pPr>
        <w:spacing w:before="3"/>
        <w:rPr>
          <w:b/>
          <w:sz w:val="48"/>
          <w:szCs w:val="48"/>
        </w:rPr>
      </w:pPr>
    </w:p>
    <w:p w14:paraId="6F497CE8" w14:textId="77777777" w:rsidR="00654C8B" w:rsidRPr="00DD5969" w:rsidRDefault="00654C8B" w:rsidP="00654C8B">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Pr>
          <w:b/>
          <w:sz w:val="48"/>
          <w:szCs w:val="48"/>
        </w:rPr>
        <w:t xml:space="preserve"> 2413521</w:t>
      </w:r>
    </w:p>
    <w:p w14:paraId="7149C804" w14:textId="77777777" w:rsidR="00654C8B" w:rsidRDefault="00654C8B" w:rsidP="00654C8B">
      <w:pPr>
        <w:rPr>
          <w:b/>
          <w:sz w:val="47"/>
        </w:rPr>
      </w:pPr>
    </w:p>
    <w:p w14:paraId="368B257C" w14:textId="77777777" w:rsidR="00654C8B" w:rsidRPr="00192D3C" w:rsidRDefault="00654C8B" w:rsidP="00654C8B">
      <w:pPr>
        <w:ind w:left="100"/>
        <w:jc w:val="center"/>
        <w:rPr>
          <w:b/>
          <w:sz w:val="47"/>
        </w:rPr>
      </w:pPr>
    </w:p>
    <w:p w14:paraId="1329CC68" w14:textId="77777777" w:rsidR="00654C8B" w:rsidRDefault="00654C8B" w:rsidP="00654C8B">
      <w:pPr>
        <w:ind w:left="100"/>
        <w:rPr>
          <w:b/>
          <w:sz w:val="47"/>
        </w:rPr>
      </w:pPr>
    </w:p>
    <w:p w14:paraId="45937AC3" w14:textId="77777777" w:rsidR="00654C8B" w:rsidRDefault="00654C8B" w:rsidP="00654C8B">
      <w:pPr>
        <w:ind w:left="100"/>
        <w:rPr>
          <w:b/>
          <w:sz w:val="47"/>
        </w:rPr>
      </w:pPr>
    </w:p>
    <w:p w14:paraId="45D96188" w14:textId="77777777" w:rsidR="00654C8B" w:rsidRPr="00192D3C" w:rsidRDefault="00654C8B" w:rsidP="00654C8B">
      <w:pPr>
        <w:ind w:left="100"/>
        <w:rPr>
          <w:b/>
          <w:sz w:val="47"/>
        </w:rPr>
      </w:pPr>
      <w:r w:rsidRPr="00192D3C">
        <w:rPr>
          <w:b/>
          <w:sz w:val="47"/>
        </w:rPr>
        <w:t>Doctorate in Education (EdD)</w:t>
      </w:r>
    </w:p>
    <w:p w14:paraId="3F7F7E51" w14:textId="77777777" w:rsidR="00654C8B" w:rsidRPr="00192D3C" w:rsidRDefault="00654C8B" w:rsidP="00654C8B">
      <w:pPr>
        <w:jc w:val="center"/>
        <w:rPr>
          <w:b/>
          <w:sz w:val="40"/>
        </w:rPr>
      </w:pPr>
    </w:p>
    <w:p w14:paraId="191DB016" w14:textId="77777777" w:rsidR="00654C8B" w:rsidRPr="00E243A8" w:rsidRDefault="00654C8B" w:rsidP="00654C8B">
      <w:pPr>
        <w:rPr>
          <w:b/>
          <w:bCs/>
          <w:sz w:val="32"/>
          <w:szCs w:val="32"/>
          <w:u w:val="single"/>
        </w:rPr>
      </w:pPr>
      <w:r w:rsidRPr="00E243A8">
        <w:rPr>
          <w:b/>
          <w:bCs/>
          <w:sz w:val="32"/>
          <w:szCs w:val="32"/>
          <w:u w:val="single"/>
        </w:rPr>
        <w:lastRenderedPageBreak/>
        <w:t>AI Acknowledgement</w:t>
      </w:r>
    </w:p>
    <w:p w14:paraId="22F8FA7C" w14:textId="77777777" w:rsidR="00654C8B" w:rsidRDefault="00654C8B" w:rsidP="00654C8B"/>
    <w:p w14:paraId="44AE2D41" w14:textId="77777777" w:rsidR="00654C8B" w:rsidRDefault="00654C8B" w:rsidP="00654C8B">
      <w:r w:rsidRPr="00E243A8">
        <w:t xml:space="preserve">I confirm that I have not used any AI tools in the research and creation of this assignment. </w:t>
      </w:r>
    </w:p>
    <w:p w14:paraId="690AF805" w14:textId="77777777" w:rsidR="00654C8B" w:rsidRDefault="00654C8B" w:rsidP="00654C8B">
      <w:r w:rsidRPr="00E243A8">
        <w:t xml:space="preserve">I confirm that I have not presented any AI generated materials as my own work. </w:t>
      </w:r>
    </w:p>
    <w:p w14:paraId="64D9B6C0" w14:textId="77777777" w:rsidR="00654C8B" w:rsidRPr="00E243A8" w:rsidRDefault="00654C8B" w:rsidP="00654C8B">
      <w:r w:rsidRPr="00E243A8">
        <w:t xml:space="preserve">I confirm </w:t>
      </w:r>
      <w:r>
        <w:t xml:space="preserve">that </w:t>
      </w:r>
      <w:r w:rsidRPr="00E243A8">
        <w:t>I have copies of my drafts, notes, and other resources I used, which I may be asked to provide in evidence.</w:t>
      </w:r>
    </w:p>
    <w:p w14:paraId="44665CA5" w14:textId="77777777" w:rsidR="00654C8B" w:rsidRDefault="00654C8B">
      <w:pPr>
        <w:rPr>
          <w:sz w:val="24"/>
          <w:szCs w:val="24"/>
          <w:u w:val="single"/>
        </w:rPr>
      </w:pPr>
      <w:r>
        <w:rPr>
          <w:sz w:val="24"/>
          <w:szCs w:val="24"/>
          <w:u w:val="single"/>
        </w:rPr>
        <w:br w:type="page"/>
      </w:r>
    </w:p>
    <w:sdt>
      <w:sdtPr>
        <w:id w:val="-1858500457"/>
        <w:docPartObj>
          <w:docPartGallery w:val="Table of Contents"/>
          <w:docPartUnique/>
        </w:docPartObj>
      </w:sdtPr>
      <w:sdtEndPr>
        <w:rPr>
          <w:rFonts w:ascii="Arial" w:eastAsia="Arial" w:hAnsi="Arial" w:cs="Arial"/>
          <w:b/>
          <w:bCs/>
          <w:noProof/>
          <w:color w:val="auto"/>
          <w:sz w:val="22"/>
          <w:szCs w:val="22"/>
          <w:lang w:val="en" w:eastAsia="en-GB"/>
        </w:rPr>
      </w:sdtEndPr>
      <w:sdtContent>
        <w:p w14:paraId="229024D7" w14:textId="0AD5D6C4" w:rsidR="00654C8B" w:rsidRDefault="00654C8B">
          <w:pPr>
            <w:pStyle w:val="TOCHeading"/>
          </w:pPr>
          <w:r>
            <w:t>Contents</w:t>
          </w:r>
        </w:p>
        <w:p w14:paraId="7077A7BA" w14:textId="5889FA07" w:rsidR="00654C8B" w:rsidRDefault="00654C8B">
          <w:pPr>
            <w:pStyle w:val="TOC1"/>
            <w:tabs>
              <w:tab w:val="right" w:leader="dot" w:pos="9350"/>
            </w:tabs>
            <w:rPr>
              <w:noProof/>
            </w:rPr>
          </w:pPr>
          <w:r>
            <w:fldChar w:fldCharType="begin"/>
          </w:r>
          <w:r>
            <w:instrText xml:space="preserve"> TOC \o "1-3" \h \z \u </w:instrText>
          </w:r>
          <w:r>
            <w:fldChar w:fldCharType="separate"/>
          </w:r>
          <w:hyperlink w:anchor="_Toc228222325" w:history="1">
            <w:r w:rsidRPr="00CA2B99">
              <w:rPr>
                <w:rStyle w:val="Hyperlink"/>
                <w:noProof/>
              </w:rPr>
              <w:t>1. Introduction</w:t>
            </w:r>
            <w:r>
              <w:rPr>
                <w:noProof/>
                <w:webHidden/>
              </w:rPr>
              <w:tab/>
            </w:r>
            <w:r>
              <w:rPr>
                <w:noProof/>
                <w:webHidden/>
              </w:rPr>
              <w:fldChar w:fldCharType="begin"/>
            </w:r>
            <w:r>
              <w:rPr>
                <w:noProof/>
                <w:webHidden/>
              </w:rPr>
              <w:instrText xml:space="preserve"> PAGEREF _Toc228222325 \h </w:instrText>
            </w:r>
            <w:r>
              <w:rPr>
                <w:noProof/>
                <w:webHidden/>
              </w:rPr>
            </w:r>
            <w:r>
              <w:rPr>
                <w:noProof/>
                <w:webHidden/>
              </w:rPr>
              <w:fldChar w:fldCharType="separate"/>
            </w:r>
            <w:r>
              <w:rPr>
                <w:noProof/>
                <w:webHidden/>
              </w:rPr>
              <w:t>3</w:t>
            </w:r>
            <w:r>
              <w:rPr>
                <w:noProof/>
                <w:webHidden/>
              </w:rPr>
              <w:fldChar w:fldCharType="end"/>
            </w:r>
          </w:hyperlink>
        </w:p>
        <w:p w14:paraId="396A8681" w14:textId="69B73C4D" w:rsidR="00654C8B" w:rsidRDefault="00654C8B">
          <w:pPr>
            <w:pStyle w:val="TOC1"/>
            <w:tabs>
              <w:tab w:val="right" w:leader="dot" w:pos="9350"/>
            </w:tabs>
            <w:rPr>
              <w:noProof/>
            </w:rPr>
          </w:pPr>
          <w:hyperlink w:anchor="_Toc228222326" w:history="1">
            <w:r w:rsidRPr="00CA2B99">
              <w:rPr>
                <w:rStyle w:val="Hyperlink"/>
                <w:noProof/>
              </w:rPr>
              <w:t>2. Literature Review</w:t>
            </w:r>
            <w:r>
              <w:rPr>
                <w:noProof/>
                <w:webHidden/>
              </w:rPr>
              <w:tab/>
            </w:r>
            <w:r>
              <w:rPr>
                <w:noProof/>
                <w:webHidden/>
              </w:rPr>
              <w:fldChar w:fldCharType="begin"/>
            </w:r>
            <w:r>
              <w:rPr>
                <w:noProof/>
                <w:webHidden/>
              </w:rPr>
              <w:instrText xml:space="preserve"> PAGEREF _Toc228222326 \h </w:instrText>
            </w:r>
            <w:r>
              <w:rPr>
                <w:noProof/>
                <w:webHidden/>
              </w:rPr>
            </w:r>
            <w:r>
              <w:rPr>
                <w:noProof/>
                <w:webHidden/>
              </w:rPr>
              <w:fldChar w:fldCharType="separate"/>
            </w:r>
            <w:r>
              <w:rPr>
                <w:noProof/>
                <w:webHidden/>
              </w:rPr>
              <w:t>4</w:t>
            </w:r>
            <w:r>
              <w:rPr>
                <w:noProof/>
                <w:webHidden/>
              </w:rPr>
              <w:fldChar w:fldCharType="end"/>
            </w:r>
          </w:hyperlink>
        </w:p>
        <w:p w14:paraId="46B6C71F" w14:textId="233692F0" w:rsidR="00654C8B" w:rsidRDefault="00654C8B">
          <w:pPr>
            <w:pStyle w:val="TOC2"/>
            <w:tabs>
              <w:tab w:val="right" w:leader="dot" w:pos="9350"/>
            </w:tabs>
            <w:rPr>
              <w:noProof/>
            </w:rPr>
          </w:pPr>
          <w:hyperlink w:anchor="_Toc228222327" w:history="1">
            <w:r w:rsidRPr="00CA2B99">
              <w:rPr>
                <w:rStyle w:val="Hyperlink"/>
                <w:noProof/>
              </w:rPr>
              <w:t>2.1 Curriculum reform and enactment in secondary mathematics</w:t>
            </w:r>
            <w:r>
              <w:rPr>
                <w:noProof/>
                <w:webHidden/>
              </w:rPr>
              <w:tab/>
            </w:r>
            <w:r>
              <w:rPr>
                <w:noProof/>
                <w:webHidden/>
              </w:rPr>
              <w:fldChar w:fldCharType="begin"/>
            </w:r>
            <w:r>
              <w:rPr>
                <w:noProof/>
                <w:webHidden/>
              </w:rPr>
              <w:instrText xml:space="preserve"> PAGEREF _Toc228222327 \h </w:instrText>
            </w:r>
            <w:r>
              <w:rPr>
                <w:noProof/>
                <w:webHidden/>
              </w:rPr>
            </w:r>
            <w:r>
              <w:rPr>
                <w:noProof/>
                <w:webHidden/>
              </w:rPr>
              <w:fldChar w:fldCharType="separate"/>
            </w:r>
            <w:r>
              <w:rPr>
                <w:noProof/>
                <w:webHidden/>
              </w:rPr>
              <w:t>4</w:t>
            </w:r>
            <w:r>
              <w:rPr>
                <w:noProof/>
                <w:webHidden/>
              </w:rPr>
              <w:fldChar w:fldCharType="end"/>
            </w:r>
          </w:hyperlink>
        </w:p>
        <w:p w14:paraId="6D01DC4E" w14:textId="131A2AC7" w:rsidR="00654C8B" w:rsidRDefault="00654C8B">
          <w:pPr>
            <w:pStyle w:val="TOC2"/>
            <w:tabs>
              <w:tab w:val="right" w:leader="dot" w:pos="9350"/>
            </w:tabs>
            <w:rPr>
              <w:noProof/>
            </w:rPr>
          </w:pPr>
          <w:hyperlink w:anchor="_Toc228222328" w:history="1">
            <w:r w:rsidRPr="00CA2B99">
              <w:rPr>
                <w:rStyle w:val="Hyperlink"/>
                <w:noProof/>
              </w:rPr>
              <w:t>2.2 Pupil perspectives of secondary mathematics</w:t>
            </w:r>
            <w:r>
              <w:rPr>
                <w:noProof/>
                <w:webHidden/>
              </w:rPr>
              <w:tab/>
            </w:r>
            <w:r>
              <w:rPr>
                <w:noProof/>
                <w:webHidden/>
              </w:rPr>
              <w:fldChar w:fldCharType="begin"/>
            </w:r>
            <w:r>
              <w:rPr>
                <w:noProof/>
                <w:webHidden/>
              </w:rPr>
              <w:instrText xml:space="preserve"> PAGEREF _Toc228222328 \h </w:instrText>
            </w:r>
            <w:r>
              <w:rPr>
                <w:noProof/>
                <w:webHidden/>
              </w:rPr>
            </w:r>
            <w:r>
              <w:rPr>
                <w:noProof/>
                <w:webHidden/>
              </w:rPr>
              <w:fldChar w:fldCharType="separate"/>
            </w:r>
            <w:r>
              <w:rPr>
                <w:noProof/>
                <w:webHidden/>
              </w:rPr>
              <w:t>7</w:t>
            </w:r>
            <w:r>
              <w:rPr>
                <w:noProof/>
                <w:webHidden/>
              </w:rPr>
              <w:fldChar w:fldCharType="end"/>
            </w:r>
          </w:hyperlink>
        </w:p>
        <w:p w14:paraId="7B6D99B0" w14:textId="709F99F5" w:rsidR="00654C8B" w:rsidRDefault="00654C8B">
          <w:pPr>
            <w:pStyle w:val="TOC2"/>
            <w:tabs>
              <w:tab w:val="right" w:leader="dot" w:pos="9350"/>
            </w:tabs>
            <w:rPr>
              <w:noProof/>
            </w:rPr>
          </w:pPr>
          <w:hyperlink w:anchor="_Toc228222329" w:history="1">
            <w:r w:rsidRPr="00CA2B99">
              <w:rPr>
                <w:rStyle w:val="Hyperlink"/>
                <w:noProof/>
              </w:rPr>
              <w:t>2.3 Mathematics within international curriculum reform contexts</w:t>
            </w:r>
            <w:r>
              <w:rPr>
                <w:noProof/>
                <w:webHidden/>
              </w:rPr>
              <w:tab/>
            </w:r>
            <w:r>
              <w:rPr>
                <w:noProof/>
                <w:webHidden/>
              </w:rPr>
              <w:fldChar w:fldCharType="begin"/>
            </w:r>
            <w:r>
              <w:rPr>
                <w:noProof/>
                <w:webHidden/>
              </w:rPr>
              <w:instrText xml:space="preserve"> PAGEREF _Toc228222329 \h </w:instrText>
            </w:r>
            <w:r>
              <w:rPr>
                <w:noProof/>
                <w:webHidden/>
              </w:rPr>
            </w:r>
            <w:r>
              <w:rPr>
                <w:noProof/>
                <w:webHidden/>
              </w:rPr>
              <w:fldChar w:fldCharType="separate"/>
            </w:r>
            <w:r>
              <w:rPr>
                <w:noProof/>
                <w:webHidden/>
              </w:rPr>
              <w:t>8</w:t>
            </w:r>
            <w:r>
              <w:rPr>
                <w:noProof/>
                <w:webHidden/>
              </w:rPr>
              <w:fldChar w:fldCharType="end"/>
            </w:r>
          </w:hyperlink>
        </w:p>
        <w:p w14:paraId="36ADF0CB" w14:textId="463ED73E" w:rsidR="00654C8B" w:rsidRDefault="00654C8B">
          <w:pPr>
            <w:pStyle w:val="TOC2"/>
            <w:tabs>
              <w:tab w:val="right" w:leader="dot" w:pos="9350"/>
            </w:tabs>
            <w:rPr>
              <w:noProof/>
            </w:rPr>
          </w:pPr>
          <w:hyperlink w:anchor="_Toc228222330" w:history="1">
            <w:r w:rsidRPr="00CA2B99">
              <w:rPr>
                <w:rStyle w:val="Hyperlink"/>
                <w:noProof/>
              </w:rPr>
              <w:t>2.4 Gaps in the literature</w:t>
            </w:r>
            <w:r>
              <w:rPr>
                <w:noProof/>
                <w:webHidden/>
              </w:rPr>
              <w:tab/>
            </w:r>
            <w:r>
              <w:rPr>
                <w:noProof/>
                <w:webHidden/>
              </w:rPr>
              <w:fldChar w:fldCharType="begin"/>
            </w:r>
            <w:r>
              <w:rPr>
                <w:noProof/>
                <w:webHidden/>
              </w:rPr>
              <w:instrText xml:space="preserve"> PAGEREF _Toc228222330 \h </w:instrText>
            </w:r>
            <w:r>
              <w:rPr>
                <w:noProof/>
                <w:webHidden/>
              </w:rPr>
            </w:r>
            <w:r>
              <w:rPr>
                <w:noProof/>
                <w:webHidden/>
              </w:rPr>
              <w:fldChar w:fldCharType="separate"/>
            </w:r>
            <w:r>
              <w:rPr>
                <w:noProof/>
                <w:webHidden/>
              </w:rPr>
              <w:t>10</w:t>
            </w:r>
            <w:r>
              <w:rPr>
                <w:noProof/>
                <w:webHidden/>
              </w:rPr>
              <w:fldChar w:fldCharType="end"/>
            </w:r>
          </w:hyperlink>
        </w:p>
        <w:p w14:paraId="49FB7F53" w14:textId="2EFA56B1" w:rsidR="00654C8B" w:rsidRDefault="00654C8B">
          <w:pPr>
            <w:pStyle w:val="TOC1"/>
            <w:tabs>
              <w:tab w:val="right" w:leader="dot" w:pos="9350"/>
            </w:tabs>
            <w:rPr>
              <w:noProof/>
            </w:rPr>
          </w:pPr>
          <w:hyperlink w:anchor="_Toc228222331" w:history="1">
            <w:r w:rsidRPr="00CA2B99">
              <w:rPr>
                <w:rStyle w:val="Hyperlink"/>
                <w:noProof/>
              </w:rPr>
              <w:t>3. My Research</w:t>
            </w:r>
            <w:r>
              <w:rPr>
                <w:noProof/>
                <w:webHidden/>
              </w:rPr>
              <w:tab/>
            </w:r>
            <w:r>
              <w:rPr>
                <w:noProof/>
                <w:webHidden/>
              </w:rPr>
              <w:fldChar w:fldCharType="begin"/>
            </w:r>
            <w:r>
              <w:rPr>
                <w:noProof/>
                <w:webHidden/>
              </w:rPr>
              <w:instrText xml:space="preserve"> PAGEREF _Toc228222331 \h </w:instrText>
            </w:r>
            <w:r>
              <w:rPr>
                <w:noProof/>
                <w:webHidden/>
              </w:rPr>
            </w:r>
            <w:r>
              <w:rPr>
                <w:noProof/>
                <w:webHidden/>
              </w:rPr>
              <w:fldChar w:fldCharType="separate"/>
            </w:r>
            <w:r>
              <w:rPr>
                <w:noProof/>
                <w:webHidden/>
              </w:rPr>
              <w:t>11</w:t>
            </w:r>
            <w:r>
              <w:rPr>
                <w:noProof/>
                <w:webHidden/>
              </w:rPr>
              <w:fldChar w:fldCharType="end"/>
            </w:r>
          </w:hyperlink>
        </w:p>
        <w:p w14:paraId="50507C5A" w14:textId="2F74D3B3" w:rsidR="00654C8B" w:rsidRDefault="00654C8B">
          <w:pPr>
            <w:pStyle w:val="TOC2"/>
            <w:tabs>
              <w:tab w:val="right" w:leader="dot" w:pos="9350"/>
            </w:tabs>
            <w:rPr>
              <w:noProof/>
            </w:rPr>
          </w:pPr>
          <w:hyperlink w:anchor="_Toc228222332" w:history="1">
            <w:r w:rsidRPr="00CA2B99">
              <w:rPr>
                <w:rStyle w:val="Hyperlink"/>
                <w:noProof/>
              </w:rPr>
              <w:t>3.1 Rationale for the study</w:t>
            </w:r>
            <w:r>
              <w:rPr>
                <w:noProof/>
                <w:webHidden/>
              </w:rPr>
              <w:tab/>
            </w:r>
            <w:r>
              <w:rPr>
                <w:noProof/>
                <w:webHidden/>
              </w:rPr>
              <w:fldChar w:fldCharType="begin"/>
            </w:r>
            <w:r>
              <w:rPr>
                <w:noProof/>
                <w:webHidden/>
              </w:rPr>
              <w:instrText xml:space="preserve"> PAGEREF _Toc228222332 \h </w:instrText>
            </w:r>
            <w:r>
              <w:rPr>
                <w:noProof/>
                <w:webHidden/>
              </w:rPr>
            </w:r>
            <w:r>
              <w:rPr>
                <w:noProof/>
                <w:webHidden/>
              </w:rPr>
              <w:fldChar w:fldCharType="separate"/>
            </w:r>
            <w:r>
              <w:rPr>
                <w:noProof/>
                <w:webHidden/>
              </w:rPr>
              <w:t>11</w:t>
            </w:r>
            <w:r>
              <w:rPr>
                <w:noProof/>
                <w:webHidden/>
              </w:rPr>
              <w:fldChar w:fldCharType="end"/>
            </w:r>
          </w:hyperlink>
        </w:p>
        <w:p w14:paraId="3ABF636F" w14:textId="4892607F" w:rsidR="00654C8B" w:rsidRDefault="00654C8B">
          <w:pPr>
            <w:pStyle w:val="TOC2"/>
            <w:tabs>
              <w:tab w:val="right" w:leader="dot" w:pos="9350"/>
            </w:tabs>
            <w:rPr>
              <w:noProof/>
            </w:rPr>
          </w:pPr>
          <w:hyperlink w:anchor="_Toc228222333" w:history="1">
            <w:r w:rsidRPr="00CA2B99">
              <w:rPr>
                <w:rStyle w:val="Hyperlink"/>
                <w:noProof/>
              </w:rPr>
              <w:t>3.2 Research Questions</w:t>
            </w:r>
            <w:r>
              <w:rPr>
                <w:noProof/>
                <w:webHidden/>
              </w:rPr>
              <w:tab/>
            </w:r>
            <w:r>
              <w:rPr>
                <w:noProof/>
                <w:webHidden/>
              </w:rPr>
              <w:fldChar w:fldCharType="begin"/>
            </w:r>
            <w:r>
              <w:rPr>
                <w:noProof/>
                <w:webHidden/>
              </w:rPr>
              <w:instrText xml:space="preserve"> PAGEREF _Toc228222333 \h </w:instrText>
            </w:r>
            <w:r>
              <w:rPr>
                <w:noProof/>
                <w:webHidden/>
              </w:rPr>
            </w:r>
            <w:r>
              <w:rPr>
                <w:noProof/>
                <w:webHidden/>
              </w:rPr>
              <w:fldChar w:fldCharType="separate"/>
            </w:r>
            <w:r>
              <w:rPr>
                <w:noProof/>
                <w:webHidden/>
              </w:rPr>
              <w:t>13</w:t>
            </w:r>
            <w:r>
              <w:rPr>
                <w:noProof/>
                <w:webHidden/>
              </w:rPr>
              <w:fldChar w:fldCharType="end"/>
            </w:r>
          </w:hyperlink>
        </w:p>
        <w:p w14:paraId="5B5671E3" w14:textId="5E2B17C8" w:rsidR="00654C8B" w:rsidRDefault="00654C8B">
          <w:pPr>
            <w:pStyle w:val="TOC2"/>
            <w:tabs>
              <w:tab w:val="right" w:leader="dot" w:pos="9350"/>
            </w:tabs>
            <w:rPr>
              <w:noProof/>
            </w:rPr>
          </w:pPr>
          <w:hyperlink w:anchor="_Toc228222334" w:history="1">
            <w:r w:rsidRPr="00CA2B99">
              <w:rPr>
                <w:rStyle w:val="Hyperlink"/>
                <w:noProof/>
              </w:rPr>
              <w:t>3.3 Research Aims and Objectives</w:t>
            </w:r>
            <w:r>
              <w:rPr>
                <w:noProof/>
                <w:webHidden/>
              </w:rPr>
              <w:tab/>
            </w:r>
            <w:r>
              <w:rPr>
                <w:noProof/>
                <w:webHidden/>
              </w:rPr>
              <w:fldChar w:fldCharType="begin"/>
            </w:r>
            <w:r>
              <w:rPr>
                <w:noProof/>
                <w:webHidden/>
              </w:rPr>
              <w:instrText xml:space="preserve"> PAGEREF _Toc228222334 \h </w:instrText>
            </w:r>
            <w:r>
              <w:rPr>
                <w:noProof/>
                <w:webHidden/>
              </w:rPr>
            </w:r>
            <w:r>
              <w:rPr>
                <w:noProof/>
                <w:webHidden/>
              </w:rPr>
              <w:fldChar w:fldCharType="separate"/>
            </w:r>
            <w:r>
              <w:rPr>
                <w:noProof/>
                <w:webHidden/>
              </w:rPr>
              <w:t>14</w:t>
            </w:r>
            <w:r>
              <w:rPr>
                <w:noProof/>
                <w:webHidden/>
              </w:rPr>
              <w:fldChar w:fldCharType="end"/>
            </w:r>
          </w:hyperlink>
        </w:p>
        <w:p w14:paraId="1E5C0621" w14:textId="411F8AFA" w:rsidR="00654C8B" w:rsidRDefault="00654C8B">
          <w:pPr>
            <w:pStyle w:val="TOC2"/>
            <w:tabs>
              <w:tab w:val="right" w:leader="dot" w:pos="9350"/>
            </w:tabs>
            <w:rPr>
              <w:noProof/>
            </w:rPr>
          </w:pPr>
          <w:hyperlink w:anchor="_Toc228222335" w:history="1">
            <w:r w:rsidRPr="00CA2B99">
              <w:rPr>
                <w:rStyle w:val="Hyperlink"/>
                <w:noProof/>
              </w:rPr>
              <w:t>3.4 Conclusion</w:t>
            </w:r>
            <w:r>
              <w:rPr>
                <w:noProof/>
                <w:webHidden/>
              </w:rPr>
              <w:tab/>
            </w:r>
            <w:r>
              <w:rPr>
                <w:noProof/>
                <w:webHidden/>
              </w:rPr>
              <w:fldChar w:fldCharType="begin"/>
            </w:r>
            <w:r>
              <w:rPr>
                <w:noProof/>
                <w:webHidden/>
              </w:rPr>
              <w:instrText xml:space="preserve"> PAGEREF _Toc228222335 \h </w:instrText>
            </w:r>
            <w:r>
              <w:rPr>
                <w:noProof/>
                <w:webHidden/>
              </w:rPr>
            </w:r>
            <w:r>
              <w:rPr>
                <w:noProof/>
                <w:webHidden/>
              </w:rPr>
              <w:fldChar w:fldCharType="separate"/>
            </w:r>
            <w:r>
              <w:rPr>
                <w:noProof/>
                <w:webHidden/>
              </w:rPr>
              <w:t>16</w:t>
            </w:r>
            <w:r>
              <w:rPr>
                <w:noProof/>
                <w:webHidden/>
              </w:rPr>
              <w:fldChar w:fldCharType="end"/>
            </w:r>
          </w:hyperlink>
        </w:p>
        <w:p w14:paraId="4B63F2B5" w14:textId="5462D588" w:rsidR="00654C8B" w:rsidRDefault="00654C8B">
          <w:pPr>
            <w:pStyle w:val="TOC2"/>
            <w:tabs>
              <w:tab w:val="right" w:leader="dot" w:pos="9350"/>
            </w:tabs>
            <w:rPr>
              <w:noProof/>
            </w:rPr>
          </w:pPr>
          <w:hyperlink w:anchor="_Toc228222336" w:history="1">
            <w:r w:rsidRPr="00CA2B99">
              <w:rPr>
                <w:rStyle w:val="Hyperlink"/>
                <w:noProof/>
              </w:rPr>
              <w:t>References</w:t>
            </w:r>
            <w:r>
              <w:rPr>
                <w:noProof/>
                <w:webHidden/>
              </w:rPr>
              <w:tab/>
            </w:r>
            <w:r>
              <w:rPr>
                <w:noProof/>
                <w:webHidden/>
              </w:rPr>
              <w:fldChar w:fldCharType="begin"/>
            </w:r>
            <w:r>
              <w:rPr>
                <w:noProof/>
                <w:webHidden/>
              </w:rPr>
              <w:instrText xml:space="preserve"> PAGEREF _Toc228222336 \h </w:instrText>
            </w:r>
            <w:r>
              <w:rPr>
                <w:noProof/>
                <w:webHidden/>
              </w:rPr>
            </w:r>
            <w:r>
              <w:rPr>
                <w:noProof/>
                <w:webHidden/>
              </w:rPr>
              <w:fldChar w:fldCharType="separate"/>
            </w:r>
            <w:r>
              <w:rPr>
                <w:noProof/>
                <w:webHidden/>
              </w:rPr>
              <w:t>16</w:t>
            </w:r>
            <w:r>
              <w:rPr>
                <w:noProof/>
                <w:webHidden/>
              </w:rPr>
              <w:fldChar w:fldCharType="end"/>
            </w:r>
          </w:hyperlink>
        </w:p>
        <w:p w14:paraId="0EE2116B" w14:textId="6EA6AA08" w:rsidR="00654C8B" w:rsidRDefault="00654C8B">
          <w:r>
            <w:rPr>
              <w:b/>
              <w:bCs/>
              <w:noProof/>
            </w:rPr>
            <w:fldChar w:fldCharType="end"/>
          </w:r>
        </w:p>
      </w:sdtContent>
    </w:sdt>
    <w:p w14:paraId="5C3ACE6C" w14:textId="2FF77C3F" w:rsidR="00BE3F0D" w:rsidRDefault="005F45E3">
      <w:pPr>
        <w:pStyle w:val="Heading1"/>
        <w:widowControl w:val="0"/>
        <w:spacing w:after="80" w:line="480" w:lineRule="auto"/>
        <w:rPr>
          <w:color w:val="00FF00"/>
          <w:sz w:val="24"/>
          <w:szCs w:val="24"/>
          <w:u w:val="single"/>
        </w:rPr>
      </w:pPr>
      <w:bookmarkStart w:id="1" w:name="_Toc228222325"/>
      <w:r>
        <w:rPr>
          <w:sz w:val="24"/>
          <w:szCs w:val="24"/>
          <w:u w:val="single"/>
        </w:rPr>
        <w:t>1. Introduction</w:t>
      </w:r>
      <w:bookmarkEnd w:id="1"/>
    </w:p>
    <w:p w14:paraId="5C3ACE6D" w14:textId="77777777" w:rsidR="00BE3F0D" w:rsidRDefault="005F45E3">
      <w:pPr>
        <w:keepNext/>
        <w:widowControl w:val="0"/>
        <w:spacing w:line="480" w:lineRule="auto"/>
        <w:rPr>
          <w:sz w:val="24"/>
          <w:szCs w:val="24"/>
        </w:rPr>
      </w:pPr>
      <w:r>
        <w:rPr>
          <w:sz w:val="24"/>
          <w:szCs w:val="24"/>
        </w:rPr>
        <w:t>My research will investigate how Year 9 pupils in secondary schools in North Wales experience mathematics in response to the introduction of the Curriculum for Wales (CfW), in the context of departmental responses to curriculum reform.</w:t>
      </w:r>
    </w:p>
    <w:p w14:paraId="5C3ACE6E" w14:textId="77777777" w:rsidR="00BE3F0D" w:rsidRDefault="00BE3F0D">
      <w:pPr>
        <w:keepNext/>
        <w:widowControl w:val="0"/>
        <w:spacing w:line="480" w:lineRule="auto"/>
        <w:rPr>
          <w:sz w:val="24"/>
          <w:szCs w:val="24"/>
        </w:rPr>
      </w:pPr>
    </w:p>
    <w:p w14:paraId="5C3ACE6F" w14:textId="77777777" w:rsidR="00BE3F0D" w:rsidRDefault="005F45E3">
      <w:pPr>
        <w:keepNext/>
        <w:widowControl w:val="0"/>
        <w:spacing w:line="480" w:lineRule="auto"/>
        <w:rPr>
          <w:sz w:val="24"/>
          <w:szCs w:val="24"/>
        </w:rPr>
      </w:pPr>
      <w:r>
        <w:rPr>
          <w:sz w:val="24"/>
          <w:szCs w:val="24"/>
        </w:rPr>
        <w:t xml:space="preserve">The CfW represents a major, system wide reform in Wales with a shift towards the centrality of the learner, and increased flexibility for schools to design and implement their own curricula (Welsh Government, 2020a; OECD, 2020). Within this context, mathematics departments may have adapted their practices in response to new expectations around assessment and progression (Welsh Government, 2020b), particularly through the development of the five mathematical proficiencies (Welsh </w:t>
      </w:r>
      <w:r>
        <w:rPr>
          <w:sz w:val="24"/>
          <w:szCs w:val="24"/>
        </w:rPr>
        <w:lastRenderedPageBreak/>
        <w:t xml:space="preserve">Government, 2022a) - discussed in further detail in the literature review. </w:t>
      </w:r>
    </w:p>
    <w:p w14:paraId="5C3ACE70" w14:textId="77777777" w:rsidR="00BE3F0D" w:rsidRDefault="00BE3F0D">
      <w:pPr>
        <w:keepNext/>
        <w:widowControl w:val="0"/>
        <w:spacing w:line="480" w:lineRule="auto"/>
        <w:rPr>
          <w:sz w:val="24"/>
          <w:szCs w:val="24"/>
        </w:rPr>
      </w:pPr>
    </w:p>
    <w:p w14:paraId="5C3ACE71" w14:textId="77777777" w:rsidR="00BE3F0D" w:rsidRDefault="005F45E3">
      <w:pPr>
        <w:keepNext/>
        <w:widowControl w:val="0"/>
        <w:spacing w:line="480" w:lineRule="auto"/>
        <w:rPr>
          <w:sz w:val="24"/>
          <w:szCs w:val="24"/>
        </w:rPr>
      </w:pPr>
      <w:r>
        <w:rPr>
          <w:sz w:val="24"/>
          <w:szCs w:val="24"/>
        </w:rPr>
        <w:t xml:space="preserve">Much of the current literature around the CfW focuses on teacher perspectives (Thomas </w:t>
      </w:r>
      <w:r>
        <w:rPr>
          <w:i/>
          <w:iCs/>
          <w:sz w:val="24"/>
          <w:szCs w:val="24"/>
        </w:rPr>
        <w:t xml:space="preserve">et al., </w:t>
      </w:r>
      <w:r>
        <w:rPr>
          <w:sz w:val="24"/>
          <w:szCs w:val="24"/>
        </w:rPr>
        <w:t xml:space="preserve">2023; Chapman </w:t>
      </w:r>
      <w:r>
        <w:rPr>
          <w:i/>
          <w:iCs/>
          <w:sz w:val="24"/>
          <w:szCs w:val="24"/>
        </w:rPr>
        <w:t>et al.</w:t>
      </w:r>
      <w:r>
        <w:rPr>
          <w:sz w:val="24"/>
          <w:szCs w:val="24"/>
        </w:rPr>
        <w:t xml:space="preserve">, 2025) , policy enactment (Evans, 2023) and so far, limited focus is given to mathematics, or how pupils experience these changes in practice. </w:t>
      </w:r>
    </w:p>
    <w:p w14:paraId="5C3ACE72" w14:textId="77777777" w:rsidR="00BE3F0D" w:rsidRDefault="005F45E3">
      <w:pPr>
        <w:keepNext/>
        <w:widowControl w:val="0"/>
        <w:spacing w:line="480" w:lineRule="auto"/>
        <w:rPr>
          <w:sz w:val="24"/>
          <w:szCs w:val="24"/>
        </w:rPr>
      </w:pPr>
      <w:r>
        <w:rPr>
          <w:sz w:val="24"/>
          <w:szCs w:val="24"/>
        </w:rPr>
        <w:t>This research intends to investigate the perceptions and experiences of pupils of their mathematics education, addressing a gap in the available empirical evidence surrounding the area.</w:t>
      </w:r>
    </w:p>
    <w:p w14:paraId="5C3ACE73" w14:textId="77777777" w:rsidR="00BE3F0D" w:rsidRDefault="005F45E3">
      <w:pPr>
        <w:pStyle w:val="Heading1"/>
        <w:widowControl w:val="0"/>
        <w:spacing w:line="480" w:lineRule="auto"/>
        <w:rPr>
          <w:sz w:val="24"/>
          <w:szCs w:val="24"/>
          <w:u w:val="single"/>
        </w:rPr>
      </w:pPr>
      <w:bookmarkStart w:id="2" w:name="_gbcxw0nvbu9w" w:colFirst="0" w:colLast="0"/>
      <w:bookmarkStart w:id="3" w:name="_Toc228222326"/>
      <w:bookmarkEnd w:id="2"/>
      <w:r>
        <w:rPr>
          <w:sz w:val="24"/>
          <w:szCs w:val="24"/>
          <w:u w:val="single"/>
        </w:rPr>
        <w:t>2. Literature Review</w:t>
      </w:r>
      <w:bookmarkEnd w:id="3"/>
    </w:p>
    <w:p w14:paraId="5C3ACE74" w14:textId="77777777" w:rsidR="00BE3F0D" w:rsidRDefault="005F45E3">
      <w:pPr>
        <w:keepNext/>
        <w:widowControl w:val="0"/>
        <w:spacing w:line="480" w:lineRule="auto"/>
        <w:rPr>
          <w:u w:val="single"/>
        </w:rPr>
      </w:pPr>
      <w:r>
        <w:rPr>
          <w:sz w:val="24"/>
          <w:szCs w:val="24"/>
        </w:rPr>
        <w:t xml:space="preserve">In this literature review, firstly, I examined current literature around curriculum reform, concentrating on secondary mathematics to investigate the policy and enactment in Wales and comparable international curricula. Next, I explored accounts of pupils’ experiences of secondary mathematics and curricular reform. Finally I described what I believe to be potential gaps in the literature. </w:t>
      </w:r>
    </w:p>
    <w:p w14:paraId="5C3ACE75" w14:textId="77777777" w:rsidR="00BE3F0D" w:rsidRDefault="005F45E3">
      <w:pPr>
        <w:pStyle w:val="Heading2"/>
        <w:spacing w:line="480" w:lineRule="auto"/>
        <w:rPr>
          <w:u w:val="single"/>
        </w:rPr>
      </w:pPr>
      <w:bookmarkStart w:id="4" w:name="_bcuonjfsjb9f" w:colFirst="0" w:colLast="0"/>
      <w:bookmarkStart w:id="5" w:name="_Toc228222327"/>
      <w:bookmarkEnd w:id="4"/>
      <w:r>
        <w:rPr>
          <w:u w:val="single"/>
        </w:rPr>
        <w:t>2.1 Curriculum reform and enactment in secondary mathematics</w:t>
      </w:r>
      <w:bookmarkEnd w:id="5"/>
    </w:p>
    <w:p w14:paraId="5C3ACE76" w14:textId="77777777" w:rsidR="00BE3F0D" w:rsidRDefault="005F45E3">
      <w:pPr>
        <w:keepNext/>
        <w:widowControl w:val="0"/>
        <w:spacing w:line="480" w:lineRule="auto"/>
        <w:rPr>
          <w:sz w:val="24"/>
          <w:szCs w:val="24"/>
        </w:rPr>
      </w:pPr>
      <w:r>
        <w:rPr>
          <w:sz w:val="24"/>
          <w:szCs w:val="24"/>
        </w:rPr>
        <w:t xml:space="preserve">The CfW was introduced in response to perceived shortcomings in the previous curriculum, particularly as it was seen as too prescriptive and overloaded (Donaldson, 2015). Concerns about Wales’ educational performance and global competitiveness were supported by the country’s results in the Programme for International Student Assessment (PISA) which were below average (OECD, 2014; OECD, 2024). </w:t>
      </w:r>
    </w:p>
    <w:p w14:paraId="5C3ACE77" w14:textId="77777777" w:rsidR="00BE3F0D" w:rsidRDefault="005F45E3">
      <w:pPr>
        <w:keepNext/>
        <w:widowControl w:val="0"/>
        <w:spacing w:line="480" w:lineRule="auto"/>
        <w:rPr>
          <w:sz w:val="24"/>
          <w:szCs w:val="24"/>
        </w:rPr>
      </w:pPr>
      <w:r>
        <w:rPr>
          <w:sz w:val="24"/>
          <w:szCs w:val="24"/>
        </w:rPr>
        <w:t xml:space="preserve">The CfW was designed to embody a shift toward a more flexible, learner-centred curriculum, mirroring countries such as Australia, Scotland and New Zealand (OECD, 2020; Sinnema </w:t>
      </w:r>
      <w:r>
        <w:rPr>
          <w:i/>
          <w:iCs/>
          <w:sz w:val="24"/>
          <w:szCs w:val="24"/>
        </w:rPr>
        <w:t>et al.</w:t>
      </w:r>
      <w:r>
        <w:rPr>
          <w:sz w:val="24"/>
          <w:szCs w:val="24"/>
        </w:rPr>
        <w:t xml:space="preserve">, 2020). Evidence suggests that the implementation for this type of </w:t>
      </w:r>
      <w:r>
        <w:rPr>
          <w:sz w:val="24"/>
          <w:szCs w:val="24"/>
        </w:rPr>
        <w:lastRenderedPageBreak/>
        <w:t xml:space="preserve">curricular reform is often inconsistent (Sinnema </w:t>
      </w:r>
      <w:r>
        <w:rPr>
          <w:i/>
          <w:iCs/>
          <w:sz w:val="24"/>
          <w:szCs w:val="24"/>
        </w:rPr>
        <w:t>et al.</w:t>
      </w:r>
      <w:r>
        <w:rPr>
          <w:sz w:val="24"/>
          <w:szCs w:val="24"/>
        </w:rPr>
        <w:t xml:space="preserve">, 2020), with early research around CfW identifying uneven progress in mathematics and numeracy as a particular concern (Welsh Government, 2023; Estyn, 2025b). The inconsistency and complexity inherent in implementing policy into practice suggests a need to examine how the changes are interpreted by teachers and experienced by pupils. </w:t>
      </w:r>
    </w:p>
    <w:p w14:paraId="5C3ACE78" w14:textId="77777777" w:rsidR="00BE3F0D" w:rsidRDefault="00BE3F0D">
      <w:pPr>
        <w:keepNext/>
        <w:widowControl w:val="0"/>
        <w:spacing w:line="480" w:lineRule="auto"/>
        <w:rPr>
          <w:sz w:val="24"/>
          <w:szCs w:val="24"/>
          <w:shd w:val="clear" w:color="auto" w:fill="FCE5CD"/>
        </w:rPr>
      </w:pPr>
    </w:p>
    <w:p w14:paraId="5C3ACE79" w14:textId="77777777" w:rsidR="00BE3F0D" w:rsidRDefault="005F45E3">
      <w:pPr>
        <w:keepNext/>
        <w:widowControl w:val="0"/>
        <w:spacing w:line="480" w:lineRule="auto"/>
        <w:rPr>
          <w:sz w:val="24"/>
          <w:szCs w:val="24"/>
        </w:rPr>
      </w:pPr>
      <w:r>
        <w:rPr>
          <w:sz w:val="24"/>
          <w:szCs w:val="24"/>
        </w:rPr>
        <w:t>Curriculum reform places pressure on schools and teachers, as priorities from diverse stakeholders within school, local and national government must be interpreted, understood, and enacted (Myatt and Tomsett, 2021). This is defined by Sherrington (2017) as curriculum enactment, where policy is implemented through the interpretation of education professionals. Myatt (2018) defined curriculum as laying out the aims, content, and principles of what we intend pupils to experience. The CfW’s structure, including</w:t>
      </w:r>
      <w:r>
        <w:rPr>
          <w:sz w:val="24"/>
          <w:szCs w:val="24"/>
        </w:rPr>
        <w:t xml:space="preserve"> four purposes, six Areas of Learning and Experience (AoLE) and 27 Statements of What Matters, present a challenging, multi-layered task for teachers and schools to engage with, and plan for (Gately, 2020). </w:t>
      </w:r>
    </w:p>
    <w:p w14:paraId="5C3ACE7A" w14:textId="77777777" w:rsidR="00BE3F0D" w:rsidRDefault="005F45E3">
      <w:pPr>
        <w:keepNext/>
        <w:widowControl w:val="0"/>
        <w:spacing w:line="480" w:lineRule="auto"/>
        <w:rPr>
          <w:sz w:val="24"/>
          <w:szCs w:val="24"/>
        </w:rPr>
      </w:pPr>
      <w:r>
        <w:rPr>
          <w:sz w:val="24"/>
          <w:szCs w:val="24"/>
        </w:rPr>
        <w:t>With increased autonomy in curriculum construction (Wood and Hughson, 2025), teachers need appropriate support to interpret and enact the curriculum (Beech and McGill, 2020).</w:t>
      </w:r>
    </w:p>
    <w:p w14:paraId="5C3ACE7B" w14:textId="77777777" w:rsidR="00BE3F0D" w:rsidRDefault="00BE3F0D">
      <w:pPr>
        <w:keepNext/>
        <w:widowControl w:val="0"/>
        <w:spacing w:line="480" w:lineRule="auto"/>
        <w:rPr>
          <w:sz w:val="24"/>
          <w:szCs w:val="24"/>
        </w:rPr>
      </w:pPr>
    </w:p>
    <w:p w14:paraId="5C3ACE7C" w14:textId="77777777" w:rsidR="00BE3F0D" w:rsidRDefault="005F45E3">
      <w:pPr>
        <w:keepNext/>
        <w:widowControl w:val="0"/>
        <w:spacing w:line="480" w:lineRule="auto"/>
        <w:rPr>
          <w:sz w:val="24"/>
          <w:szCs w:val="24"/>
        </w:rPr>
      </w:pPr>
      <w:r>
        <w:rPr>
          <w:sz w:val="24"/>
          <w:szCs w:val="24"/>
        </w:rPr>
        <w:t xml:space="preserve">Friction between conflicting factors is seen as a source of unease in the literature. Evans (2023) and Sinnema </w:t>
      </w:r>
      <w:r>
        <w:rPr>
          <w:i/>
          <w:iCs/>
          <w:sz w:val="24"/>
          <w:szCs w:val="24"/>
        </w:rPr>
        <w:t>et al.</w:t>
      </w:r>
      <w:r>
        <w:rPr>
          <w:sz w:val="24"/>
          <w:szCs w:val="24"/>
        </w:rPr>
        <w:t xml:space="preserve"> (2020) discuss the issue of autonomy compared with consistency with autonomy being an exciting prospect, but increased workload and responsibility increasing pressure on teachers. The roles of skills, knowledge and </w:t>
      </w:r>
      <w:r>
        <w:rPr>
          <w:sz w:val="24"/>
          <w:szCs w:val="24"/>
        </w:rPr>
        <w:lastRenderedPageBreak/>
        <w:t xml:space="preserve">experiences are a common theme in literature surrounding recent curriculum reform, but while the OECD (2020) and Welsh Government (2020a) contend that the CfW integrates all three, Lyakhova </w:t>
      </w:r>
      <w:r>
        <w:rPr>
          <w:i/>
          <w:iCs/>
          <w:sz w:val="24"/>
          <w:szCs w:val="24"/>
        </w:rPr>
        <w:t>et al.</w:t>
      </w:r>
      <w:r>
        <w:rPr>
          <w:sz w:val="24"/>
          <w:szCs w:val="24"/>
        </w:rPr>
        <w:t xml:space="preserve">, (2019), Sinnema </w:t>
      </w:r>
      <w:r>
        <w:rPr>
          <w:i/>
          <w:iCs/>
          <w:sz w:val="24"/>
          <w:szCs w:val="24"/>
        </w:rPr>
        <w:t>et al.</w:t>
      </w:r>
      <w:r>
        <w:rPr>
          <w:sz w:val="24"/>
          <w:szCs w:val="24"/>
        </w:rPr>
        <w:t xml:space="preserve"> (2020) and Wood and Hughson (2025) argue that within the CfW, skills </w:t>
      </w:r>
      <w:r>
        <w:rPr>
          <w:sz w:val="24"/>
          <w:szCs w:val="24"/>
        </w:rPr>
        <w:t xml:space="preserve">and experience overshadow the role of knowledge and content. This is especially notable in mathematics, described by Robbins (2021) as a knowledge heavy, hierarchical subject. </w:t>
      </w:r>
    </w:p>
    <w:p w14:paraId="5C3ACE7D" w14:textId="77777777" w:rsidR="00BE3F0D" w:rsidRDefault="00BE3F0D">
      <w:pPr>
        <w:keepNext/>
        <w:widowControl w:val="0"/>
        <w:spacing w:line="480" w:lineRule="auto"/>
        <w:rPr>
          <w:sz w:val="24"/>
          <w:szCs w:val="24"/>
        </w:rPr>
      </w:pPr>
    </w:p>
    <w:p w14:paraId="5C3ACE7E" w14:textId="77777777" w:rsidR="00BE3F0D" w:rsidRDefault="005F45E3">
      <w:pPr>
        <w:keepNext/>
        <w:widowControl w:val="0"/>
        <w:spacing w:line="480" w:lineRule="auto"/>
        <w:rPr>
          <w:sz w:val="24"/>
          <w:szCs w:val="24"/>
        </w:rPr>
      </w:pPr>
      <w:r>
        <w:rPr>
          <w:sz w:val="24"/>
          <w:szCs w:val="24"/>
        </w:rPr>
        <w:t>Comparing the Mathematics and Numeracy AoLE requirements (Welsh Government 2020b) to the previous curriculum’s programme of study (Welsh Government, 2015), some key changes are apparent. Firstly, the change from year by year expectations to progression steps reduce rigid prescription, but means that mathematics departments have more responsibility for sequencing - considering in which order, and in which ways topics will be taught (Robbins, 2021). Next, although the CfW’s statements of what matters (Welsh G</w:t>
      </w:r>
      <w:r>
        <w:rPr>
          <w:sz w:val="24"/>
          <w:szCs w:val="24"/>
        </w:rPr>
        <w:t xml:space="preserve">overnment 2020b) can be mostly mapped to how the previous curriculum was divided into strands (Welsh Government, 2015). However, the strand of ‘developing numerical reasoning’ has been replaced by the five mathematical </w:t>
      </w:r>
      <w:r>
        <w:rPr>
          <w:sz w:val="24"/>
          <w:szCs w:val="24"/>
        </w:rPr>
        <w:lastRenderedPageBreak/>
        <w:t xml:space="preserve">proficiencies, shown in the figure below. </w:t>
      </w:r>
    </w:p>
    <w:p w14:paraId="5C3ACE7F" w14:textId="77777777" w:rsidR="00BE3F0D" w:rsidRDefault="005F45E3">
      <w:pPr>
        <w:keepNext/>
        <w:widowControl w:val="0"/>
        <w:spacing w:line="480" w:lineRule="auto"/>
        <w:rPr>
          <w:sz w:val="24"/>
          <w:szCs w:val="24"/>
        </w:rPr>
      </w:pPr>
      <w:r>
        <w:rPr>
          <w:noProof/>
          <w:sz w:val="24"/>
          <w:szCs w:val="24"/>
        </w:rPr>
        <w:drawing>
          <wp:inline distT="114300" distB="114300" distL="114300" distR="114300" wp14:anchorId="5C3ACEE9" wp14:editId="5C3ACEEA">
            <wp:extent cx="5943600" cy="334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14:paraId="5C3ACE80" w14:textId="77777777" w:rsidR="00BE3F0D" w:rsidRDefault="005F45E3">
      <w:pPr>
        <w:keepNext/>
        <w:widowControl w:val="0"/>
        <w:spacing w:line="480" w:lineRule="auto"/>
        <w:rPr>
          <w:i/>
          <w:iCs/>
          <w:sz w:val="24"/>
          <w:szCs w:val="24"/>
        </w:rPr>
      </w:pPr>
      <w:r>
        <w:rPr>
          <w:i/>
          <w:iCs/>
          <w:sz w:val="24"/>
          <w:szCs w:val="24"/>
        </w:rPr>
        <w:t>Figure 1: The Five Mathematical Proficiencies (Nicol, 2019).</w:t>
      </w:r>
    </w:p>
    <w:p w14:paraId="5C3ACE81" w14:textId="77777777" w:rsidR="00BE3F0D" w:rsidRDefault="00BE3F0D">
      <w:pPr>
        <w:keepNext/>
        <w:widowControl w:val="0"/>
        <w:spacing w:line="480" w:lineRule="auto"/>
        <w:rPr>
          <w:i/>
          <w:iCs/>
          <w:sz w:val="24"/>
          <w:szCs w:val="24"/>
        </w:rPr>
      </w:pPr>
    </w:p>
    <w:p w14:paraId="5C3ACE82" w14:textId="77777777" w:rsidR="00BE3F0D" w:rsidRDefault="005F45E3">
      <w:pPr>
        <w:keepNext/>
        <w:widowControl w:val="0"/>
        <w:spacing w:line="480" w:lineRule="auto"/>
        <w:rPr>
          <w:sz w:val="24"/>
          <w:szCs w:val="24"/>
        </w:rPr>
      </w:pPr>
      <w:r>
        <w:rPr>
          <w:sz w:val="24"/>
          <w:szCs w:val="24"/>
        </w:rPr>
        <w:t xml:space="preserve">This shift towards the proficiencies reflect the prioritisation of problem solving, application and understanding. Southall (2017) and Barton (2022), both mathematics teachers in the United Kingdom, highlight the importance of teaching for understanding so that pupils can apply their knowledge to different contexts, Lyakhova </w:t>
      </w:r>
      <w:r>
        <w:rPr>
          <w:i/>
          <w:iCs/>
          <w:sz w:val="24"/>
          <w:szCs w:val="24"/>
        </w:rPr>
        <w:t xml:space="preserve">et al. </w:t>
      </w:r>
      <w:r>
        <w:rPr>
          <w:sz w:val="24"/>
          <w:szCs w:val="24"/>
        </w:rPr>
        <w:t xml:space="preserve">(2019), mathematics lecturers in universities, argue that non-experts in mathematics favour contextualising problems, where mathematicians prefer abstraction. </w:t>
      </w:r>
    </w:p>
    <w:p w14:paraId="5C3ACE83" w14:textId="77777777" w:rsidR="00BE3F0D" w:rsidRDefault="00BE3F0D">
      <w:pPr>
        <w:keepNext/>
        <w:widowControl w:val="0"/>
        <w:spacing w:line="480" w:lineRule="auto"/>
        <w:rPr>
          <w:sz w:val="24"/>
          <w:szCs w:val="24"/>
        </w:rPr>
      </w:pPr>
    </w:p>
    <w:p w14:paraId="5C3ACE84" w14:textId="77777777" w:rsidR="00BE3F0D" w:rsidRDefault="005F45E3">
      <w:pPr>
        <w:keepNext/>
        <w:widowControl w:val="0"/>
        <w:spacing w:line="480" w:lineRule="auto"/>
        <w:rPr>
          <w:sz w:val="24"/>
          <w:szCs w:val="24"/>
        </w:rPr>
      </w:pPr>
      <w:r>
        <w:rPr>
          <w:sz w:val="24"/>
          <w:szCs w:val="24"/>
        </w:rPr>
        <w:t xml:space="preserve">As a result of these changes, mathematics departments may respond to curriculum reform in different ways, highlighting the importance of discovering how the CfW has been enacted in practice and how they impact pupil’s experiences of learning </w:t>
      </w:r>
      <w:r>
        <w:rPr>
          <w:sz w:val="24"/>
          <w:szCs w:val="24"/>
        </w:rPr>
        <w:lastRenderedPageBreak/>
        <w:t>mathematics.</w:t>
      </w:r>
    </w:p>
    <w:p w14:paraId="5C3ACE85" w14:textId="77777777" w:rsidR="00BE3F0D" w:rsidRDefault="005F45E3">
      <w:pPr>
        <w:pStyle w:val="Heading2"/>
        <w:widowControl w:val="0"/>
        <w:spacing w:before="240" w:after="240" w:line="480" w:lineRule="auto"/>
        <w:rPr>
          <w:u w:val="single"/>
        </w:rPr>
      </w:pPr>
      <w:bookmarkStart w:id="6" w:name="_qlshr07n50q1" w:colFirst="0" w:colLast="0"/>
      <w:bookmarkStart w:id="7" w:name="_Toc228222328"/>
      <w:bookmarkEnd w:id="6"/>
      <w:r>
        <w:rPr>
          <w:u w:val="single"/>
        </w:rPr>
        <w:t>2.2 Pupil perspectives of secondary mathematics</w:t>
      </w:r>
      <w:bookmarkEnd w:id="7"/>
      <w:r>
        <w:rPr>
          <w:u w:val="single"/>
        </w:rPr>
        <w:t xml:space="preserve"> </w:t>
      </w:r>
    </w:p>
    <w:p w14:paraId="5C3ACE86" w14:textId="77777777" w:rsidR="00BE3F0D" w:rsidRDefault="005F45E3">
      <w:pPr>
        <w:keepNext/>
        <w:widowControl w:val="0"/>
        <w:spacing w:line="480" w:lineRule="auto"/>
        <w:rPr>
          <w:sz w:val="24"/>
          <w:szCs w:val="24"/>
        </w:rPr>
      </w:pPr>
      <w:r>
        <w:rPr>
          <w:sz w:val="24"/>
          <w:szCs w:val="24"/>
        </w:rPr>
        <w:t xml:space="preserve">Bucknall (2014) stated that pupils’ knowledge of their lived experience can be a crucial factor for bridging the divide between intention and enactment. Lee and Johnston-Wilder (2013) discussed how pupil voice could be a powerful tool to improve the teaching and learning of mathematics, when pupils are supported and empowered to evaluate and examine different learning methods. One drawback of their study, which yielded positive results from utilising pupil voice, was that it was set in one school described </w:t>
      </w:r>
      <w:r>
        <w:rPr>
          <w:sz w:val="24"/>
          <w:szCs w:val="24"/>
        </w:rPr>
        <w:t xml:space="preserve">by the authors as ‘high-attaining’, making it difficult to generalise (Lee and Johnston-Wilder, 2013). The literature highlights the value of examining the pupil experience in educational research, to evaluate the relationship between what teachers intend and what pupils experience. </w:t>
      </w:r>
    </w:p>
    <w:p w14:paraId="5C3ACE87" w14:textId="77777777" w:rsidR="00BE3F0D" w:rsidRDefault="00BE3F0D">
      <w:pPr>
        <w:keepNext/>
        <w:widowControl w:val="0"/>
        <w:spacing w:line="480" w:lineRule="auto"/>
        <w:rPr>
          <w:sz w:val="24"/>
          <w:szCs w:val="24"/>
        </w:rPr>
      </w:pPr>
    </w:p>
    <w:p w14:paraId="5C3ACE88" w14:textId="77777777" w:rsidR="00BE3F0D" w:rsidRDefault="005F45E3">
      <w:pPr>
        <w:keepNext/>
        <w:widowControl w:val="0"/>
        <w:spacing w:line="480" w:lineRule="auto"/>
        <w:rPr>
          <w:sz w:val="24"/>
          <w:szCs w:val="24"/>
        </w:rPr>
      </w:pPr>
      <w:r>
        <w:rPr>
          <w:sz w:val="24"/>
          <w:szCs w:val="24"/>
        </w:rPr>
        <w:t>Some recurring themes are evident within the body of literature surrounding how pupils learn and perceive mathematics. Sachdee and Eggan (2021) discussed how pupils’ beliefs about their mathematical ability affect their engagement, while Estyn (2025a) note that schools that develop a positive attitude towards mathematics foster increased engagement and positive outcomes. Developing understanding was also a key component in effective mathematics teaching (Estyn, 2025a) backed up by pupils in Lee and Johnston</w:t>
      </w:r>
      <w:r>
        <w:rPr>
          <w:sz w:val="24"/>
          <w:szCs w:val="24"/>
        </w:rPr>
        <w:t xml:space="preserve">-Wilder’s (2013) study who valued opportunities to understand the mathematics that they were learning. Finally, Green (2023) and Sandal and Sperle (2024) studied pupils’ perspectives on feedback in mathematics, where Green (2023) noted how pupils vary in their response to different kinds of feedback, needing a </w:t>
      </w:r>
      <w:r>
        <w:rPr>
          <w:sz w:val="24"/>
          <w:szCs w:val="24"/>
        </w:rPr>
        <w:lastRenderedPageBreak/>
        <w:t>combination of model, complete solutions and procedural feedback to satisfy the largest proportion of pupils. Sandal and Sperle (2024) found that pupils understand the need for feedback to improve, ho</w:t>
      </w:r>
      <w:r>
        <w:rPr>
          <w:sz w:val="24"/>
          <w:szCs w:val="24"/>
        </w:rPr>
        <w:t xml:space="preserve">wever, opportunities to use the feedback in further learning is required for consolidation. A limiting factor considered in Sandal and Sperle’s (2024) study was only considering the pupil perspective, deciding that adding the teacher view in further study would strengthen the result. </w:t>
      </w:r>
    </w:p>
    <w:p w14:paraId="5C3ACE89" w14:textId="77777777" w:rsidR="00BE3F0D" w:rsidRDefault="00BE3F0D">
      <w:pPr>
        <w:keepNext/>
        <w:widowControl w:val="0"/>
        <w:spacing w:line="480" w:lineRule="auto"/>
        <w:rPr>
          <w:sz w:val="24"/>
          <w:szCs w:val="24"/>
        </w:rPr>
      </w:pPr>
    </w:p>
    <w:p w14:paraId="5C3ACE8A" w14:textId="77777777" w:rsidR="00BE3F0D" w:rsidRDefault="005F45E3">
      <w:pPr>
        <w:keepNext/>
        <w:widowControl w:val="0"/>
        <w:spacing w:line="480" w:lineRule="auto"/>
        <w:rPr>
          <w:sz w:val="24"/>
          <w:szCs w:val="24"/>
        </w:rPr>
      </w:pPr>
      <w:r>
        <w:rPr>
          <w:sz w:val="24"/>
          <w:szCs w:val="24"/>
        </w:rPr>
        <w:t>Considering these studies, pupils perceived their mathematical experiences to be shaped by factors such as engagement (Sachdee and Egan, 2021; Estyn, 2025a), understanding (Estyn, 2025a) and feedback (Sandal and Sperle, 2024). However, these studies draw on a range of ages and locations, and while this gives us some insight into how pupils perceive mathematics, and how studies have incorporated the pupil voice, there is limited understanding of how curriculum change shape these experience. Estyn (2025a) beg</w:t>
      </w:r>
      <w:r>
        <w:rPr>
          <w:sz w:val="24"/>
          <w:szCs w:val="24"/>
        </w:rPr>
        <w:t xml:space="preserve">ins to address this within the CfW, but their report incorporate pupil, parent, teacher and leader perspectives, as opposed to an empirical account of pupil experience. </w:t>
      </w:r>
    </w:p>
    <w:p w14:paraId="5C3ACE8B" w14:textId="77777777" w:rsidR="00BE3F0D" w:rsidRDefault="005F45E3">
      <w:pPr>
        <w:pStyle w:val="Heading2"/>
        <w:widowControl w:val="0"/>
        <w:spacing w:before="240" w:after="240" w:line="480" w:lineRule="auto"/>
        <w:rPr>
          <w:highlight w:val="white"/>
        </w:rPr>
      </w:pPr>
      <w:bookmarkStart w:id="8" w:name="_uuepjg32txy9" w:colFirst="0" w:colLast="0"/>
      <w:bookmarkStart w:id="9" w:name="_Toc228222329"/>
      <w:bookmarkEnd w:id="8"/>
      <w:r>
        <w:rPr>
          <w:u w:val="single"/>
        </w:rPr>
        <w:t>2.3 Mathematics within international curriculum reform contexts</w:t>
      </w:r>
      <w:bookmarkEnd w:id="9"/>
    </w:p>
    <w:p w14:paraId="5C3ACE8C" w14:textId="77777777" w:rsidR="00BE3F0D" w:rsidRDefault="005F45E3">
      <w:pPr>
        <w:keepNext/>
        <w:widowControl w:val="0"/>
        <w:spacing w:line="480" w:lineRule="auto"/>
        <w:rPr>
          <w:sz w:val="24"/>
          <w:szCs w:val="24"/>
        </w:rPr>
      </w:pPr>
      <w:r>
        <w:rPr>
          <w:sz w:val="24"/>
          <w:szCs w:val="24"/>
        </w:rPr>
        <w:t xml:space="preserve">Sinnema </w:t>
      </w:r>
      <w:r>
        <w:rPr>
          <w:i/>
          <w:iCs/>
          <w:sz w:val="24"/>
          <w:szCs w:val="24"/>
        </w:rPr>
        <w:t xml:space="preserve">et al. </w:t>
      </w:r>
      <w:r>
        <w:rPr>
          <w:sz w:val="24"/>
          <w:szCs w:val="24"/>
        </w:rPr>
        <w:t xml:space="preserve">(2020), Wood and Hughson (2025) and the OECD (2020) have compared the reform embodied by the CfW to changes seen in countries such as Australia, Scotland and New Zealand. In this section, I examined what evidence has been gathered from these countries regarding mathematics following their curricular reform. It is beyond the scope of this literature review to compare the CfW to its international equivalents in detail, but I read articles which discussed mathematics in </w:t>
      </w:r>
      <w:r>
        <w:rPr>
          <w:sz w:val="24"/>
          <w:szCs w:val="24"/>
        </w:rPr>
        <w:lastRenderedPageBreak/>
        <w:t xml:space="preserve">these countries following reform </w:t>
      </w:r>
      <w:r>
        <w:rPr>
          <w:sz w:val="24"/>
          <w:szCs w:val="24"/>
        </w:rPr>
        <w:t xml:space="preserve">to start identifying trends. </w:t>
      </w:r>
    </w:p>
    <w:p w14:paraId="5C3ACE8D" w14:textId="77777777" w:rsidR="00BE3F0D" w:rsidRDefault="00BE3F0D">
      <w:pPr>
        <w:keepNext/>
        <w:widowControl w:val="0"/>
        <w:spacing w:line="480" w:lineRule="auto"/>
        <w:rPr>
          <w:sz w:val="24"/>
          <w:szCs w:val="24"/>
        </w:rPr>
      </w:pPr>
    </w:p>
    <w:p w14:paraId="5C3ACE8E" w14:textId="77777777" w:rsidR="00BE3F0D" w:rsidRDefault="005F45E3">
      <w:pPr>
        <w:keepNext/>
        <w:widowControl w:val="0"/>
        <w:spacing w:line="480" w:lineRule="auto"/>
        <w:rPr>
          <w:sz w:val="24"/>
          <w:szCs w:val="24"/>
        </w:rPr>
      </w:pPr>
      <w:r>
        <w:rPr>
          <w:sz w:val="24"/>
          <w:szCs w:val="24"/>
        </w:rPr>
        <w:t>In Scotland, the Curriculum for Excellence (CfE) was described as being flexible and allowing greater autonomy to teachers, but also to pupils (Priestly and Minty, 2013), suggesting that the curriculum is more pupil-led than the CfW’s description of being pupil-centred (Welsh Government, 2020a). McDonald and Smith (2020) examined the importance of problem posing in mathematics, noting a disconnect between curriculum intention and enactment in practice. Foster (2023) also looked at problem posing and solving</w:t>
      </w:r>
      <w:r>
        <w:rPr>
          <w:sz w:val="24"/>
          <w:szCs w:val="24"/>
        </w:rPr>
        <w:t xml:space="preserve"> in the Scottish context, describing problem solving as an essential feature of modern, global curricula, but highlighting a variation of pupil experience in engaging with meaningful contexts. </w:t>
      </w:r>
    </w:p>
    <w:p w14:paraId="5C3ACE8F" w14:textId="77777777" w:rsidR="00BE3F0D" w:rsidRDefault="00BE3F0D">
      <w:pPr>
        <w:keepNext/>
        <w:widowControl w:val="0"/>
        <w:spacing w:line="480" w:lineRule="auto"/>
        <w:rPr>
          <w:sz w:val="24"/>
          <w:szCs w:val="24"/>
        </w:rPr>
      </w:pPr>
    </w:p>
    <w:p w14:paraId="5C3ACE90" w14:textId="77777777" w:rsidR="00BE3F0D" w:rsidRDefault="005F45E3">
      <w:pPr>
        <w:keepNext/>
        <w:widowControl w:val="0"/>
        <w:spacing w:line="480" w:lineRule="auto"/>
        <w:rPr>
          <w:sz w:val="24"/>
          <w:szCs w:val="24"/>
        </w:rPr>
      </w:pPr>
      <w:r>
        <w:rPr>
          <w:sz w:val="24"/>
          <w:szCs w:val="24"/>
        </w:rPr>
        <w:t xml:space="preserve">Attitudes towards, and experiences of learning mathematics of specific pupil groups have been researched in Australia (Russo </w:t>
      </w:r>
      <w:r>
        <w:rPr>
          <w:i/>
          <w:iCs/>
          <w:sz w:val="24"/>
          <w:szCs w:val="24"/>
        </w:rPr>
        <w:t>et al.</w:t>
      </w:r>
      <w:r>
        <w:rPr>
          <w:sz w:val="24"/>
          <w:szCs w:val="24"/>
        </w:rPr>
        <w:t xml:space="preserve">, 2023) and New Zealand (Hunter and Hill, 2025). Russo </w:t>
      </w:r>
      <w:r>
        <w:rPr>
          <w:i/>
          <w:iCs/>
          <w:sz w:val="24"/>
          <w:szCs w:val="24"/>
        </w:rPr>
        <w:t xml:space="preserve">et al. </w:t>
      </w:r>
      <w:r>
        <w:rPr>
          <w:sz w:val="24"/>
          <w:szCs w:val="24"/>
        </w:rPr>
        <w:t>(2023) characterised attitudes towards mathematics as multidimensional, where engagement and participation is influenced by beliefs, enjoyment and competence. Similarly, Hunter and Hill (2025) noticed that enjoyment was a key indicator of engagement, finding that when there was less enjoyment, attitudes became more negative, regardless of the study participants’ perceived competence. The New Zealand study also indicated that students who fe</w:t>
      </w:r>
      <w:r>
        <w:rPr>
          <w:sz w:val="24"/>
          <w:szCs w:val="24"/>
        </w:rPr>
        <w:t xml:space="preserve">lt they understood mathematics and were able to apply their knowledge to problem solving contextes were more likely to value mathematics (Hunter and Hill, 2025). These studies imply that the way that mathematics is framed within the curriculum, and how pupils </w:t>
      </w:r>
      <w:r>
        <w:rPr>
          <w:sz w:val="24"/>
          <w:szCs w:val="24"/>
        </w:rPr>
        <w:lastRenderedPageBreak/>
        <w:t>experience the curriculum can affect their attitudes towards mathematics, impacting their engagement and outcomes. This reinforces how studying the effect of curriculum reform on pupils’ perceptions of mathematics can ensure that we work towards a curr</w:t>
      </w:r>
      <w:r>
        <w:rPr>
          <w:sz w:val="24"/>
          <w:szCs w:val="24"/>
        </w:rPr>
        <w:t xml:space="preserve">iculum that is meaningful and engaging. </w:t>
      </w:r>
    </w:p>
    <w:p w14:paraId="5C3ACE91" w14:textId="77777777" w:rsidR="00BE3F0D" w:rsidRDefault="00BE3F0D">
      <w:pPr>
        <w:keepNext/>
        <w:widowControl w:val="0"/>
        <w:spacing w:line="480" w:lineRule="auto"/>
        <w:rPr>
          <w:sz w:val="24"/>
          <w:szCs w:val="24"/>
        </w:rPr>
      </w:pPr>
    </w:p>
    <w:p w14:paraId="5C3ACE92" w14:textId="77777777" w:rsidR="00BE3F0D" w:rsidRDefault="005F45E3">
      <w:pPr>
        <w:pStyle w:val="Heading2"/>
        <w:widowControl w:val="0"/>
        <w:spacing w:before="240" w:after="240" w:line="480" w:lineRule="auto"/>
        <w:rPr>
          <w:u w:val="single"/>
        </w:rPr>
      </w:pPr>
      <w:bookmarkStart w:id="10" w:name="_2te3poe5pj3k" w:colFirst="0" w:colLast="0"/>
      <w:bookmarkStart w:id="11" w:name="_Toc228222330"/>
      <w:bookmarkEnd w:id="10"/>
      <w:r>
        <w:rPr>
          <w:u w:val="single"/>
        </w:rPr>
        <w:t>2.4 Gaps in the literature</w:t>
      </w:r>
      <w:bookmarkEnd w:id="11"/>
    </w:p>
    <w:p w14:paraId="5C3ACE93" w14:textId="77777777" w:rsidR="00BE3F0D" w:rsidRDefault="005F45E3">
      <w:pPr>
        <w:keepNext/>
        <w:widowControl w:val="0"/>
        <w:spacing w:line="480" w:lineRule="auto"/>
        <w:rPr>
          <w:sz w:val="24"/>
          <w:szCs w:val="24"/>
        </w:rPr>
      </w:pPr>
      <w:r>
        <w:rPr>
          <w:sz w:val="24"/>
          <w:szCs w:val="24"/>
        </w:rPr>
        <w:t xml:space="preserve">The literature reviewed showed the complex nature of curriculum reform where conflicting priorities can lead to unease and friction (Evans, 2023; Sinnema </w:t>
      </w:r>
      <w:r>
        <w:rPr>
          <w:i/>
          <w:iCs/>
          <w:sz w:val="24"/>
          <w:szCs w:val="24"/>
        </w:rPr>
        <w:t xml:space="preserve">et al. </w:t>
      </w:r>
      <w:r>
        <w:rPr>
          <w:sz w:val="24"/>
          <w:szCs w:val="24"/>
        </w:rPr>
        <w:t xml:space="preserve">2020) which can be particularly evident in mathematics (Estyn, 2025b). Pupil perception and lived experience can offer a valuable perspective to education research (Bucknall, 2014; Lee and Johnston-Wilder, 2013) which is not particularly prevalent in research into CfW so far. </w:t>
      </w:r>
    </w:p>
    <w:p w14:paraId="5C3ACE94" w14:textId="77777777" w:rsidR="00BE3F0D" w:rsidRDefault="005F45E3">
      <w:pPr>
        <w:keepNext/>
        <w:widowControl w:val="0"/>
        <w:spacing w:line="480" w:lineRule="auto"/>
        <w:rPr>
          <w:sz w:val="24"/>
          <w:szCs w:val="24"/>
        </w:rPr>
      </w:pPr>
      <w:r>
        <w:rPr>
          <w:sz w:val="24"/>
          <w:szCs w:val="24"/>
        </w:rPr>
        <w:t xml:space="preserve">Much of the research into the CfW has focussed on policy (Evans, 2023; Lyakhova </w:t>
      </w:r>
      <w:r>
        <w:rPr>
          <w:i/>
          <w:iCs/>
          <w:sz w:val="24"/>
          <w:szCs w:val="24"/>
        </w:rPr>
        <w:t xml:space="preserve">et al. </w:t>
      </w:r>
      <w:r>
        <w:rPr>
          <w:sz w:val="24"/>
          <w:szCs w:val="24"/>
        </w:rPr>
        <w:t xml:space="preserve">2019), teacher perceptions (Aldous </w:t>
      </w:r>
      <w:r>
        <w:rPr>
          <w:i/>
          <w:iCs/>
          <w:sz w:val="24"/>
          <w:szCs w:val="24"/>
        </w:rPr>
        <w:t>et al.,</w:t>
      </w:r>
      <w:r>
        <w:rPr>
          <w:sz w:val="24"/>
          <w:szCs w:val="24"/>
        </w:rPr>
        <w:t xml:space="preserve"> 2022) and early implementation through a system-wide lens (Estyn, 2025a; Thomas </w:t>
      </w:r>
      <w:r>
        <w:rPr>
          <w:i/>
          <w:iCs/>
          <w:sz w:val="24"/>
          <w:szCs w:val="24"/>
        </w:rPr>
        <w:t xml:space="preserve">et al., </w:t>
      </w:r>
      <w:r>
        <w:rPr>
          <w:sz w:val="24"/>
          <w:szCs w:val="24"/>
        </w:rPr>
        <w:t>2023), where although pupil perspectives are considered, it is alongside teachers and school leaders and lacks detail on pupil experience.</w:t>
      </w:r>
    </w:p>
    <w:p w14:paraId="5C3ACE95" w14:textId="77777777" w:rsidR="00BE3F0D" w:rsidRDefault="005F45E3">
      <w:pPr>
        <w:keepNext/>
        <w:widowControl w:val="0"/>
        <w:spacing w:line="480" w:lineRule="auto"/>
        <w:rPr>
          <w:sz w:val="24"/>
          <w:szCs w:val="24"/>
        </w:rPr>
      </w:pPr>
      <w:r>
        <w:rPr>
          <w:sz w:val="24"/>
          <w:szCs w:val="24"/>
        </w:rPr>
        <w:t xml:space="preserve">There is some international viewpoints on pupil experience of mathematics following curriculum reform (Hunter and Hill, 2025; Russo </w:t>
      </w:r>
      <w:r>
        <w:rPr>
          <w:i/>
          <w:iCs/>
          <w:sz w:val="24"/>
          <w:szCs w:val="24"/>
        </w:rPr>
        <w:t xml:space="preserve">et al., </w:t>
      </w:r>
      <w:r>
        <w:rPr>
          <w:sz w:val="24"/>
          <w:szCs w:val="24"/>
        </w:rPr>
        <w:t xml:space="preserve">2023) showing the value of delving into pupil perspectives, highlighting the gap in the Welsh context. Addressing this gap will be an important step in evaluating whether the CfW is being realised in </w:t>
      </w:r>
      <w:r>
        <w:rPr>
          <w:sz w:val="24"/>
          <w:szCs w:val="24"/>
        </w:rPr>
        <w:lastRenderedPageBreak/>
        <w:t>ways that reflect its intended goals.</w:t>
      </w:r>
    </w:p>
    <w:p w14:paraId="5C3ACE96" w14:textId="77777777" w:rsidR="00BE3F0D" w:rsidRDefault="005F45E3">
      <w:pPr>
        <w:pStyle w:val="Heading1"/>
        <w:widowControl w:val="0"/>
        <w:spacing w:after="80" w:line="480" w:lineRule="auto"/>
        <w:rPr>
          <w:sz w:val="24"/>
          <w:szCs w:val="24"/>
        </w:rPr>
      </w:pPr>
      <w:bookmarkStart w:id="12" w:name="_70xroq5vb4bp" w:colFirst="0" w:colLast="0"/>
      <w:bookmarkStart w:id="13" w:name="_Toc228222331"/>
      <w:bookmarkEnd w:id="12"/>
      <w:r>
        <w:rPr>
          <w:sz w:val="24"/>
          <w:szCs w:val="24"/>
          <w:u w:val="single"/>
        </w:rPr>
        <w:t>3. My Research</w:t>
      </w:r>
      <w:bookmarkEnd w:id="13"/>
      <w:r>
        <w:rPr>
          <w:sz w:val="24"/>
          <w:szCs w:val="24"/>
          <w:u w:val="single"/>
        </w:rPr>
        <w:t xml:space="preserve"> </w:t>
      </w:r>
    </w:p>
    <w:p w14:paraId="5C3ACE97" w14:textId="77777777" w:rsidR="00BE3F0D" w:rsidRDefault="005F45E3">
      <w:pPr>
        <w:pStyle w:val="Heading2"/>
        <w:widowControl w:val="0"/>
        <w:spacing w:line="480" w:lineRule="auto"/>
        <w:rPr>
          <w:u w:val="single"/>
        </w:rPr>
      </w:pPr>
      <w:bookmarkStart w:id="14" w:name="_5nhj64uwdsmu" w:colFirst="0" w:colLast="0"/>
      <w:bookmarkStart w:id="15" w:name="_Toc228222332"/>
      <w:bookmarkEnd w:id="14"/>
      <w:r>
        <w:rPr>
          <w:u w:val="single"/>
        </w:rPr>
        <w:t>3.1 Rationale for the study</w:t>
      </w:r>
      <w:bookmarkEnd w:id="15"/>
    </w:p>
    <w:p w14:paraId="5C3ACE98" w14:textId="77777777" w:rsidR="00BE3F0D" w:rsidRDefault="005F45E3">
      <w:pPr>
        <w:keepNext/>
        <w:widowControl w:val="0"/>
        <w:spacing w:line="480" w:lineRule="auto"/>
        <w:rPr>
          <w:sz w:val="24"/>
          <w:szCs w:val="24"/>
        </w:rPr>
      </w:pPr>
      <w:r>
        <w:rPr>
          <w:sz w:val="24"/>
          <w:szCs w:val="24"/>
        </w:rPr>
        <w:t xml:space="preserve">This section outlines the rationale for this study, exploring my interest in this topic, reiterating the issues that literature featured, and the gaps that I have identified. Next, describing why I believe that it is important to address the gap and setting out the intended purpose and contribution of my research. </w:t>
      </w:r>
    </w:p>
    <w:p w14:paraId="5C3ACE99" w14:textId="77777777" w:rsidR="00BE3F0D" w:rsidRDefault="00BE3F0D">
      <w:pPr>
        <w:keepNext/>
        <w:widowControl w:val="0"/>
        <w:spacing w:line="480" w:lineRule="auto"/>
        <w:rPr>
          <w:sz w:val="24"/>
          <w:szCs w:val="24"/>
        </w:rPr>
      </w:pPr>
    </w:p>
    <w:p w14:paraId="5C3ACE9A" w14:textId="77777777" w:rsidR="00BE3F0D" w:rsidRDefault="005F45E3">
      <w:pPr>
        <w:keepNext/>
        <w:widowControl w:val="0"/>
        <w:spacing w:line="480" w:lineRule="auto"/>
        <w:rPr>
          <w:sz w:val="24"/>
          <w:szCs w:val="24"/>
        </w:rPr>
      </w:pPr>
      <w:r>
        <w:rPr>
          <w:sz w:val="24"/>
          <w:szCs w:val="24"/>
        </w:rPr>
        <w:t>I am a secondary mathematics teacher in North Wales, with previous leadership experience in developing departmental and whole-school curricula. This experience gave me insight into the challenges and opportunities associated with the level of reform that the CfW embodies, including leading curriculum changes within my department and collaborating with colleagues to develop whole school practice. My professional experience gives me a perspective on how curriculum reform is interpreted and implemented in seco</w:t>
      </w:r>
      <w:r>
        <w:rPr>
          <w:sz w:val="24"/>
          <w:szCs w:val="24"/>
        </w:rPr>
        <w:t xml:space="preserve">ndary mathematics departments, informing the direction of this study. I am particularly interested in the consequences of departmental choices on pupil learning and experience.  </w:t>
      </w:r>
    </w:p>
    <w:p w14:paraId="5C3ACE9B" w14:textId="77777777" w:rsidR="00BE3F0D" w:rsidRDefault="00BE3F0D">
      <w:pPr>
        <w:keepNext/>
        <w:widowControl w:val="0"/>
        <w:spacing w:line="480" w:lineRule="auto"/>
        <w:rPr>
          <w:sz w:val="24"/>
          <w:szCs w:val="24"/>
        </w:rPr>
      </w:pPr>
    </w:p>
    <w:p w14:paraId="5C3ACE9C" w14:textId="77777777" w:rsidR="00BE3F0D" w:rsidRDefault="005F45E3">
      <w:pPr>
        <w:keepNext/>
        <w:widowControl w:val="0"/>
        <w:spacing w:line="480" w:lineRule="auto"/>
        <w:rPr>
          <w:sz w:val="24"/>
          <w:szCs w:val="24"/>
        </w:rPr>
      </w:pPr>
      <w:r>
        <w:rPr>
          <w:sz w:val="24"/>
          <w:szCs w:val="24"/>
        </w:rPr>
        <w:t xml:space="preserve">The literature highlights the complexities of curricular reform and the struggles of addressing the intricacies of curriculum intention, implementation in schools, departments and classrooms, and pupil experience (Sinnema </w:t>
      </w:r>
      <w:r>
        <w:rPr>
          <w:i/>
          <w:iCs/>
          <w:sz w:val="24"/>
          <w:szCs w:val="24"/>
        </w:rPr>
        <w:t xml:space="preserve">et al., </w:t>
      </w:r>
      <w:r>
        <w:rPr>
          <w:sz w:val="24"/>
          <w:szCs w:val="24"/>
        </w:rPr>
        <w:t xml:space="preserve">2020). It also suggests how pupil voice and perspectives can enrich the discourse around curriculum reform (Sandal and Sperle, 2024; Hunter and Hill, 2025). Although literature examining </w:t>
      </w:r>
      <w:r>
        <w:rPr>
          <w:sz w:val="24"/>
          <w:szCs w:val="24"/>
        </w:rPr>
        <w:lastRenderedPageBreak/>
        <w:t>pupil perspectives of mathematics following international curricular reform exists, it is limited and there remains gaps in research where the pupil experience, mathematics and the Welsh context are considered together. Furthermore, Sandal and Sperle (2024) referenced how their study could have been enhanced by cons</w:t>
      </w:r>
      <w:r>
        <w:rPr>
          <w:sz w:val="24"/>
          <w:szCs w:val="24"/>
        </w:rPr>
        <w:t xml:space="preserve">idering the teacher and pupil experience in tandem to better understand intention and enactment. </w:t>
      </w:r>
    </w:p>
    <w:p w14:paraId="5C3ACE9D" w14:textId="77777777" w:rsidR="00BE3F0D" w:rsidRDefault="00BE3F0D">
      <w:pPr>
        <w:keepNext/>
        <w:widowControl w:val="0"/>
        <w:spacing w:line="480" w:lineRule="auto"/>
        <w:rPr>
          <w:sz w:val="24"/>
          <w:szCs w:val="24"/>
        </w:rPr>
      </w:pPr>
    </w:p>
    <w:p w14:paraId="5C3ACE9E" w14:textId="77777777" w:rsidR="00BE3F0D" w:rsidRDefault="005F45E3">
      <w:pPr>
        <w:keepNext/>
        <w:widowControl w:val="0"/>
        <w:spacing w:line="480" w:lineRule="auto"/>
        <w:rPr>
          <w:sz w:val="24"/>
          <w:szCs w:val="24"/>
        </w:rPr>
      </w:pPr>
      <w:r>
        <w:rPr>
          <w:sz w:val="24"/>
          <w:szCs w:val="24"/>
        </w:rPr>
        <w:t>The CfW placed an emphasis on the centrality of the pupil (Welsh Government, 2020a) yet there is limited research on how pupils are experiencing the CfW in practice, particularly in mathematics. From my reading, I have not been able to identify studies that investigate the relationship between departmental decisions and the impact on pupils. Addressing uneven progress in mathematics and numeracy is a priority for the Welsh Government (2023) and Estyn (2025b), as key stakeholders and drivers of Welsh educati</w:t>
      </w:r>
      <w:r>
        <w:rPr>
          <w:sz w:val="24"/>
          <w:szCs w:val="24"/>
        </w:rPr>
        <w:t xml:space="preserve">on so conducting research which investigates how mathematics departments have responded to the CfW and how pupils experience it could be a step forward in understanding current provision and directing further studies and interventions. </w:t>
      </w:r>
    </w:p>
    <w:p w14:paraId="5C3ACE9F" w14:textId="77777777" w:rsidR="00BE3F0D" w:rsidRDefault="00BE3F0D">
      <w:pPr>
        <w:keepNext/>
        <w:widowControl w:val="0"/>
        <w:spacing w:line="480" w:lineRule="auto"/>
        <w:rPr>
          <w:sz w:val="24"/>
          <w:szCs w:val="24"/>
        </w:rPr>
      </w:pPr>
    </w:p>
    <w:p w14:paraId="5C3ACEA0" w14:textId="77777777" w:rsidR="00BE3F0D" w:rsidRDefault="005F45E3">
      <w:pPr>
        <w:keepNext/>
        <w:widowControl w:val="0"/>
        <w:spacing w:line="480" w:lineRule="auto"/>
        <w:rPr>
          <w:sz w:val="24"/>
          <w:szCs w:val="24"/>
        </w:rPr>
      </w:pPr>
      <w:r>
        <w:rPr>
          <w:sz w:val="24"/>
          <w:szCs w:val="24"/>
        </w:rPr>
        <w:t xml:space="preserve">This study seeks to investigate how Year 9 pupils, aged 13 and 14, in secondary schools in North Wales experience mathematics following the introduction of the CfW. Starting by taking the context of the mathematics departments responses to the CfW into account will provide an insight into how policy has been enacted in different schools to examine variation (Durden-Myers </w:t>
      </w:r>
      <w:r>
        <w:rPr>
          <w:i/>
          <w:iCs/>
          <w:sz w:val="24"/>
          <w:szCs w:val="24"/>
        </w:rPr>
        <w:t xml:space="preserve">et al., </w:t>
      </w:r>
      <w:r>
        <w:rPr>
          <w:sz w:val="24"/>
          <w:szCs w:val="24"/>
        </w:rPr>
        <w:t xml:space="preserve">2025), and how teachers have interpret and navigated the CfW guidance (Aldous </w:t>
      </w:r>
      <w:r>
        <w:rPr>
          <w:i/>
          <w:iCs/>
          <w:sz w:val="24"/>
          <w:szCs w:val="24"/>
        </w:rPr>
        <w:t xml:space="preserve">et al., </w:t>
      </w:r>
      <w:r>
        <w:rPr>
          <w:sz w:val="24"/>
          <w:szCs w:val="24"/>
        </w:rPr>
        <w:t xml:space="preserve">2022). Moving onto the pupil experience will allow the study to explore how pupils percieve mathematics and investigate the </w:t>
      </w:r>
      <w:r>
        <w:rPr>
          <w:sz w:val="24"/>
          <w:szCs w:val="24"/>
        </w:rPr>
        <w:lastRenderedPageBreak/>
        <w:t>relationships between curriculum intention and enactment. The research should put a heavy emphasis on the pupil experience in line with the CfW’s pupil-centred nature (Welsh Government, 2020a) contributing to the body of evidence on the impact of curriculum reform on pupils in Wales. The inclu</w:t>
      </w:r>
      <w:r>
        <w:rPr>
          <w:sz w:val="24"/>
          <w:szCs w:val="24"/>
        </w:rPr>
        <w:t xml:space="preserve">sion of teachers and pupils in the study provides opportunities to develop a multi-layered understanding and addresses a shortcoming highlighted in Sandal and Sperle’s (2024) research. This research aims to address a gap in pupil-centred, subject-specific literature on the CfW, supporting a more nuanced understanding of the different perspectives informing curriculum reform in practice. </w:t>
      </w:r>
    </w:p>
    <w:p w14:paraId="5C3ACEA1" w14:textId="77777777" w:rsidR="00BE3F0D" w:rsidRDefault="00BE3F0D">
      <w:pPr>
        <w:keepNext/>
        <w:widowControl w:val="0"/>
        <w:spacing w:line="480" w:lineRule="auto"/>
        <w:rPr>
          <w:sz w:val="24"/>
          <w:szCs w:val="24"/>
        </w:rPr>
      </w:pPr>
    </w:p>
    <w:p w14:paraId="5C3ACEA2" w14:textId="77777777" w:rsidR="00BE3F0D" w:rsidRDefault="005F45E3">
      <w:pPr>
        <w:pStyle w:val="Heading2"/>
        <w:widowControl w:val="0"/>
        <w:spacing w:before="240" w:after="240" w:line="480" w:lineRule="auto"/>
        <w:rPr>
          <w:u w:val="single"/>
        </w:rPr>
      </w:pPr>
      <w:bookmarkStart w:id="16" w:name="_klde7km2qncy" w:colFirst="0" w:colLast="0"/>
      <w:bookmarkStart w:id="17" w:name="_Toc228222333"/>
      <w:bookmarkEnd w:id="16"/>
      <w:r>
        <w:rPr>
          <w:u w:val="single"/>
        </w:rPr>
        <w:t>3.2 Research Questions</w:t>
      </w:r>
      <w:bookmarkEnd w:id="17"/>
    </w:p>
    <w:p w14:paraId="5C3ACEA3" w14:textId="77777777" w:rsidR="00BE3F0D" w:rsidRDefault="005F45E3">
      <w:pPr>
        <w:keepNext/>
        <w:widowControl w:val="0"/>
        <w:spacing w:line="480" w:lineRule="auto"/>
        <w:rPr>
          <w:sz w:val="24"/>
          <w:szCs w:val="24"/>
        </w:rPr>
      </w:pPr>
      <w:r>
        <w:rPr>
          <w:sz w:val="24"/>
          <w:szCs w:val="24"/>
        </w:rPr>
        <w:t xml:space="preserve">Research questions should provide direction and coherence to the study (Punch and Oancea, 2014) and should shape and be answered by the study (Clough and Nutbrown, 2012). Previous sections have discussed my personal experience and interest, and worked through literature relevant to my study (Flick, 2023) and my research perspectives and methodology will be addressed in Assessment Component 2 and these guide, shape and modify my research questions as my thinking develops. </w:t>
      </w:r>
    </w:p>
    <w:p w14:paraId="5C3ACEA4" w14:textId="77777777" w:rsidR="00BE3F0D" w:rsidRDefault="00BE3F0D">
      <w:pPr>
        <w:keepNext/>
        <w:widowControl w:val="0"/>
        <w:spacing w:line="480" w:lineRule="auto"/>
        <w:rPr>
          <w:sz w:val="24"/>
          <w:szCs w:val="24"/>
        </w:rPr>
      </w:pPr>
    </w:p>
    <w:p w14:paraId="5C3ACEA5" w14:textId="77777777" w:rsidR="00BE3F0D" w:rsidRDefault="005F45E3">
      <w:pPr>
        <w:keepNext/>
        <w:widowControl w:val="0"/>
        <w:spacing w:line="480" w:lineRule="auto"/>
        <w:rPr>
          <w:sz w:val="24"/>
          <w:szCs w:val="24"/>
        </w:rPr>
      </w:pPr>
      <w:r>
        <w:rPr>
          <w:sz w:val="24"/>
          <w:szCs w:val="24"/>
        </w:rPr>
        <w:t xml:space="preserve">My research questions are as follows: </w:t>
      </w:r>
    </w:p>
    <w:p w14:paraId="5C3ACEA6" w14:textId="77777777" w:rsidR="00BE3F0D" w:rsidRDefault="005F45E3">
      <w:pPr>
        <w:keepNext/>
        <w:widowControl w:val="0"/>
        <w:spacing w:line="480" w:lineRule="auto"/>
        <w:rPr>
          <w:sz w:val="24"/>
          <w:szCs w:val="24"/>
        </w:rPr>
      </w:pPr>
      <w:r>
        <w:rPr>
          <w:sz w:val="24"/>
          <w:szCs w:val="24"/>
        </w:rPr>
        <w:t>Research Question 1 (RQ1): How do Year 9 pupils in secondary schools in North Wales perceive their experiences of learning mathematics following the introduction of the Curriculum for Wales?</w:t>
      </w:r>
    </w:p>
    <w:p w14:paraId="5C3ACEA7" w14:textId="77777777" w:rsidR="00BE3F0D" w:rsidRDefault="005F45E3">
      <w:pPr>
        <w:keepNext/>
        <w:widowControl w:val="0"/>
        <w:spacing w:line="480" w:lineRule="auto"/>
        <w:rPr>
          <w:sz w:val="24"/>
          <w:szCs w:val="24"/>
        </w:rPr>
      </w:pPr>
      <w:r>
        <w:rPr>
          <w:sz w:val="24"/>
          <w:szCs w:val="24"/>
        </w:rPr>
        <w:t xml:space="preserve">Research Question 2 (RQ2): How have secondary mathematics departments </w:t>
      </w:r>
      <w:r>
        <w:rPr>
          <w:sz w:val="24"/>
          <w:szCs w:val="24"/>
        </w:rPr>
        <w:lastRenderedPageBreak/>
        <w:t>responded to the requirements of the Curriculum for Wales?</w:t>
      </w:r>
    </w:p>
    <w:p w14:paraId="5C3ACEA8" w14:textId="77777777" w:rsidR="00BE3F0D" w:rsidRDefault="00BE3F0D">
      <w:pPr>
        <w:keepNext/>
        <w:widowControl w:val="0"/>
        <w:spacing w:line="480" w:lineRule="auto"/>
        <w:rPr>
          <w:sz w:val="24"/>
          <w:szCs w:val="24"/>
        </w:rPr>
      </w:pPr>
    </w:p>
    <w:p w14:paraId="5C3ACEA9" w14:textId="77777777" w:rsidR="00BE3F0D" w:rsidRDefault="005F45E3">
      <w:pPr>
        <w:keepNext/>
        <w:widowControl w:val="0"/>
        <w:spacing w:line="480" w:lineRule="auto"/>
        <w:rPr>
          <w:sz w:val="24"/>
          <w:szCs w:val="24"/>
        </w:rPr>
      </w:pPr>
      <w:r>
        <w:rPr>
          <w:sz w:val="24"/>
          <w:szCs w:val="24"/>
        </w:rPr>
        <w:t>RQ1 focusses on the pupil experience of mathematics learning, and although the pupils themselves may not be particularly aware of the CfW, Year Nine pupils will have experienced the CfW throughout their time in secondary education, and for a significant portion of their primary education. RQ2 provides the contextual background to be able to compare and contrast pupils’ experiences with the changes made, or not made, by their mathematics departments. Posing both questions enables the study to explore teh rel</w:t>
      </w:r>
      <w:r>
        <w:rPr>
          <w:sz w:val="24"/>
          <w:szCs w:val="24"/>
        </w:rPr>
        <w:t xml:space="preserve">ationship between how pupil perceive mathematics and how mathematics departments have interpreted the CfW. </w:t>
      </w:r>
    </w:p>
    <w:p w14:paraId="5C3ACEAA" w14:textId="77777777" w:rsidR="00BE3F0D" w:rsidRDefault="00BE3F0D"/>
    <w:p w14:paraId="5C3ACEAB" w14:textId="77777777" w:rsidR="00BE3F0D" w:rsidRDefault="005F45E3">
      <w:pPr>
        <w:pStyle w:val="Heading2"/>
        <w:widowControl w:val="0"/>
        <w:spacing w:before="240" w:after="240" w:line="480" w:lineRule="auto"/>
        <w:rPr>
          <w:u w:val="single"/>
        </w:rPr>
      </w:pPr>
      <w:bookmarkStart w:id="18" w:name="_juvz10utguj9" w:colFirst="0" w:colLast="0"/>
      <w:bookmarkStart w:id="19" w:name="_Toc228222334"/>
      <w:bookmarkEnd w:id="18"/>
      <w:r>
        <w:rPr>
          <w:u w:val="single"/>
        </w:rPr>
        <w:t>3.3 Research Aims and Objectives</w:t>
      </w:r>
      <w:bookmarkEnd w:id="19"/>
    </w:p>
    <w:p w14:paraId="5C3ACEAC" w14:textId="77777777" w:rsidR="00BE3F0D" w:rsidRDefault="005F45E3">
      <w:pPr>
        <w:keepNext/>
        <w:widowControl w:val="0"/>
        <w:spacing w:line="480" w:lineRule="auto"/>
        <w:rPr>
          <w:sz w:val="24"/>
          <w:szCs w:val="24"/>
        </w:rPr>
      </w:pPr>
      <w:r>
        <w:rPr>
          <w:sz w:val="24"/>
          <w:szCs w:val="24"/>
        </w:rPr>
        <w:t xml:space="preserve">To address the research questions above, research aims and objectives need to be outlined to guide the study. Thomas and Hodges (2010) define research aims as the broad purpose of the research project and research objectives as specific statements which focus on key issues of the research project. </w:t>
      </w:r>
    </w:p>
    <w:p w14:paraId="5C3ACEAD" w14:textId="77777777" w:rsidR="00BE3F0D" w:rsidRDefault="005F45E3">
      <w:pPr>
        <w:keepNext/>
        <w:widowControl w:val="0"/>
        <w:spacing w:line="480" w:lineRule="auto"/>
        <w:rPr>
          <w:sz w:val="24"/>
          <w:szCs w:val="24"/>
        </w:rPr>
      </w:pPr>
      <w:r>
        <w:rPr>
          <w:sz w:val="24"/>
          <w:szCs w:val="24"/>
        </w:rPr>
        <w:t xml:space="preserve">To define the aim fully, the study population and the subject area must be clearly defined, for which Kumar (2019) utilises the four Ps: people, problem, programme, phenomenon. My study population will be Year Nine pupils and mathematics teachers in North Wales, the identified problem is the limited understanding of how pupils experience curriculum reform in mathematics, the programme which affects my study is the CfW and the phenomenon that is being explored is pupils’ experience of </w:t>
      </w:r>
      <w:r>
        <w:rPr>
          <w:sz w:val="24"/>
          <w:szCs w:val="24"/>
        </w:rPr>
        <w:lastRenderedPageBreak/>
        <w:t xml:space="preserve">mathematics learning in the context of departmental and curricular change. </w:t>
      </w:r>
    </w:p>
    <w:p w14:paraId="5C3ACEAE" w14:textId="77777777" w:rsidR="00BE3F0D" w:rsidRDefault="005F45E3">
      <w:pPr>
        <w:keepNext/>
        <w:widowControl w:val="0"/>
        <w:spacing w:line="480" w:lineRule="auto"/>
        <w:rPr>
          <w:sz w:val="24"/>
          <w:szCs w:val="24"/>
        </w:rPr>
      </w:pPr>
      <w:r>
        <w:rPr>
          <w:sz w:val="24"/>
          <w:szCs w:val="24"/>
        </w:rPr>
        <w:t xml:space="preserve">In summary, my aim is to investigate how Year 9 pupils in secondary schools in North Wales experience mathematics learning following the introduction of the CfW, seeking a deeper understanding of how curriculum change is enacted in practice and how pupils’ perceptions reflect this intent. </w:t>
      </w:r>
    </w:p>
    <w:p w14:paraId="5C3ACEAF" w14:textId="77777777" w:rsidR="00BE3F0D" w:rsidRDefault="00BE3F0D">
      <w:pPr>
        <w:keepNext/>
        <w:widowControl w:val="0"/>
        <w:spacing w:line="480" w:lineRule="auto"/>
        <w:rPr>
          <w:sz w:val="24"/>
          <w:szCs w:val="24"/>
        </w:rPr>
      </w:pPr>
    </w:p>
    <w:p w14:paraId="5C3ACEB0" w14:textId="77777777" w:rsidR="00BE3F0D" w:rsidRDefault="005F45E3">
      <w:pPr>
        <w:keepNext/>
        <w:widowControl w:val="0"/>
        <w:spacing w:line="480" w:lineRule="auto"/>
        <w:rPr>
          <w:sz w:val="24"/>
          <w:szCs w:val="24"/>
        </w:rPr>
      </w:pPr>
      <w:r>
        <w:rPr>
          <w:sz w:val="24"/>
          <w:szCs w:val="24"/>
        </w:rPr>
        <w:t xml:space="preserve">To achieve this aim, the study is underpinned with the following objectives: </w:t>
      </w:r>
    </w:p>
    <w:p w14:paraId="5C3ACEB1" w14:textId="77777777" w:rsidR="00BE3F0D" w:rsidRDefault="005F45E3">
      <w:pPr>
        <w:keepNext/>
        <w:widowControl w:val="0"/>
        <w:numPr>
          <w:ilvl w:val="0"/>
          <w:numId w:val="1"/>
        </w:numPr>
        <w:spacing w:line="480" w:lineRule="auto"/>
        <w:rPr>
          <w:sz w:val="24"/>
          <w:szCs w:val="24"/>
        </w:rPr>
      </w:pPr>
      <w:r>
        <w:rPr>
          <w:sz w:val="24"/>
          <w:szCs w:val="24"/>
        </w:rPr>
        <w:t xml:space="preserve">Explore the perceptions and experience of learning mathematics of Year Nine pupils in North Wales. </w:t>
      </w:r>
    </w:p>
    <w:p w14:paraId="5C3ACEB2" w14:textId="77777777" w:rsidR="00BE3F0D" w:rsidRDefault="005F45E3">
      <w:pPr>
        <w:keepNext/>
        <w:widowControl w:val="0"/>
        <w:numPr>
          <w:ilvl w:val="0"/>
          <w:numId w:val="1"/>
        </w:numPr>
        <w:spacing w:line="480" w:lineRule="auto"/>
        <w:rPr>
          <w:sz w:val="24"/>
          <w:szCs w:val="24"/>
        </w:rPr>
      </w:pPr>
      <w:r>
        <w:rPr>
          <w:sz w:val="24"/>
          <w:szCs w:val="24"/>
        </w:rPr>
        <w:t>Identify key factors which effect pupil experience; such as engagement, confidence and understanding.</w:t>
      </w:r>
    </w:p>
    <w:p w14:paraId="5C3ACEB3" w14:textId="77777777" w:rsidR="00BE3F0D" w:rsidRDefault="005F45E3">
      <w:pPr>
        <w:keepNext/>
        <w:widowControl w:val="0"/>
        <w:numPr>
          <w:ilvl w:val="0"/>
          <w:numId w:val="1"/>
        </w:numPr>
        <w:spacing w:line="480" w:lineRule="auto"/>
        <w:rPr>
          <w:sz w:val="24"/>
          <w:szCs w:val="24"/>
        </w:rPr>
      </w:pPr>
      <w:r>
        <w:rPr>
          <w:sz w:val="24"/>
          <w:szCs w:val="24"/>
        </w:rPr>
        <w:t>Examine how secondary mathematics departments in North Wales have responded to the requirements of the CfW.</w:t>
      </w:r>
    </w:p>
    <w:p w14:paraId="5C3ACEB4" w14:textId="77777777" w:rsidR="00BE3F0D" w:rsidRDefault="005F45E3">
      <w:pPr>
        <w:keepNext/>
        <w:widowControl w:val="0"/>
        <w:numPr>
          <w:ilvl w:val="0"/>
          <w:numId w:val="1"/>
        </w:numPr>
        <w:spacing w:line="480" w:lineRule="auto"/>
        <w:rPr>
          <w:sz w:val="24"/>
          <w:szCs w:val="24"/>
        </w:rPr>
      </w:pPr>
      <w:r>
        <w:rPr>
          <w:sz w:val="24"/>
          <w:szCs w:val="24"/>
        </w:rPr>
        <w:t xml:space="preserve">Explore the relationship between mathematics departments’ responses to the CfW and the pupils’ lived experience of learning mathematics. </w:t>
      </w:r>
    </w:p>
    <w:p w14:paraId="5C3ACEB5" w14:textId="77777777" w:rsidR="00BE3F0D" w:rsidRDefault="005F45E3">
      <w:pPr>
        <w:keepNext/>
        <w:widowControl w:val="0"/>
        <w:numPr>
          <w:ilvl w:val="0"/>
          <w:numId w:val="1"/>
        </w:numPr>
        <w:spacing w:line="480" w:lineRule="auto"/>
        <w:rPr>
          <w:sz w:val="24"/>
          <w:szCs w:val="24"/>
        </w:rPr>
      </w:pPr>
      <w:r>
        <w:rPr>
          <w:sz w:val="24"/>
          <w:szCs w:val="24"/>
        </w:rPr>
        <w:t>Investigate variation in departmental responses and pupil experiences across different school contexts.</w:t>
      </w:r>
    </w:p>
    <w:p w14:paraId="5C3ACEB6" w14:textId="77777777" w:rsidR="00BE3F0D" w:rsidRDefault="005F45E3">
      <w:pPr>
        <w:keepNext/>
        <w:widowControl w:val="0"/>
        <w:spacing w:line="480" w:lineRule="auto"/>
        <w:rPr>
          <w:sz w:val="24"/>
          <w:szCs w:val="24"/>
        </w:rPr>
      </w:pPr>
      <w:r>
        <w:rPr>
          <w:sz w:val="24"/>
          <w:szCs w:val="24"/>
        </w:rPr>
        <w:t>The research objectives are closely linked to the research questions, with objectives a) and b) aligning with RQ1’s focus on pupils’ experience, reflecting the central importance of pupils’ perspectives in the study. Objective c) provides the contextual background of the response of mathematics departments to the CfW. Finally, objectives d) and e) consider the relationship between departmental interpretation and pupils’ experience and considers variation across different school settings. The objectives stru</w:t>
      </w:r>
      <w:r>
        <w:rPr>
          <w:sz w:val="24"/>
          <w:szCs w:val="24"/>
        </w:rPr>
        <w:t xml:space="preserve">cture the </w:t>
      </w:r>
      <w:r>
        <w:rPr>
          <w:sz w:val="24"/>
          <w:szCs w:val="24"/>
        </w:rPr>
        <w:lastRenderedPageBreak/>
        <w:t xml:space="preserve">investigation into how curricular reform is experienced by pupils. </w:t>
      </w:r>
    </w:p>
    <w:p w14:paraId="5C3ACEB7" w14:textId="77777777" w:rsidR="00BE3F0D" w:rsidRDefault="00BE3F0D">
      <w:pPr>
        <w:keepNext/>
        <w:widowControl w:val="0"/>
        <w:spacing w:line="480" w:lineRule="auto"/>
        <w:rPr>
          <w:sz w:val="24"/>
          <w:szCs w:val="24"/>
        </w:rPr>
      </w:pPr>
    </w:p>
    <w:p w14:paraId="5C3ACEB8" w14:textId="77777777" w:rsidR="00BE3F0D" w:rsidRDefault="005F45E3">
      <w:pPr>
        <w:pStyle w:val="Heading2"/>
        <w:widowControl w:val="0"/>
        <w:spacing w:line="480" w:lineRule="auto"/>
        <w:rPr>
          <w:u w:val="single"/>
        </w:rPr>
      </w:pPr>
      <w:bookmarkStart w:id="20" w:name="_7saggt7hqk6a" w:colFirst="0" w:colLast="0"/>
      <w:bookmarkStart w:id="21" w:name="_Toc228222335"/>
      <w:bookmarkEnd w:id="20"/>
      <w:r>
        <w:rPr>
          <w:u w:val="single"/>
        </w:rPr>
        <w:t>3.4 Conclusion</w:t>
      </w:r>
      <w:bookmarkEnd w:id="21"/>
    </w:p>
    <w:p w14:paraId="5C3ACEB9" w14:textId="77777777" w:rsidR="00BE3F0D" w:rsidRDefault="005F45E3">
      <w:pPr>
        <w:keepNext/>
        <w:widowControl w:val="0"/>
        <w:spacing w:line="480" w:lineRule="auto"/>
        <w:rPr>
          <w:sz w:val="24"/>
          <w:szCs w:val="24"/>
        </w:rPr>
      </w:pPr>
      <w:r>
        <w:rPr>
          <w:sz w:val="24"/>
          <w:szCs w:val="24"/>
        </w:rPr>
        <w:t xml:space="preserve">This assignment set out the rationale for my study into how pupils have experienced curriculum reform in mathematics in Wales following the CfW. The literature highlighted the complexity and difficulty of curricular reform in the context of the CfW (Evans, 2023; Sinnema </w:t>
      </w:r>
      <w:r>
        <w:rPr>
          <w:i/>
          <w:iCs/>
          <w:sz w:val="24"/>
          <w:szCs w:val="24"/>
        </w:rPr>
        <w:t xml:space="preserve">et al., </w:t>
      </w:r>
      <w:r>
        <w:rPr>
          <w:sz w:val="24"/>
          <w:szCs w:val="24"/>
        </w:rPr>
        <w:t xml:space="preserve">2020) with a particular concern in the progress of mathematics and numeracy (Estyn, 2025a). The under-explored nature of mathematics and pupil experience was demonstrated by the lack of available empirical evidence, showing the gap in existing literature, wherein my study can be placed. </w:t>
      </w:r>
    </w:p>
    <w:p w14:paraId="5C3ACEBA" w14:textId="77777777" w:rsidR="00BE3F0D" w:rsidRDefault="00BE3F0D">
      <w:pPr>
        <w:keepNext/>
        <w:widowControl w:val="0"/>
        <w:spacing w:line="480" w:lineRule="auto"/>
        <w:rPr>
          <w:sz w:val="24"/>
          <w:szCs w:val="24"/>
        </w:rPr>
      </w:pPr>
    </w:p>
    <w:p w14:paraId="5C3ACEBB" w14:textId="77777777" w:rsidR="00BE3F0D" w:rsidRDefault="005F45E3">
      <w:pPr>
        <w:pStyle w:val="Heading2"/>
        <w:widowControl w:val="0"/>
        <w:spacing w:line="480" w:lineRule="auto"/>
      </w:pPr>
      <w:bookmarkStart w:id="22" w:name="_d4reb1bank2a" w:colFirst="0" w:colLast="0"/>
      <w:bookmarkStart w:id="23" w:name="_Toc228222336"/>
      <w:bookmarkEnd w:id="22"/>
      <w:r>
        <w:rPr>
          <w:u w:val="single"/>
        </w:rPr>
        <w:t>References</w:t>
      </w:r>
      <w:bookmarkEnd w:id="23"/>
      <w:r>
        <w:rPr>
          <w:u w:val="single"/>
        </w:rPr>
        <w:t xml:space="preserve"> </w:t>
      </w:r>
    </w:p>
    <w:p w14:paraId="5C3ACEBC" w14:textId="77777777" w:rsidR="00BE3F0D" w:rsidRDefault="005F45E3">
      <w:pPr>
        <w:spacing w:line="480" w:lineRule="auto"/>
        <w:rPr>
          <w:sz w:val="24"/>
          <w:szCs w:val="24"/>
        </w:rPr>
      </w:pPr>
      <w:r>
        <w:rPr>
          <w:sz w:val="24"/>
          <w:szCs w:val="24"/>
        </w:rPr>
        <w:t>Aldous, D., Evans, V., Lloyd, R., Heath-Diffey, F. and Chambers, F. (2022) ‘Realising curriculum possibilities in Wales: teachers' initial experiences of re-imagining secondary physical education’,</w:t>
      </w:r>
      <w:r>
        <w:rPr>
          <w:i/>
          <w:iCs/>
          <w:sz w:val="24"/>
          <w:szCs w:val="24"/>
        </w:rPr>
        <w:t xml:space="preserve"> Curriculum studies in health and physical education</w:t>
      </w:r>
      <w:r>
        <w:rPr>
          <w:sz w:val="24"/>
          <w:szCs w:val="24"/>
        </w:rPr>
        <w:t xml:space="preserve">, 13(3), pp. 253–269. Available at: </w:t>
      </w:r>
      <w:hyperlink r:id="rId8">
        <w:r>
          <w:rPr>
            <w:color w:val="1155CC"/>
            <w:sz w:val="24"/>
            <w:szCs w:val="24"/>
            <w:u w:val="single"/>
          </w:rPr>
          <w:t>https://www.tandfonline.com/doi/full/10.1080/25742981.2022.2125816</w:t>
        </w:r>
      </w:hyperlink>
      <w:r>
        <w:rPr>
          <w:sz w:val="24"/>
          <w:szCs w:val="24"/>
        </w:rPr>
        <w:t xml:space="preserve"> </w:t>
      </w:r>
    </w:p>
    <w:p w14:paraId="5C3ACEBD" w14:textId="77777777" w:rsidR="00BE3F0D" w:rsidRDefault="005F45E3">
      <w:pPr>
        <w:spacing w:line="480" w:lineRule="auto"/>
        <w:rPr>
          <w:sz w:val="24"/>
          <w:szCs w:val="24"/>
        </w:rPr>
      </w:pPr>
      <w:r>
        <w:rPr>
          <w:sz w:val="24"/>
          <w:szCs w:val="24"/>
        </w:rPr>
        <w:t>Barton, C. (2022) T</w:t>
      </w:r>
      <w:r>
        <w:rPr>
          <w:i/>
          <w:iCs/>
          <w:sz w:val="24"/>
          <w:szCs w:val="24"/>
        </w:rPr>
        <w:t>ips for Teachers: 400+ Ideas to Improve Your Teaching</w:t>
      </w:r>
      <w:r>
        <w:rPr>
          <w:sz w:val="24"/>
          <w:szCs w:val="24"/>
        </w:rPr>
        <w:t>. Melton, Woodbridge: John Catt Educational Ltd.</w:t>
      </w:r>
    </w:p>
    <w:p w14:paraId="5C3ACEBE" w14:textId="77777777" w:rsidR="00BE3F0D" w:rsidRDefault="005F45E3">
      <w:pPr>
        <w:tabs>
          <w:tab w:val="right" w:pos="9016"/>
        </w:tabs>
        <w:spacing w:after="100" w:line="360" w:lineRule="auto"/>
        <w:rPr>
          <w:sz w:val="24"/>
          <w:szCs w:val="24"/>
        </w:rPr>
      </w:pPr>
      <w:r>
        <w:rPr>
          <w:sz w:val="24"/>
          <w:szCs w:val="24"/>
        </w:rPr>
        <w:t xml:space="preserve">Beech, H. and McGill, R. M. (2020), </w:t>
      </w:r>
      <w:r>
        <w:rPr>
          <w:i/>
          <w:iCs/>
          <w:sz w:val="24"/>
          <w:szCs w:val="24"/>
        </w:rPr>
        <w:t xml:space="preserve">60-Second CPD: 239 Ideas for Busy Teachers. </w:t>
      </w:r>
      <w:r>
        <w:rPr>
          <w:sz w:val="24"/>
          <w:szCs w:val="24"/>
        </w:rPr>
        <w:t>Melton, Woodbridge: John Catt Educational Ltd.</w:t>
      </w:r>
    </w:p>
    <w:p w14:paraId="5C3ACEBF" w14:textId="77777777" w:rsidR="00BE3F0D" w:rsidRDefault="005F45E3">
      <w:pPr>
        <w:tabs>
          <w:tab w:val="right" w:pos="9016"/>
        </w:tabs>
        <w:spacing w:after="100" w:line="480" w:lineRule="auto"/>
        <w:rPr>
          <w:sz w:val="24"/>
          <w:szCs w:val="24"/>
        </w:rPr>
      </w:pPr>
      <w:r>
        <w:rPr>
          <w:sz w:val="24"/>
          <w:szCs w:val="24"/>
        </w:rPr>
        <w:t>Bucknall, S. (2014), ‘Doing Qualitative Research with Children and Young People’ in Clark, A., Flewitt, R., Hammersley, M., and Robb, M. (eds.), Understanding Research with Children and Young People. London: Sage Publications Ltd. . pp. 69 – 84.</w:t>
      </w:r>
    </w:p>
    <w:p w14:paraId="5C3ACEC0" w14:textId="77777777" w:rsidR="00BE3F0D" w:rsidRDefault="005F45E3">
      <w:pPr>
        <w:spacing w:line="480" w:lineRule="auto"/>
        <w:rPr>
          <w:sz w:val="24"/>
          <w:szCs w:val="24"/>
        </w:rPr>
      </w:pPr>
      <w:r>
        <w:rPr>
          <w:sz w:val="24"/>
          <w:szCs w:val="24"/>
        </w:rPr>
        <w:lastRenderedPageBreak/>
        <w:t xml:space="preserve">Chapman, S., Beauchamp, G. and Griffiths, M. (2025) ‘Secondary school teachers' perceptions of the shared creative processes and the potential role of technology in the expressive arts’, </w:t>
      </w:r>
      <w:r>
        <w:rPr>
          <w:i/>
          <w:iCs/>
          <w:sz w:val="24"/>
          <w:szCs w:val="24"/>
        </w:rPr>
        <w:t>The Curriculum Journal</w:t>
      </w:r>
      <w:r>
        <w:rPr>
          <w:sz w:val="24"/>
          <w:szCs w:val="24"/>
        </w:rPr>
        <w:t xml:space="preserve">, 36(1), pp. 52–65. Available at: </w:t>
      </w:r>
      <w:hyperlink r:id="rId9">
        <w:r>
          <w:rPr>
            <w:color w:val="1155CC"/>
            <w:sz w:val="24"/>
            <w:szCs w:val="24"/>
            <w:u w:val="single"/>
          </w:rPr>
          <w:t>https://bera-journals.onlinelibrary.wiley.com/doi/full/10.1002/curj.259</w:t>
        </w:r>
      </w:hyperlink>
      <w:r>
        <w:rPr>
          <w:sz w:val="24"/>
          <w:szCs w:val="24"/>
        </w:rPr>
        <w:t xml:space="preserve"> </w:t>
      </w:r>
    </w:p>
    <w:p w14:paraId="5C3ACEC1" w14:textId="77777777" w:rsidR="00BE3F0D" w:rsidRDefault="005F45E3">
      <w:pPr>
        <w:spacing w:line="480" w:lineRule="auto"/>
        <w:rPr>
          <w:sz w:val="24"/>
          <w:szCs w:val="24"/>
        </w:rPr>
      </w:pPr>
      <w:r>
        <w:rPr>
          <w:sz w:val="24"/>
          <w:szCs w:val="24"/>
        </w:rPr>
        <w:t xml:space="preserve">Clough, P. and Nutbrown, C. (2012) </w:t>
      </w:r>
      <w:r>
        <w:rPr>
          <w:i/>
          <w:iCs/>
          <w:sz w:val="24"/>
          <w:szCs w:val="24"/>
        </w:rPr>
        <w:t>A student's guide to methodology</w:t>
      </w:r>
      <w:r>
        <w:rPr>
          <w:sz w:val="24"/>
          <w:szCs w:val="24"/>
        </w:rPr>
        <w:t>. 3rd edn. London: SAGE Publications Ltd.</w:t>
      </w:r>
    </w:p>
    <w:p w14:paraId="5C3ACEC2" w14:textId="77777777" w:rsidR="00BE3F0D" w:rsidRDefault="005F45E3">
      <w:pPr>
        <w:tabs>
          <w:tab w:val="right" w:pos="9016"/>
        </w:tabs>
        <w:spacing w:after="100" w:line="480" w:lineRule="auto"/>
        <w:rPr>
          <w:sz w:val="24"/>
          <w:szCs w:val="24"/>
        </w:rPr>
      </w:pPr>
      <w:r>
        <w:rPr>
          <w:sz w:val="24"/>
          <w:szCs w:val="24"/>
        </w:rPr>
        <w:t xml:space="preserve">Donaldson, G. (2015) </w:t>
      </w:r>
      <w:r>
        <w:rPr>
          <w:i/>
          <w:iCs/>
          <w:sz w:val="24"/>
          <w:szCs w:val="24"/>
        </w:rPr>
        <w:t>Successful futures: Independent review of curriculum and assessment arrangements in Wales</w:t>
      </w:r>
      <w:r>
        <w:rPr>
          <w:sz w:val="24"/>
          <w:szCs w:val="24"/>
        </w:rPr>
        <w:t xml:space="preserve">. Available at: </w:t>
      </w:r>
      <w:hyperlink r:id="rId10">
        <w:r>
          <w:rPr>
            <w:color w:val="1155CC"/>
            <w:sz w:val="24"/>
            <w:szCs w:val="24"/>
            <w:u w:val="single"/>
          </w:rPr>
          <w:t>https://www.gov.wales/sites/default/files/publications/2018-03/successful-futures.pdf</w:t>
        </w:r>
      </w:hyperlink>
      <w:r>
        <w:rPr>
          <w:sz w:val="24"/>
          <w:szCs w:val="24"/>
        </w:rPr>
        <w:t xml:space="preserve"> (Accessed: 18 April 2026)</w:t>
      </w:r>
    </w:p>
    <w:p w14:paraId="5C3ACEC3" w14:textId="77777777" w:rsidR="00BE3F0D" w:rsidRDefault="005F45E3">
      <w:pPr>
        <w:spacing w:line="480" w:lineRule="auto"/>
        <w:rPr>
          <w:sz w:val="24"/>
          <w:szCs w:val="24"/>
        </w:rPr>
      </w:pPr>
      <w:r>
        <w:rPr>
          <w:sz w:val="24"/>
          <w:szCs w:val="24"/>
        </w:rPr>
        <w:t xml:space="preserve">Durden-Myers, E.J., Evans, E., Davies, M., Campbell, J. and Swaithes, W. (2025) ‘Evaluating the implementation of curriculum reform: the perspectives of Welsh teachers navigating the new health and wellbeing area of learning experience’, </w:t>
      </w:r>
      <w:r>
        <w:rPr>
          <w:i/>
          <w:iCs/>
          <w:sz w:val="24"/>
          <w:szCs w:val="24"/>
        </w:rPr>
        <w:t>Journal of Education for Teaching</w:t>
      </w:r>
      <w:r>
        <w:rPr>
          <w:sz w:val="24"/>
          <w:szCs w:val="24"/>
        </w:rPr>
        <w:t xml:space="preserve">, 51(1), pp. 6–27. Available at: </w:t>
      </w:r>
      <w:hyperlink r:id="rId11">
        <w:r>
          <w:rPr>
            <w:color w:val="1155CC"/>
            <w:sz w:val="24"/>
            <w:szCs w:val="24"/>
            <w:u w:val="single"/>
          </w:rPr>
          <w:t>https://www.tandfonline.com/doi/full/10.1080/02607476.2024.2371308</w:t>
        </w:r>
      </w:hyperlink>
      <w:r>
        <w:rPr>
          <w:sz w:val="24"/>
          <w:szCs w:val="24"/>
        </w:rPr>
        <w:t xml:space="preserve"> </w:t>
      </w:r>
    </w:p>
    <w:p w14:paraId="5C3ACEC4" w14:textId="77777777" w:rsidR="00BE3F0D" w:rsidRDefault="005F45E3">
      <w:pPr>
        <w:tabs>
          <w:tab w:val="right" w:pos="9016"/>
        </w:tabs>
        <w:spacing w:after="100" w:line="480" w:lineRule="auto"/>
        <w:rPr>
          <w:sz w:val="24"/>
          <w:szCs w:val="24"/>
        </w:rPr>
      </w:pPr>
      <w:r>
        <w:rPr>
          <w:sz w:val="24"/>
          <w:szCs w:val="24"/>
        </w:rPr>
        <w:t xml:space="preserve">Estyn. (2025a) </w:t>
      </w:r>
      <w:r>
        <w:rPr>
          <w:i/>
          <w:iCs/>
          <w:sz w:val="24"/>
          <w:szCs w:val="24"/>
        </w:rPr>
        <w:t>Unlocking potential: Insights into improving teaching and leadership in mathematics education</w:t>
      </w:r>
      <w:r>
        <w:rPr>
          <w:sz w:val="24"/>
          <w:szCs w:val="24"/>
        </w:rPr>
        <w:t xml:space="preserve">. Available at: </w:t>
      </w:r>
      <w:hyperlink r:id="rId12">
        <w:r>
          <w:rPr>
            <w:color w:val="1155CC"/>
            <w:sz w:val="24"/>
            <w:szCs w:val="24"/>
            <w:u w:val="single"/>
          </w:rPr>
          <w:t>https://estyn.gov.wales/app/uploads/2025/06/Thematic-report-Unlocking-potential.-Insights-into-improving-teaching-and-leadership-in-mathematics-education.pdf</w:t>
        </w:r>
      </w:hyperlink>
      <w:r>
        <w:rPr>
          <w:sz w:val="24"/>
          <w:szCs w:val="24"/>
        </w:rPr>
        <w:t xml:space="preserve"> (Accessed 25 April 2026). </w:t>
      </w:r>
    </w:p>
    <w:p w14:paraId="5C3ACEC5" w14:textId="77777777" w:rsidR="00BE3F0D" w:rsidRDefault="005F45E3">
      <w:pPr>
        <w:spacing w:line="480" w:lineRule="auto"/>
        <w:rPr>
          <w:sz w:val="24"/>
          <w:szCs w:val="24"/>
        </w:rPr>
      </w:pPr>
      <w:r>
        <w:rPr>
          <w:sz w:val="24"/>
          <w:szCs w:val="24"/>
        </w:rPr>
        <w:t xml:space="preserve">Estyn (2025b) </w:t>
      </w:r>
      <w:r>
        <w:rPr>
          <w:i/>
          <w:iCs/>
          <w:sz w:val="24"/>
          <w:szCs w:val="24"/>
        </w:rPr>
        <w:t>Secondary sector report 2023-2024</w:t>
      </w:r>
      <w:r>
        <w:rPr>
          <w:sz w:val="24"/>
          <w:szCs w:val="24"/>
        </w:rPr>
        <w:t xml:space="preserve">. Available at: </w:t>
      </w:r>
      <w:hyperlink r:id="rId13">
        <w:r>
          <w:rPr>
            <w:color w:val="1155CC"/>
            <w:sz w:val="24"/>
            <w:szCs w:val="24"/>
            <w:u w:val="single"/>
          </w:rPr>
          <w:t>https://annual-report.estyn.gov.wales/2024-2/secondary/</w:t>
        </w:r>
      </w:hyperlink>
      <w:r>
        <w:rPr>
          <w:sz w:val="24"/>
          <w:szCs w:val="24"/>
        </w:rPr>
        <w:t xml:space="preserve"> (Accessed: 4 March 2026). </w:t>
      </w:r>
    </w:p>
    <w:p w14:paraId="5C3ACEC6" w14:textId="77777777" w:rsidR="00BE3F0D" w:rsidRDefault="005F45E3">
      <w:pPr>
        <w:spacing w:line="480" w:lineRule="auto"/>
        <w:rPr>
          <w:sz w:val="24"/>
          <w:szCs w:val="24"/>
        </w:rPr>
      </w:pPr>
      <w:r>
        <w:rPr>
          <w:sz w:val="24"/>
          <w:szCs w:val="24"/>
        </w:rPr>
        <w:lastRenderedPageBreak/>
        <w:t xml:space="preserve">Evans, G. (2023) ‘A new dawn or false hope? Exploring the early implementation of Curriculum for Wales’, </w:t>
      </w:r>
      <w:r>
        <w:rPr>
          <w:i/>
          <w:iCs/>
          <w:sz w:val="24"/>
          <w:szCs w:val="24"/>
        </w:rPr>
        <w:t>Education Inquiry</w:t>
      </w:r>
      <w:r>
        <w:rPr>
          <w:sz w:val="24"/>
          <w:szCs w:val="24"/>
        </w:rPr>
        <w:t xml:space="preserve">, pp. 1–15. Available at: </w:t>
      </w:r>
      <w:hyperlink r:id="rId14">
        <w:r>
          <w:rPr>
            <w:color w:val="1155CC"/>
            <w:sz w:val="24"/>
            <w:szCs w:val="24"/>
            <w:u w:val="single"/>
          </w:rPr>
          <w:t>https://doi.org/10.1080/20004508.2023.2297506</w:t>
        </w:r>
      </w:hyperlink>
      <w:r>
        <w:rPr>
          <w:sz w:val="24"/>
          <w:szCs w:val="24"/>
        </w:rPr>
        <w:t xml:space="preserve"> </w:t>
      </w:r>
    </w:p>
    <w:p w14:paraId="5C3ACEC7" w14:textId="77777777" w:rsidR="00BE3F0D" w:rsidRDefault="005F45E3">
      <w:pPr>
        <w:tabs>
          <w:tab w:val="right" w:pos="9016"/>
        </w:tabs>
        <w:spacing w:after="100" w:line="480" w:lineRule="auto"/>
        <w:rPr>
          <w:sz w:val="24"/>
          <w:szCs w:val="24"/>
        </w:rPr>
      </w:pPr>
      <w:r>
        <w:rPr>
          <w:sz w:val="24"/>
          <w:szCs w:val="24"/>
        </w:rPr>
        <w:t xml:space="preserve">Foster, C. (2023) ‘Problem solving in the mathematics curriculum: From domain-general strategies to domain-specific tactics’, </w:t>
      </w:r>
      <w:r>
        <w:rPr>
          <w:i/>
          <w:iCs/>
          <w:sz w:val="24"/>
          <w:szCs w:val="24"/>
        </w:rPr>
        <w:t>The Curriculum Journal</w:t>
      </w:r>
      <w:r>
        <w:rPr>
          <w:sz w:val="24"/>
          <w:szCs w:val="24"/>
        </w:rPr>
        <w:t xml:space="preserve">, 34, pp. 594–612. Available at: </w:t>
      </w:r>
      <w:hyperlink r:id="rId15">
        <w:r>
          <w:rPr>
            <w:color w:val="1155CC"/>
            <w:sz w:val="24"/>
            <w:szCs w:val="24"/>
            <w:u w:val="single"/>
          </w:rPr>
          <w:t>https://doi.org/10.1002/curj.213</w:t>
        </w:r>
      </w:hyperlink>
    </w:p>
    <w:p w14:paraId="5C3ACEC8" w14:textId="77777777" w:rsidR="00BE3F0D" w:rsidRDefault="005F45E3">
      <w:pPr>
        <w:spacing w:line="480" w:lineRule="auto"/>
        <w:rPr>
          <w:sz w:val="24"/>
          <w:szCs w:val="24"/>
        </w:rPr>
      </w:pPr>
      <w:r>
        <w:rPr>
          <w:sz w:val="24"/>
          <w:szCs w:val="24"/>
        </w:rPr>
        <w:t xml:space="preserve">Gatley, J. (2020) ‘Can the New Welsh Curriculum achieve its purposes?’, </w:t>
      </w:r>
      <w:r>
        <w:rPr>
          <w:i/>
          <w:iCs/>
          <w:sz w:val="24"/>
          <w:szCs w:val="24"/>
        </w:rPr>
        <w:t>The Curriculum Journal</w:t>
      </w:r>
      <w:r>
        <w:rPr>
          <w:sz w:val="24"/>
          <w:szCs w:val="24"/>
        </w:rPr>
        <w:t xml:space="preserve">, 31: 202-214. Available at: </w:t>
      </w:r>
      <w:hyperlink r:id="rId16">
        <w:r>
          <w:rPr>
            <w:color w:val="1155CC"/>
            <w:sz w:val="24"/>
            <w:szCs w:val="24"/>
            <w:u w:val="single"/>
          </w:rPr>
          <w:t>https://doi.org/10.1002/curj.26</w:t>
        </w:r>
      </w:hyperlink>
      <w:r>
        <w:rPr>
          <w:sz w:val="24"/>
          <w:szCs w:val="24"/>
        </w:rPr>
        <w:t xml:space="preserve"> </w:t>
      </w:r>
    </w:p>
    <w:p w14:paraId="5C3ACEC9" w14:textId="77777777" w:rsidR="00BE3F0D" w:rsidRDefault="005F45E3">
      <w:pPr>
        <w:tabs>
          <w:tab w:val="right" w:pos="9016"/>
        </w:tabs>
        <w:spacing w:after="100" w:line="480" w:lineRule="auto"/>
        <w:rPr>
          <w:sz w:val="24"/>
          <w:szCs w:val="24"/>
        </w:rPr>
      </w:pPr>
      <w:r>
        <w:rPr>
          <w:sz w:val="24"/>
          <w:szCs w:val="24"/>
        </w:rPr>
        <w:t xml:space="preserve">Green, J. (2023) ‘Primary students’ experiences of formative feedback in mathematics’, </w:t>
      </w:r>
      <w:r>
        <w:rPr>
          <w:i/>
          <w:iCs/>
          <w:sz w:val="24"/>
          <w:szCs w:val="24"/>
        </w:rPr>
        <w:t>Education Inquiry</w:t>
      </w:r>
      <w:r>
        <w:rPr>
          <w:sz w:val="24"/>
          <w:szCs w:val="24"/>
        </w:rPr>
        <w:t xml:space="preserve">, 14(3), pp. 285–305. Available at: </w:t>
      </w:r>
      <w:hyperlink r:id="rId17">
        <w:r>
          <w:rPr>
            <w:color w:val="1155CC"/>
            <w:sz w:val="24"/>
            <w:szCs w:val="24"/>
            <w:u w:val="single"/>
          </w:rPr>
          <w:t>https://doi.org/10.1080/20004508.2021.1995140</w:t>
        </w:r>
      </w:hyperlink>
      <w:r>
        <w:rPr>
          <w:sz w:val="24"/>
          <w:szCs w:val="24"/>
        </w:rPr>
        <w:t xml:space="preserve"> </w:t>
      </w:r>
    </w:p>
    <w:p w14:paraId="5C3ACECA" w14:textId="77777777" w:rsidR="00BE3F0D" w:rsidRDefault="005F45E3">
      <w:pPr>
        <w:tabs>
          <w:tab w:val="right" w:pos="9016"/>
        </w:tabs>
        <w:spacing w:after="100" w:line="480" w:lineRule="auto"/>
        <w:rPr>
          <w:sz w:val="24"/>
          <w:szCs w:val="24"/>
        </w:rPr>
      </w:pPr>
      <w:r>
        <w:rPr>
          <w:sz w:val="24"/>
          <w:szCs w:val="24"/>
        </w:rPr>
        <w:t xml:space="preserve">Hunter, J. and Hill, J.L. (2025) ‘Exploring mathematical wellbeing across cultures: insights from diverse students’, </w:t>
      </w:r>
      <w:r>
        <w:rPr>
          <w:i/>
          <w:iCs/>
          <w:sz w:val="24"/>
          <w:szCs w:val="24"/>
        </w:rPr>
        <w:t>Mathematics Education Research Journal</w:t>
      </w:r>
      <w:r>
        <w:rPr>
          <w:sz w:val="24"/>
          <w:szCs w:val="24"/>
        </w:rPr>
        <w:t xml:space="preserve">, 37, pp. 529–556. Available at: </w:t>
      </w:r>
      <w:hyperlink r:id="rId18">
        <w:r>
          <w:rPr>
            <w:color w:val="1155CC"/>
            <w:sz w:val="24"/>
            <w:szCs w:val="24"/>
            <w:u w:val="single"/>
          </w:rPr>
          <w:t>https://doi.org/10.1007/s13394-024-00500-5</w:t>
        </w:r>
      </w:hyperlink>
      <w:r>
        <w:rPr>
          <w:sz w:val="24"/>
          <w:szCs w:val="24"/>
        </w:rPr>
        <w:t xml:space="preserve"> </w:t>
      </w:r>
    </w:p>
    <w:p w14:paraId="5C3ACECB" w14:textId="77777777" w:rsidR="00BE3F0D" w:rsidRDefault="005F45E3">
      <w:pPr>
        <w:spacing w:line="480" w:lineRule="auto"/>
        <w:rPr>
          <w:sz w:val="24"/>
          <w:szCs w:val="24"/>
        </w:rPr>
      </w:pPr>
      <w:r>
        <w:rPr>
          <w:sz w:val="24"/>
          <w:szCs w:val="24"/>
        </w:rPr>
        <w:t xml:space="preserve">Kumar, R. (2019) </w:t>
      </w:r>
      <w:r>
        <w:rPr>
          <w:i/>
          <w:iCs/>
          <w:sz w:val="24"/>
          <w:szCs w:val="24"/>
        </w:rPr>
        <w:t>Research Methodology</w:t>
      </w:r>
      <w:r>
        <w:rPr>
          <w:sz w:val="24"/>
          <w:szCs w:val="24"/>
        </w:rPr>
        <w:t>. 5th edn. London, England: SAGE Publications Ltd.</w:t>
      </w:r>
    </w:p>
    <w:p w14:paraId="5C3ACECC" w14:textId="77777777" w:rsidR="00BE3F0D" w:rsidRDefault="005F45E3">
      <w:pPr>
        <w:tabs>
          <w:tab w:val="right" w:pos="9016"/>
        </w:tabs>
        <w:spacing w:after="100" w:line="480" w:lineRule="auto"/>
        <w:rPr>
          <w:sz w:val="24"/>
          <w:szCs w:val="24"/>
        </w:rPr>
      </w:pPr>
      <w:r>
        <w:rPr>
          <w:sz w:val="24"/>
          <w:szCs w:val="24"/>
        </w:rPr>
        <w:t xml:space="preserve">Lee, C. and Johnston-Wilder, S. (2013) ‘Learning mathematics—letting the pupils have their say’, </w:t>
      </w:r>
      <w:r>
        <w:rPr>
          <w:i/>
          <w:iCs/>
          <w:sz w:val="24"/>
          <w:szCs w:val="24"/>
        </w:rPr>
        <w:t>Educational Studies in Mathematics</w:t>
      </w:r>
      <w:r>
        <w:rPr>
          <w:sz w:val="24"/>
          <w:szCs w:val="24"/>
        </w:rPr>
        <w:t xml:space="preserve">, 83, pp. 163–180. Available at: </w:t>
      </w:r>
      <w:hyperlink r:id="rId19">
        <w:r>
          <w:rPr>
            <w:color w:val="1155CC"/>
            <w:sz w:val="24"/>
            <w:szCs w:val="24"/>
            <w:u w:val="single"/>
          </w:rPr>
          <w:t>https://doi.org/10.1007/s10649-012-9445-3</w:t>
        </w:r>
      </w:hyperlink>
      <w:r>
        <w:rPr>
          <w:sz w:val="24"/>
          <w:szCs w:val="24"/>
        </w:rPr>
        <w:t xml:space="preserve"> </w:t>
      </w:r>
    </w:p>
    <w:p w14:paraId="5C3ACECD" w14:textId="77777777" w:rsidR="00BE3F0D" w:rsidRDefault="005F45E3">
      <w:pPr>
        <w:spacing w:line="480" w:lineRule="auto"/>
        <w:rPr>
          <w:sz w:val="24"/>
          <w:szCs w:val="24"/>
        </w:rPr>
      </w:pPr>
      <w:r>
        <w:rPr>
          <w:sz w:val="24"/>
          <w:szCs w:val="24"/>
        </w:rPr>
        <w:t xml:space="preserve">Lyakhova, S., Joubert, M., Capraro, M.M. and Capraro, R.M. (2019) ‘Designing a curriculum based on four purposes: let mathematics speak for itself’, </w:t>
      </w:r>
      <w:r>
        <w:rPr>
          <w:i/>
          <w:iCs/>
          <w:sz w:val="24"/>
          <w:szCs w:val="24"/>
        </w:rPr>
        <w:t>Journal of Curriculum Studies</w:t>
      </w:r>
      <w:r>
        <w:rPr>
          <w:sz w:val="24"/>
          <w:szCs w:val="24"/>
        </w:rPr>
        <w:t>, 51(4), pp. 513–529. Available at:</w:t>
      </w:r>
      <w:hyperlink r:id="rId20">
        <w:r>
          <w:rPr>
            <w:color w:val="1155CC"/>
            <w:sz w:val="24"/>
            <w:szCs w:val="24"/>
            <w:u w:val="single"/>
          </w:rPr>
          <w:t>https://research-ebsco-com.ezproxy.uwtsd.ac.uk/c/onvpsy/viewer/pdf/paxeggms5z?route=details</w:t>
        </w:r>
      </w:hyperlink>
      <w:r>
        <w:rPr>
          <w:sz w:val="24"/>
          <w:szCs w:val="24"/>
        </w:rPr>
        <w:t xml:space="preserve"> </w:t>
      </w:r>
    </w:p>
    <w:p w14:paraId="5C3ACECE" w14:textId="77777777" w:rsidR="00BE3F0D" w:rsidRDefault="005F45E3">
      <w:pPr>
        <w:spacing w:line="480" w:lineRule="auto"/>
        <w:rPr>
          <w:sz w:val="24"/>
          <w:szCs w:val="24"/>
        </w:rPr>
      </w:pPr>
      <w:r>
        <w:rPr>
          <w:sz w:val="24"/>
          <w:szCs w:val="24"/>
        </w:rPr>
        <w:lastRenderedPageBreak/>
        <w:t xml:space="preserve">McDonald, P.A. and Smith, J.M. (2020) ‘Improving mathematical learning in Scotland's Curriculum for Excellence through problem posing: an integrative review’, </w:t>
      </w:r>
      <w:r>
        <w:rPr>
          <w:i/>
          <w:iCs/>
          <w:sz w:val="24"/>
          <w:szCs w:val="24"/>
        </w:rPr>
        <w:t>Curriculum Journal</w:t>
      </w:r>
      <w:r>
        <w:rPr>
          <w:sz w:val="24"/>
          <w:szCs w:val="24"/>
        </w:rPr>
        <w:t xml:space="preserve">, 31(3), pp. 398–435. Available at: </w:t>
      </w:r>
      <w:hyperlink r:id="rId21">
        <w:r>
          <w:rPr>
            <w:color w:val="1155CC"/>
            <w:sz w:val="24"/>
            <w:szCs w:val="24"/>
            <w:u w:val="single"/>
          </w:rPr>
          <w:t>https://bera-journals.onlinelibrary.wiley.com/doi/abs/10.1002/curj.15</w:t>
        </w:r>
      </w:hyperlink>
      <w:r>
        <w:rPr>
          <w:sz w:val="24"/>
          <w:szCs w:val="24"/>
        </w:rPr>
        <w:t xml:space="preserve"> </w:t>
      </w:r>
    </w:p>
    <w:p w14:paraId="5C3ACECF" w14:textId="77777777" w:rsidR="00BE3F0D" w:rsidRDefault="005F45E3">
      <w:pPr>
        <w:tabs>
          <w:tab w:val="right" w:pos="9016"/>
        </w:tabs>
        <w:spacing w:after="100" w:line="480" w:lineRule="auto"/>
        <w:rPr>
          <w:sz w:val="24"/>
          <w:szCs w:val="24"/>
        </w:rPr>
      </w:pPr>
      <w:r>
        <w:rPr>
          <w:color w:val="202124"/>
          <w:sz w:val="24"/>
          <w:szCs w:val="24"/>
        </w:rPr>
        <w:t xml:space="preserve">Myatt, M., and Tomsett, J. (2021), </w:t>
      </w:r>
      <w:r>
        <w:rPr>
          <w:i/>
          <w:iCs/>
          <w:color w:val="202124"/>
          <w:sz w:val="24"/>
          <w:szCs w:val="24"/>
        </w:rPr>
        <w:t>Huh: Curriculum conversations between subject and senior leaders.</w:t>
      </w:r>
      <w:r>
        <w:rPr>
          <w:color w:val="202124"/>
          <w:sz w:val="24"/>
          <w:szCs w:val="24"/>
        </w:rPr>
        <w:t xml:space="preserve"> </w:t>
      </w:r>
      <w:r>
        <w:rPr>
          <w:sz w:val="24"/>
          <w:szCs w:val="24"/>
        </w:rPr>
        <w:t>Melton, Woodbridge: John Catt Educational Ltd.</w:t>
      </w:r>
    </w:p>
    <w:p w14:paraId="5C3ACED0" w14:textId="77777777" w:rsidR="00BE3F0D" w:rsidRDefault="005F45E3">
      <w:pPr>
        <w:tabs>
          <w:tab w:val="right" w:pos="9016"/>
        </w:tabs>
        <w:spacing w:after="100" w:line="480" w:lineRule="auto"/>
        <w:rPr>
          <w:sz w:val="24"/>
          <w:szCs w:val="24"/>
        </w:rPr>
      </w:pPr>
      <w:r>
        <w:rPr>
          <w:color w:val="202124"/>
          <w:sz w:val="24"/>
          <w:szCs w:val="24"/>
        </w:rPr>
        <w:t xml:space="preserve">Myatt, M. (2016), </w:t>
      </w:r>
      <w:r>
        <w:rPr>
          <w:i/>
          <w:iCs/>
          <w:color w:val="202124"/>
          <w:sz w:val="24"/>
          <w:szCs w:val="24"/>
        </w:rPr>
        <w:t>High Challenge, Low Threat</w:t>
      </w:r>
      <w:r>
        <w:rPr>
          <w:color w:val="202124"/>
          <w:sz w:val="24"/>
          <w:szCs w:val="24"/>
        </w:rPr>
        <w:t xml:space="preserve">. </w:t>
      </w:r>
      <w:r>
        <w:rPr>
          <w:sz w:val="24"/>
          <w:szCs w:val="24"/>
        </w:rPr>
        <w:t>Melton, Woodbridge: John Catt Educational Ltd.</w:t>
      </w:r>
    </w:p>
    <w:p w14:paraId="5C3ACED1" w14:textId="77777777" w:rsidR="00BE3F0D" w:rsidRDefault="005F45E3">
      <w:pPr>
        <w:spacing w:line="480" w:lineRule="auto"/>
        <w:rPr>
          <w:sz w:val="24"/>
          <w:szCs w:val="24"/>
        </w:rPr>
      </w:pPr>
      <w:r>
        <w:rPr>
          <w:sz w:val="24"/>
          <w:szCs w:val="24"/>
        </w:rPr>
        <w:t>Myatt, M. (2018), The Curriculum: Gallimaufry to coherence. Melton, Woodbridge: John Catt Educational Ltd.</w:t>
      </w:r>
    </w:p>
    <w:p w14:paraId="5C3ACED2" w14:textId="77777777" w:rsidR="00BE3F0D" w:rsidRDefault="005F45E3">
      <w:pPr>
        <w:spacing w:line="480" w:lineRule="auto"/>
        <w:rPr>
          <w:sz w:val="24"/>
          <w:szCs w:val="24"/>
        </w:rPr>
      </w:pPr>
      <w:r>
        <w:rPr>
          <w:sz w:val="24"/>
          <w:szCs w:val="24"/>
        </w:rPr>
        <w:t xml:space="preserve">Nicol, J. (2019) </w:t>
      </w:r>
      <w:r>
        <w:rPr>
          <w:i/>
          <w:iCs/>
          <w:sz w:val="24"/>
          <w:szCs w:val="24"/>
        </w:rPr>
        <w:t>Exciting times for Maths Teachers in Wales</w:t>
      </w:r>
      <w:r>
        <w:rPr>
          <w:sz w:val="24"/>
          <w:szCs w:val="24"/>
        </w:rPr>
        <w:t xml:space="preserve">. Available at: </w:t>
      </w:r>
      <w:hyperlink r:id="rId22">
        <w:r>
          <w:rPr>
            <w:color w:val="1155CC"/>
            <w:sz w:val="24"/>
            <w:szCs w:val="24"/>
            <w:u w:val="single"/>
          </w:rPr>
          <w:t>https://geomaths.co.uk/2019/07/04/exciting-times-for-maths-teachers-in-wales/</w:t>
        </w:r>
      </w:hyperlink>
      <w:r>
        <w:rPr>
          <w:sz w:val="24"/>
          <w:szCs w:val="24"/>
        </w:rPr>
        <w:t xml:space="preserve"> (Accessed: 12 April 2026).</w:t>
      </w:r>
    </w:p>
    <w:p w14:paraId="5C3ACED3" w14:textId="77777777" w:rsidR="00BE3F0D" w:rsidRDefault="005F45E3">
      <w:pPr>
        <w:tabs>
          <w:tab w:val="right" w:pos="9016"/>
        </w:tabs>
        <w:spacing w:after="100" w:line="480" w:lineRule="auto"/>
        <w:rPr>
          <w:sz w:val="24"/>
          <w:szCs w:val="24"/>
        </w:rPr>
      </w:pPr>
      <w:r>
        <w:rPr>
          <w:sz w:val="24"/>
          <w:szCs w:val="24"/>
        </w:rPr>
        <w:t xml:space="preserve">Organization for Economic Cooperation and Development [OECD] (2014) </w:t>
      </w:r>
      <w:r>
        <w:rPr>
          <w:i/>
          <w:iCs/>
          <w:sz w:val="24"/>
          <w:szCs w:val="24"/>
        </w:rPr>
        <w:t>Improving Schools in Wales: An OECD Perspective</w:t>
      </w:r>
      <w:r>
        <w:rPr>
          <w:sz w:val="24"/>
          <w:szCs w:val="24"/>
        </w:rPr>
        <w:t xml:space="preserve">. Available at: </w:t>
      </w:r>
      <w:hyperlink r:id="rId23">
        <w:r>
          <w:rPr>
            <w:color w:val="1155CC"/>
            <w:sz w:val="24"/>
            <w:szCs w:val="24"/>
            <w:u w:val="single"/>
          </w:rPr>
          <w:t>https://gpseducation.oecd.org/Content/ProjectsMaterial/ImplementingEducationPolicies/Improving-schools-in-WalesAnOECDPerspective.pdf</w:t>
        </w:r>
      </w:hyperlink>
      <w:r>
        <w:rPr>
          <w:sz w:val="24"/>
          <w:szCs w:val="24"/>
        </w:rPr>
        <w:t xml:space="preserve"> (Accessed: 28 December 2025).</w:t>
      </w:r>
    </w:p>
    <w:p w14:paraId="5C3ACED4" w14:textId="77777777" w:rsidR="00BE3F0D" w:rsidRDefault="005F45E3">
      <w:pPr>
        <w:tabs>
          <w:tab w:val="right" w:pos="9016"/>
        </w:tabs>
        <w:spacing w:after="100" w:line="480" w:lineRule="auto"/>
        <w:rPr>
          <w:sz w:val="24"/>
          <w:szCs w:val="24"/>
        </w:rPr>
      </w:pPr>
      <w:r>
        <w:rPr>
          <w:sz w:val="24"/>
          <w:szCs w:val="24"/>
        </w:rPr>
        <w:t xml:space="preserve">Organization for Economic Cooperation and Development [OECD] (2020) </w:t>
      </w:r>
      <w:r>
        <w:rPr>
          <w:i/>
          <w:iCs/>
          <w:sz w:val="24"/>
          <w:szCs w:val="24"/>
        </w:rPr>
        <w:t>Achieving the New Curriculum for Wales</w:t>
      </w:r>
      <w:r>
        <w:rPr>
          <w:sz w:val="24"/>
          <w:szCs w:val="24"/>
        </w:rPr>
        <w:t xml:space="preserve">. Available at: </w:t>
      </w:r>
      <w:hyperlink r:id="rId24">
        <w:r>
          <w:rPr>
            <w:color w:val="1155CC"/>
            <w:sz w:val="24"/>
            <w:szCs w:val="24"/>
            <w:u w:val="single"/>
          </w:rPr>
          <w:t>https://www.oecd.org/content/dam/oecd/en/publications/reports/2020/10/achieving-the-new-curriculum-for-wales_a717ca73/4b483953-en.pdf</w:t>
        </w:r>
      </w:hyperlink>
      <w:r>
        <w:rPr>
          <w:sz w:val="24"/>
          <w:szCs w:val="24"/>
        </w:rPr>
        <w:t xml:space="preserve"> (Accessed: 28 December 2025).</w:t>
      </w:r>
    </w:p>
    <w:p w14:paraId="5C3ACED5" w14:textId="77777777" w:rsidR="00BE3F0D" w:rsidRDefault="005F45E3">
      <w:pPr>
        <w:tabs>
          <w:tab w:val="right" w:pos="9016"/>
        </w:tabs>
        <w:spacing w:after="100" w:line="480" w:lineRule="auto"/>
        <w:rPr>
          <w:sz w:val="24"/>
          <w:szCs w:val="24"/>
        </w:rPr>
      </w:pPr>
      <w:r>
        <w:rPr>
          <w:sz w:val="24"/>
          <w:szCs w:val="24"/>
        </w:rPr>
        <w:lastRenderedPageBreak/>
        <w:t xml:space="preserve">Organization for Economic Cooperation and Development [OECD] (2024) </w:t>
      </w:r>
      <w:r>
        <w:rPr>
          <w:i/>
          <w:iCs/>
          <w:sz w:val="24"/>
          <w:szCs w:val="24"/>
        </w:rPr>
        <w:t>Programme for International Student Assessment (PISA)</w:t>
      </w:r>
      <w:r>
        <w:rPr>
          <w:sz w:val="24"/>
          <w:szCs w:val="24"/>
        </w:rPr>
        <w:t xml:space="preserve">. Available at: </w:t>
      </w:r>
      <w:hyperlink r:id="rId25">
        <w:r>
          <w:rPr>
            <w:color w:val="1155CC"/>
            <w:sz w:val="24"/>
            <w:szCs w:val="24"/>
            <w:u w:val="single"/>
          </w:rPr>
          <w:t>https://www.oecd.org/en/about/programmes/pisa.html</w:t>
        </w:r>
      </w:hyperlink>
      <w:r>
        <w:rPr>
          <w:sz w:val="24"/>
          <w:szCs w:val="24"/>
        </w:rPr>
        <w:t xml:space="preserve"> (Accessed: 28 December 2025).</w:t>
      </w:r>
    </w:p>
    <w:p w14:paraId="5C3ACED6" w14:textId="77777777" w:rsidR="00BE3F0D" w:rsidRDefault="005F45E3">
      <w:pPr>
        <w:tabs>
          <w:tab w:val="right" w:pos="9016"/>
        </w:tabs>
        <w:spacing w:after="100" w:line="480" w:lineRule="auto"/>
        <w:rPr>
          <w:sz w:val="24"/>
          <w:szCs w:val="24"/>
        </w:rPr>
      </w:pPr>
      <w:r>
        <w:rPr>
          <w:sz w:val="24"/>
          <w:szCs w:val="24"/>
        </w:rPr>
        <w:t xml:space="preserve">Priestley, M., and Minty, S. (2013) ‘Curriculum for Excellence: ‘A brilliant idea, but…’’, </w:t>
      </w:r>
      <w:r>
        <w:rPr>
          <w:i/>
          <w:iCs/>
          <w:sz w:val="24"/>
          <w:szCs w:val="24"/>
        </w:rPr>
        <w:t>Scottish Educational Review</w:t>
      </w:r>
      <w:r>
        <w:rPr>
          <w:sz w:val="24"/>
          <w:szCs w:val="24"/>
        </w:rPr>
        <w:t xml:space="preserve">, 45(1), pp. 39–52. Available at: </w:t>
      </w:r>
      <w:hyperlink r:id="rId26">
        <w:r>
          <w:rPr>
            <w:color w:val="1155CC"/>
            <w:sz w:val="24"/>
            <w:szCs w:val="24"/>
            <w:u w:val="single"/>
          </w:rPr>
          <w:t>https://doi.org/10.1163/27730840-04501005</w:t>
        </w:r>
      </w:hyperlink>
      <w:r>
        <w:rPr>
          <w:sz w:val="24"/>
          <w:szCs w:val="24"/>
        </w:rPr>
        <w:t xml:space="preserve">. </w:t>
      </w:r>
    </w:p>
    <w:p w14:paraId="5C3ACED7" w14:textId="77777777" w:rsidR="00BE3F0D" w:rsidRDefault="005F45E3">
      <w:pPr>
        <w:spacing w:line="480" w:lineRule="auto"/>
        <w:rPr>
          <w:sz w:val="24"/>
          <w:szCs w:val="24"/>
        </w:rPr>
      </w:pPr>
      <w:r>
        <w:rPr>
          <w:sz w:val="24"/>
          <w:szCs w:val="24"/>
        </w:rPr>
        <w:t xml:space="preserve">Punch, K. and Oancea, A. (2014) </w:t>
      </w:r>
      <w:r>
        <w:rPr>
          <w:i/>
          <w:iCs/>
          <w:sz w:val="24"/>
          <w:szCs w:val="24"/>
        </w:rPr>
        <w:t>Introduction to research methods in education</w:t>
      </w:r>
      <w:r>
        <w:rPr>
          <w:sz w:val="24"/>
          <w:szCs w:val="24"/>
        </w:rPr>
        <w:t>. 2nd edn. London, England: SAGE Publications Ltd.</w:t>
      </w:r>
    </w:p>
    <w:p w14:paraId="5C3ACED8" w14:textId="77777777" w:rsidR="00BE3F0D" w:rsidRDefault="005F45E3">
      <w:pPr>
        <w:tabs>
          <w:tab w:val="right" w:pos="9016"/>
        </w:tabs>
        <w:spacing w:after="100" w:line="480" w:lineRule="auto"/>
        <w:rPr>
          <w:sz w:val="24"/>
          <w:szCs w:val="24"/>
        </w:rPr>
      </w:pPr>
      <w:r>
        <w:rPr>
          <w:sz w:val="24"/>
          <w:szCs w:val="24"/>
        </w:rPr>
        <w:t xml:space="preserve">Robbins, A. (2021), </w:t>
      </w:r>
      <w:r>
        <w:rPr>
          <w:i/>
          <w:iCs/>
          <w:sz w:val="24"/>
          <w:szCs w:val="24"/>
        </w:rPr>
        <w:t xml:space="preserve">Middle Leadership Mastery. </w:t>
      </w:r>
      <w:r>
        <w:rPr>
          <w:sz w:val="24"/>
          <w:szCs w:val="24"/>
        </w:rPr>
        <w:t xml:space="preserve">Carmarthen, Wales: Crown House Publishing Limited. </w:t>
      </w:r>
    </w:p>
    <w:p w14:paraId="5C3ACED9" w14:textId="77777777" w:rsidR="00BE3F0D" w:rsidRDefault="005F45E3">
      <w:pPr>
        <w:tabs>
          <w:tab w:val="right" w:pos="9016"/>
        </w:tabs>
        <w:spacing w:after="100" w:line="480" w:lineRule="auto"/>
        <w:rPr>
          <w:sz w:val="24"/>
          <w:szCs w:val="24"/>
        </w:rPr>
      </w:pPr>
      <w:r>
        <w:rPr>
          <w:sz w:val="24"/>
          <w:szCs w:val="24"/>
        </w:rPr>
        <w:t xml:space="preserve">Russo, J., Kalogeropoulos, P., and Roche, A. (2023) ‘Exploring underachieving students’ views of, and attitudes towards, mathematics across stage of schooling’, </w:t>
      </w:r>
      <w:r>
        <w:rPr>
          <w:i/>
          <w:iCs/>
          <w:sz w:val="24"/>
          <w:szCs w:val="24"/>
        </w:rPr>
        <w:t>Asian Journal for Mathematics Education</w:t>
      </w:r>
      <w:r>
        <w:rPr>
          <w:sz w:val="24"/>
          <w:szCs w:val="24"/>
        </w:rPr>
        <w:t xml:space="preserve">. Available at: </w:t>
      </w:r>
      <w:hyperlink r:id="rId27">
        <w:r>
          <w:rPr>
            <w:color w:val="1155CC"/>
            <w:sz w:val="24"/>
            <w:szCs w:val="24"/>
            <w:u w:val="single"/>
          </w:rPr>
          <w:t>https://doi.org/10.1177/27527263231177435</w:t>
        </w:r>
      </w:hyperlink>
      <w:r>
        <w:rPr>
          <w:sz w:val="24"/>
          <w:szCs w:val="24"/>
        </w:rPr>
        <w:t xml:space="preserve"> </w:t>
      </w:r>
    </w:p>
    <w:p w14:paraId="5C3ACEDA" w14:textId="77777777" w:rsidR="00BE3F0D" w:rsidRDefault="005F45E3">
      <w:pPr>
        <w:tabs>
          <w:tab w:val="right" w:pos="9016"/>
        </w:tabs>
        <w:spacing w:after="100" w:line="480" w:lineRule="auto"/>
        <w:rPr>
          <w:sz w:val="24"/>
          <w:szCs w:val="24"/>
        </w:rPr>
      </w:pPr>
      <w:r>
        <w:rPr>
          <w:sz w:val="24"/>
          <w:szCs w:val="24"/>
        </w:rPr>
        <w:t xml:space="preserve">Sachdeva, S., and Eggen, P.-O. (2021) ‘Learners’ Critical Thinking About Learning Mathematics’, </w:t>
      </w:r>
      <w:r>
        <w:rPr>
          <w:i/>
          <w:iCs/>
          <w:sz w:val="24"/>
          <w:szCs w:val="24"/>
        </w:rPr>
        <w:t>International Electronic Journal of Mathematics Education</w:t>
      </w:r>
      <w:r>
        <w:rPr>
          <w:sz w:val="24"/>
          <w:szCs w:val="24"/>
        </w:rPr>
        <w:t xml:space="preserve">, 16(3), Available at: </w:t>
      </w:r>
      <w:hyperlink r:id="rId28">
        <w:r>
          <w:rPr>
            <w:color w:val="1155CC"/>
            <w:sz w:val="24"/>
            <w:szCs w:val="24"/>
            <w:u w:val="single"/>
          </w:rPr>
          <w:t>https://doi.org/10.29333/iejme/11003</w:t>
        </w:r>
      </w:hyperlink>
      <w:r>
        <w:rPr>
          <w:sz w:val="24"/>
          <w:szCs w:val="24"/>
        </w:rPr>
        <w:t xml:space="preserve"> </w:t>
      </w:r>
    </w:p>
    <w:p w14:paraId="5C3ACEDB" w14:textId="77777777" w:rsidR="00BE3F0D" w:rsidRDefault="005F45E3">
      <w:pPr>
        <w:tabs>
          <w:tab w:val="right" w:pos="9016"/>
        </w:tabs>
        <w:spacing w:after="100" w:line="480" w:lineRule="auto"/>
        <w:rPr>
          <w:sz w:val="24"/>
          <w:szCs w:val="24"/>
        </w:rPr>
      </w:pPr>
      <w:r>
        <w:rPr>
          <w:sz w:val="24"/>
          <w:szCs w:val="24"/>
        </w:rPr>
        <w:t xml:space="preserve">Sandal, A. K. and Sperle, A. K. (2024) ‘Students’ perspective on feedback in mathematics in high school’, </w:t>
      </w:r>
      <w:r>
        <w:rPr>
          <w:i/>
          <w:iCs/>
          <w:sz w:val="24"/>
          <w:szCs w:val="24"/>
        </w:rPr>
        <w:t>Cogent Education</w:t>
      </w:r>
      <w:r>
        <w:rPr>
          <w:sz w:val="24"/>
          <w:szCs w:val="24"/>
        </w:rPr>
        <w:t xml:space="preserve">, 11(1). Available at: </w:t>
      </w:r>
      <w:hyperlink r:id="rId29">
        <w:r>
          <w:rPr>
            <w:color w:val="1155CC"/>
            <w:sz w:val="24"/>
            <w:szCs w:val="24"/>
            <w:u w:val="single"/>
          </w:rPr>
          <w:t>https://doi.org/10.1080/2331186X.2024.2343523</w:t>
        </w:r>
      </w:hyperlink>
      <w:r>
        <w:rPr>
          <w:sz w:val="24"/>
          <w:szCs w:val="24"/>
        </w:rPr>
        <w:t xml:space="preserve"> </w:t>
      </w:r>
    </w:p>
    <w:p w14:paraId="5C3ACEDC" w14:textId="77777777" w:rsidR="00BE3F0D" w:rsidRDefault="005F45E3">
      <w:pPr>
        <w:spacing w:line="480" w:lineRule="auto"/>
        <w:rPr>
          <w:sz w:val="24"/>
          <w:szCs w:val="24"/>
        </w:rPr>
      </w:pPr>
      <w:r>
        <w:rPr>
          <w:sz w:val="24"/>
          <w:szCs w:val="24"/>
        </w:rPr>
        <w:t xml:space="preserve">Sherrington, T. (2017) </w:t>
      </w:r>
      <w:r>
        <w:rPr>
          <w:i/>
          <w:iCs/>
          <w:sz w:val="24"/>
          <w:szCs w:val="24"/>
        </w:rPr>
        <w:t>The learning rainforest: great teaching in real classrooms</w:t>
      </w:r>
      <w:r>
        <w:rPr>
          <w:sz w:val="24"/>
          <w:szCs w:val="24"/>
        </w:rPr>
        <w:t>. London: Hachette Learning.</w:t>
      </w:r>
    </w:p>
    <w:p w14:paraId="5C3ACEDD" w14:textId="77777777" w:rsidR="00BE3F0D" w:rsidRDefault="005F45E3">
      <w:pPr>
        <w:tabs>
          <w:tab w:val="right" w:pos="9016"/>
        </w:tabs>
        <w:spacing w:after="100" w:line="480" w:lineRule="auto"/>
        <w:rPr>
          <w:sz w:val="24"/>
          <w:szCs w:val="24"/>
        </w:rPr>
      </w:pPr>
      <w:r>
        <w:rPr>
          <w:sz w:val="24"/>
          <w:szCs w:val="24"/>
        </w:rPr>
        <w:lastRenderedPageBreak/>
        <w:t xml:space="preserve">Sinnema, C., Nieveen, N. and Priestley, M. (2020) ‘Successful futures, successful curriculum: What can Wales learn from international curriculum reforms?’, </w:t>
      </w:r>
      <w:r>
        <w:rPr>
          <w:i/>
          <w:iCs/>
          <w:sz w:val="24"/>
          <w:szCs w:val="24"/>
        </w:rPr>
        <w:t>Curriculum Journal</w:t>
      </w:r>
      <w:r>
        <w:rPr>
          <w:sz w:val="24"/>
          <w:szCs w:val="24"/>
        </w:rPr>
        <w:t xml:space="preserve">, 31(2), pp. 181–201. Available at: </w:t>
      </w:r>
      <w:hyperlink r:id="rId30">
        <w:r>
          <w:rPr>
            <w:color w:val="1155CC"/>
            <w:sz w:val="24"/>
            <w:szCs w:val="24"/>
            <w:u w:val="single"/>
          </w:rPr>
          <w:t>https://doi.org/10.1002/curj.17</w:t>
        </w:r>
      </w:hyperlink>
      <w:r>
        <w:rPr>
          <w:sz w:val="24"/>
          <w:szCs w:val="24"/>
        </w:rPr>
        <w:t xml:space="preserve"> </w:t>
      </w:r>
    </w:p>
    <w:p w14:paraId="5C3ACEDE" w14:textId="77777777" w:rsidR="00BE3F0D" w:rsidRDefault="005F45E3">
      <w:pPr>
        <w:spacing w:line="480" w:lineRule="auto"/>
        <w:rPr>
          <w:sz w:val="24"/>
          <w:szCs w:val="24"/>
        </w:rPr>
      </w:pPr>
      <w:r>
        <w:rPr>
          <w:sz w:val="24"/>
          <w:szCs w:val="24"/>
        </w:rPr>
        <w:t xml:space="preserve">Southall, E. (2017) </w:t>
      </w:r>
      <w:r>
        <w:rPr>
          <w:i/>
          <w:iCs/>
          <w:sz w:val="24"/>
          <w:szCs w:val="24"/>
        </w:rPr>
        <w:t xml:space="preserve">Yes but why? Teaching for understanding in mathematics. </w:t>
      </w:r>
      <w:r>
        <w:rPr>
          <w:sz w:val="24"/>
          <w:szCs w:val="24"/>
        </w:rPr>
        <w:t xml:space="preserve">London: Sage Publications Ltd. </w:t>
      </w:r>
    </w:p>
    <w:p w14:paraId="5C3ACEDF" w14:textId="77777777" w:rsidR="00BE3F0D" w:rsidRDefault="005F45E3">
      <w:pPr>
        <w:spacing w:line="480" w:lineRule="auto"/>
        <w:rPr>
          <w:sz w:val="24"/>
          <w:szCs w:val="24"/>
        </w:rPr>
      </w:pPr>
      <w:r>
        <w:rPr>
          <w:sz w:val="24"/>
          <w:szCs w:val="24"/>
        </w:rPr>
        <w:t xml:space="preserve">Thomas, D. R., &amp; Hodges, I. D. (2010) </w:t>
      </w:r>
      <w:r>
        <w:rPr>
          <w:i/>
          <w:iCs/>
          <w:sz w:val="24"/>
          <w:szCs w:val="24"/>
        </w:rPr>
        <w:t>Designing and managing your research project: Core skills for social and health research</w:t>
      </w:r>
      <w:r>
        <w:rPr>
          <w:sz w:val="24"/>
          <w:szCs w:val="24"/>
        </w:rPr>
        <w:t xml:space="preserve">. London, England: SAGE Publications. </w:t>
      </w:r>
    </w:p>
    <w:p w14:paraId="5C3ACEE0" w14:textId="77777777" w:rsidR="00BE3F0D" w:rsidRDefault="005F45E3">
      <w:pPr>
        <w:spacing w:line="480" w:lineRule="auto"/>
        <w:rPr>
          <w:sz w:val="24"/>
          <w:szCs w:val="24"/>
        </w:rPr>
      </w:pPr>
      <w:r>
        <w:rPr>
          <w:sz w:val="24"/>
          <w:szCs w:val="24"/>
        </w:rPr>
        <w:t xml:space="preserve">Thomas, H., Duggan, B., McAlister-Wilson, S., Roberts, L., Sinnema, C., Cole Jones, N. and Glover, A. (2023). </w:t>
      </w:r>
      <w:r>
        <w:rPr>
          <w:i/>
          <w:iCs/>
          <w:sz w:val="24"/>
          <w:szCs w:val="24"/>
        </w:rPr>
        <w:t>Research with schools on the early implementation of Curriculum for Wales: Wave 2 report</w:t>
      </w:r>
      <w:r>
        <w:rPr>
          <w:sz w:val="24"/>
          <w:szCs w:val="24"/>
        </w:rPr>
        <w:t xml:space="preserve">. GSR report number 88/2023. Available at: </w:t>
      </w:r>
      <w:hyperlink r:id="rId31">
        <w:r>
          <w:rPr>
            <w:color w:val="1155CC"/>
            <w:sz w:val="24"/>
            <w:szCs w:val="24"/>
            <w:u w:val="single"/>
          </w:rPr>
          <w:t>https://www.gov.wales/research-schools-and-learners-early-implementation-curriculum-wales-wave-2</w:t>
        </w:r>
      </w:hyperlink>
      <w:r>
        <w:rPr>
          <w:sz w:val="24"/>
          <w:szCs w:val="24"/>
        </w:rPr>
        <w:t xml:space="preserve"> (Accessed: 2 February 2026).</w:t>
      </w:r>
    </w:p>
    <w:p w14:paraId="5C3ACEE1" w14:textId="77777777" w:rsidR="00BE3F0D" w:rsidRDefault="005F45E3">
      <w:pPr>
        <w:spacing w:line="480" w:lineRule="auto"/>
        <w:rPr>
          <w:sz w:val="24"/>
          <w:szCs w:val="24"/>
        </w:rPr>
      </w:pPr>
      <w:r>
        <w:rPr>
          <w:sz w:val="24"/>
          <w:szCs w:val="24"/>
        </w:rPr>
        <w:t xml:space="preserve">Welsh Government. (2015) </w:t>
      </w:r>
      <w:r>
        <w:rPr>
          <w:i/>
          <w:iCs/>
          <w:sz w:val="24"/>
          <w:szCs w:val="24"/>
        </w:rPr>
        <w:t xml:space="preserve">Programme of Study for Mathematics Key Stages 2-4. </w:t>
      </w:r>
      <w:r>
        <w:rPr>
          <w:sz w:val="24"/>
          <w:szCs w:val="24"/>
        </w:rPr>
        <w:t xml:space="preserve">Available at: </w:t>
      </w:r>
      <w:hyperlink r:id="rId32">
        <w:r>
          <w:rPr>
            <w:color w:val="1155CC"/>
            <w:sz w:val="24"/>
            <w:szCs w:val="24"/>
            <w:u w:val="single"/>
          </w:rPr>
          <w:t>https://hwb.gov.wales/api/storage/e2aad4fc-faae-4054-a382-242d08ee2021/programme-of-study-for-mathematics.pdf</w:t>
        </w:r>
      </w:hyperlink>
      <w:r>
        <w:rPr>
          <w:sz w:val="24"/>
          <w:szCs w:val="24"/>
        </w:rPr>
        <w:t xml:space="preserve"> (Accessed: 12 April 2026).</w:t>
      </w:r>
    </w:p>
    <w:p w14:paraId="5C3ACEE2" w14:textId="77777777" w:rsidR="00BE3F0D" w:rsidRDefault="005F45E3">
      <w:pPr>
        <w:widowControl w:val="0"/>
        <w:spacing w:line="480" w:lineRule="auto"/>
        <w:rPr>
          <w:sz w:val="24"/>
          <w:szCs w:val="24"/>
        </w:rPr>
      </w:pPr>
      <w:r>
        <w:rPr>
          <w:sz w:val="24"/>
          <w:szCs w:val="24"/>
        </w:rPr>
        <w:t xml:space="preserve">Welsh Government. (2020a). </w:t>
      </w:r>
      <w:r>
        <w:rPr>
          <w:i/>
          <w:iCs/>
          <w:sz w:val="24"/>
          <w:szCs w:val="24"/>
        </w:rPr>
        <w:t>Introduction to curriculum for Wales guidance</w:t>
      </w:r>
      <w:r>
        <w:rPr>
          <w:sz w:val="24"/>
          <w:szCs w:val="24"/>
        </w:rPr>
        <w:t xml:space="preserve">. Welsh Government. Available at: </w:t>
      </w:r>
      <w:hyperlink r:id="rId33">
        <w:r>
          <w:rPr>
            <w:color w:val="1155CC"/>
            <w:sz w:val="24"/>
            <w:szCs w:val="24"/>
            <w:u w:val="single"/>
          </w:rPr>
          <w:t>https://hwb.gov.wales/curriculum-for-wales/introduction</w:t>
        </w:r>
      </w:hyperlink>
      <w:r>
        <w:rPr>
          <w:sz w:val="24"/>
          <w:szCs w:val="24"/>
        </w:rPr>
        <w:t xml:space="preserve"> (Accessed: 29 March 2026).</w:t>
      </w:r>
    </w:p>
    <w:p w14:paraId="5C3ACEE3" w14:textId="77777777" w:rsidR="00BE3F0D" w:rsidRDefault="005F45E3">
      <w:pPr>
        <w:spacing w:line="480" w:lineRule="auto"/>
        <w:rPr>
          <w:sz w:val="24"/>
          <w:szCs w:val="24"/>
        </w:rPr>
      </w:pPr>
      <w:r>
        <w:rPr>
          <w:sz w:val="24"/>
          <w:szCs w:val="24"/>
        </w:rPr>
        <w:t xml:space="preserve">Welsh Government. (2020b) </w:t>
      </w:r>
      <w:r>
        <w:rPr>
          <w:i/>
          <w:iCs/>
          <w:sz w:val="24"/>
          <w:szCs w:val="24"/>
        </w:rPr>
        <w:t xml:space="preserve">Mathematics and Numeracy. </w:t>
      </w:r>
      <w:r>
        <w:rPr>
          <w:sz w:val="24"/>
          <w:szCs w:val="24"/>
        </w:rPr>
        <w:t xml:space="preserve">Available at: </w:t>
      </w:r>
      <w:hyperlink r:id="rId34">
        <w:r>
          <w:rPr>
            <w:color w:val="1155CC"/>
            <w:sz w:val="24"/>
            <w:szCs w:val="24"/>
            <w:u w:val="single"/>
          </w:rPr>
          <w:t>https://hwb.gov.wales/curriculum-for-wales/mathematics-and-numeracy/</w:t>
        </w:r>
      </w:hyperlink>
      <w:r>
        <w:rPr>
          <w:sz w:val="24"/>
          <w:szCs w:val="24"/>
        </w:rPr>
        <w:t xml:space="preserve"> (Accessed: 29 March 2026).</w:t>
      </w:r>
    </w:p>
    <w:p w14:paraId="5C3ACEE4" w14:textId="77777777" w:rsidR="00BE3F0D" w:rsidRDefault="005F45E3">
      <w:pPr>
        <w:spacing w:line="480" w:lineRule="auto"/>
        <w:rPr>
          <w:sz w:val="24"/>
          <w:szCs w:val="24"/>
        </w:rPr>
      </w:pPr>
      <w:r>
        <w:rPr>
          <w:sz w:val="24"/>
          <w:szCs w:val="24"/>
        </w:rPr>
        <w:lastRenderedPageBreak/>
        <w:t xml:space="preserve">Welsh Government. (2022a) </w:t>
      </w:r>
      <w:r>
        <w:rPr>
          <w:i/>
          <w:iCs/>
          <w:sz w:val="24"/>
          <w:szCs w:val="24"/>
        </w:rPr>
        <w:t xml:space="preserve">3. Principles of Progression. </w:t>
      </w:r>
      <w:r>
        <w:rPr>
          <w:sz w:val="24"/>
          <w:szCs w:val="24"/>
        </w:rPr>
        <w:t xml:space="preserve">Available at: </w:t>
      </w:r>
      <w:hyperlink r:id="rId35">
        <w:r>
          <w:rPr>
            <w:color w:val="1155CC"/>
            <w:sz w:val="24"/>
            <w:szCs w:val="24"/>
            <w:u w:val="single"/>
          </w:rPr>
          <w:t>https://hwb.gov.wales/curriculum-for-wales/mathematics-and-numeracy/principles-of-progression/</w:t>
        </w:r>
      </w:hyperlink>
      <w:r>
        <w:rPr>
          <w:sz w:val="24"/>
          <w:szCs w:val="24"/>
        </w:rPr>
        <w:t xml:space="preserve"> (Accessed: 29 March 2026).</w:t>
      </w:r>
    </w:p>
    <w:p w14:paraId="5C3ACEE5" w14:textId="77777777" w:rsidR="00BE3F0D" w:rsidRDefault="005F45E3">
      <w:pPr>
        <w:spacing w:line="480" w:lineRule="auto"/>
        <w:rPr>
          <w:sz w:val="24"/>
          <w:szCs w:val="24"/>
        </w:rPr>
      </w:pPr>
      <w:r>
        <w:rPr>
          <w:sz w:val="24"/>
          <w:szCs w:val="24"/>
        </w:rPr>
        <w:t xml:space="preserve">Welsh Government. (2023). </w:t>
      </w:r>
      <w:r>
        <w:rPr>
          <w:i/>
          <w:iCs/>
          <w:sz w:val="24"/>
          <w:szCs w:val="24"/>
        </w:rPr>
        <w:t>Mathematics and numeracy plan 2023</w:t>
      </w:r>
      <w:r>
        <w:rPr>
          <w:sz w:val="24"/>
          <w:szCs w:val="24"/>
        </w:rPr>
        <w:t>. Available at: https://www.gov.wales/mathematics-and-numeracy-plan-2023-html (Accessed: 26 March 2026).</w:t>
      </w:r>
    </w:p>
    <w:p w14:paraId="5C3ACEE6" w14:textId="77777777" w:rsidR="00BE3F0D" w:rsidRDefault="005F45E3">
      <w:pPr>
        <w:spacing w:line="480" w:lineRule="auto"/>
        <w:rPr>
          <w:sz w:val="24"/>
          <w:szCs w:val="24"/>
        </w:rPr>
      </w:pPr>
      <w:r>
        <w:rPr>
          <w:sz w:val="24"/>
          <w:szCs w:val="24"/>
        </w:rPr>
        <w:t xml:space="preserve">Wood, B. E., &amp; Hughson, T. (2025) ‘A framework for analysis of curriculum pendulum swings: Comparing curriculum reform in England, Wales, and New Zealand’. </w:t>
      </w:r>
      <w:r>
        <w:rPr>
          <w:i/>
          <w:iCs/>
          <w:sz w:val="24"/>
          <w:szCs w:val="24"/>
        </w:rPr>
        <w:t>The Curriculum Journal</w:t>
      </w:r>
      <w:r>
        <w:rPr>
          <w:sz w:val="24"/>
          <w:szCs w:val="24"/>
        </w:rPr>
        <w:t xml:space="preserve">, pp. 1–15. Available at: </w:t>
      </w:r>
      <w:hyperlink r:id="rId36">
        <w:r>
          <w:rPr>
            <w:color w:val="1155CC"/>
            <w:sz w:val="24"/>
            <w:szCs w:val="24"/>
            <w:u w:val="single"/>
          </w:rPr>
          <w:t>https://doi.org/10.1002/curj.70008</w:t>
        </w:r>
      </w:hyperlink>
      <w:r>
        <w:rPr>
          <w:sz w:val="24"/>
          <w:szCs w:val="24"/>
        </w:rPr>
        <w:t xml:space="preserve"> </w:t>
      </w:r>
    </w:p>
    <w:p w14:paraId="5C3ACEE7" w14:textId="77777777" w:rsidR="00BE3F0D" w:rsidRDefault="00BE3F0D">
      <w:pPr>
        <w:keepNext/>
        <w:widowControl w:val="0"/>
        <w:spacing w:line="480" w:lineRule="auto"/>
        <w:rPr>
          <w:sz w:val="24"/>
          <w:szCs w:val="24"/>
        </w:rPr>
      </w:pPr>
    </w:p>
    <w:p w14:paraId="5C3ACEE8" w14:textId="77777777" w:rsidR="00BE3F0D" w:rsidRDefault="00BE3F0D">
      <w:pPr>
        <w:spacing w:line="480" w:lineRule="auto"/>
        <w:rPr>
          <w:highlight w:val="yellow"/>
        </w:rPr>
      </w:pPr>
    </w:p>
    <w:sectPr w:rsidR="00BE3F0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D9202DE-1033-40F9-8EF7-8AB688C1D363}"/>
  </w:font>
  <w:font w:name="Cambria">
    <w:panose1 w:val="02040503050406030204"/>
    <w:charset w:val="00"/>
    <w:family w:val="roman"/>
    <w:pitch w:val="variable"/>
    <w:sig w:usb0="E00006FF" w:usb1="420024FF" w:usb2="02000000" w:usb3="00000000" w:csb0="0000019F" w:csb1="00000000"/>
    <w:embedRegular r:id="rId2" w:fontKey="{D736DC45-ED3A-4306-8F31-B6596982A5E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0D4BBF"/>
    <w:multiLevelType w:val="multilevel"/>
    <w:tmpl w:val="5B16CF0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400590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F0D"/>
    <w:rsid w:val="002E6880"/>
    <w:rsid w:val="00654C8B"/>
    <w:rsid w:val="00BE3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ACE6C"/>
  <w15:docId w15:val="{C698A209-914C-40C5-A2AB-D17468722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outlineLvl w:val="1"/>
    </w:pPr>
    <w:rPr>
      <w:sz w:val="24"/>
      <w:szCs w:val="24"/>
    </w:rPr>
  </w:style>
  <w:style w:type="paragraph" w:styleId="Heading3">
    <w:name w:val="heading 3"/>
    <w:basedOn w:val="Normal"/>
    <w:next w:val="Normal"/>
    <w:uiPriority w:val="9"/>
    <w:semiHidden/>
    <w:unhideWhenUsed/>
    <w:qFormat/>
    <w:pPr>
      <w:keepNext/>
      <w:keepLines/>
      <w:spacing w:before="240" w:after="240"/>
      <w:outlineLvl w:val="2"/>
    </w:p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54C8B"/>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54C8B"/>
    <w:pPr>
      <w:spacing w:after="100"/>
    </w:pPr>
  </w:style>
  <w:style w:type="paragraph" w:styleId="TOC2">
    <w:name w:val="toc 2"/>
    <w:basedOn w:val="Normal"/>
    <w:next w:val="Normal"/>
    <w:autoRedefine/>
    <w:uiPriority w:val="39"/>
    <w:unhideWhenUsed/>
    <w:rsid w:val="00654C8B"/>
    <w:pPr>
      <w:spacing w:after="100"/>
      <w:ind w:left="220"/>
    </w:pPr>
  </w:style>
  <w:style w:type="character" w:styleId="Hyperlink">
    <w:name w:val="Hyperlink"/>
    <w:basedOn w:val="DefaultParagraphFont"/>
    <w:uiPriority w:val="99"/>
    <w:unhideWhenUsed/>
    <w:rsid w:val="00654C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nnual-report.estyn.gov.wales/2024-2/secondary/" TargetMode="External"/><Relationship Id="rId18" Type="http://schemas.openxmlformats.org/officeDocument/2006/relationships/hyperlink" Target="https://doi.org/10.1007/s13394-024-00500-5" TargetMode="External"/><Relationship Id="rId26" Type="http://schemas.openxmlformats.org/officeDocument/2006/relationships/hyperlink" Target="https://doi.org/10.1163/27730840-04501005" TargetMode="External"/><Relationship Id="rId21" Type="http://schemas.openxmlformats.org/officeDocument/2006/relationships/hyperlink" Target="https://bera-journals.onlinelibrary.wiley.com/doi/abs/10.1002/curj.15" TargetMode="External"/><Relationship Id="rId34" Type="http://schemas.openxmlformats.org/officeDocument/2006/relationships/hyperlink" Target="https://hwb.gov.wales/curriculum-for-wales/mathematics-and-numeracy/" TargetMode="External"/><Relationship Id="rId7" Type="http://schemas.openxmlformats.org/officeDocument/2006/relationships/image" Target="media/image2.png"/><Relationship Id="rId12" Type="http://schemas.openxmlformats.org/officeDocument/2006/relationships/hyperlink" Target="https://estyn.gov.wales/app/uploads/2025/06/Thematic-report-Unlocking-potential.-Insights-into-improving-teaching-and-leadership-in-mathematics-education.pdf" TargetMode="External"/><Relationship Id="rId17" Type="http://schemas.openxmlformats.org/officeDocument/2006/relationships/hyperlink" Target="https://doi.org/10.1080/20004508.2021.1995140" TargetMode="External"/><Relationship Id="rId25" Type="http://schemas.openxmlformats.org/officeDocument/2006/relationships/hyperlink" Target="https://www.oecd.org/en/about/programmes/pisa.html" TargetMode="External"/><Relationship Id="rId33" Type="http://schemas.openxmlformats.org/officeDocument/2006/relationships/hyperlink" Target="https://hwb.gov.wales/curriculum-for-wales/introductio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2/curj.26" TargetMode="External"/><Relationship Id="rId20" Type="http://schemas.openxmlformats.org/officeDocument/2006/relationships/hyperlink" Target="https://research-ebsco-com.ezproxy.uwtsd.ac.uk/c/onvpsy/viewer/pdf/paxeggms5z?route=details" TargetMode="External"/><Relationship Id="rId29" Type="http://schemas.openxmlformats.org/officeDocument/2006/relationships/hyperlink" Target="https://doi.org/10.1080/2331186X.2024.234352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andfonline.com/doi/full/10.1080/02607476.2024.2371308" TargetMode="External"/><Relationship Id="rId24" Type="http://schemas.openxmlformats.org/officeDocument/2006/relationships/hyperlink" Target="https://www.oecd.org/content/dam/oecd/en/publications/reports/2020/10/achieving-the-new-curriculum-for-wales_a717ca73/4b483953-en.pdf" TargetMode="External"/><Relationship Id="rId32" Type="http://schemas.openxmlformats.org/officeDocument/2006/relationships/hyperlink" Target="https://hwb.gov.wales/api/storage/e2aad4fc-faae-4054-a382-242d08ee2021/programme-of-study-for-mathematics.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2/curj.213" TargetMode="External"/><Relationship Id="rId23" Type="http://schemas.openxmlformats.org/officeDocument/2006/relationships/hyperlink" Target="https://gpseducation.oecd.org/Content/ProjectsMaterial/ImplementingEducationPolicies/Improving-schools-in-WalesAnOECDPerspective.pdf" TargetMode="External"/><Relationship Id="rId28" Type="http://schemas.openxmlformats.org/officeDocument/2006/relationships/hyperlink" Target="https://doi.org/10.29333/iejme/11003" TargetMode="External"/><Relationship Id="rId36" Type="http://schemas.openxmlformats.org/officeDocument/2006/relationships/hyperlink" Target="https://doi.org/10.1002/curj.70008" TargetMode="External"/><Relationship Id="rId10" Type="http://schemas.openxmlformats.org/officeDocument/2006/relationships/hyperlink" Target="https://www.gov.wales/sites/default/files/publications/2018-03/successful-futures.pdf" TargetMode="External"/><Relationship Id="rId19" Type="http://schemas.openxmlformats.org/officeDocument/2006/relationships/hyperlink" Target="https://doi.org/10.1007/s10649-012-9445-3" TargetMode="External"/><Relationship Id="rId31" Type="http://schemas.openxmlformats.org/officeDocument/2006/relationships/hyperlink" Target="https://www.gov.wales/research-schools-and-learners-early-implementation-curriculum-wales-wave-2" TargetMode="External"/><Relationship Id="rId4" Type="http://schemas.openxmlformats.org/officeDocument/2006/relationships/settings" Target="settings.xml"/><Relationship Id="rId9" Type="http://schemas.openxmlformats.org/officeDocument/2006/relationships/hyperlink" Target="https://bera-journals.onlinelibrary.wiley.com/doi/full/10.1002/curj.259" TargetMode="External"/><Relationship Id="rId14" Type="http://schemas.openxmlformats.org/officeDocument/2006/relationships/hyperlink" Target="https://doi.org/10.1080/20004508.2023.2297506" TargetMode="External"/><Relationship Id="rId22" Type="http://schemas.openxmlformats.org/officeDocument/2006/relationships/hyperlink" Target="https://geomaths.co.uk/2019/07/04/exciting-times-for-maths-teachers-in-wales/" TargetMode="External"/><Relationship Id="rId27" Type="http://schemas.openxmlformats.org/officeDocument/2006/relationships/hyperlink" Target="https://doi.org/10.1177/27527263231177435" TargetMode="External"/><Relationship Id="rId30" Type="http://schemas.openxmlformats.org/officeDocument/2006/relationships/hyperlink" Target="https://doi.org/10.1002/curj.17" TargetMode="External"/><Relationship Id="rId35" Type="http://schemas.openxmlformats.org/officeDocument/2006/relationships/hyperlink" Target="https://hwb.gov.wales/curriculum-for-wales/mathematics-and-numeracy/principles-of-progression/" TargetMode="External"/><Relationship Id="rId8" Type="http://schemas.openxmlformats.org/officeDocument/2006/relationships/hyperlink" Target="https://www.tandfonline.com/doi/full/10.1080/25742981.2022.2125816"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4C1DB-AF44-4FCC-9213-F135CAE0C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5067</Words>
  <Characters>28888</Characters>
  <Application>Microsoft Office Word</Application>
  <DocSecurity>0</DocSecurity>
  <Lines>240</Lines>
  <Paragraphs>67</Paragraphs>
  <ScaleCrop>false</ScaleCrop>
  <Company/>
  <LinksUpToDate>false</LinksUpToDate>
  <CharactersWithSpaces>33888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Owain Jones</cp:lastModifiedBy>
  <cp:revision>2</cp:revision>
  <dcterms:created xsi:type="dcterms:W3CDTF">2026-04-27T21:42:00Z</dcterms:created>
  <dcterms:modified xsi:type="dcterms:W3CDTF">2026-04-27T21:45:00Z</dcterms:modified>
</cp:coreProperties>
</file>