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444BD" w14:textId="492A25C5" w:rsidR="009E5352" w:rsidRDefault="00C022A7" w:rsidP="006A32DD">
      <w:pPr>
        <w:pStyle w:val="Heading1"/>
        <w:jc w:val="center"/>
      </w:pPr>
      <w:r>
        <w:t>Heidi Ohanlon</w:t>
      </w:r>
    </w:p>
    <w:p w14:paraId="6E703289" w14:textId="0414F522" w:rsidR="00C022A7" w:rsidRDefault="00C022A7" w:rsidP="006A32DD">
      <w:pPr>
        <w:pStyle w:val="Heading1"/>
        <w:jc w:val="center"/>
      </w:pPr>
      <w:r>
        <w:t>2237628</w:t>
      </w:r>
    </w:p>
    <w:p w14:paraId="63E69C3F" w14:textId="7DBCD3C4" w:rsidR="00C022A7" w:rsidRDefault="00C022A7" w:rsidP="006A32DD">
      <w:pPr>
        <w:pStyle w:val="Heading1"/>
        <w:jc w:val="center"/>
      </w:pPr>
      <w:r>
        <w:t>BMHP6030</w:t>
      </w:r>
    </w:p>
    <w:p w14:paraId="51787764" w14:textId="599647C1" w:rsidR="00C022A7" w:rsidRDefault="00C022A7" w:rsidP="006A32DD">
      <w:pPr>
        <w:pStyle w:val="Heading1"/>
        <w:jc w:val="center"/>
      </w:pPr>
      <w:r>
        <w:t>Health Wellbeing and Sustainable Development</w:t>
      </w:r>
    </w:p>
    <w:p w14:paraId="6EEDB358" w14:textId="42C759CB" w:rsidR="00C022A7" w:rsidRDefault="00C022A7" w:rsidP="006A32DD">
      <w:pPr>
        <w:pStyle w:val="Heading1"/>
        <w:jc w:val="center"/>
      </w:pPr>
      <w:r>
        <w:t>Parese Ahmed</w:t>
      </w:r>
    </w:p>
    <w:p w14:paraId="67256BBE" w14:textId="77777777" w:rsidR="00C022A7" w:rsidRDefault="00C022A7" w:rsidP="00C022A7"/>
    <w:p w14:paraId="0E496B1D" w14:textId="77777777" w:rsidR="00C022A7" w:rsidRDefault="00C022A7" w:rsidP="00C022A7"/>
    <w:p w14:paraId="399C18E6" w14:textId="77777777" w:rsidR="00C022A7" w:rsidRDefault="00C022A7" w:rsidP="00C022A7"/>
    <w:p w14:paraId="62657BB0" w14:textId="77777777" w:rsidR="00C022A7" w:rsidRDefault="00C022A7" w:rsidP="00C022A7"/>
    <w:p w14:paraId="42A9AEEC" w14:textId="77777777" w:rsidR="00C022A7" w:rsidRDefault="00C022A7" w:rsidP="00C022A7"/>
    <w:p w14:paraId="14241F32" w14:textId="77777777" w:rsidR="00C022A7" w:rsidRDefault="00C022A7" w:rsidP="00C022A7"/>
    <w:p w14:paraId="0EC10C15" w14:textId="77777777" w:rsidR="00C022A7" w:rsidRDefault="00C022A7" w:rsidP="00C022A7"/>
    <w:p w14:paraId="596E7EDE" w14:textId="77777777" w:rsidR="00C022A7" w:rsidRDefault="00C022A7" w:rsidP="00C022A7"/>
    <w:p w14:paraId="21E46C85" w14:textId="77777777" w:rsidR="00C022A7" w:rsidRDefault="00C022A7" w:rsidP="00C022A7"/>
    <w:p w14:paraId="273C0A27" w14:textId="77777777" w:rsidR="00C022A7" w:rsidRDefault="00C022A7" w:rsidP="00C022A7"/>
    <w:p w14:paraId="4E62270E" w14:textId="77777777" w:rsidR="00C022A7" w:rsidRDefault="00C022A7" w:rsidP="00C022A7"/>
    <w:p w14:paraId="41912857" w14:textId="77777777" w:rsidR="00C022A7" w:rsidRDefault="00C022A7" w:rsidP="00C022A7"/>
    <w:p w14:paraId="485BCA39" w14:textId="77777777" w:rsidR="00C022A7" w:rsidRDefault="00C022A7" w:rsidP="00C022A7"/>
    <w:p w14:paraId="6B6B1E14" w14:textId="77777777" w:rsidR="00C022A7" w:rsidRDefault="00C022A7" w:rsidP="00C022A7"/>
    <w:p w14:paraId="1A546905" w14:textId="77777777" w:rsidR="00C022A7" w:rsidRDefault="00C022A7" w:rsidP="00C022A7"/>
    <w:p w14:paraId="46677DEC" w14:textId="77777777" w:rsidR="00C022A7" w:rsidRDefault="00C022A7" w:rsidP="00C022A7"/>
    <w:p w14:paraId="14FC1D58" w14:textId="77777777" w:rsidR="00C022A7" w:rsidRDefault="00C022A7" w:rsidP="00C022A7"/>
    <w:p w14:paraId="0CA3DFC9" w14:textId="77777777" w:rsidR="00C022A7" w:rsidRDefault="00C022A7" w:rsidP="00C022A7"/>
    <w:p w14:paraId="1C35F12F" w14:textId="77777777" w:rsidR="00C022A7" w:rsidRDefault="00C022A7" w:rsidP="00C022A7"/>
    <w:p w14:paraId="2B136C01" w14:textId="77777777" w:rsidR="00C022A7" w:rsidRDefault="00C022A7" w:rsidP="00C022A7"/>
    <w:p w14:paraId="16FDA8C4" w14:textId="77777777" w:rsidR="00C022A7" w:rsidRDefault="00C022A7" w:rsidP="00C022A7"/>
    <w:p w14:paraId="3247635A" w14:textId="77777777" w:rsidR="00B8565E" w:rsidRDefault="00C022A7" w:rsidP="007D4AC7">
      <w:pPr>
        <w:pStyle w:val="NormalWeb"/>
        <w:spacing w:line="276" w:lineRule="auto"/>
        <w:jc w:val="both"/>
        <w:rPr>
          <w:rFonts w:ascii="Arial" w:hAnsi="Arial" w:cs="Arial"/>
          <w:sz w:val="22"/>
          <w:szCs w:val="22"/>
        </w:rPr>
      </w:pPr>
      <w:r w:rsidRPr="00B375CD">
        <w:rPr>
          <w:rFonts w:ascii="Arial" w:hAnsi="Arial" w:cs="Arial"/>
          <w:sz w:val="22"/>
          <w:szCs w:val="22"/>
        </w:rPr>
        <w:lastRenderedPageBreak/>
        <w:t>Introduction:</w:t>
      </w:r>
      <w:r w:rsidR="007D4AC7" w:rsidRPr="007D4AC7">
        <w:rPr>
          <w:rFonts w:ascii="Arial" w:hAnsi="Arial" w:cs="Arial"/>
          <w:sz w:val="22"/>
          <w:szCs w:val="22"/>
        </w:rPr>
        <w:t xml:space="preserve"> </w:t>
      </w:r>
    </w:p>
    <w:p w14:paraId="26E7E3F9" w14:textId="06EC616F" w:rsidR="007D4AC7" w:rsidRPr="00B375CD" w:rsidRDefault="007D4AC7" w:rsidP="007D4AC7">
      <w:pPr>
        <w:pStyle w:val="NormalWeb"/>
        <w:spacing w:line="276" w:lineRule="auto"/>
        <w:jc w:val="both"/>
        <w:rPr>
          <w:rFonts w:ascii="Arial" w:hAnsi="Arial" w:cs="Arial"/>
          <w:sz w:val="22"/>
          <w:szCs w:val="22"/>
        </w:rPr>
      </w:pPr>
      <w:r w:rsidRPr="00B375CD">
        <w:rPr>
          <w:rFonts w:ascii="Arial" w:hAnsi="Arial" w:cs="Arial"/>
          <w:sz w:val="22"/>
          <w:szCs w:val="22"/>
        </w:rPr>
        <w:t>This report focuses on the UK while situating findings in a global context, critically evaluating national and local initiatives</w:t>
      </w:r>
      <w:r w:rsidR="00B8565E">
        <w:rPr>
          <w:rFonts w:ascii="Arial" w:hAnsi="Arial" w:cs="Arial"/>
          <w:sz w:val="22"/>
          <w:szCs w:val="22"/>
        </w:rPr>
        <w:t xml:space="preserve">, </w:t>
      </w:r>
      <w:r w:rsidRPr="00B375CD">
        <w:rPr>
          <w:rFonts w:ascii="Arial" w:hAnsi="Arial" w:cs="Arial"/>
          <w:sz w:val="22"/>
          <w:szCs w:val="22"/>
        </w:rPr>
        <w:t xml:space="preserve">including </w:t>
      </w:r>
      <w:r w:rsidRPr="00B375CD">
        <w:rPr>
          <w:rStyle w:val="Strong"/>
          <w:rFonts w:ascii="Arial" w:eastAsiaTheme="majorEastAsia" w:hAnsi="Arial" w:cs="Arial"/>
          <w:b w:val="0"/>
          <w:bCs w:val="0"/>
          <w:sz w:val="22"/>
          <w:szCs w:val="22"/>
        </w:rPr>
        <w:t>NHS health programmes</w:t>
      </w:r>
      <w:r w:rsidR="006E148F">
        <w:rPr>
          <w:rStyle w:val="Strong"/>
          <w:rFonts w:ascii="Arial" w:eastAsiaTheme="majorEastAsia" w:hAnsi="Arial" w:cs="Arial"/>
          <w:b w:val="0"/>
          <w:bCs w:val="0"/>
          <w:sz w:val="22"/>
          <w:szCs w:val="22"/>
        </w:rPr>
        <w:t xml:space="preserve">, </w:t>
      </w:r>
      <w:r w:rsidRPr="00B375CD">
        <w:rPr>
          <w:rStyle w:val="Strong"/>
          <w:rFonts w:ascii="Arial" w:eastAsiaTheme="majorEastAsia" w:hAnsi="Arial" w:cs="Arial"/>
          <w:b w:val="0"/>
          <w:bCs w:val="0"/>
          <w:sz w:val="22"/>
          <w:szCs w:val="22"/>
        </w:rPr>
        <w:t xml:space="preserve">Birmingham’s Zero Waste </w:t>
      </w:r>
      <w:r w:rsidR="009B245D" w:rsidRPr="00B375CD">
        <w:rPr>
          <w:rStyle w:val="Strong"/>
          <w:rFonts w:ascii="Arial" w:eastAsiaTheme="majorEastAsia" w:hAnsi="Arial" w:cs="Arial"/>
          <w:b w:val="0"/>
          <w:bCs w:val="0"/>
          <w:sz w:val="22"/>
          <w:szCs w:val="22"/>
        </w:rPr>
        <w:t>Programme,</w:t>
      </w:r>
      <w:r w:rsidR="006E148F">
        <w:rPr>
          <w:rFonts w:ascii="Arial" w:hAnsi="Arial" w:cs="Arial"/>
          <w:sz w:val="22"/>
          <w:szCs w:val="22"/>
        </w:rPr>
        <w:t xml:space="preserve"> </w:t>
      </w:r>
      <w:r w:rsidRPr="00B375CD">
        <w:rPr>
          <w:rFonts w:ascii="Arial" w:hAnsi="Arial" w:cs="Arial"/>
          <w:sz w:val="22"/>
          <w:szCs w:val="22"/>
        </w:rPr>
        <w:t xml:space="preserve">and global initiatives such as the </w:t>
      </w:r>
      <w:r w:rsidRPr="00B375CD">
        <w:rPr>
          <w:rStyle w:val="Strong"/>
          <w:rFonts w:ascii="Arial" w:eastAsiaTheme="majorEastAsia" w:hAnsi="Arial" w:cs="Arial"/>
          <w:b w:val="0"/>
          <w:bCs w:val="0"/>
          <w:sz w:val="22"/>
          <w:szCs w:val="22"/>
        </w:rPr>
        <w:t>Global Fund,</w:t>
      </w:r>
      <w:r w:rsidRPr="00B375CD">
        <w:rPr>
          <w:rStyle w:val="Strong"/>
          <w:rFonts w:ascii="Arial" w:eastAsiaTheme="majorEastAsia" w:hAnsi="Arial" w:cs="Arial"/>
          <w:sz w:val="22"/>
          <w:szCs w:val="22"/>
        </w:rPr>
        <w:t xml:space="preserve"> </w:t>
      </w:r>
      <w:r w:rsidRPr="00B375CD">
        <w:rPr>
          <w:rStyle w:val="Strong"/>
          <w:rFonts w:ascii="Arial" w:eastAsiaTheme="majorEastAsia" w:hAnsi="Arial" w:cs="Arial"/>
          <w:b w:val="0"/>
          <w:bCs w:val="0"/>
          <w:sz w:val="22"/>
          <w:szCs w:val="22"/>
        </w:rPr>
        <w:t>Gavi, and WHO health partnerships</w:t>
      </w:r>
      <w:r w:rsidRPr="00B375CD">
        <w:rPr>
          <w:rFonts w:ascii="Arial" w:hAnsi="Arial" w:cs="Arial"/>
          <w:sz w:val="22"/>
          <w:szCs w:val="22"/>
        </w:rPr>
        <w:t>. The aims are to</w:t>
      </w:r>
      <w:r w:rsidR="006E148F">
        <w:rPr>
          <w:rFonts w:ascii="Arial" w:hAnsi="Arial" w:cs="Arial"/>
          <w:sz w:val="22"/>
          <w:szCs w:val="22"/>
        </w:rPr>
        <w:t xml:space="preserve"> </w:t>
      </w:r>
      <w:r w:rsidRPr="00B375CD">
        <w:rPr>
          <w:rFonts w:ascii="Arial" w:hAnsi="Arial" w:cs="Arial"/>
          <w:sz w:val="22"/>
          <w:szCs w:val="22"/>
        </w:rPr>
        <w:t>analyse policy and programme implementation at national, local, and global levels</w:t>
      </w:r>
      <w:r w:rsidR="006E148F">
        <w:rPr>
          <w:rFonts w:ascii="Arial" w:hAnsi="Arial" w:cs="Arial"/>
          <w:sz w:val="22"/>
          <w:szCs w:val="22"/>
        </w:rPr>
        <w:t xml:space="preserve">, </w:t>
      </w:r>
      <w:r w:rsidRPr="00B375CD">
        <w:rPr>
          <w:rFonts w:ascii="Arial" w:hAnsi="Arial" w:cs="Arial"/>
          <w:sz w:val="22"/>
          <w:szCs w:val="22"/>
        </w:rPr>
        <w:t>evaluate outcomes and limitations; and explore interconnections between health, sustainability, and social equity. The report is structured into an overview of both SDGs, critical evaluation of initiatives, discussion of challenges and evidence-informed recommendations, and a concluding section reflecting on wider implications for policy and practice.</w:t>
      </w:r>
    </w:p>
    <w:p w14:paraId="7911CD70" w14:textId="2921880C" w:rsidR="00C022A7" w:rsidRPr="00B375CD" w:rsidRDefault="00C022A7" w:rsidP="00B375CD">
      <w:pPr>
        <w:pStyle w:val="Heading2"/>
        <w:spacing w:line="276" w:lineRule="auto"/>
        <w:jc w:val="both"/>
        <w:rPr>
          <w:rFonts w:ascii="Arial" w:hAnsi="Arial" w:cs="Arial"/>
          <w:sz w:val="22"/>
          <w:szCs w:val="22"/>
        </w:rPr>
      </w:pPr>
    </w:p>
    <w:p w14:paraId="302F8550" w14:textId="13C557DB" w:rsidR="00DC4C65" w:rsidRPr="00AD08F5" w:rsidRDefault="002A52F0" w:rsidP="00B375CD">
      <w:pPr>
        <w:spacing w:line="276" w:lineRule="auto"/>
        <w:jc w:val="both"/>
        <w:rPr>
          <w:rFonts w:ascii="Arial" w:hAnsi="Arial" w:cs="Arial"/>
        </w:rPr>
      </w:pPr>
      <w:r w:rsidRPr="00AD08F5">
        <w:rPr>
          <w:rFonts w:ascii="Arial" w:hAnsi="Arial" w:cs="Arial"/>
        </w:rPr>
        <w:t xml:space="preserve">Sustainable development requires integrated approaches to health, wellbeing, and environmental sustainability. </w:t>
      </w:r>
      <w:r w:rsidRPr="00AD08F5">
        <w:rPr>
          <w:rStyle w:val="Strong"/>
          <w:rFonts w:ascii="Arial" w:hAnsi="Arial" w:cs="Arial"/>
          <w:b w:val="0"/>
          <w:bCs w:val="0"/>
        </w:rPr>
        <w:t>SDG 3 (Good Health and Well-Being)</w:t>
      </w:r>
      <w:r w:rsidRPr="00AD08F5">
        <w:rPr>
          <w:rFonts w:ascii="Arial" w:hAnsi="Arial" w:cs="Arial"/>
        </w:rPr>
        <w:t xml:space="preserve"> aims to ensure healthy lives globally by reducing diseases, improving healthcare access, and addressing social determinants of health (United Nations, 2015; World Health Organization, 2023). </w:t>
      </w:r>
      <w:r w:rsidRPr="00AD08F5">
        <w:rPr>
          <w:rStyle w:val="Strong"/>
          <w:rFonts w:ascii="Arial" w:hAnsi="Arial" w:cs="Arial"/>
          <w:b w:val="0"/>
          <w:bCs w:val="0"/>
        </w:rPr>
        <w:t>SDG 12 (Responsible</w:t>
      </w:r>
      <w:r w:rsidRPr="00AD08F5">
        <w:rPr>
          <w:rStyle w:val="Strong"/>
          <w:rFonts w:ascii="Arial" w:hAnsi="Arial" w:cs="Arial"/>
        </w:rPr>
        <w:t xml:space="preserve"> </w:t>
      </w:r>
      <w:r w:rsidRPr="00AD08F5">
        <w:rPr>
          <w:rStyle w:val="Strong"/>
          <w:rFonts w:ascii="Arial" w:hAnsi="Arial" w:cs="Arial"/>
          <w:b w:val="0"/>
          <w:bCs w:val="0"/>
        </w:rPr>
        <w:t>Consumption and Production)</w:t>
      </w:r>
      <w:r w:rsidRPr="00AD08F5">
        <w:rPr>
          <w:rFonts w:ascii="Arial" w:hAnsi="Arial" w:cs="Arial"/>
        </w:rPr>
        <w:t xml:space="preserve"> promotes sustainable resource use, waste reduction, and circular economy practices, affecting both environmental quality and human health (DEFRA, 2018; United Nations, 2015). Implementation of both SDGs is shaped by political priorities, economic resources, and socio-economic inequalities, as policy decisions, funding allocation, and social determinants influence access to healthcare, sustainable services, and community engagement across the UK and globally (Marmot et al., 2020; DEFRA, 2018</w:t>
      </w:r>
      <w:r w:rsidR="00C2069E" w:rsidRPr="00AD08F5">
        <w:rPr>
          <w:rFonts w:ascii="Arial" w:hAnsi="Arial" w:cs="Arial"/>
        </w:rPr>
        <w:t>.</w:t>
      </w:r>
    </w:p>
    <w:p w14:paraId="780A2B72" w14:textId="77777777" w:rsidR="00C00766" w:rsidRPr="00B375CD" w:rsidRDefault="00C00766" w:rsidP="00B375CD">
      <w:pPr>
        <w:spacing w:line="276" w:lineRule="auto"/>
        <w:jc w:val="both"/>
        <w:rPr>
          <w:rFonts w:ascii="Arial" w:hAnsi="Arial" w:cs="Arial"/>
        </w:rPr>
      </w:pPr>
    </w:p>
    <w:p w14:paraId="45E72B45" w14:textId="771BA729" w:rsidR="00C022A7" w:rsidRPr="00B375CD" w:rsidRDefault="00C022A7" w:rsidP="00B375CD">
      <w:pPr>
        <w:pStyle w:val="Heading2"/>
        <w:spacing w:line="276" w:lineRule="auto"/>
        <w:jc w:val="both"/>
        <w:rPr>
          <w:rFonts w:ascii="Arial" w:hAnsi="Arial" w:cs="Arial"/>
          <w:sz w:val="22"/>
          <w:szCs w:val="22"/>
        </w:rPr>
      </w:pPr>
      <w:r w:rsidRPr="00B375CD">
        <w:rPr>
          <w:rFonts w:ascii="Arial" w:hAnsi="Arial" w:cs="Arial"/>
          <w:sz w:val="22"/>
          <w:szCs w:val="22"/>
        </w:rPr>
        <w:t>Section 1:</w:t>
      </w:r>
    </w:p>
    <w:p w14:paraId="078AEEE7" w14:textId="0D223D15" w:rsidR="00E71646" w:rsidRPr="00B375CD" w:rsidRDefault="00E71646" w:rsidP="00B375CD">
      <w:pPr>
        <w:spacing w:line="276" w:lineRule="auto"/>
        <w:jc w:val="both"/>
        <w:rPr>
          <w:rFonts w:ascii="Arial" w:hAnsi="Arial" w:cs="Arial"/>
        </w:rPr>
      </w:pPr>
      <w:r w:rsidRPr="00B375CD">
        <w:rPr>
          <w:rStyle w:val="Strong"/>
          <w:rFonts w:ascii="Arial" w:hAnsi="Arial" w:cs="Arial"/>
          <w:b w:val="0"/>
          <w:bCs w:val="0"/>
        </w:rPr>
        <w:t>SDG 3 (Good Health and Well-Being)</w:t>
      </w:r>
      <w:r w:rsidRPr="00B375CD">
        <w:rPr>
          <w:rFonts w:ascii="Arial" w:hAnsi="Arial" w:cs="Arial"/>
        </w:rPr>
        <w:t xml:space="preserve"> aims to ensure healthy lives and promote well-being for all at all ages by reducing maternal and child mortality, combating communicable and non-communicable diseases, achieving universal health coverage, and strengthening health systems globally (United Nations, 2015; World Health Organization, 2023).</w:t>
      </w:r>
    </w:p>
    <w:p w14:paraId="7B1369D6" w14:textId="77777777" w:rsidR="00E71646" w:rsidRPr="00B375CD" w:rsidRDefault="00E71646" w:rsidP="00B375CD">
      <w:pPr>
        <w:pStyle w:val="NormalWeb"/>
        <w:spacing w:line="276" w:lineRule="auto"/>
        <w:jc w:val="both"/>
        <w:rPr>
          <w:rFonts w:ascii="Arial" w:hAnsi="Arial" w:cs="Arial"/>
          <w:sz w:val="22"/>
          <w:szCs w:val="22"/>
        </w:rPr>
      </w:pPr>
      <w:r w:rsidRPr="00B375CD">
        <w:rPr>
          <w:rStyle w:val="Strong"/>
          <w:rFonts w:ascii="Arial" w:eastAsiaTheme="majorEastAsia" w:hAnsi="Arial" w:cs="Arial"/>
          <w:sz w:val="22"/>
          <w:szCs w:val="22"/>
        </w:rPr>
        <w:t>Global</w:t>
      </w:r>
      <w:r w:rsidRPr="00B375CD">
        <w:rPr>
          <w:rFonts w:ascii="Arial" w:hAnsi="Arial" w:cs="Arial"/>
          <w:sz w:val="22"/>
          <w:szCs w:val="22"/>
        </w:rPr>
        <w:br/>
        <w:t>United Nations Sustainable Development Goal 3 (SDG 3) aims to ensure healthy lives and promote well-being for all at all ages. Adopted in 2015 as part of the 2030 Agenda, SDG 3 focuses on reducing maternal mortality, ending preventable deaths of newborns and children, combating communicable diseases such as HIV/AIDS and malaria, and reducing non-communicable diseases worldwide (United Nations, 2015). It also promotes universal health coverage, access to safe medicines and vaccines, and strengthening health systems, particularly in developing countries (World Health Organization, 2023).</w:t>
      </w:r>
    </w:p>
    <w:p w14:paraId="32D02650" w14:textId="77777777" w:rsidR="00E71646" w:rsidRPr="00B375CD" w:rsidRDefault="00E71646" w:rsidP="00B375CD">
      <w:pPr>
        <w:pStyle w:val="NormalWeb"/>
        <w:spacing w:line="276" w:lineRule="auto"/>
        <w:jc w:val="both"/>
        <w:rPr>
          <w:rFonts w:ascii="Arial" w:hAnsi="Arial" w:cs="Arial"/>
          <w:sz w:val="22"/>
          <w:szCs w:val="22"/>
        </w:rPr>
      </w:pPr>
      <w:r w:rsidRPr="00B375CD">
        <w:rPr>
          <w:rStyle w:val="Strong"/>
          <w:rFonts w:ascii="Arial" w:eastAsiaTheme="majorEastAsia" w:hAnsi="Arial" w:cs="Arial"/>
          <w:sz w:val="22"/>
          <w:szCs w:val="22"/>
        </w:rPr>
        <w:t>National (UK)</w:t>
      </w:r>
      <w:r w:rsidRPr="00B375CD">
        <w:rPr>
          <w:rFonts w:ascii="Arial" w:hAnsi="Arial" w:cs="Arial"/>
          <w:sz w:val="22"/>
          <w:szCs w:val="22"/>
        </w:rPr>
        <w:br/>
        <w:t xml:space="preserve">In the UK, SDG 3 is reflected through the </w:t>
      </w:r>
      <w:r w:rsidRPr="00B375CD">
        <w:rPr>
          <w:rStyle w:val="Strong"/>
          <w:rFonts w:ascii="Arial" w:eastAsiaTheme="majorEastAsia" w:hAnsi="Arial" w:cs="Arial"/>
          <w:b w:val="0"/>
          <w:bCs w:val="0"/>
          <w:sz w:val="22"/>
          <w:szCs w:val="22"/>
        </w:rPr>
        <w:t>National Health Service (NHS)</w:t>
      </w:r>
      <w:r w:rsidRPr="00B375CD">
        <w:rPr>
          <w:rFonts w:ascii="Arial" w:hAnsi="Arial" w:cs="Arial"/>
          <w:b/>
          <w:bCs/>
          <w:sz w:val="22"/>
          <w:szCs w:val="22"/>
        </w:rPr>
        <w:t>,</w:t>
      </w:r>
      <w:r w:rsidRPr="00B375CD">
        <w:rPr>
          <w:rFonts w:ascii="Arial" w:hAnsi="Arial" w:cs="Arial"/>
          <w:sz w:val="22"/>
          <w:szCs w:val="22"/>
        </w:rPr>
        <w:t xml:space="preserve"> which provides universal health coverage and access to essential healthcare services. National priorities include reducing health inequalities, managing chronic diseases, improving maternal and child health, and promoting public health interventions such as vaccination programmes and smoking cessation (The King’s Fund, 2023; NHS England, 2023).</w:t>
      </w:r>
    </w:p>
    <w:p w14:paraId="765A905E" w14:textId="77777777" w:rsidR="00E71646" w:rsidRPr="00B375CD" w:rsidRDefault="00E71646" w:rsidP="00B375CD">
      <w:pPr>
        <w:pStyle w:val="NormalWeb"/>
        <w:spacing w:line="276" w:lineRule="auto"/>
        <w:jc w:val="both"/>
        <w:rPr>
          <w:rFonts w:ascii="Arial" w:hAnsi="Arial" w:cs="Arial"/>
          <w:sz w:val="22"/>
          <w:szCs w:val="22"/>
        </w:rPr>
      </w:pPr>
      <w:r w:rsidRPr="00B375CD">
        <w:rPr>
          <w:rStyle w:val="Strong"/>
          <w:rFonts w:ascii="Arial" w:eastAsiaTheme="majorEastAsia" w:hAnsi="Arial" w:cs="Arial"/>
          <w:sz w:val="22"/>
          <w:szCs w:val="22"/>
        </w:rPr>
        <w:lastRenderedPageBreak/>
        <w:t>Local (Birmingham)</w:t>
      </w:r>
      <w:r w:rsidRPr="00B375CD">
        <w:rPr>
          <w:rFonts w:ascii="Arial" w:hAnsi="Arial" w:cs="Arial"/>
          <w:sz w:val="22"/>
          <w:szCs w:val="22"/>
        </w:rPr>
        <w:br/>
        <w:t xml:space="preserve">At the local level, Birmingham implements public health initiatives targeting SDG 3 objectives, including community-based vaccination drives, </w:t>
      </w:r>
      <w:r w:rsidRPr="00B375CD">
        <w:rPr>
          <w:rStyle w:val="Strong"/>
          <w:rFonts w:ascii="Arial" w:eastAsiaTheme="majorEastAsia" w:hAnsi="Arial" w:cs="Arial"/>
          <w:b w:val="0"/>
          <w:bCs w:val="0"/>
          <w:sz w:val="22"/>
          <w:szCs w:val="22"/>
        </w:rPr>
        <w:t>smoking cessation programmes</w:t>
      </w:r>
      <w:r w:rsidRPr="00B375CD">
        <w:rPr>
          <w:rFonts w:ascii="Arial" w:hAnsi="Arial" w:cs="Arial"/>
          <w:b/>
          <w:bCs/>
          <w:sz w:val="22"/>
          <w:szCs w:val="22"/>
        </w:rPr>
        <w:t>,</w:t>
      </w:r>
      <w:r w:rsidRPr="00B375CD">
        <w:rPr>
          <w:rFonts w:ascii="Arial" w:hAnsi="Arial" w:cs="Arial"/>
          <w:sz w:val="22"/>
          <w:szCs w:val="22"/>
        </w:rPr>
        <w:t xml:space="preserve"> obesity prevention, and health promotion campaigns. Despite these efforts, socio-economic disparities contribute to differences in life expectancy and disease prevalence across wards, highlighting ongoing local health inequalities (Birmingham City Council, 2022).</w:t>
      </w:r>
    </w:p>
    <w:p w14:paraId="12106D1A" w14:textId="77777777" w:rsidR="00E71646" w:rsidRPr="00B375CD" w:rsidRDefault="00E71646" w:rsidP="00B375CD">
      <w:pPr>
        <w:pStyle w:val="NormalWeb"/>
        <w:spacing w:line="276" w:lineRule="auto"/>
        <w:jc w:val="both"/>
        <w:rPr>
          <w:rFonts w:ascii="Arial" w:hAnsi="Arial" w:cs="Arial"/>
          <w:sz w:val="22"/>
          <w:szCs w:val="22"/>
        </w:rPr>
      </w:pPr>
    </w:p>
    <w:p w14:paraId="1BB4214A" w14:textId="3B0A37B2" w:rsidR="00BE07FA" w:rsidRPr="00B375CD" w:rsidRDefault="00BE07FA" w:rsidP="00B375CD">
      <w:pPr>
        <w:spacing w:before="100" w:beforeAutospacing="1" w:after="100" w:afterAutospacing="1" w:line="276" w:lineRule="auto"/>
        <w:jc w:val="both"/>
        <w:rPr>
          <w:rFonts w:ascii="Arial" w:hAnsi="Arial" w:cs="Arial"/>
        </w:rPr>
      </w:pPr>
      <w:r w:rsidRPr="00B375CD">
        <w:rPr>
          <w:rFonts w:ascii="Arial" w:hAnsi="Arial" w:cs="Arial"/>
        </w:rPr>
        <w:t xml:space="preserve">Global health policies under SDG 3 provide frameworks to improve health outcomes but face implementation challenges. The </w:t>
      </w:r>
      <w:r w:rsidRPr="002F0DE8">
        <w:rPr>
          <w:rStyle w:val="Strong"/>
          <w:rFonts w:ascii="Arial" w:hAnsi="Arial" w:cs="Arial"/>
          <w:b w:val="0"/>
          <w:bCs w:val="0"/>
        </w:rPr>
        <w:t>International Health Regulations (IHR)</w:t>
      </w:r>
      <w:r w:rsidRPr="00B375CD">
        <w:rPr>
          <w:rFonts w:ascii="Arial" w:hAnsi="Arial" w:cs="Arial"/>
        </w:rPr>
        <w:t xml:space="preserve"> guide disease surveillance and outbreak response, yet disparities in compliance limit effectiveness (World Health Organization, 2023). The </w:t>
      </w:r>
      <w:r w:rsidRPr="002F0DE8">
        <w:rPr>
          <w:rStyle w:val="Strong"/>
          <w:rFonts w:ascii="Arial" w:hAnsi="Arial" w:cs="Arial"/>
          <w:b w:val="0"/>
          <w:bCs w:val="0"/>
        </w:rPr>
        <w:t>Global Strategy for Women’s, Children’s and</w:t>
      </w:r>
      <w:r w:rsidRPr="00B375CD">
        <w:rPr>
          <w:rStyle w:val="Strong"/>
          <w:rFonts w:ascii="Arial" w:hAnsi="Arial" w:cs="Arial"/>
        </w:rPr>
        <w:t xml:space="preserve"> </w:t>
      </w:r>
      <w:r w:rsidRPr="002F0DE8">
        <w:rPr>
          <w:rStyle w:val="Strong"/>
          <w:rFonts w:ascii="Arial" w:hAnsi="Arial" w:cs="Arial"/>
          <w:b w:val="0"/>
          <w:bCs w:val="0"/>
        </w:rPr>
        <w:t>Adolescents’ Health</w:t>
      </w:r>
      <w:r w:rsidRPr="00B375CD">
        <w:rPr>
          <w:rFonts w:ascii="Arial" w:hAnsi="Arial" w:cs="Arial"/>
        </w:rPr>
        <w:t xml:space="preserve"> </w:t>
      </w:r>
      <w:r w:rsidR="00B90009" w:rsidRPr="00B375CD">
        <w:rPr>
          <w:rFonts w:ascii="Arial" w:hAnsi="Arial" w:cs="Arial"/>
        </w:rPr>
        <w:t>have</w:t>
      </w:r>
      <w:r w:rsidRPr="00B375CD">
        <w:rPr>
          <w:rFonts w:ascii="Arial" w:hAnsi="Arial" w:cs="Arial"/>
        </w:rPr>
        <w:t xml:space="preserve"> improved maternal and child health through coordinated funding, but inequities persist in low-resource settings (United Nations, 2016). </w:t>
      </w:r>
      <w:r w:rsidRPr="002F0DE8">
        <w:rPr>
          <w:rStyle w:val="Strong"/>
          <w:rFonts w:ascii="Arial" w:hAnsi="Arial" w:cs="Arial"/>
          <w:b w:val="0"/>
          <w:bCs w:val="0"/>
        </w:rPr>
        <w:t xml:space="preserve">UNICEF reports that </w:t>
      </w:r>
      <w:r w:rsidR="00E8326E" w:rsidRPr="002F0DE8">
        <w:rPr>
          <w:rStyle w:val="Strong"/>
          <w:rFonts w:ascii="Arial" w:hAnsi="Arial" w:cs="Arial"/>
          <w:b w:val="0"/>
          <w:bCs w:val="0"/>
        </w:rPr>
        <w:t>5</w:t>
      </w:r>
      <w:r w:rsidRPr="002F0DE8">
        <w:rPr>
          <w:rStyle w:val="Strong"/>
          <w:rFonts w:ascii="Arial" w:hAnsi="Arial" w:cs="Arial"/>
          <w:b w:val="0"/>
          <w:bCs w:val="0"/>
        </w:rPr>
        <w:t xml:space="preserve"> million children under five </w:t>
      </w:r>
      <w:r w:rsidR="00B90009" w:rsidRPr="002F0DE8">
        <w:rPr>
          <w:rStyle w:val="Strong"/>
          <w:rFonts w:ascii="Arial" w:hAnsi="Arial" w:cs="Arial"/>
          <w:b w:val="0"/>
          <w:bCs w:val="0"/>
        </w:rPr>
        <w:t>dies</w:t>
      </w:r>
      <w:r w:rsidRPr="002F0DE8">
        <w:rPr>
          <w:rStyle w:val="Strong"/>
          <w:rFonts w:ascii="Arial" w:hAnsi="Arial" w:cs="Arial"/>
          <w:b w:val="0"/>
          <w:bCs w:val="0"/>
        </w:rPr>
        <w:t xml:space="preserve"> annually from preventable causes</w:t>
      </w:r>
      <w:r w:rsidRPr="00B375CD">
        <w:rPr>
          <w:rFonts w:ascii="Arial" w:hAnsi="Arial" w:cs="Arial"/>
        </w:rPr>
        <w:t xml:space="preserve">, highlighting the urgency of equitable health interventions (UNICEF, 2023). Policies promoting universal health coverage strengthen health systems, yet gaps in financing, workforce, and infrastructure hinder full potential. </w:t>
      </w:r>
    </w:p>
    <w:p w14:paraId="0D278424" w14:textId="40050596" w:rsidR="00BE07FA" w:rsidRPr="00B375CD" w:rsidRDefault="00BE07FA" w:rsidP="00B375CD">
      <w:pPr>
        <w:spacing w:before="100" w:beforeAutospacing="1" w:after="100" w:afterAutospacing="1" w:line="276" w:lineRule="auto"/>
        <w:jc w:val="both"/>
        <w:rPr>
          <w:rFonts w:ascii="Arial" w:hAnsi="Arial" w:cs="Arial"/>
        </w:rPr>
      </w:pPr>
      <w:r w:rsidRPr="00B375CD">
        <w:rPr>
          <w:rFonts w:ascii="Arial" w:hAnsi="Arial" w:cs="Arial"/>
        </w:rPr>
        <w:t xml:space="preserve">Global initiatives such as </w:t>
      </w:r>
      <w:r w:rsidRPr="002F0DE8">
        <w:rPr>
          <w:rFonts w:ascii="Arial" w:hAnsi="Arial" w:cs="Arial"/>
        </w:rPr>
        <w:t>the</w:t>
      </w:r>
      <w:r w:rsidRPr="002F0DE8">
        <w:rPr>
          <w:rFonts w:ascii="Arial" w:hAnsi="Arial" w:cs="Arial"/>
          <w:b/>
          <w:bCs/>
        </w:rPr>
        <w:t xml:space="preserve"> </w:t>
      </w:r>
      <w:r w:rsidRPr="002F0DE8">
        <w:rPr>
          <w:rStyle w:val="Strong"/>
          <w:rFonts w:ascii="Arial" w:hAnsi="Arial" w:cs="Arial"/>
          <w:b w:val="0"/>
          <w:bCs w:val="0"/>
        </w:rPr>
        <w:t>Global Fund</w:t>
      </w:r>
      <w:r w:rsidRPr="002F0DE8">
        <w:rPr>
          <w:rFonts w:ascii="Arial" w:hAnsi="Arial" w:cs="Arial"/>
          <w:b/>
          <w:bCs/>
        </w:rPr>
        <w:t xml:space="preserve">, </w:t>
      </w:r>
      <w:r w:rsidRPr="002F0DE8">
        <w:rPr>
          <w:rStyle w:val="Strong"/>
          <w:rFonts w:ascii="Arial" w:hAnsi="Arial" w:cs="Arial"/>
          <w:b w:val="0"/>
          <w:bCs w:val="0"/>
        </w:rPr>
        <w:t>Gavi</w:t>
      </w:r>
      <w:r w:rsidRPr="00B375CD">
        <w:rPr>
          <w:rFonts w:ascii="Arial" w:hAnsi="Arial" w:cs="Arial"/>
        </w:rPr>
        <w:t xml:space="preserve">, and </w:t>
      </w:r>
      <w:r w:rsidRPr="002F0DE8">
        <w:rPr>
          <w:rFonts w:ascii="Arial" w:hAnsi="Arial" w:cs="Arial"/>
        </w:rPr>
        <w:t>the</w:t>
      </w:r>
      <w:r w:rsidRPr="002F0DE8">
        <w:rPr>
          <w:rFonts w:ascii="Arial" w:hAnsi="Arial" w:cs="Arial"/>
          <w:b/>
          <w:bCs/>
        </w:rPr>
        <w:t xml:space="preserve"> </w:t>
      </w:r>
      <w:r w:rsidRPr="002F0DE8">
        <w:rPr>
          <w:rStyle w:val="Strong"/>
          <w:rFonts w:ascii="Arial" w:hAnsi="Arial" w:cs="Arial"/>
          <w:b w:val="0"/>
          <w:bCs w:val="0"/>
        </w:rPr>
        <w:t>WHO Universal Health Coverage Partnership</w:t>
      </w:r>
      <w:r w:rsidRPr="00B375CD">
        <w:rPr>
          <w:rFonts w:ascii="Arial" w:hAnsi="Arial" w:cs="Arial"/>
        </w:rPr>
        <w:t xml:space="preserve"> have reduced disease burden and increased vaccine access, but funding shortfalls, inequitable access, and systemic weaknesses continue to limit long-term impact (The Global Fund, 2023; Gavi, 2023; World Health Organization, 2023).</w:t>
      </w:r>
    </w:p>
    <w:p w14:paraId="589A866A" w14:textId="49FE41EE" w:rsidR="0017640E" w:rsidRPr="00B375CD" w:rsidRDefault="0017640E" w:rsidP="00B375CD">
      <w:pPr>
        <w:pStyle w:val="NormalWeb"/>
        <w:spacing w:line="276" w:lineRule="auto"/>
        <w:jc w:val="both"/>
        <w:rPr>
          <w:rFonts w:ascii="Arial" w:hAnsi="Arial" w:cs="Arial"/>
          <w:sz w:val="22"/>
          <w:szCs w:val="22"/>
        </w:rPr>
      </w:pPr>
      <w:r w:rsidRPr="00B375CD">
        <w:rPr>
          <w:rFonts w:ascii="Arial" w:hAnsi="Arial" w:cs="Arial"/>
          <w:sz w:val="22"/>
          <w:szCs w:val="22"/>
        </w:rPr>
        <w:t xml:space="preserve">National and local implementation of </w:t>
      </w:r>
      <w:r w:rsidRPr="00AF2B74">
        <w:rPr>
          <w:rStyle w:val="Strong"/>
          <w:rFonts w:ascii="Arial" w:eastAsiaTheme="majorEastAsia" w:hAnsi="Arial" w:cs="Arial"/>
          <w:b w:val="0"/>
          <w:bCs w:val="0"/>
          <w:sz w:val="22"/>
          <w:szCs w:val="22"/>
        </w:rPr>
        <w:t>SDG 3</w:t>
      </w:r>
      <w:r w:rsidRPr="00AF2B74">
        <w:rPr>
          <w:rFonts w:ascii="Arial" w:hAnsi="Arial" w:cs="Arial"/>
          <w:b/>
          <w:bCs/>
          <w:sz w:val="22"/>
          <w:szCs w:val="22"/>
        </w:rPr>
        <w:t xml:space="preserve"> </w:t>
      </w:r>
      <w:r w:rsidRPr="00B375CD">
        <w:rPr>
          <w:rFonts w:ascii="Arial" w:hAnsi="Arial" w:cs="Arial"/>
          <w:sz w:val="22"/>
          <w:szCs w:val="22"/>
        </w:rPr>
        <w:t xml:space="preserve">in the UK reveals persistent structural and equity challenges. The </w:t>
      </w:r>
      <w:r w:rsidRPr="00AF2B74">
        <w:rPr>
          <w:rStyle w:val="Strong"/>
          <w:rFonts w:ascii="Arial" w:eastAsiaTheme="majorEastAsia" w:hAnsi="Arial" w:cs="Arial"/>
          <w:b w:val="0"/>
          <w:bCs w:val="0"/>
          <w:sz w:val="22"/>
          <w:szCs w:val="22"/>
        </w:rPr>
        <w:t>National Health Service (NHS)</w:t>
      </w:r>
      <w:r w:rsidRPr="00B375CD">
        <w:rPr>
          <w:rFonts w:ascii="Arial" w:hAnsi="Arial" w:cs="Arial"/>
          <w:sz w:val="22"/>
          <w:szCs w:val="22"/>
        </w:rPr>
        <w:t xml:space="preserve"> provides universal healthcare free at the point of </w:t>
      </w:r>
      <w:r w:rsidR="00B90009" w:rsidRPr="00B375CD">
        <w:rPr>
          <w:rFonts w:ascii="Arial" w:hAnsi="Arial" w:cs="Arial"/>
          <w:sz w:val="22"/>
          <w:szCs w:val="22"/>
        </w:rPr>
        <w:t>use yet</w:t>
      </w:r>
      <w:r w:rsidRPr="00B375CD">
        <w:rPr>
          <w:rFonts w:ascii="Arial" w:hAnsi="Arial" w:cs="Arial"/>
          <w:sz w:val="22"/>
          <w:szCs w:val="22"/>
        </w:rPr>
        <w:t xml:space="preserve"> widening health inequalities between affluent and deprived areas undermine equitable outcomes (The King’s Fund, 2023). Life expectancy gaps and higher prevalence of chronic illnesses in disadvantaged communities reflect broader social determinants of health, including housing, employment, and education (Marmot et al., 2020). Workforce shortages, funding pressures, and post-pandemic service backlogs further constrain access and quality of care (NHS England, 2023). At the local level, </w:t>
      </w:r>
      <w:r w:rsidRPr="00AF2B74">
        <w:rPr>
          <w:rStyle w:val="Strong"/>
          <w:rFonts w:ascii="Arial" w:eastAsiaTheme="majorEastAsia" w:hAnsi="Arial" w:cs="Arial"/>
          <w:b w:val="0"/>
          <w:bCs w:val="0"/>
          <w:sz w:val="22"/>
          <w:szCs w:val="22"/>
        </w:rPr>
        <w:t>Birmingham</w:t>
      </w:r>
      <w:r w:rsidRPr="00B375CD">
        <w:rPr>
          <w:rFonts w:ascii="Arial" w:hAnsi="Arial" w:cs="Arial"/>
          <w:sz w:val="22"/>
          <w:szCs w:val="22"/>
        </w:rPr>
        <w:t xml:space="preserve"> experiences high rates of cardiovascular disease, diabetes, and obesity, particularly in deprived wards. Local initiatives, including </w:t>
      </w:r>
      <w:r w:rsidRPr="002E4A00">
        <w:rPr>
          <w:rStyle w:val="Strong"/>
          <w:rFonts w:ascii="Arial" w:eastAsiaTheme="majorEastAsia" w:hAnsi="Arial" w:cs="Arial"/>
          <w:b w:val="0"/>
          <w:bCs w:val="0"/>
          <w:sz w:val="22"/>
          <w:szCs w:val="22"/>
        </w:rPr>
        <w:t>Integrated Care System (ICS) programmes</w:t>
      </w:r>
      <w:r w:rsidRPr="00B375CD">
        <w:rPr>
          <w:rFonts w:ascii="Arial" w:hAnsi="Arial" w:cs="Arial"/>
          <w:sz w:val="22"/>
          <w:szCs w:val="22"/>
        </w:rPr>
        <w:t xml:space="preserve"> and smoking cessation services, aim to reduce chronic disease risk, but disparities in engagement and resource allocation limit consistent outcomes. </w:t>
      </w:r>
    </w:p>
    <w:p w14:paraId="031FABE0" w14:textId="77777777" w:rsidR="0017640E" w:rsidRPr="00B375CD" w:rsidRDefault="0017640E" w:rsidP="00B375CD">
      <w:pPr>
        <w:pStyle w:val="NormalWeb"/>
        <w:spacing w:line="276" w:lineRule="auto"/>
        <w:jc w:val="both"/>
        <w:rPr>
          <w:rFonts w:ascii="Arial" w:hAnsi="Arial" w:cs="Arial"/>
          <w:sz w:val="22"/>
          <w:szCs w:val="22"/>
        </w:rPr>
      </w:pPr>
    </w:p>
    <w:p w14:paraId="6FA420AE" w14:textId="0A085DED" w:rsidR="00286A0A" w:rsidRPr="00984655" w:rsidRDefault="0017640E" w:rsidP="00B375CD">
      <w:pPr>
        <w:spacing w:before="100" w:beforeAutospacing="1" w:after="100" w:afterAutospacing="1" w:line="276" w:lineRule="auto"/>
        <w:jc w:val="both"/>
        <w:rPr>
          <w:rFonts w:ascii="Arial" w:eastAsia="Times New Roman" w:hAnsi="Arial" w:cs="Arial"/>
          <w:kern w:val="0"/>
          <w:lang w:eastAsia="en-GB"/>
          <w14:ligatures w14:val="none"/>
        </w:rPr>
      </w:pPr>
      <w:r w:rsidRPr="00B375CD">
        <w:rPr>
          <w:rFonts w:ascii="Arial" w:hAnsi="Arial" w:cs="Arial"/>
        </w:rPr>
        <w:t xml:space="preserve">National and local </w:t>
      </w:r>
      <w:r w:rsidRPr="002E4A00">
        <w:rPr>
          <w:rStyle w:val="Strong"/>
          <w:rFonts w:ascii="Arial" w:hAnsi="Arial" w:cs="Arial"/>
          <w:b w:val="0"/>
          <w:bCs w:val="0"/>
        </w:rPr>
        <w:t>SDG 3 initiatives</w:t>
      </w:r>
      <w:r w:rsidRPr="00B375CD">
        <w:rPr>
          <w:rFonts w:ascii="Arial" w:hAnsi="Arial" w:cs="Arial"/>
        </w:rPr>
        <w:t xml:space="preserve"> can be evaluated through health behaviour and systems-level frameworks. In the UK, the </w:t>
      </w:r>
      <w:r w:rsidRPr="002E4A00">
        <w:rPr>
          <w:rStyle w:val="Strong"/>
          <w:rFonts w:ascii="Arial" w:hAnsi="Arial" w:cs="Arial"/>
          <w:b w:val="0"/>
          <w:bCs w:val="0"/>
        </w:rPr>
        <w:t>NHS</w:t>
      </w:r>
      <w:r w:rsidRPr="00B375CD">
        <w:rPr>
          <w:rFonts w:ascii="Arial" w:hAnsi="Arial" w:cs="Arial"/>
        </w:rPr>
        <w:t xml:space="preserve"> provides universal coverage, but workforce shortages and widening health inequalities illustrate the Social Determinants of Health Model, showing how socio-economic, environmental, and lifestyle factors affect access and outcomes (Marmot et al., 2020). Local interventions in </w:t>
      </w:r>
      <w:r w:rsidRPr="002E4A00">
        <w:rPr>
          <w:rStyle w:val="Strong"/>
          <w:rFonts w:ascii="Arial" w:hAnsi="Arial" w:cs="Arial"/>
          <w:b w:val="0"/>
          <w:bCs w:val="0"/>
        </w:rPr>
        <w:t>Birmingham</w:t>
      </w:r>
      <w:r w:rsidRPr="00B375CD">
        <w:rPr>
          <w:rFonts w:ascii="Arial" w:hAnsi="Arial" w:cs="Arial"/>
        </w:rPr>
        <w:t xml:space="preserve">, such as smoking cessation programmes, reflect the Health Belief Model, demonstrating that awareness of risks and benefits can motivate behaviour change, though engagement gaps limit effectiveness (Rosenstock, 1974). At a systems level, </w:t>
      </w:r>
      <w:r w:rsidRPr="002E4A00">
        <w:rPr>
          <w:rStyle w:val="Strong"/>
          <w:rFonts w:ascii="Arial" w:hAnsi="Arial" w:cs="Arial"/>
          <w:b w:val="0"/>
          <w:bCs w:val="0"/>
        </w:rPr>
        <w:t>Integrated Care Systems (ICSs)</w:t>
      </w:r>
      <w:r w:rsidRPr="00B375CD">
        <w:rPr>
          <w:rFonts w:ascii="Arial" w:hAnsi="Arial" w:cs="Arial"/>
        </w:rPr>
        <w:t xml:space="preserve"> can be analysed using Complex Adaptive Systems Theory, highlighting that coordinated policy, workforce planning, and multi-sector </w:t>
      </w:r>
      <w:r w:rsidRPr="00B375CD">
        <w:rPr>
          <w:rFonts w:ascii="Arial" w:hAnsi="Arial" w:cs="Arial"/>
        </w:rPr>
        <w:lastRenderedPageBreak/>
        <w:t>collaboration are crucial for sustainable health improvements (Plsek &amp; Greenhalgh, 2001). These frameworks show that achieving SDG 3 requires addressing both individual behaviours and structural determinants.</w:t>
      </w:r>
    </w:p>
    <w:p w14:paraId="2D6F0981" w14:textId="77777777" w:rsidR="00984655" w:rsidRPr="00984655" w:rsidRDefault="00984655" w:rsidP="00B375CD">
      <w:pPr>
        <w:spacing w:after="0" w:line="276" w:lineRule="auto"/>
        <w:jc w:val="both"/>
        <w:rPr>
          <w:rFonts w:ascii="Arial" w:eastAsia="Times New Roman" w:hAnsi="Arial" w:cs="Arial"/>
          <w:kern w:val="0"/>
          <w:lang w:eastAsia="en-GB"/>
          <w14:ligatures w14:val="none"/>
        </w:rPr>
      </w:pPr>
      <w:r w:rsidRPr="00984655">
        <w:rPr>
          <w:rFonts w:ascii="Arial" w:eastAsia="Times New Roman" w:hAnsi="Arial" w:cs="Arial"/>
          <w:kern w:val="0"/>
          <w:lang w:eastAsia="en-GB"/>
          <w14:ligatures w14:val="none"/>
        </w:rPr>
        <w:pict w14:anchorId="16D14584">
          <v:rect id="_x0000_i1025" style="width:0;height:1.5pt" o:hralign="center" o:hrstd="t" o:hr="t" fillcolor="#a0a0a0" stroked="f"/>
        </w:pict>
      </w:r>
    </w:p>
    <w:p w14:paraId="7399B682" w14:textId="77777777" w:rsidR="00984655" w:rsidRPr="00B375CD" w:rsidRDefault="00984655" w:rsidP="00B375CD">
      <w:pPr>
        <w:pStyle w:val="NormalWeb"/>
        <w:spacing w:line="276" w:lineRule="auto"/>
        <w:jc w:val="both"/>
        <w:rPr>
          <w:rFonts w:ascii="Arial" w:hAnsi="Arial" w:cs="Arial"/>
          <w:sz w:val="22"/>
          <w:szCs w:val="22"/>
        </w:rPr>
      </w:pPr>
    </w:p>
    <w:p w14:paraId="7CF4BB92" w14:textId="77777777" w:rsidR="009E0A9A" w:rsidRPr="00B375CD" w:rsidRDefault="009E0A9A" w:rsidP="00B375CD">
      <w:pPr>
        <w:pStyle w:val="NormalWeb"/>
        <w:spacing w:line="276" w:lineRule="auto"/>
        <w:jc w:val="both"/>
        <w:rPr>
          <w:rFonts w:ascii="Arial" w:hAnsi="Arial" w:cs="Arial"/>
          <w:sz w:val="22"/>
          <w:szCs w:val="22"/>
        </w:rPr>
      </w:pPr>
      <w:r w:rsidRPr="00B375CD">
        <w:rPr>
          <w:rFonts w:ascii="Arial" w:hAnsi="Arial" w:cs="Arial"/>
          <w:sz w:val="22"/>
          <w:szCs w:val="22"/>
        </w:rPr>
        <w:t xml:space="preserve">The evaluation of SDG 3 implementation in the UK and Birmingham highlights that addressing health inequalities requires both structural and behavioural interventions. Evidence shows that NHS workforce shortages, socio-economic disparities, and post-pandemic service backlogs reduce equitable access: in 2022, over </w:t>
      </w:r>
      <w:r w:rsidRPr="00B375CD">
        <w:rPr>
          <w:rStyle w:val="Strong"/>
          <w:rFonts w:ascii="Arial" w:eastAsiaTheme="majorEastAsia" w:hAnsi="Arial" w:cs="Arial"/>
          <w:b w:val="0"/>
          <w:bCs w:val="0"/>
          <w:sz w:val="22"/>
          <w:szCs w:val="22"/>
        </w:rPr>
        <w:t>1.2 million patients</w:t>
      </w:r>
      <w:r w:rsidRPr="00B375CD">
        <w:rPr>
          <w:rFonts w:ascii="Arial" w:hAnsi="Arial" w:cs="Arial"/>
          <w:sz w:val="22"/>
          <w:szCs w:val="22"/>
        </w:rPr>
        <w:t xml:space="preserve"> were waiting more than </w:t>
      </w:r>
      <w:r w:rsidRPr="00B375CD">
        <w:rPr>
          <w:rStyle w:val="Strong"/>
          <w:rFonts w:ascii="Arial" w:eastAsiaTheme="majorEastAsia" w:hAnsi="Arial" w:cs="Arial"/>
          <w:b w:val="0"/>
          <w:bCs w:val="0"/>
          <w:sz w:val="22"/>
          <w:szCs w:val="22"/>
        </w:rPr>
        <w:t>18 weeks</w:t>
      </w:r>
      <w:r w:rsidRPr="00B375CD">
        <w:rPr>
          <w:rFonts w:ascii="Arial" w:hAnsi="Arial" w:cs="Arial"/>
          <w:sz w:val="22"/>
          <w:szCs w:val="22"/>
        </w:rPr>
        <w:t xml:space="preserve"> for routine treatment, and life expectancy gaps in deprived areas reached </w:t>
      </w:r>
      <w:r w:rsidRPr="00B375CD">
        <w:rPr>
          <w:rStyle w:val="Strong"/>
          <w:rFonts w:ascii="Arial" w:eastAsiaTheme="majorEastAsia" w:hAnsi="Arial" w:cs="Arial"/>
          <w:b w:val="0"/>
          <w:bCs w:val="0"/>
          <w:sz w:val="22"/>
          <w:szCs w:val="22"/>
        </w:rPr>
        <w:t>9.4 years for men</w:t>
      </w:r>
      <w:r w:rsidRPr="00B375CD">
        <w:rPr>
          <w:rFonts w:ascii="Arial" w:hAnsi="Arial" w:cs="Arial"/>
          <w:sz w:val="22"/>
          <w:szCs w:val="22"/>
        </w:rPr>
        <w:t xml:space="preserve"> and </w:t>
      </w:r>
      <w:r w:rsidRPr="00B375CD">
        <w:rPr>
          <w:rStyle w:val="Strong"/>
          <w:rFonts w:ascii="Arial" w:eastAsiaTheme="majorEastAsia" w:hAnsi="Arial" w:cs="Arial"/>
          <w:b w:val="0"/>
          <w:bCs w:val="0"/>
          <w:sz w:val="22"/>
          <w:szCs w:val="22"/>
        </w:rPr>
        <w:t>7.3 years for women</w:t>
      </w:r>
      <w:r w:rsidRPr="00B375CD">
        <w:rPr>
          <w:rFonts w:ascii="Arial" w:hAnsi="Arial" w:cs="Arial"/>
          <w:sz w:val="22"/>
          <w:szCs w:val="22"/>
        </w:rPr>
        <w:t xml:space="preserve"> compared to least deprived areas (NHS England, 2023; The King’s Fund, 2023; Marmot et al., 2020). Local initiatives such as </w:t>
      </w:r>
      <w:r w:rsidRPr="00B375CD">
        <w:rPr>
          <w:rStyle w:val="Strong"/>
          <w:rFonts w:ascii="Arial" w:eastAsiaTheme="majorEastAsia" w:hAnsi="Arial" w:cs="Arial"/>
          <w:b w:val="0"/>
          <w:bCs w:val="0"/>
          <w:sz w:val="22"/>
          <w:szCs w:val="22"/>
        </w:rPr>
        <w:t>smoking cessation programmes</w:t>
      </w:r>
      <w:r w:rsidRPr="00B375CD">
        <w:rPr>
          <w:rFonts w:ascii="Arial" w:hAnsi="Arial" w:cs="Arial"/>
          <w:sz w:val="22"/>
          <w:szCs w:val="22"/>
        </w:rPr>
        <w:t xml:space="preserve"> demonstrate the effectiveness of targeted behaviour-change interventions, yet engagement gaps limit outcomes, with smoking prevalence remaining </w:t>
      </w:r>
      <w:r w:rsidRPr="00B375CD">
        <w:rPr>
          <w:rStyle w:val="Strong"/>
          <w:rFonts w:ascii="Arial" w:eastAsiaTheme="majorEastAsia" w:hAnsi="Arial" w:cs="Arial"/>
          <w:sz w:val="22"/>
          <w:szCs w:val="22"/>
        </w:rPr>
        <w:t>~</w:t>
      </w:r>
      <w:r w:rsidRPr="00B375CD">
        <w:rPr>
          <w:rStyle w:val="Strong"/>
          <w:rFonts w:ascii="Arial" w:eastAsiaTheme="majorEastAsia" w:hAnsi="Arial" w:cs="Arial"/>
          <w:b w:val="0"/>
          <w:bCs w:val="0"/>
          <w:sz w:val="22"/>
          <w:szCs w:val="22"/>
        </w:rPr>
        <w:t>25% in the most deprived Birmingham</w:t>
      </w:r>
      <w:r w:rsidRPr="00B375CD">
        <w:rPr>
          <w:rStyle w:val="Strong"/>
          <w:rFonts w:ascii="Arial" w:eastAsiaTheme="majorEastAsia" w:hAnsi="Arial" w:cs="Arial"/>
          <w:sz w:val="22"/>
          <w:szCs w:val="22"/>
        </w:rPr>
        <w:t xml:space="preserve"> </w:t>
      </w:r>
      <w:r w:rsidRPr="00B375CD">
        <w:rPr>
          <w:rStyle w:val="Strong"/>
          <w:rFonts w:ascii="Arial" w:eastAsiaTheme="majorEastAsia" w:hAnsi="Arial" w:cs="Arial"/>
          <w:b w:val="0"/>
          <w:bCs w:val="0"/>
          <w:sz w:val="22"/>
          <w:szCs w:val="22"/>
        </w:rPr>
        <w:t>wards</w:t>
      </w:r>
      <w:r w:rsidRPr="00B375CD">
        <w:rPr>
          <w:rFonts w:ascii="Arial" w:hAnsi="Arial" w:cs="Arial"/>
          <w:sz w:val="22"/>
          <w:szCs w:val="22"/>
        </w:rPr>
        <w:t xml:space="preserve"> compared to </w:t>
      </w:r>
      <w:r w:rsidRPr="00B375CD">
        <w:rPr>
          <w:rStyle w:val="Strong"/>
          <w:rFonts w:ascii="Arial" w:eastAsiaTheme="majorEastAsia" w:hAnsi="Arial" w:cs="Arial"/>
          <w:sz w:val="22"/>
          <w:szCs w:val="22"/>
        </w:rPr>
        <w:t>~</w:t>
      </w:r>
      <w:r w:rsidRPr="00B375CD">
        <w:rPr>
          <w:rStyle w:val="Strong"/>
          <w:rFonts w:ascii="Arial" w:eastAsiaTheme="majorEastAsia" w:hAnsi="Arial" w:cs="Arial"/>
          <w:b w:val="0"/>
          <w:bCs w:val="0"/>
          <w:sz w:val="22"/>
          <w:szCs w:val="22"/>
        </w:rPr>
        <w:t>12% nationally</w:t>
      </w:r>
      <w:r w:rsidRPr="00B375CD">
        <w:rPr>
          <w:rFonts w:ascii="Arial" w:hAnsi="Arial" w:cs="Arial"/>
          <w:sz w:val="22"/>
          <w:szCs w:val="22"/>
        </w:rPr>
        <w:t xml:space="preserve"> (Birmingham City Council, 2022; Rosenstock, 1974).</w:t>
      </w:r>
    </w:p>
    <w:p w14:paraId="107709E8" w14:textId="5CBDEB32" w:rsidR="00286A0A" w:rsidRPr="00B375CD" w:rsidRDefault="00286A0A" w:rsidP="00B375CD">
      <w:pPr>
        <w:pStyle w:val="NormalWeb"/>
        <w:spacing w:line="276" w:lineRule="auto"/>
        <w:jc w:val="both"/>
        <w:rPr>
          <w:rFonts w:ascii="Arial" w:hAnsi="Arial" w:cs="Arial"/>
          <w:sz w:val="22"/>
          <w:szCs w:val="22"/>
        </w:rPr>
      </w:pPr>
      <w:r w:rsidRPr="00B375CD">
        <w:rPr>
          <w:rFonts w:ascii="Arial" w:hAnsi="Arial" w:cs="Arial"/>
          <w:sz w:val="22"/>
          <w:szCs w:val="22"/>
        </w:rPr>
        <w:t xml:space="preserve">Evidence-informed recommendations </w:t>
      </w:r>
      <w:r w:rsidR="00DC4C65" w:rsidRPr="00B375CD">
        <w:rPr>
          <w:rFonts w:ascii="Arial" w:hAnsi="Arial" w:cs="Arial"/>
          <w:sz w:val="22"/>
          <w:szCs w:val="22"/>
        </w:rPr>
        <w:t>include</w:t>
      </w:r>
      <w:r w:rsidRPr="00B375CD">
        <w:rPr>
          <w:rFonts w:ascii="Arial" w:hAnsi="Arial" w:cs="Arial"/>
          <w:sz w:val="22"/>
          <w:szCs w:val="22"/>
        </w:rPr>
        <w:t xml:space="preserve"> sustaining </w:t>
      </w:r>
      <w:r w:rsidRPr="00B375CD">
        <w:rPr>
          <w:rStyle w:val="Strong"/>
          <w:rFonts w:ascii="Arial" w:eastAsiaTheme="majorEastAsia" w:hAnsi="Arial" w:cs="Arial"/>
          <w:b w:val="0"/>
          <w:bCs w:val="0"/>
          <w:sz w:val="22"/>
          <w:szCs w:val="22"/>
        </w:rPr>
        <w:t>workforce investment and resource allocation</w:t>
      </w:r>
      <w:r w:rsidRPr="00B375CD">
        <w:rPr>
          <w:rFonts w:ascii="Arial" w:hAnsi="Arial" w:cs="Arial"/>
          <w:sz w:val="22"/>
          <w:szCs w:val="22"/>
        </w:rPr>
        <w:t xml:space="preserve"> to reduce service inequities (NHS England, 2023); expanding </w:t>
      </w:r>
      <w:r w:rsidRPr="00B375CD">
        <w:rPr>
          <w:rStyle w:val="Strong"/>
          <w:rFonts w:ascii="Arial" w:eastAsiaTheme="majorEastAsia" w:hAnsi="Arial" w:cs="Arial"/>
          <w:b w:val="0"/>
          <w:bCs w:val="0"/>
          <w:sz w:val="22"/>
          <w:szCs w:val="22"/>
        </w:rPr>
        <w:t>community-based health promotion</w:t>
      </w:r>
      <w:r w:rsidRPr="00B375CD">
        <w:rPr>
          <w:rFonts w:ascii="Arial" w:hAnsi="Arial" w:cs="Arial"/>
          <w:sz w:val="22"/>
          <w:szCs w:val="22"/>
        </w:rPr>
        <w:t xml:space="preserve"> to improve participation in preventive programmes; and integrating policies across sectors to tackle social determinants of health, as highlighted by the </w:t>
      </w:r>
      <w:r w:rsidRPr="00B375CD">
        <w:rPr>
          <w:rStyle w:val="Strong"/>
          <w:rFonts w:ascii="Arial" w:eastAsiaTheme="majorEastAsia" w:hAnsi="Arial" w:cs="Arial"/>
          <w:b w:val="0"/>
          <w:bCs w:val="0"/>
          <w:sz w:val="22"/>
          <w:szCs w:val="22"/>
        </w:rPr>
        <w:t>Social Determinants of Health Model</w:t>
      </w:r>
      <w:r w:rsidRPr="00B375CD">
        <w:rPr>
          <w:rFonts w:ascii="Arial" w:hAnsi="Arial" w:cs="Arial"/>
          <w:sz w:val="22"/>
          <w:szCs w:val="22"/>
        </w:rPr>
        <w:t xml:space="preserve"> (Marmot et al., 2020). Additionally, applying </w:t>
      </w:r>
      <w:r w:rsidRPr="00B375CD">
        <w:rPr>
          <w:rStyle w:val="Strong"/>
          <w:rFonts w:ascii="Arial" w:eastAsiaTheme="majorEastAsia" w:hAnsi="Arial" w:cs="Arial"/>
          <w:b w:val="0"/>
          <w:bCs w:val="0"/>
          <w:sz w:val="22"/>
          <w:szCs w:val="22"/>
        </w:rPr>
        <w:t>Complex Adaptive Systems Theory</w:t>
      </w:r>
      <w:r w:rsidRPr="00B375CD">
        <w:rPr>
          <w:rFonts w:ascii="Arial" w:hAnsi="Arial" w:cs="Arial"/>
          <w:sz w:val="22"/>
          <w:szCs w:val="22"/>
        </w:rPr>
        <w:t xml:space="preserve"> to Integrated Care Systems can improve coordination and responsiveness to local health needs (Plsek &amp; Greenhalgh, 2001). Collectively, these strategies promote equitable, sustainable progress toward SDG 3 by combining systemic, community, and behavioural approaches.</w:t>
      </w:r>
    </w:p>
    <w:p w14:paraId="1DEBFA83" w14:textId="626908A4" w:rsidR="00567830" w:rsidRPr="00B375CD" w:rsidRDefault="00567830" w:rsidP="00B375CD">
      <w:pPr>
        <w:pStyle w:val="Heading2"/>
        <w:spacing w:line="276" w:lineRule="auto"/>
        <w:jc w:val="both"/>
        <w:rPr>
          <w:rFonts w:ascii="Arial" w:hAnsi="Arial" w:cs="Arial"/>
          <w:sz w:val="22"/>
          <w:szCs w:val="22"/>
        </w:rPr>
      </w:pPr>
      <w:r w:rsidRPr="00B375CD">
        <w:rPr>
          <w:rFonts w:ascii="Arial" w:hAnsi="Arial" w:cs="Arial"/>
          <w:sz w:val="22"/>
          <w:szCs w:val="22"/>
        </w:rPr>
        <w:t>Section 2:</w:t>
      </w:r>
      <w:r w:rsidR="005932B1" w:rsidRPr="00B375CD">
        <w:rPr>
          <w:rFonts w:ascii="Arial" w:hAnsi="Arial" w:cs="Arial"/>
          <w:sz w:val="22"/>
          <w:szCs w:val="22"/>
        </w:rPr>
        <w:t xml:space="preserve"> SDG 12</w:t>
      </w:r>
    </w:p>
    <w:p w14:paraId="161BE321" w14:textId="752F6BA1" w:rsidR="00E71646" w:rsidRPr="00B375CD" w:rsidRDefault="00E71646" w:rsidP="00B375CD">
      <w:pPr>
        <w:spacing w:line="276" w:lineRule="auto"/>
        <w:jc w:val="both"/>
        <w:rPr>
          <w:rFonts w:ascii="Arial" w:hAnsi="Arial" w:cs="Arial"/>
        </w:rPr>
      </w:pPr>
      <w:r w:rsidRPr="00B375CD">
        <w:rPr>
          <w:rStyle w:val="Strong"/>
          <w:rFonts w:ascii="Arial" w:hAnsi="Arial" w:cs="Arial"/>
          <w:b w:val="0"/>
          <w:bCs w:val="0"/>
        </w:rPr>
        <w:t>SDG 12 (Responsible Consumption and Production)</w:t>
      </w:r>
      <w:r w:rsidRPr="00B375CD">
        <w:rPr>
          <w:rFonts w:ascii="Arial" w:hAnsi="Arial" w:cs="Arial"/>
        </w:rPr>
        <w:t xml:space="preserve"> aims to promote sustainable resource use, reduce waste, and encourage circular economy practices globally, nationally, and locally to protect the environment, improve efficiency, and support social and economic wellbeing (United Nations, 2015; DEFRA, 2018).</w:t>
      </w:r>
    </w:p>
    <w:p w14:paraId="4758A4A8" w14:textId="77777777" w:rsidR="00E71646" w:rsidRPr="00B375CD" w:rsidRDefault="00E71646" w:rsidP="00B375CD">
      <w:pPr>
        <w:pStyle w:val="NormalWeb"/>
        <w:spacing w:line="276" w:lineRule="auto"/>
        <w:jc w:val="both"/>
        <w:rPr>
          <w:rFonts w:ascii="Arial" w:hAnsi="Arial" w:cs="Arial"/>
          <w:sz w:val="22"/>
          <w:szCs w:val="22"/>
        </w:rPr>
      </w:pPr>
      <w:r w:rsidRPr="00B375CD">
        <w:rPr>
          <w:rStyle w:val="Strong"/>
          <w:rFonts w:ascii="Arial" w:eastAsiaTheme="majorEastAsia" w:hAnsi="Arial" w:cs="Arial"/>
          <w:sz w:val="22"/>
          <w:szCs w:val="22"/>
        </w:rPr>
        <w:t>Global</w:t>
      </w:r>
      <w:r w:rsidRPr="00B375CD">
        <w:rPr>
          <w:rFonts w:ascii="Arial" w:hAnsi="Arial" w:cs="Arial"/>
          <w:sz w:val="22"/>
          <w:szCs w:val="22"/>
        </w:rPr>
        <w:br/>
        <w:t xml:space="preserve">SDG 12 aims to ensure sustainable consumption and production patterns worldwide, reducing resource use, waste, and environmental impacts while promoting circular economy practices (United Nations, 2015). Globally, around </w:t>
      </w:r>
      <w:r w:rsidRPr="00B375CD">
        <w:rPr>
          <w:rStyle w:val="Strong"/>
          <w:rFonts w:ascii="Arial" w:eastAsiaTheme="majorEastAsia" w:hAnsi="Arial" w:cs="Arial"/>
          <w:b w:val="0"/>
          <w:bCs w:val="0"/>
          <w:sz w:val="22"/>
          <w:szCs w:val="22"/>
        </w:rPr>
        <w:t>931 million tonnes of food</w:t>
      </w:r>
      <w:r w:rsidRPr="00B375CD">
        <w:rPr>
          <w:rFonts w:ascii="Arial" w:hAnsi="Arial" w:cs="Arial"/>
          <w:sz w:val="22"/>
          <w:szCs w:val="22"/>
        </w:rPr>
        <w:t xml:space="preserve"> are wasted annually, contributing to greenhouse gas emissions and environmental degradation, while industrial and commercial resource consumption continues to grow in both developed and developing countries (FAO, 2022). International initiatives, such as the </w:t>
      </w:r>
      <w:r w:rsidRPr="00B375CD">
        <w:rPr>
          <w:rStyle w:val="Strong"/>
          <w:rFonts w:ascii="Arial" w:eastAsiaTheme="majorEastAsia" w:hAnsi="Arial" w:cs="Arial"/>
          <w:b w:val="0"/>
          <w:bCs w:val="0"/>
          <w:sz w:val="22"/>
          <w:szCs w:val="22"/>
        </w:rPr>
        <w:t>Sustainable Development Goals</w:t>
      </w:r>
      <w:r w:rsidRPr="00B375CD">
        <w:rPr>
          <w:rStyle w:val="Strong"/>
          <w:rFonts w:ascii="Arial" w:eastAsiaTheme="majorEastAsia" w:hAnsi="Arial" w:cs="Arial"/>
          <w:sz w:val="22"/>
          <w:szCs w:val="22"/>
        </w:rPr>
        <w:t xml:space="preserve"> </w:t>
      </w:r>
      <w:r w:rsidRPr="00B375CD">
        <w:rPr>
          <w:rStyle w:val="Strong"/>
          <w:rFonts w:ascii="Arial" w:eastAsiaTheme="majorEastAsia" w:hAnsi="Arial" w:cs="Arial"/>
          <w:b w:val="0"/>
          <w:bCs w:val="0"/>
          <w:sz w:val="22"/>
          <w:szCs w:val="22"/>
        </w:rPr>
        <w:t>Global Indicators</w:t>
      </w:r>
      <w:r w:rsidRPr="00B375CD">
        <w:rPr>
          <w:rFonts w:ascii="Arial" w:hAnsi="Arial" w:cs="Arial"/>
          <w:sz w:val="22"/>
          <w:szCs w:val="22"/>
        </w:rPr>
        <w:t xml:space="preserve"> and UNEP programmes, promote responsible production, resource efficiency, and sustainable supply chains to achieve global sustainability targets.</w:t>
      </w:r>
    </w:p>
    <w:p w14:paraId="2EB1A80F" w14:textId="7B448FC5" w:rsidR="00E71646" w:rsidRPr="00B375CD" w:rsidRDefault="00E71646" w:rsidP="00B375CD">
      <w:pPr>
        <w:pStyle w:val="NormalWeb"/>
        <w:spacing w:line="276" w:lineRule="auto"/>
        <w:jc w:val="both"/>
        <w:rPr>
          <w:rFonts w:ascii="Arial" w:hAnsi="Arial" w:cs="Arial"/>
          <w:sz w:val="22"/>
          <w:szCs w:val="22"/>
        </w:rPr>
      </w:pPr>
      <w:r w:rsidRPr="00B375CD">
        <w:rPr>
          <w:rStyle w:val="Strong"/>
          <w:rFonts w:ascii="Arial" w:eastAsiaTheme="majorEastAsia" w:hAnsi="Arial" w:cs="Arial"/>
          <w:sz w:val="22"/>
          <w:szCs w:val="22"/>
        </w:rPr>
        <w:t xml:space="preserve">National </w:t>
      </w:r>
      <w:r w:rsidRPr="00B375CD">
        <w:rPr>
          <w:rStyle w:val="Strong"/>
          <w:rFonts w:ascii="Arial" w:eastAsiaTheme="majorEastAsia" w:hAnsi="Arial" w:cs="Arial"/>
          <w:b w:val="0"/>
          <w:bCs w:val="0"/>
          <w:sz w:val="22"/>
          <w:szCs w:val="22"/>
        </w:rPr>
        <w:t>(UK)</w:t>
      </w:r>
      <w:r w:rsidRPr="00B375CD">
        <w:rPr>
          <w:rFonts w:ascii="Arial" w:hAnsi="Arial" w:cs="Arial"/>
          <w:sz w:val="22"/>
          <w:szCs w:val="22"/>
        </w:rPr>
        <w:br/>
        <w:t xml:space="preserve">In the UK, the </w:t>
      </w:r>
      <w:r w:rsidRPr="00B375CD">
        <w:rPr>
          <w:rStyle w:val="Strong"/>
          <w:rFonts w:ascii="Arial" w:eastAsiaTheme="majorEastAsia" w:hAnsi="Arial" w:cs="Arial"/>
          <w:b w:val="0"/>
          <w:bCs w:val="0"/>
          <w:sz w:val="22"/>
          <w:szCs w:val="22"/>
        </w:rPr>
        <w:t>Resources and Waste Strategy (2018)</w:t>
      </w:r>
      <w:r w:rsidRPr="00B375CD">
        <w:rPr>
          <w:rFonts w:ascii="Arial" w:hAnsi="Arial" w:cs="Arial"/>
          <w:sz w:val="22"/>
          <w:szCs w:val="22"/>
        </w:rPr>
        <w:t xml:space="preserve"> </w:t>
      </w:r>
      <w:r w:rsidR="00B90009" w:rsidRPr="00B375CD">
        <w:rPr>
          <w:rFonts w:ascii="Arial" w:hAnsi="Arial" w:cs="Arial"/>
          <w:sz w:val="22"/>
          <w:szCs w:val="22"/>
        </w:rPr>
        <w:t>provide</w:t>
      </w:r>
      <w:r w:rsidRPr="00B375CD">
        <w:rPr>
          <w:rFonts w:ascii="Arial" w:hAnsi="Arial" w:cs="Arial"/>
          <w:sz w:val="22"/>
          <w:szCs w:val="22"/>
        </w:rPr>
        <w:t xml:space="preserve"> a framework for reducing waste, </w:t>
      </w:r>
      <w:r w:rsidRPr="00B375CD">
        <w:rPr>
          <w:rFonts w:ascii="Arial" w:hAnsi="Arial" w:cs="Arial"/>
          <w:sz w:val="22"/>
          <w:szCs w:val="22"/>
        </w:rPr>
        <w:lastRenderedPageBreak/>
        <w:t xml:space="preserve">increasing recycling, and promoting circular economy principles (DEFRA, 2018). National statistics indicate that </w:t>
      </w:r>
      <w:r w:rsidRPr="00B375CD">
        <w:rPr>
          <w:rStyle w:val="Strong"/>
          <w:rFonts w:ascii="Arial" w:eastAsiaTheme="majorEastAsia" w:hAnsi="Arial" w:cs="Arial"/>
          <w:b w:val="0"/>
          <w:bCs w:val="0"/>
          <w:sz w:val="22"/>
          <w:szCs w:val="22"/>
        </w:rPr>
        <w:t>46% of household waste</w:t>
      </w:r>
      <w:r w:rsidRPr="00B375CD">
        <w:rPr>
          <w:rFonts w:ascii="Arial" w:hAnsi="Arial" w:cs="Arial"/>
          <w:sz w:val="22"/>
          <w:szCs w:val="22"/>
        </w:rPr>
        <w:t xml:space="preserve"> was recycled in 2021–22, with ongoing challenges in food waste reduction, single-use plastics, and equitable engagement across socio-economic groups. National policies combine regulation, public awareness campaigns, and financial incentives to encourage sustainable consumption, yet disparities remain between regions and population groups.</w:t>
      </w:r>
    </w:p>
    <w:p w14:paraId="708917EB" w14:textId="75C81F70" w:rsidR="00E71646" w:rsidRPr="00B375CD" w:rsidRDefault="00E71646" w:rsidP="00B375CD">
      <w:pPr>
        <w:pStyle w:val="NormalWeb"/>
        <w:spacing w:line="276" w:lineRule="auto"/>
        <w:jc w:val="both"/>
        <w:rPr>
          <w:rFonts w:ascii="Arial" w:hAnsi="Arial" w:cs="Arial"/>
          <w:sz w:val="22"/>
          <w:szCs w:val="22"/>
        </w:rPr>
      </w:pPr>
      <w:r w:rsidRPr="00B375CD">
        <w:rPr>
          <w:rStyle w:val="Strong"/>
          <w:rFonts w:ascii="Arial" w:eastAsiaTheme="majorEastAsia" w:hAnsi="Arial" w:cs="Arial"/>
          <w:sz w:val="22"/>
          <w:szCs w:val="22"/>
        </w:rPr>
        <w:t>Local (Birmingham)</w:t>
      </w:r>
      <w:r w:rsidRPr="00B375CD">
        <w:rPr>
          <w:rFonts w:ascii="Arial" w:hAnsi="Arial" w:cs="Arial"/>
          <w:sz w:val="22"/>
          <w:szCs w:val="22"/>
        </w:rPr>
        <w:br/>
        <w:t xml:space="preserve">At the local level, Birmingham’s </w:t>
      </w:r>
      <w:r w:rsidRPr="00B375CD">
        <w:rPr>
          <w:rStyle w:val="Strong"/>
          <w:rFonts w:ascii="Arial" w:eastAsiaTheme="majorEastAsia" w:hAnsi="Arial" w:cs="Arial"/>
          <w:b w:val="0"/>
          <w:bCs w:val="0"/>
          <w:sz w:val="22"/>
          <w:szCs w:val="22"/>
        </w:rPr>
        <w:t>Zero Waste Programme</w:t>
      </w:r>
      <w:r w:rsidRPr="00B375CD">
        <w:rPr>
          <w:rFonts w:ascii="Arial" w:hAnsi="Arial" w:cs="Arial"/>
          <w:sz w:val="22"/>
          <w:szCs w:val="22"/>
        </w:rPr>
        <w:t xml:space="preserve"> focuses on household recycling, food waste reduction, and public education (Birmingham City Council, 2022). While </w:t>
      </w:r>
      <w:proofErr w:type="gramStart"/>
      <w:r w:rsidRPr="00B375CD">
        <w:rPr>
          <w:rFonts w:ascii="Arial" w:hAnsi="Arial" w:cs="Arial"/>
          <w:sz w:val="22"/>
          <w:szCs w:val="22"/>
        </w:rPr>
        <w:t>some</w:t>
      </w:r>
      <w:proofErr w:type="gramEnd"/>
      <w:r w:rsidRPr="00B375CD">
        <w:rPr>
          <w:rFonts w:ascii="Arial" w:hAnsi="Arial" w:cs="Arial"/>
          <w:sz w:val="22"/>
          <w:szCs w:val="22"/>
        </w:rPr>
        <w:t xml:space="preserve"> wards achieve higher recycling compliance, deprived areas report participation as low as </w:t>
      </w:r>
      <w:r w:rsidRPr="00B375CD">
        <w:rPr>
          <w:rStyle w:val="Strong"/>
          <w:rFonts w:ascii="Arial" w:eastAsiaTheme="majorEastAsia" w:hAnsi="Arial" w:cs="Arial"/>
          <w:b w:val="0"/>
          <w:bCs w:val="0"/>
          <w:sz w:val="22"/>
          <w:szCs w:val="22"/>
        </w:rPr>
        <w:t>35</w:t>
      </w:r>
      <w:r w:rsidR="00B90009" w:rsidRPr="00B375CD">
        <w:rPr>
          <w:rStyle w:val="Strong"/>
          <w:rFonts w:ascii="Arial" w:eastAsiaTheme="majorEastAsia" w:hAnsi="Arial" w:cs="Arial"/>
          <w:b w:val="0"/>
          <w:bCs w:val="0"/>
          <w:sz w:val="22"/>
          <w:szCs w:val="22"/>
        </w:rPr>
        <w:t>%</w:t>
      </w:r>
      <w:r w:rsidR="00B90009" w:rsidRPr="00B375CD">
        <w:rPr>
          <w:rFonts w:ascii="Arial" w:hAnsi="Arial" w:cs="Arial"/>
          <w:b/>
          <w:bCs/>
          <w:sz w:val="22"/>
          <w:szCs w:val="22"/>
        </w:rPr>
        <w:t xml:space="preserve">, </w:t>
      </w:r>
      <w:r w:rsidR="00B90009" w:rsidRPr="00B375CD">
        <w:rPr>
          <w:rFonts w:ascii="Arial" w:hAnsi="Arial" w:cs="Arial"/>
          <w:sz w:val="22"/>
          <w:szCs w:val="22"/>
        </w:rPr>
        <w:t>reflecting</w:t>
      </w:r>
      <w:r w:rsidRPr="00B375CD">
        <w:rPr>
          <w:rFonts w:ascii="Arial" w:hAnsi="Arial" w:cs="Arial"/>
          <w:sz w:val="22"/>
          <w:szCs w:val="22"/>
        </w:rPr>
        <w:t xml:space="preserve"> socio-economic barriers and limited access to recycling infrastructure. Local initiatives aim to integrate circular economy principles into city planning, strengthen community engagement, and promote behaviour change, but consistent outcomes remain challenging due to resource constraints and population diversity.</w:t>
      </w:r>
    </w:p>
    <w:p w14:paraId="7CBB0E9E" w14:textId="77777777" w:rsidR="0049519F" w:rsidRPr="00B375CD" w:rsidRDefault="005B7F89" w:rsidP="00B375CD">
      <w:pPr>
        <w:pStyle w:val="NormalWeb"/>
        <w:spacing w:line="276" w:lineRule="auto"/>
        <w:jc w:val="both"/>
        <w:rPr>
          <w:rFonts w:ascii="Arial" w:hAnsi="Arial" w:cs="Arial"/>
          <w:sz w:val="22"/>
          <w:szCs w:val="22"/>
        </w:rPr>
      </w:pPr>
      <w:r w:rsidRPr="00B375CD">
        <w:rPr>
          <w:rFonts w:ascii="Arial" w:hAnsi="Arial" w:cs="Arial"/>
          <w:sz w:val="22"/>
          <w:szCs w:val="22"/>
        </w:rPr>
        <w:t xml:space="preserve">Global policies supporting </w:t>
      </w:r>
      <w:r w:rsidRPr="003F4D3F">
        <w:rPr>
          <w:rStyle w:val="Strong"/>
          <w:rFonts w:ascii="Arial" w:eastAsiaTheme="majorEastAsia" w:hAnsi="Arial" w:cs="Arial"/>
          <w:b w:val="0"/>
          <w:bCs w:val="0"/>
          <w:sz w:val="22"/>
          <w:szCs w:val="22"/>
        </w:rPr>
        <w:t>SDG 12</w:t>
      </w:r>
      <w:r w:rsidRPr="00B375CD">
        <w:rPr>
          <w:rFonts w:ascii="Arial" w:hAnsi="Arial" w:cs="Arial"/>
          <w:sz w:val="22"/>
          <w:szCs w:val="22"/>
        </w:rPr>
        <w:t xml:space="preserve"> aim to promote sustainable consumption and production, but effectiveness remains uneven. The United Nations’ </w:t>
      </w:r>
      <w:r w:rsidRPr="00495BBE">
        <w:rPr>
          <w:rStyle w:val="Strong"/>
          <w:rFonts w:ascii="Arial" w:eastAsiaTheme="majorEastAsia" w:hAnsi="Arial" w:cs="Arial"/>
          <w:b w:val="0"/>
          <w:bCs w:val="0"/>
          <w:sz w:val="22"/>
          <w:szCs w:val="22"/>
        </w:rPr>
        <w:t>10-Year Framework of Programmes (10YFP)</w:t>
      </w:r>
      <w:r w:rsidRPr="00B375CD">
        <w:rPr>
          <w:rFonts w:ascii="Arial" w:hAnsi="Arial" w:cs="Arial"/>
          <w:sz w:val="22"/>
          <w:szCs w:val="22"/>
        </w:rPr>
        <w:t xml:space="preserve"> provides guidance on sustainable production, yet implementation varies due to differences in national capacity, priorities, and governance (United Nations, 2015). International agreements, such as the </w:t>
      </w:r>
      <w:r w:rsidRPr="00495BBE">
        <w:rPr>
          <w:rStyle w:val="Strong"/>
          <w:rFonts w:ascii="Arial" w:eastAsiaTheme="majorEastAsia" w:hAnsi="Arial" w:cs="Arial"/>
          <w:b w:val="0"/>
          <w:bCs w:val="0"/>
          <w:sz w:val="22"/>
          <w:szCs w:val="22"/>
        </w:rPr>
        <w:t>Basel Convention</w:t>
      </w:r>
      <w:r w:rsidRPr="00B375CD">
        <w:rPr>
          <w:rFonts w:ascii="Arial" w:hAnsi="Arial" w:cs="Arial"/>
          <w:sz w:val="22"/>
          <w:szCs w:val="22"/>
        </w:rPr>
        <w:t>, regulate hazardous chemical and waste management, but enforcement challenges in developing countries limit their impact on health and the environment (OECD, 2020).</w:t>
      </w:r>
    </w:p>
    <w:p w14:paraId="02A80D0E" w14:textId="70BF0630" w:rsidR="00AD4DC1" w:rsidRDefault="005B7F89" w:rsidP="00B375CD">
      <w:pPr>
        <w:pStyle w:val="NormalWeb"/>
        <w:spacing w:line="276" w:lineRule="auto"/>
        <w:jc w:val="both"/>
        <w:rPr>
          <w:rFonts w:ascii="Arial" w:hAnsi="Arial" w:cs="Arial"/>
          <w:sz w:val="22"/>
          <w:szCs w:val="22"/>
        </w:rPr>
      </w:pPr>
      <w:r w:rsidRPr="00B375CD">
        <w:rPr>
          <w:rFonts w:ascii="Arial" w:hAnsi="Arial" w:cs="Arial"/>
          <w:sz w:val="22"/>
          <w:szCs w:val="22"/>
        </w:rPr>
        <w:t xml:space="preserve"> Global initiatives promoting circular economies, sustainable diets, and waste reduction demonstrate potential benefits for environmental sustainability and population wellbeing, yet structural barriers, funding gaps, limited monitoring, and insufficient cross-sector coordination hinder widespread adoption (Sachs et al., 2019; World Health Organization, 2023). While these global frameworks and initiatives provide essential guidance and targets, persistent governance, financing, and capacity challenges constrain their full effectiveness, highlighting the need for stronger international</w:t>
      </w:r>
      <w:r w:rsidR="00AE4443">
        <w:rPr>
          <w:rFonts w:ascii="Arial" w:hAnsi="Arial" w:cs="Arial"/>
          <w:sz w:val="22"/>
          <w:szCs w:val="22"/>
        </w:rPr>
        <w:t xml:space="preserve"> collab</w:t>
      </w:r>
      <w:r w:rsidR="00086E2B">
        <w:rPr>
          <w:rFonts w:ascii="Arial" w:hAnsi="Arial" w:cs="Arial"/>
          <w:sz w:val="22"/>
          <w:szCs w:val="22"/>
        </w:rPr>
        <w:t>oration.</w:t>
      </w:r>
    </w:p>
    <w:p w14:paraId="12F62A50" w14:textId="77777777" w:rsidR="00AE4443" w:rsidRPr="00B375CD" w:rsidRDefault="00AE4443" w:rsidP="00B375CD">
      <w:pPr>
        <w:pStyle w:val="NormalWeb"/>
        <w:spacing w:line="276" w:lineRule="auto"/>
        <w:jc w:val="both"/>
        <w:rPr>
          <w:rFonts w:ascii="Arial" w:hAnsi="Arial" w:cs="Arial"/>
          <w:sz w:val="22"/>
          <w:szCs w:val="22"/>
        </w:rPr>
      </w:pPr>
    </w:p>
    <w:p w14:paraId="61EA0CA2" w14:textId="77777777" w:rsidR="00402EB3" w:rsidRPr="00B375CD" w:rsidRDefault="00402EB3" w:rsidP="00B375CD">
      <w:pPr>
        <w:pStyle w:val="NormalWeb"/>
        <w:spacing w:line="276" w:lineRule="auto"/>
        <w:jc w:val="both"/>
        <w:rPr>
          <w:rFonts w:ascii="Arial" w:hAnsi="Arial" w:cs="Arial"/>
          <w:sz w:val="22"/>
          <w:szCs w:val="22"/>
        </w:rPr>
      </w:pPr>
    </w:p>
    <w:p w14:paraId="1EEFCD60" w14:textId="77777777" w:rsidR="00402EB3" w:rsidRPr="00B375CD" w:rsidRDefault="00402EB3" w:rsidP="00B375CD">
      <w:pPr>
        <w:pStyle w:val="NormalWeb"/>
        <w:spacing w:line="276" w:lineRule="auto"/>
        <w:jc w:val="both"/>
        <w:rPr>
          <w:rFonts w:ascii="Arial" w:hAnsi="Arial" w:cs="Arial"/>
          <w:sz w:val="22"/>
          <w:szCs w:val="22"/>
        </w:rPr>
      </w:pPr>
      <w:r w:rsidRPr="00B375CD">
        <w:rPr>
          <w:rFonts w:ascii="Arial" w:hAnsi="Arial" w:cs="Arial"/>
          <w:sz w:val="22"/>
          <w:szCs w:val="22"/>
        </w:rPr>
        <w:t xml:space="preserve">National and local implementation of SDG 12 in the UK demonstrates both progress and persistent challenges. At the national level, the </w:t>
      </w:r>
      <w:r w:rsidRPr="00B375CD">
        <w:rPr>
          <w:rStyle w:val="Strong"/>
          <w:rFonts w:ascii="Arial" w:eastAsiaTheme="majorEastAsia" w:hAnsi="Arial" w:cs="Arial"/>
          <w:b w:val="0"/>
          <w:bCs w:val="0"/>
          <w:sz w:val="22"/>
          <w:szCs w:val="22"/>
        </w:rPr>
        <w:t>Resources and Waste Strategy (2018)</w:t>
      </w:r>
      <w:r w:rsidRPr="00B375CD">
        <w:rPr>
          <w:rFonts w:ascii="Arial" w:hAnsi="Arial" w:cs="Arial"/>
          <w:sz w:val="22"/>
          <w:szCs w:val="22"/>
        </w:rPr>
        <w:t xml:space="preserve"> sets targets for recycling, reducing single-use plastics, and promoting circular economy principles. While it has increased recycling rates and reduced landfill use, progress has been uneven, particularly in deprived regions, and consumer participation remains inconsistent (Department for Environment, Food &amp; Rural Affairs [DEFRA], 2018). At the local level, </w:t>
      </w:r>
      <w:r w:rsidRPr="00B375CD">
        <w:rPr>
          <w:rStyle w:val="Strong"/>
          <w:rFonts w:ascii="Arial" w:eastAsiaTheme="majorEastAsia" w:hAnsi="Arial" w:cs="Arial"/>
          <w:b w:val="0"/>
          <w:bCs w:val="0"/>
          <w:sz w:val="22"/>
          <w:szCs w:val="22"/>
        </w:rPr>
        <w:t>Birmingham City Council’s Zero Waste Programme</w:t>
      </w:r>
      <w:r w:rsidRPr="00B375CD">
        <w:rPr>
          <w:rFonts w:ascii="Arial" w:hAnsi="Arial" w:cs="Arial"/>
          <w:sz w:val="22"/>
          <w:szCs w:val="22"/>
        </w:rPr>
        <w:t xml:space="preserve"> focuses on household recycling, food waste reduction, and public education. This has improved community engagement and recycling compliance, but disparities persist across wards, with participation lower in deprived areas (Birmingham City Council, 2022). These examples highlight that effective SDG 12 delivery requires coordinated policy, community engagement, and education, alongside addressing socio-economic barriers to sustainable consumption and production.</w:t>
      </w:r>
    </w:p>
    <w:p w14:paraId="7A892279" w14:textId="5537B23F" w:rsidR="007C7A99" w:rsidRPr="00B375CD" w:rsidRDefault="007C7A99" w:rsidP="00B375CD">
      <w:pPr>
        <w:pStyle w:val="NormalWeb"/>
        <w:spacing w:line="276" w:lineRule="auto"/>
        <w:jc w:val="both"/>
        <w:rPr>
          <w:rFonts w:ascii="Arial" w:hAnsi="Arial" w:cs="Arial"/>
          <w:sz w:val="22"/>
          <w:szCs w:val="22"/>
        </w:rPr>
      </w:pPr>
      <w:r w:rsidRPr="00B375CD">
        <w:rPr>
          <w:rFonts w:ascii="Arial" w:hAnsi="Arial" w:cs="Arial"/>
          <w:sz w:val="22"/>
          <w:szCs w:val="22"/>
        </w:rPr>
        <w:lastRenderedPageBreak/>
        <w:t xml:space="preserve">The evaluation of national and local SDG 12 initiatives in the UK is strengthened by applying </w:t>
      </w:r>
      <w:r w:rsidRPr="00B375CD">
        <w:rPr>
          <w:rStyle w:val="Strong"/>
          <w:rFonts w:ascii="Arial" w:eastAsiaTheme="majorEastAsia" w:hAnsi="Arial" w:cs="Arial"/>
          <w:b w:val="0"/>
          <w:bCs w:val="0"/>
          <w:sz w:val="22"/>
          <w:szCs w:val="22"/>
        </w:rPr>
        <w:t>behavioural and systems-level theories</w:t>
      </w:r>
      <w:r w:rsidRPr="00B375CD">
        <w:rPr>
          <w:rFonts w:ascii="Arial" w:hAnsi="Arial" w:cs="Arial"/>
          <w:b/>
          <w:bCs/>
          <w:sz w:val="22"/>
          <w:szCs w:val="22"/>
        </w:rPr>
        <w:t xml:space="preserve">. </w:t>
      </w:r>
      <w:r w:rsidRPr="00B375CD">
        <w:rPr>
          <w:rStyle w:val="Strong"/>
          <w:rFonts w:ascii="Arial" w:eastAsiaTheme="majorEastAsia" w:hAnsi="Arial" w:cs="Arial"/>
          <w:b w:val="0"/>
          <w:bCs w:val="0"/>
          <w:sz w:val="22"/>
          <w:szCs w:val="22"/>
        </w:rPr>
        <w:t>Behavioural Economics Theory</w:t>
      </w:r>
      <w:r w:rsidRPr="00B375CD">
        <w:rPr>
          <w:rFonts w:ascii="Arial" w:hAnsi="Arial" w:cs="Arial"/>
          <w:sz w:val="22"/>
          <w:szCs w:val="22"/>
        </w:rPr>
        <w:t xml:space="preserve"> explains how the national </w:t>
      </w:r>
      <w:r w:rsidRPr="00B375CD">
        <w:rPr>
          <w:rStyle w:val="Strong"/>
          <w:rFonts w:ascii="Arial" w:eastAsiaTheme="majorEastAsia" w:hAnsi="Arial" w:cs="Arial"/>
          <w:b w:val="0"/>
          <w:bCs w:val="0"/>
          <w:sz w:val="22"/>
          <w:szCs w:val="22"/>
        </w:rPr>
        <w:t>Resources and Waste Strategy (2018)</w:t>
      </w:r>
      <w:r w:rsidRPr="00B375CD">
        <w:rPr>
          <w:rFonts w:ascii="Arial" w:hAnsi="Arial" w:cs="Arial"/>
          <w:sz w:val="22"/>
          <w:szCs w:val="22"/>
        </w:rPr>
        <w:t xml:space="preserve"> </w:t>
      </w:r>
      <w:r w:rsidR="00DC4C65" w:rsidRPr="00B375CD">
        <w:rPr>
          <w:rFonts w:ascii="Arial" w:hAnsi="Arial" w:cs="Arial"/>
          <w:sz w:val="22"/>
          <w:szCs w:val="22"/>
        </w:rPr>
        <w:t>use</w:t>
      </w:r>
      <w:r w:rsidRPr="00B375CD">
        <w:rPr>
          <w:rFonts w:ascii="Arial" w:hAnsi="Arial" w:cs="Arial"/>
          <w:sz w:val="22"/>
          <w:szCs w:val="22"/>
        </w:rPr>
        <w:t xml:space="preserve"> incentives and “nudges” to influence recycling and sustainable consumption behaviours, highlighting both successes and gaps in public engagement (Thaler &amp; Sunstein, 2008; DEFRA, 2018). At the local level, </w:t>
      </w:r>
      <w:r w:rsidRPr="00B375CD">
        <w:rPr>
          <w:rStyle w:val="Strong"/>
          <w:rFonts w:ascii="Arial" w:eastAsiaTheme="majorEastAsia" w:hAnsi="Arial" w:cs="Arial"/>
          <w:b w:val="0"/>
          <w:bCs w:val="0"/>
          <w:sz w:val="22"/>
          <w:szCs w:val="22"/>
        </w:rPr>
        <w:t>Social Cognitive Theory</w:t>
      </w:r>
      <w:r w:rsidRPr="00B375CD">
        <w:rPr>
          <w:rFonts w:ascii="Arial" w:hAnsi="Arial" w:cs="Arial"/>
          <w:sz w:val="22"/>
          <w:szCs w:val="22"/>
        </w:rPr>
        <w:t xml:space="preserve"> supports analysis of Birmingham’s </w:t>
      </w:r>
      <w:r w:rsidRPr="00B375CD">
        <w:rPr>
          <w:rStyle w:val="Strong"/>
          <w:rFonts w:ascii="Arial" w:eastAsiaTheme="majorEastAsia" w:hAnsi="Arial" w:cs="Arial"/>
          <w:b w:val="0"/>
          <w:bCs w:val="0"/>
          <w:sz w:val="22"/>
          <w:szCs w:val="22"/>
        </w:rPr>
        <w:t>Zero Waste Programme</w:t>
      </w:r>
      <w:r w:rsidRPr="00B375CD">
        <w:rPr>
          <w:rFonts w:ascii="Arial" w:hAnsi="Arial" w:cs="Arial"/>
          <w:sz w:val="22"/>
          <w:szCs w:val="22"/>
        </w:rPr>
        <w:t xml:space="preserve">, illustrating how social norms, education, and environmental restructuring encourage sustainable behaviours, while socio-economic disparities limit consistent participation (Bandura, 1986; Birmingham City Council, 2022). The </w:t>
      </w:r>
      <w:r w:rsidRPr="00B375CD">
        <w:rPr>
          <w:rStyle w:val="Strong"/>
          <w:rFonts w:ascii="Arial" w:eastAsiaTheme="majorEastAsia" w:hAnsi="Arial" w:cs="Arial"/>
          <w:b w:val="0"/>
          <w:bCs w:val="0"/>
          <w:sz w:val="22"/>
          <w:szCs w:val="22"/>
        </w:rPr>
        <w:t>Socio-Ecological Model</w:t>
      </w:r>
      <w:r w:rsidRPr="00B375CD">
        <w:rPr>
          <w:rFonts w:ascii="Arial" w:hAnsi="Arial" w:cs="Arial"/>
          <w:sz w:val="22"/>
          <w:szCs w:val="22"/>
        </w:rPr>
        <w:t xml:space="preserve"> frames the multi-level nature of interventions, showing that policy, community, organisational, and individual factors interact to determine the effectiveness of SDG 12 initiatives (McLeroy et al., 1988). Collectively, these theories provide a lens to evaluate both </w:t>
      </w:r>
      <w:r w:rsidRPr="00B375CD">
        <w:rPr>
          <w:rStyle w:val="Strong"/>
          <w:rFonts w:ascii="Arial" w:eastAsiaTheme="majorEastAsia" w:hAnsi="Arial" w:cs="Arial"/>
          <w:b w:val="0"/>
          <w:bCs w:val="0"/>
          <w:sz w:val="22"/>
          <w:szCs w:val="22"/>
        </w:rPr>
        <w:t>behavioural change</w:t>
      </w:r>
      <w:r w:rsidRPr="00B375CD">
        <w:rPr>
          <w:rFonts w:ascii="Arial" w:hAnsi="Arial" w:cs="Arial"/>
          <w:sz w:val="22"/>
          <w:szCs w:val="22"/>
        </w:rPr>
        <w:t xml:space="preserve"> and </w:t>
      </w:r>
      <w:r w:rsidRPr="00B375CD">
        <w:rPr>
          <w:rStyle w:val="Strong"/>
          <w:rFonts w:ascii="Arial" w:eastAsiaTheme="majorEastAsia" w:hAnsi="Arial" w:cs="Arial"/>
          <w:b w:val="0"/>
          <w:bCs w:val="0"/>
          <w:sz w:val="22"/>
          <w:szCs w:val="22"/>
        </w:rPr>
        <w:t>structural factors</w:t>
      </w:r>
      <w:r w:rsidRPr="00B375CD">
        <w:rPr>
          <w:rFonts w:ascii="Arial" w:hAnsi="Arial" w:cs="Arial"/>
          <w:sz w:val="22"/>
          <w:szCs w:val="22"/>
        </w:rPr>
        <w:t>, informing evidence-based recommendations for improving sustainable consumption and production.</w:t>
      </w:r>
    </w:p>
    <w:p w14:paraId="55454580" w14:textId="607265A9" w:rsidR="009E0A9A" w:rsidRPr="00B375CD" w:rsidRDefault="009E0A9A" w:rsidP="00B375CD">
      <w:pPr>
        <w:pStyle w:val="NormalWeb"/>
        <w:spacing w:line="276" w:lineRule="auto"/>
        <w:jc w:val="both"/>
        <w:rPr>
          <w:rFonts w:ascii="Arial" w:hAnsi="Arial" w:cs="Arial"/>
          <w:sz w:val="22"/>
          <w:szCs w:val="22"/>
        </w:rPr>
      </w:pPr>
      <w:r w:rsidRPr="00B375CD">
        <w:rPr>
          <w:rFonts w:ascii="Arial" w:hAnsi="Arial" w:cs="Arial"/>
          <w:sz w:val="22"/>
          <w:szCs w:val="22"/>
        </w:rPr>
        <w:t xml:space="preserve">Evaluation of SDG 12 initiatives in the UK shows that national and local programmes have improved recycling and sustainable consumption, but disparities in engagement and socio-economic barriers limit their effectiveness. In 2021–22, </w:t>
      </w:r>
      <w:r w:rsidRPr="00B375CD">
        <w:rPr>
          <w:rStyle w:val="Strong"/>
          <w:rFonts w:ascii="Arial" w:eastAsiaTheme="majorEastAsia" w:hAnsi="Arial" w:cs="Arial"/>
          <w:b w:val="0"/>
          <w:bCs w:val="0"/>
          <w:sz w:val="22"/>
          <w:szCs w:val="22"/>
        </w:rPr>
        <w:t>the UK recycled 46% of household waste</w:t>
      </w:r>
      <w:r w:rsidRPr="00B375CD">
        <w:rPr>
          <w:rFonts w:ascii="Arial" w:hAnsi="Arial" w:cs="Arial"/>
          <w:sz w:val="22"/>
          <w:szCs w:val="22"/>
        </w:rPr>
        <w:t xml:space="preserve">, with significant variation across regions, and Birmingham’s recycling rate reached only </w:t>
      </w:r>
      <w:r w:rsidRPr="00B375CD">
        <w:rPr>
          <w:rStyle w:val="Strong"/>
          <w:rFonts w:ascii="Arial" w:eastAsiaTheme="majorEastAsia" w:hAnsi="Arial" w:cs="Arial"/>
          <w:b w:val="0"/>
          <w:bCs w:val="0"/>
          <w:sz w:val="22"/>
          <w:szCs w:val="22"/>
        </w:rPr>
        <w:t>35%</w:t>
      </w:r>
      <w:r w:rsidRPr="00B375CD">
        <w:rPr>
          <w:rFonts w:ascii="Arial" w:hAnsi="Arial" w:cs="Arial"/>
          <w:sz w:val="22"/>
          <w:szCs w:val="22"/>
        </w:rPr>
        <w:t>, compared to the national average (DEFRA, 2018; Birmingham City Council, 2022). Evidence suggests that multi-level interventions are most effective. Recommendations include increasing public awareness campaigns to promote participation in recycling and sustainable practices, addressing socio-economic and accessibility barriers to ensure equitable engagement, and integrating circular economy principles into local planning and waste management. Strengthening monitoring and evaluation frameworks will allow for tracking progress and adapting interventions. Implementing these strategies can enhance sustainable consumption and production while ensuring that benefits are distributed fairly across all communities.</w:t>
      </w:r>
    </w:p>
    <w:p w14:paraId="6AE83768" w14:textId="77777777" w:rsidR="0025087C" w:rsidRPr="00B375CD" w:rsidRDefault="0025087C" w:rsidP="00B375CD">
      <w:pPr>
        <w:pStyle w:val="Heading2"/>
        <w:spacing w:line="276" w:lineRule="auto"/>
        <w:jc w:val="both"/>
        <w:rPr>
          <w:rFonts w:ascii="Arial" w:hAnsi="Arial" w:cs="Arial"/>
          <w:sz w:val="22"/>
          <w:szCs w:val="22"/>
        </w:rPr>
      </w:pPr>
      <w:r w:rsidRPr="00B375CD">
        <w:rPr>
          <w:rFonts w:ascii="Arial" w:hAnsi="Arial" w:cs="Arial"/>
          <w:sz w:val="22"/>
          <w:szCs w:val="22"/>
        </w:rPr>
        <w:t>Conclusion:</w:t>
      </w:r>
    </w:p>
    <w:p w14:paraId="3200818B" w14:textId="77777777" w:rsidR="009E0A9A" w:rsidRPr="00B375CD" w:rsidRDefault="009E0A9A" w:rsidP="00B375CD">
      <w:pPr>
        <w:spacing w:line="276" w:lineRule="auto"/>
        <w:jc w:val="both"/>
        <w:rPr>
          <w:rFonts w:ascii="Arial" w:hAnsi="Arial" w:cs="Arial"/>
        </w:rPr>
      </w:pPr>
    </w:p>
    <w:p w14:paraId="5D88555D" w14:textId="65A6BDFB" w:rsidR="006A32DD" w:rsidRPr="00B375CD" w:rsidRDefault="006A32DD" w:rsidP="00B375CD">
      <w:pPr>
        <w:pStyle w:val="NormalWeb"/>
        <w:spacing w:line="276" w:lineRule="auto"/>
        <w:jc w:val="both"/>
        <w:rPr>
          <w:rFonts w:ascii="Arial" w:hAnsi="Arial" w:cs="Arial"/>
          <w:sz w:val="22"/>
          <w:szCs w:val="22"/>
        </w:rPr>
      </w:pPr>
      <w:r w:rsidRPr="00B375CD">
        <w:rPr>
          <w:rFonts w:ascii="Arial" w:hAnsi="Arial" w:cs="Arial"/>
          <w:sz w:val="22"/>
          <w:szCs w:val="22"/>
        </w:rPr>
        <w:t>In conclusion to this report, t</w:t>
      </w:r>
      <w:r w:rsidRPr="00B375CD">
        <w:rPr>
          <w:rFonts w:ascii="Arial" w:hAnsi="Arial" w:cs="Arial"/>
          <w:sz w:val="22"/>
          <w:szCs w:val="22"/>
        </w:rPr>
        <w:t xml:space="preserve">he evaluation of SDG 3 and SDG 12 demonstrates that national, local, and global initiatives have made measurable progress but continue to face challenges. In the UK, the </w:t>
      </w:r>
      <w:r w:rsidRPr="00B375CD">
        <w:rPr>
          <w:rStyle w:val="Strong"/>
          <w:rFonts w:ascii="Arial" w:eastAsiaTheme="majorEastAsia" w:hAnsi="Arial" w:cs="Arial"/>
          <w:b w:val="0"/>
          <w:bCs w:val="0"/>
          <w:sz w:val="22"/>
          <w:szCs w:val="22"/>
        </w:rPr>
        <w:t>NHS</w:t>
      </w:r>
      <w:r w:rsidRPr="00B375CD">
        <w:rPr>
          <w:rFonts w:ascii="Arial" w:hAnsi="Arial" w:cs="Arial"/>
          <w:sz w:val="22"/>
          <w:szCs w:val="22"/>
        </w:rPr>
        <w:t xml:space="preserve"> has improved access to healthcare, yet health inequalities and workforce shortages persist, while Birmingham’s </w:t>
      </w:r>
      <w:r w:rsidRPr="00B375CD">
        <w:rPr>
          <w:rStyle w:val="Strong"/>
          <w:rFonts w:ascii="Arial" w:eastAsiaTheme="majorEastAsia" w:hAnsi="Arial" w:cs="Arial"/>
          <w:b w:val="0"/>
          <w:bCs w:val="0"/>
          <w:sz w:val="22"/>
          <w:szCs w:val="22"/>
        </w:rPr>
        <w:t>Zero Waste Programme</w:t>
      </w:r>
      <w:r w:rsidRPr="00B375CD">
        <w:rPr>
          <w:rFonts w:ascii="Arial" w:hAnsi="Arial" w:cs="Arial"/>
          <w:sz w:val="22"/>
          <w:szCs w:val="22"/>
        </w:rPr>
        <w:t xml:space="preserve"> has advanced recycling and waste reduction but shows disparities in participation (The King’s Fund, 2023; Birmingham City Council, 2022). Globally, initiatives such as the </w:t>
      </w:r>
      <w:r w:rsidRPr="00B375CD">
        <w:rPr>
          <w:rStyle w:val="Strong"/>
          <w:rFonts w:ascii="Arial" w:eastAsiaTheme="majorEastAsia" w:hAnsi="Arial" w:cs="Arial"/>
          <w:b w:val="0"/>
          <w:bCs w:val="0"/>
          <w:sz w:val="22"/>
          <w:szCs w:val="22"/>
        </w:rPr>
        <w:t>Global Fund</w:t>
      </w:r>
      <w:r w:rsidRPr="00B375CD">
        <w:rPr>
          <w:rFonts w:ascii="Arial" w:hAnsi="Arial" w:cs="Arial"/>
          <w:b/>
          <w:bCs/>
          <w:sz w:val="22"/>
          <w:szCs w:val="22"/>
        </w:rPr>
        <w:t xml:space="preserve"> </w:t>
      </w:r>
      <w:r w:rsidRPr="00B375CD">
        <w:rPr>
          <w:rFonts w:ascii="Arial" w:hAnsi="Arial" w:cs="Arial"/>
          <w:sz w:val="22"/>
          <w:szCs w:val="22"/>
        </w:rPr>
        <w:t>and</w:t>
      </w:r>
      <w:r w:rsidRPr="00B375CD">
        <w:rPr>
          <w:rFonts w:ascii="Arial" w:hAnsi="Arial" w:cs="Arial"/>
          <w:b/>
          <w:bCs/>
          <w:sz w:val="22"/>
          <w:szCs w:val="22"/>
        </w:rPr>
        <w:t xml:space="preserve"> </w:t>
      </w:r>
      <w:r w:rsidRPr="00B375CD">
        <w:rPr>
          <w:rStyle w:val="Strong"/>
          <w:rFonts w:ascii="Arial" w:eastAsiaTheme="majorEastAsia" w:hAnsi="Arial" w:cs="Arial"/>
          <w:b w:val="0"/>
          <w:bCs w:val="0"/>
          <w:sz w:val="22"/>
          <w:szCs w:val="22"/>
        </w:rPr>
        <w:t>Gavi</w:t>
      </w:r>
      <w:r w:rsidRPr="00B375CD">
        <w:rPr>
          <w:rFonts w:ascii="Arial" w:hAnsi="Arial" w:cs="Arial"/>
          <w:sz w:val="22"/>
          <w:szCs w:val="22"/>
        </w:rPr>
        <w:t xml:space="preserve"> have reduced disease burden and improved health equity, while international policies promoting sustainable consumption and circular economy practices face implementation and enforcement challenges (The Global Fund, 2023; Gavi, 2023).</w:t>
      </w:r>
    </w:p>
    <w:p w14:paraId="74747574" w14:textId="3EE9618A" w:rsidR="008157F4" w:rsidRPr="00B375CD" w:rsidRDefault="008157F4" w:rsidP="00B375CD">
      <w:pPr>
        <w:pStyle w:val="NormalWeb"/>
        <w:spacing w:line="276" w:lineRule="auto"/>
        <w:jc w:val="both"/>
        <w:rPr>
          <w:rFonts w:ascii="Arial" w:hAnsi="Arial" w:cs="Arial"/>
          <w:sz w:val="22"/>
          <w:szCs w:val="22"/>
        </w:rPr>
      </w:pPr>
      <w:r w:rsidRPr="00B375CD">
        <w:rPr>
          <w:rFonts w:ascii="Arial" w:hAnsi="Arial" w:cs="Arial"/>
          <w:sz w:val="22"/>
          <w:szCs w:val="22"/>
        </w:rPr>
        <w:t xml:space="preserve">Implementing </w:t>
      </w:r>
      <w:r w:rsidRPr="00B375CD">
        <w:rPr>
          <w:rStyle w:val="Strong"/>
          <w:rFonts w:ascii="Arial" w:eastAsiaTheme="majorEastAsia" w:hAnsi="Arial" w:cs="Arial"/>
          <w:b w:val="0"/>
          <w:bCs w:val="0"/>
          <w:sz w:val="22"/>
          <w:szCs w:val="22"/>
        </w:rPr>
        <w:t>NICE guidelines</w:t>
      </w:r>
      <w:r w:rsidRPr="00B375CD">
        <w:rPr>
          <w:rFonts w:ascii="Arial" w:hAnsi="Arial" w:cs="Arial"/>
          <w:sz w:val="22"/>
          <w:szCs w:val="22"/>
        </w:rPr>
        <w:t xml:space="preserve"> on smoking cessation, obesity, and alcohol reduction can improve population health and reduce inequalities (NICE, 2022). Aligning NHS and local programmes, such as Birmingham’s initiatives, with these evidence-based recommendations ensures standardised interventions, increases effectiveness, and supports equitable access to preventive services.</w:t>
      </w:r>
    </w:p>
    <w:p w14:paraId="523FBC88" w14:textId="5AD27894" w:rsidR="006A32DD" w:rsidRPr="00B375CD" w:rsidRDefault="006A32DD" w:rsidP="00B375CD">
      <w:pPr>
        <w:pStyle w:val="NormalWeb"/>
        <w:spacing w:line="276" w:lineRule="auto"/>
        <w:jc w:val="both"/>
        <w:rPr>
          <w:rFonts w:ascii="Arial" w:hAnsi="Arial" w:cs="Arial"/>
          <w:sz w:val="22"/>
          <w:szCs w:val="22"/>
        </w:rPr>
      </w:pPr>
      <w:r w:rsidRPr="00B375CD">
        <w:rPr>
          <w:rFonts w:ascii="Arial" w:hAnsi="Arial" w:cs="Arial"/>
          <w:sz w:val="22"/>
          <w:szCs w:val="22"/>
        </w:rPr>
        <w:lastRenderedPageBreak/>
        <w:t xml:space="preserve">The connection between SDG 3 and SDG 12 is clear: sustainable production and consumption practices directly affect environmental quality, which in turn impacts population health, while healthy populations are better able to support sustainable development. Wider implications highlight the need for integrated, multi-level strategies that address </w:t>
      </w:r>
      <w:r w:rsidRPr="00B375CD">
        <w:rPr>
          <w:rStyle w:val="Strong"/>
          <w:rFonts w:ascii="Arial" w:eastAsiaTheme="majorEastAsia" w:hAnsi="Arial" w:cs="Arial"/>
          <w:b w:val="0"/>
          <w:bCs w:val="0"/>
          <w:sz w:val="22"/>
          <w:szCs w:val="22"/>
        </w:rPr>
        <w:t>structural</w:t>
      </w:r>
      <w:r w:rsidRPr="00B375CD">
        <w:rPr>
          <w:rStyle w:val="Strong"/>
          <w:rFonts w:ascii="Arial" w:eastAsiaTheme="majorEastAsia" w:hAnsi="Arial" w:cs="Arial"/>
          <w:sz w:val="22"/>
          <w:szCs w:val="22"/>
        </w:rPr>
        <w:t xml:space="preserve"> </w:t>
      </w:r>
      <w:r w:rsidRPr="00B375CD">
        <w:rPr>
          <w:rStyle w:val="Strong"/>
          <w:rFonts w:ascii="Arial" w:eastAsiaTheme="majorEastAsia" w:hAnsi="Arial" w:cs="Arial"/>
          <w:b w:val="0"/>
          <w:bCs w:val="0"/>
          <w:sz w:val="22"/>
          <w:szCs w:val="22"/>
        </w:rPr>
        <w:t>inequalities, resource allocation, and public engagement</w:t>
      </w:r>
      <w:r w:rsidRPr="00B375CD">
        <w:rPr>
          <w:rFonts w:ascii="Arial" w:hAnsi="Arial" w:cs="Arial"/>
          <w:b/>
          <w:bCs/>
          <w:sz w:val="22"/>
          <w:szCs w:val="22"/>
        </w:rPr>
        <w:t>.</w:t>
      </w:r>
      <w:r w:rsidRPr="00B375CD">
        <w:rPr>
          <w:rFonts w:ascii="Arial" w:hAnsi="Arial" w:cs="Arial"/>
          <w:sz w:val="22"/>
          <w:szCs w:val="22"/>
        </w:rPr>
        <w:t xml:space="preserve"> Coordinated action across sectors, alongside robust </w:t>
      </w:r>
      <w:r w:rsidR="009B245D" w:rsidRPr="00B375CD">
        <w:rPr>
          <w:rFonts w:ascii="Arial" w:hAnsi="Arial" w:cs="Arial"/>
          <w:sz w:val="22"/>
          <w:szCs w:val="22"/>
        </w:rPr>
        <w:t>monitoring,</w:t>
      </w:r>
      <w:r w:rsidRPr="00B375CD">
        <w:rPr>
          <w:rFonts w:ascii="Arial" w:hAnsi="Arial" w:cs="Arial"/>
          <w:sz w:val="22"/>
          <w:szCs w:val="22"/>
        </w:rPr>
        <w:t xml:space="preserve"> and adaptive policies, is essential to achieve long-term improvements in both health outcomes and sustainable consumption patterns.</w:t>
      </w:r>
    </w:p>
    <w:p w14:paraId="7A31070A" w14:textId="77777777" w:rsidR="00DC4C65" w:rsidRPr="00B375CD" w:rsidRDefault="00DC4C65" w:rsidP="00B375CD">
      <w:pPr>
        <w:spacing w:line="276" w:lineRule="auto"/>
        <w:jc w:val="both"/>
        <w:rPr>
          <w:rFonts w:ascii="Arial" w:hAnsi="Arial" w:cs="Arial"/>
        </w:rPr>
      </w:pPr>
    </w:p>
    <w:p w14:paraId="7079168F" w14:textId="77777777" w:rsidR="00DC4C65" w:rsidRPr="00B375CD" w:rsidRDefault="00DC4C65" w:rsidP="00B375CD">
      <w:pPr>
        <w:spacing w:line="276" w:lineRule="auto"/>
        <w:jc w:val="both"/>
        <w:rPr>
          <w:rFonts w:ascii="Arial" w:hAnsi="Arial" w:cs="Arial"/>
        </w:rPr>
      </w:pPr>
    </w:p>
    <w:p w14:paraId="2D7BB10F" w14:textId="77777777" w:rsidR="00DC4C65" w:rsidRPr="00B375CD" w:rsidRDefault="00DC4C65" w:rsidP="00B375CD">
      <w:pPr>
        <w:spacing w:line="276" w:lineRule="auto"/>
        <w:jc w:val="both"/>
        <w:rPr>
          <w:rFonts w:ascii="Arial" w:hAnsi="Arial" w:cs="Arial"/>
        </w:rPr>
      </w:pPr>
    </w:p>
    <w:p w14:paraId="3F0D307E" w14:textId="77777777" w:rsidR="00DC4C65" w:rsidRPr="00B375CD" w:rsidRDefault="00DC4C65" w:rsidP="00B375CD">
      <w:pPr>
        <w:spacing w:line="276" w:lineRule="auto"/>
        <w:jc w:val="both"/>
        <w:rPr>
          <w:rFonts w:ascii="Arial" w:hAnsi="Arial" w:cs="Arial"/>
        </w:rPr>
      </w:pPr>
    </w:p>
    <w:p w14:paraId="39E46FF3" w14:textId="77777777" w:rsidR="00DC4C65" w:rsidRPr="00B375CD" w:rsidRDefault="00DC4C65" w:rsidP="00B375CD">
      <w:pPr>
        <w:spacing w:line="276" w:lineRule="auto"/>
        <w:jc w:val="both"/>
        <w:rPr>
          <w:rFonts w:ascii="Arial" w:hAnsi="Arial" w:cs="Arial"/>
        </w:rPr>
      </w:pPr>
    </w:p>
    <w:p w14:paraId="34C24993" w14:textId="77777777" w:rsidR="00DC4C65" w:rsidRPr="00B375CD" w:rsidRDefault="00DC4C65" w:rsidP="00B375CD">
      <w:pPr>
        <w:spacing w:line="276" w:lineRule="auto"/>
        <w:jc w:val="both"/>
        <w:rPr>
          <w:rFonts w:ascii="Arial" w:hAnsi="Arial" w:cs="Arial"/>
        </w:rPr>
      </w:pPr>
    </w:p>
    <w:p w14:paraId="7713F024" w14:textId="77777777" w:rsidR="00DC4C65" w:rsidRPr="00B375CD" w:rsidRDefault="00DC4C65" w:rsidP="00B375CD">
      <w:pPr>
        <w:spacing w:line="276" w:lineRule="auto"/>
        <w:jc w:val="both"/>
        <w:rPr>
          <w:rFonts w:ascii="Arial" w:hAnsi="Arial" w:cs="Arial"/>
        </w:rPr>
      </w:pPr>
    </w:p>
    <w:p w14:paraId="7234418E" w14:textId="77777777" w:rsidR="00DC4C65" w:rsidRPr="00B375CD" w:rsidRDefault="00DC4C65" w:rsidP="00B375CD">
      <w:pPr>
        <w:spacing w:line="276" w:lineRule="auto"/>
        <w:jc w:val="both"/>
        <w:rPr>
          <w:rFonts w:ascii="Arial" w:hAnsi="Arial" w:cs="Arial"/>
        </w:rPr>
      </w:pPr>
    </w:p>
    <w:p w14:paraId="4B6388BF" w14:textId="77777777" w:rsidR="00DC4C65" w:rsidRPr="00B375CD" w:rsidRDefault="00DC4C65" w:rsidP="00B375CD">
      <w:pPr>
        <w:spacing w:line="276" w:lineRule="auto"/>
        <w:jc w:val="both"/>
        <w:rPr>
          <w:rFonts w:ascii="Arial" w:hAnsi="Arial" w:cs="Arial"/>
        </w:rPr>
      </w:pPr>
    </w:p>
    <w:p w14:paraId="47734B2E" w14:textId="77777777" w:rsidR="00DC4C65" w:rsidRPr="00B375CD" w:rsidRDefault="00DC4C65" w:rsidP="00B375CD">
      <w:pPr>
        <w:spacing w:line="276" w:lineRule="auto"/>
        <w:jc w:val="both"/>
        <w:rPr>
          <w:rFonts w:ascii="Arial" w:hAnsi="Arial" w:cs="Arial"/>
        </w:rPr>
      </w:pPr>
    </w:p>
    <w:p w14:paraId="0BDFC1FA" w14:textId="77777777" w:rsidR="00DC4C65" w:rsidRPr="00B375CD" w:rsidRDefault="00DC4C65" w:rsidP="00B375CD">
      <w:pPr>
        <w:spacing w:line="276" w:lineRule="auto"/>
        <w:jc w:val="both"/>
        <w:rPr>
          <w:rFonts w:ascii="Arial" w:hAnsi="Arial" w:cs="Arial"/>
        </w:rPr>
      </w:pPr>
    </w:p>
    <w:p w14:paraId="71EF9DD2" w14:textId="77777777" w:rsidR="00DC4C65" w:rsidRPr="00B375CD" w:rsidRDefault="00DC4C65" w:rsidP="00B375CD">
      <w:pPr>
        <w:spacing w:line="276" w:lineRule="auto"/>
        <w:jc w:val="both"/>
        <w:rPr>
          <w:rFonts w:ascii="Arial" w:hAnsi="Arial" w:cs="Arial"/>
        </w:rPr>
      </w:pPr>
    </w:p>
    <w:p w14:paraId="12D4F3F1" w14:textId="77777777" w:rsidR="00DC4C65" w:rsidRPr="006A32DD" w:rsidRDefault="00DC4C65" w:rsidP="006A32DD">
      <w:pPr>
        <w:spacing w:line="276" w:lineRule="auto"/>
        <w:rPr>
          <w:rFonts w:ascii="Arial" w:hAnsi="Arial" w:cs="Arial"/>
        </w:rPr>
      </w:pPr>
    </w:p>
    <w:p w14:paraId="07C5BD97" w14:textId="77777777" w:rsidR="00DC4C65" w:rsidRPr="006A32DD" w:rsidRDefault="00DC4C65" w:rsidP="006A32DD">
      <w:pPr>
        <w:spacing w:line="276" w:lineRule="auto"/>
        <w:rPr>
          <w:rFonts w:ascii="Arial" w:hAnsi="Arial" w:cs="Arial"/>
        </w:rPr>
      </w:pPr>
    </w:p>
    <w:p w14:paraId="4FD5502E" w14:textId="77777777" w:rsidR="00DC4C65" w:rsidRPr="006A32DD" w:rsidRDefault="00DC4C65" w:rsidP="006A32DD">
      <w:pPr>
        <w:spacing w:line="276" w:lineRule="auto"/>
        <w:rPr>
          <w:rFonts w:ascii="Arial" w:hAnsi="Arial" w:cs="Arial"/>
        </w:rPr>
      </w:pPr>
    </w:p>
    <w:p w14:paraId="394771D2" w14:textId="77777777" w:rsidR="00DC4C65" w:rsidRPr="006A32DD" w:rsidRDefault="00DC4C65" w:rsidP="006A32DD">
      <w:pPr>
        <w:spacing w:line="276" w:lineRule="auto"/>
        <w:rPr>
          <w:rFonts w:ascii="Arial" w:hAnsi="Arial" w:cs="Arial"/>
        </w:rPr>
      </w:pPr>
    </w:p>
    <w:p w14:paraId="1169CE5E" w14:textId="77777777" w:rsidR="00DC4C65" w:rsidRPr="006A32DD" w:rsidRDefault="00DC4C65" w:rsidP="006A32DD">
      <w:pPr>
        <w:spacing w:line="276" w:lineRule="auto"/>
        <w:rPr>
          <w:rFonts w:ascii="Arial" w:hAnsi="Arial" w:cs="Arial"/>
        </w:rPr>
      </w:pPr>
    </w:p>
    <w:p w14:paraId="68ADB0FE" w14:textId="77777777" w:rsidR="00DC4C65" w:rsidRPr="006A32DD" w:rsidRDefault="00DC4C65" w:rsidP="006A32DD">
      <w:pPr>
        <w:spacing w:line="276" w:lineRule="auto"/>
        <w:rPr>
          <w:rFonts w:ascii="Arial" w:hAnsi="Arial" w:cs="Arial"/>
        </w:rPr>
      </w:pPr>
    </w:p>
    <w:p w14:paraId="4B4A0647" w14:textId="77777777" w:rsidR="00DC4C65" w:rsidRPr="006A32DD" w:rsidRDefault="00DC4C65" w:rsidP="006A32DD">
      <w:pPr>
        <w:spacing w:line="276" w:lineRule="auto"/>
        <w:rPr>
          <w:rFonts w:ascii="Arial" w:hAnsi="Arial" w:cs="Arial"/>
        </w:rPr>
      </w:pPr>
    </w:p>
    <w:p w14:paraId="3B39B64D" w14:textId="51619C9F" w:rsidR="00DC4C65" w:rsidRDefault="00DC4C65" w:rsidP="00DC4C65">
      <w:pPr>
        <w:pStyle w:val="Heading2"/>
      </w:pPr>
      <w:r>
        <w:t>References:</w:t>
      </w:r>
    </w:p>
    <w:p w14:paraId="6D4428AD" w14:textId="55D6A01E" w:rsidR="00DC4C65" w:rsidRDefault="00DC4C65" w:rsidP="00984655">
      <w:pPr>
        <w:pStyle w:val="NormalWeb"/>
      </w:pPr>
      <w:r>
        <w:t xml:space="preserve">Andersen, R. (1995) ‘Revisiting the </w:t>
      </w:r>
      <w:r>
        <w:t>behavioural</w:t>
      </w:r>
      <w:r>
        <w:t xml:space="preserve"> model and access to medical care: does it matter?’, </w:t>
      </w:r>
      <w:r>
        <w:rPr>
          <w:rStyle w:val="Emphasis"/>
          <w:rFonts w:eastAsiaTheme="majorEastAsia"/>
        </w:rPr>
        <w:t xml:space="preserve">Journal of Health and Social </w:t>
      </w:r>
      <w:r>
        <w:rPr>
          <w:rStyle w:val="Emphasis"/>
          <w:rFonts w:eastAsiaTheme="majorEastAsia"/>
        </w:rPr>
        <w:t>Behaviour</w:t>
      </w:r>
      <w:r>
        <w:t>, 36(1), pp. 1–10.</w:t>
      </w:r>
      <w:r w:rsidRPr="00984655">
        <w:t xml:space="preserve"> </w:t>
      </w:r>
    </w:p>
    <w:p w14:paraId="6AD960F8" w14:textId="77777777" w:rsidR="00DC4C65" w:rsidRDefault="00DC4C65" w:rsidP="00802A4E">
      <w:pPr>
        <w:pStyle w:val="NormalWeb"/>
      </w:pPr>
      <w:r>
        <w:t xml:space="preserve">Bandura, A. (1986) </w:t>
      </w:r>
      <w:r>
        <w:rPr>
          <w:rStyle w:val="Emphasis"/>
          <w:rFonts w:eastAsiaTheme="majorEastAsia"/>
        </w:rPr>
        <w:t>Social foundations of thought and action: A social cognitive theory</w:t>
      </w:r>
      <w:r>
        <w:t>. Englewood Cliffs, NJ: Prentice-Hall.</w:t>
      </w:r>
    </w:p>
    <w:p w14:paraId="5FFB0046" w14:textId="77777777" w:rsidR="00DC4C65" w:rsidRDefault="00DC4C65" w:rsidP="00286A0A">
      <w:pPr>
        <w:pStyle w:val="NormalWeb"/>
      </w:pPr>
      <w:r>
        <w:t xml:space="preserve">Birmingham City Council (2022) </w:t>
      </w:r>
      <w:r>
        <w:rPr>
          <w:rStyle w:val="Emphasis"/>
          <w:rFonts w:eastAsiaTheme="majorEastAsia"/>
        </w:rPr>
        <w:t>Public health annual report: Health and wellbeing in Birmingham</w:t>
      </w:r>
      <w:r>
        <w:t>. Birmingham: Birmingham City Council.</w:t>
      </w:r>
    </w:p>
    <w:p w14:paraId="07737714" w14:textId="77777777" w:rsidR="00DC4C65" w:rsidRDefault="00DC4C65" w:rsidP="007C7A99">
      <w:pPr>
        <w:pStyle w:val="NormalWeb"/>
      </w:pPr>
      <w:r>
        <w:lastRenderedPageBreak/>
        <w:t xml:space="preserve">Department for Environment, Food &amp; Rural Affairs (2018) </w:t>
      </w:r>
      <w:r>
        <w:rPr>
          <w:rStyle w:val="Emphasis"/>
          <w:rFonts w:eastAsiaTheme="majorEastAsia"/>
        </w:rPr>
        <w:t>Resources and Waste Strategy for England</w:t>
      </w:r>
      <w:r>
        <w:t>. London: DEFRA.</w:t>
      </w:r>
    </w:p>
    <w:p w14:paraId="28058A17" w14:textId="77777777" w:rsidR="00DC4C65" w:rsidRDefault="00DC4C65" w:rsidP="00802A4E">
      <w:pPr>
        <w:pStyle w:val="NormalWeb"/>
      </w:pPr>
      <w:r>
        <w:t xml:space="preserve">FAO (2020) </w:t>
      </w:r>
      <w:r>
        <w:rPr>
          <w:rStyle w:val="Emphasis"/>
          <w:rFonts w:eastAsiaTheme="majorEastAsia"/>
        </w:rPr>
        <w:t>Sustainable agriculture in Costa Rica: Policies and outcomes</w:t>
      </w:r>
      <w:r>
        <w:t>. Rome: Food and Agriculture Organization.</w:t>
      </w:r>
    </w:p>
    <w:p w14:paraId="52E55875" w14:textId="77777777" w:rsidR="00DC4C65" w:rsidRDefault="00DC4C65" w:rsidP="00DC4C65">
      <w:pPr>
        <w:pStyle w:val="NormalWeb"/>
      </w:pPr>
      <w:r>
        <w:t xml:space="preserve">Gavi (2023) </w:t>
      </w:r>
      <w:r>
        <w:rPr>
          <w:rStyle w:val="Emphasis"/>
          <w:rFonts w:eastAsiaTheme="majorEastAsia"/>
        </w:rPr>
        <w:t>Gavi, the Vaccine Alliance</w:t>
      </w:r>
      <w:r>
        <w:t xml:space="preserve">. Available at: </w:t>
      </w:r>
      <w:hyperlink r:id="rId4" w:tgtFrame="_new" w:history="1">
        <w:r>
          <w:rPr>
            <w:rStyle w:val="Hyperlink"/>
            <w:rFonts w:eastAsiaTheme="majorEastAsia"/>
          </w:rPr>
          <w:t>https://www.gavi.org</w:t>
        </w:r>
      </w:hyperlink>
      <w:r>
        <w:t xml:space="preserve"> (Accessed: 5 March 2026).</w:t>
      </w:r>
    </w:p>
    <w:p w14:paraId="437F6C07" w14:textId="77777777" w:rsidR="00DC4C65" w:rsidRDefault="00DC4C65" w:rsidP="005721BC">
      <w:pPr>
        <w:pStyle w:val="NormalWeb"/>
      </w:pPr>
      <w:r>
        <w:t xml:space="preserve">Macinko, J. and Harris, M.J. (2015) ‘Brazil’s Family Health Strategy — delivering community-based primary care in a universal health system’, </w:t>
      </w:r>
      <w:r>
        <w:rPr>
          <w:rStyle w:val="Emphasis"/>
          <w:rFonts w:eastAsiaTheme="majorEastAsia"/>
        </w:rPr>
        <w:t>New England Journal of Medicine</w:t>
      </w:r>
      <w:r>
        <w:t>, 372(23), pp. 2177–2181.</w:t>
      </w:r>
    </w:p>
    <w:p w14:paraId="4BED03A0" w14:textId="77777777" w:rsidR="00DC4C65" w:rsidRDefault="00DC4C65" w:rsidP="00984655">
      <w:pPr>
        <w:pStyle w:val="NormalWeb"/>
      </w:pPr>
      <w:r>
        <w:t xml:space="preserve">Marmot, M. et al. (2020) </w:t>
      </w:r>
      <w:r>
        <w:rPr>
          <w:rStyle w:val="Emphasis"/>
          <w:rFonts w:eastAsiaTheme="majorEastAsia"/>
        </w:rPr>
        <w:t>Health equity in England: The Marmot Review 10 years on</w:t>
      </w:r>
      <w:r>
        <w:t>. London: Institute of Health Equity.</w:t>
      </w:r>
    </w:p>
    <w:p w14:paraId="43837F4B" w14:textId="77777777" w:rsidR="00DC4C65" w:rsidRDefault="00DC4C65" w:rsidP="007C7A99">
      <w:pPr>
        <w:pStyle w:val="NormalWeb"/>
      </w:pPr>
      <w:r w:rsidRPr="00DC4C65">
        <w:rPr>
          <w:lang w:val="fr-FR"/>
        </w:rPr>
        <w:t xml:space="preserve">McLeroy, K.R. et al. </w:t>
      </w:r>
      <w:r>
        <w:t xml:space="preserve">(1988) ‘An ecological perspective on health promotion programs’, </w:t>
      </w:r>
      <w:r>
        <w:rPr>
          <w:rStyle w:val="Emphasis"/>
          <w:rFonts w:eastAsiaTheme="majorEastAsia"/>
        </w:rPr>
        <w:t>Health Education Quarterly</w:t>
      </w:r>
      <w:r>
        <w:t>, 15(4), pp. 351–377.</w:t>
      </w:r>
    </w:p>
    <w:p w14:paraId="0B5A31D8" w14:textId="77777777" w:rsidR="00DC4C65" w:rsidRDefault="00DC4C65" w:rsidP="00984655">
      <w:pPr>
        <w:pStyle w:val="NormalWeb"/>
      </w:pPr>
      <w:r>
        <w:t xml:space="preserve">NHS England (2023) </w:t>
      </w:r>
      <w:r>
        <w:rPr>
          <w:rStyle w:val="Emphasis"/>
          <w:rFonts w:eastAsiaTheme="majorEastAsia"/>
        </w:rPr>
        <w:t>NHS workforce statistics and performance update</w:t>
      </w:r>
      <w:r>
        <w:t>. London: NHS England.</w:t>
      </w:r>
    </w:p>
    <w:p w14:paraId="1A26A0AC" w14:textId="6FB9C064" w:rsidR="008157F4" w:rsidRDefault="008157F4" w:rsidP="00984655">
      <w:pPr>
        <w:pStyle w:val="NormalWeb"/>
      </w:pPr>
      <w:r>
        <w:t xml:space="preserve">NICE (2022) </w:t>
      </w:r>
      <w:r>
        <w:rPr>
          <w:rStyle w:val="Emphasis"/>
          <w:rFonts w:eastAsiaTheme="majorEastAsia"/>
        </w:rPr>
        <w:t>Behaviour change: Individual approaches</w:t>
      </w:r>
      <w:r>
        <w:t xml:space="preserve">. London: National Institute for Health and Care Excellence. Available at: </w:t>
      </w:r>
      <w:hyperlink r:id="rId5" w:tgtFrame="_new" w:history="1">
        <w:r>
          <w:rPr>
            <w:rStyle w:val="Hyperlink"/>
            <w:rFonts w:eastAsiaTheme="majorEastAsia"/>
          </w:rPr>
          <w:t>https://www.nice.org.uk/guidance/ph49</w:t>
        </w:r>
      </w:hyperlink>
      <w:r>
        <w:t xml:space="preserve"> (Accessed: 5 March 2026).</w:t>
      </w:r>
    </w:p>
    <w:p w14:paraId="1E36EE62" w14:textId="77777777" w:rsidR="00DC4C65" w:rsidRDefault="00DC4C65" w:rsidP="005932B1">
      <w:pPr>
        <w:pStyle w:val="NormalWeb"/>
      </w:pPr>
      <w:r>
        <w:t xml:space="preserve">OECD (2020) </w:t>
      </w:r>
      <w:r>
        <w:rPr>
          <w:rStyle w:val="Emphasis"/>
          <w:rFonts w:eastAsiaTheme="majorEastAsia"/>
        </w:rPr>
        <w:t>Global material resources outlook to 2060: Economic drivers and environmental consequences</w:t>
      </w:r>
      <w:r>
        <w:t>. Paris: OECD Publishing.</w:t>
      </w:r>
    </w:p>
    <w:p w14:paraId="5EB9785B" w14:textId="77777777" w:rsidR="00DC4C65" w:rsidRDefault="00DC4C65" w:rsidP="00286A0A">
      <w:pPr>
        <w:pStyle w:val="NormalWeb"/>
      </w:pPr>
      <w:r>
        <w:t xml:space="preserve">Plsek, P.E. and Greenhalgh, T. (2001) ‘Complexity science: The challenge of complexity in health care’, </w:t>
      </w:r>
      <w:r>
        <w:rPr>
          <w:rStyle w:val="Emphasis"/>
          <w:rFonts w:eastAsiaTheme="majorEastAsia"/>
        </w:rPr>
        <w:t>BMJ</w:t>
      </w:r>
      <w:r>
        <w:t>, 323(7313), pp. 625–628.</w:t>
      </w:r>
    </w:p>
    <w:p w14:paraId="0C4B301A" w14:textId="77777777" w:rsidR="00DC4C65" w:rsidRDefault="00DC4C65" w:rsidP="00567830">
      <w:pPr>
        <w:pStyle w:val="NormalWeb"/>
      </w:pPr>
      <w:r>
        <w:t xml:space="preserve">Public Health England (2020) </w:t>
      </w:r>
      <w:r>
        <w:rPr>
          <w:rStyle w:val="Emphasis"/>
          <w:rFonts w:eastAsiaTheme="majorEastAsia"/>
        </w:rPr>
        <w:t>Health impacts of smoke-free legislation in England</w:t>
      </w:r>
      <w:r>
        <w:t>. London: PHE.</w:t>
      </w:r>
    </w:p>
    <w:p w14:paraId="3B80FE48" w14:textId="77777777" w:rsidR="00DC4C65" w:rsidRDefault="00DC4C65" w:rsidP="005721BC">
      <w:pPr>
        <w:pStyle w:val="NormalWeb"/>
      </w:pPr>
      <w:r>
        <w:t xml:space="preserve">Reuters (2025) </w:t>
      </w:r>
      <w:r>
        <w:rPr>
          <w:rStyle w:val="Emphasis"/>
          <w:rFonts w:eastAsiaTheme="majorEastAsia"/>
        </w:rPr>
        <w:t>Child deaths will rise as aid cuts reverse progress, says Gates</w:t>
      </w:r>
      <w:r>
        <w:t xml:space="preserve">. Available at: </w:t>
      </w:r>
      <w:hyperlink r:id="rId6" w:tgtFrame="_new" w:history="1">
        <w:r>
          <w:rPr>
            <w:rStyle w:val="Hyperlink"/>
            <w:rFonts w:eastAsiaTheme="majorEastAsia"/>
          </w:rPr>
          <w:t>https://www.reuters.com</w:t>
        </w:r>
      </w:hyperlink>
      <w:r>
        <w:t xml:space="preserve"> (Accessed: 5 March 2026).</w:t>
      </w:r>
    </w:p>
    <w:p w14:paraId="64DA4B6A" w14:textId="1E8008A3" w:rsidR="00DC4C65" w:rsidRDefault="00DC4C65" w:rsidP="00567830">
      <w:pPr>
        <w:pStyle w:val="NormalWeb"/>
      </w:pPr>
      <w:r>
        <w:t xml:space="preserve">Rosenstock, I.M. (1974) ‘The Health Belief Model and preventive health </w:t>
      </w:r>
      <w:r>
        <w:t>behaviour</w:t>
      </w:r>
      <w:r>
        <w:t xml:space="preserve">’, </w:t>
      </w:r>
      <w:r>
        <w:rPr>
          <w:rStyle w:val="Emphasis"/>
          <w:rFonts w:eastAsiaTheme="majorEastAsia"/>
        </w:rPr>
        <w:t>Health Education Monographs</w:t>
      </w:r>
      <w:r>
        <w:t>, 2(4), pp. 354–386.</w:t>
      </w:r>
    </w:p>
    <w:p w14:paraId="0A0D6AC7" w14:textId="77777777" w:rsidR="00DC4C65" w:rsidRDefault="00DC4C65" w:rsidP="007C7A99">
      <w:pPr>
        <w:pStyle w:val="NormalWeb"/>
      </w:pPr>
      <w:r>
        <w:t xml:space="preserve">Thaler, R.H. and Sunstein, C.R. (2008) </w:t>
      </w:r>
      <w:r>
        <w:rPr>
          <w:rStyle w:val="Emphasis"/>
          <w:rFonts w:eastAsiaTheme="majorEastAsia"/>
        </w:rPr>
        <w:t>Nudge: Improving decisions about health, wealth, and happiness</w:t>
      </w:r>
      <w:r>
        <w:t>. New Haven: Yale University Press.</w:t>
      </w:r>
    </w:p>
    <w:p w14:paraId="2C94D1B0" w14:textId="77777777" w:rsidR="00DC4C65" w:rsidRDefault="00DC4C65" w:rsidP="00DC4C65">
      <w:pPr>
        <w:pStyle w:val="NormalWeb"/>
      </w:pPr>
      <w:r>
        <w:t xml:space="preserve">The Global Fund (2023) </w:t>
      </w:r>
      <w:r>
        <w:rPr>
          <w:rStyle w:val="Emphasis"/>
          <w:rFonts w:eastAsiaTheme="majorEastAsia"/>
        </w:rPr>
        <w:t>Fighting AIDS, tuberculosis, and malaria</w:t>
      </w:r>
      <w:r>
        <w:t xml:space="preserve">. Available at: </w:t>
      </w:r>
      <w:hyperlink r:id="rId7" w:tgtFrame="_new" w:history="1">
        <w:r>
          <w:rPr>
            <w:rStyle w:val="Hyperlink"/>
            <w:rFonts w:eastAsiaTheme="majorEastAsia"/>
          </w:rPr>
          <w:t>https://www.theglobalfund.org</w:t>
        </w:r>
      </w:hyperlink>
      <w:r>
        <w:t xml:space="preserve"> (Accessed: 5 March 2026).</w:t>
      </w:r>
    </w:p>
    <w:p w14:paraId="643D098D" w14:textId="77777777" w:rsidR="00DC4C65" w:rsidRDefault="00DC4C65" w:rsidP="005721BC">
      <w:pPr>
        <w:pStyle w:val="NormalWeb"/>
      </w:pPr>
      <w:r>
        <w:t xml:space="preserve">The Guardian (2025) </w:t>
      </w:r>
      <w:r>
        <w:rPr>
          <w:rStyle w:val="Emphasis"/>
          <w:rFonts w:eastAsiaTheme="majorEastAsia"/>
        </w:rPr>
        <w:t>Alarm as WHO accepts increasing amount of dark money from donors</w:t>
      </w:r>
      <w:r>
        <w:t xml:space="preserve">. Available at: </w:t>
      </w:r>
      <w:hyperlink r:id="rId8" w:tgtFrame="_new" w:history="1">
        <w:r>
          <w:rPr>
            <w:rStyle w:val="Hyperlink"/>
            <w:rFonts w:eastAsiaTheme="majorEastAsia"/>
          </w:rPr>
          <w:t>https://www.theguardian.com</w:t>
        </w:r>
      </w:hyperlink>
      <w:r>
        <w:t xml:space="preserve"> (Accessed: 5 March 2026).</w:t>
      </w:r>
    </w:p>
    <w:p w14:paraId="5C32EE41" w14:textId="77777777" w:rsidR="00DC4C65" w:rsidRDefault="00DC4C65" w:rsidP="00984655">
      <w:pPr>
        <w:pStyle w:val="NormalWeb"/>
      </w:pPr>
      <w:r>
        <w:lastRenderedPageBreak/>
        <w:t xml:space="preserve">The King’s Fund (2023) </w:t>
      </w:r>
      <w:r>
        <w:rPr>
          <w:rStyle w:val="Emphasis"/>
          <w:rFonts w:eastAsiaTheme="majorEastAsia"/>
        </w:rPr>
        <w:t>Health inequalities in England</w:t>
      </w:r>
      <w:r>
        <w:t>. London: The King’s Fund.</w:t>
      </w:r>
    </w:p>
    <w:p w14:paraId="28EB28BA" w14:textId="77777777" w:rsidR="00DC4C65" w:rsidRDefault="00DC4C65" w:rsidP="005721BC">
      <w:pPr>
        <w:pStyle w:val="NormalWeb"/>
      </w:pPr>
      <w:r>
        <w:t xml:space="preserve">The King’s Fund (2023) </w:t>
      </w:r>
      <w:r>
        <w:rPr>
          <w:rStyle w:val="Emphasis"/>
          <w:rFonts w:eastAsiaTheme="majorEastAsia"/>
        </w:rPr>
        <w:t>NHS workforce pressures and health inequalities</w:t>
      </w:r>
      <w:r>
        <w:t>. London: The King’s Fund.</w:t>
      </w:r>
    </w:p>
    <w:p w14:paraId="594DD495" w14:textId="49482B44" w:rsidR="00BE07FA" w:rsidRDefault="00BE07FA" w:rsidP="005721BC">
      <w:pPr>
        <w:pStyle w:val="NormalWeb"/>
      </w:pPr>
      <w:r>
        <w:t xml:space="preserve">UNICEF (2023) </w:t>
      </w:r>
      <w:r>
        <w:rPr>
          <w:rStyle w:val="Emphasis"/>
          <w:rFonts w:eastAsiaTheme="majorEastAsia"/>
        </w:rPr>
        <w:t>Child mortality and survival</w:t>
      </w:r>
      <w:r>
        <w:t xml:space="preserve">. Available at: </w:t>
      </w:r>
      <w:hyperlink r:id="rId9" w:tgtFrame="_new" w:history="1">
        <w:r>
          <w:rPr>
            <w:rStyle w:val="Hyperlink"/>
            <w:rFonts w:eastAsiaTheme="majorEastAsia"/>
          </w:rPr>
          <w:t>https://www.unicef.org</w:t>
        </w:r>
      </w:hyperlink>
      <w:r>
        <w:t xml:space="preserve"> (Accessed: 5 March 2026).</w:t>
      </w:r>
    </w:p>
    <w:p w14:paraId="18FB5128" w14:textId="0A1DFF98" w:rsidR="00DC4C65" w:rsidRDefault="00DC4C65" w:rsidP="00DC4C65">
      <w:pPr>
        <w:pStyle w:val="NormalWeb"/>
      </w:pPr>
      <w:r>
        <w:t>United</w:t>
      </w:r>
      <w:r>
        <w:t xml:space="preserve"> Nations (2015) </w:t>
      </w:r>
      <w:r>
        <w:rPr>
          <w:rStyle w:val="Emphasis"/>
          <w:rFonts w:eastAsiaTheme="majorEastAsia"/>
        </w:rPr>
        <w:t>Transforming our world: The 2030 Agenda for Sustainable Development</w:t>
      </w:r>
      <w:r>
        <w:t>. New York: United Nations.</w:t>
      </w:r>
    </w:p>
    <w:p w14:paraId="7C6528AB" w14:textId="77777777" w:rsidR="00DC4C65" w:rsidRDefault="00DC4C65" w:rsidP="005721BC">
      <w:pPr>
        <w:pStyle w:val="NormalWeb"/>
      </w:pPr>
      <w:r>
        <w:t xml:space="preserve">United Nations (2025) </w:t>
      </w:r>
      <w:r>
        <w:rPr>
          <w:rStyle w:val="Emphasis"/>
          <w:rFonts w:eastAsiaTheme="majorEastAsia"/>
        </w:rPr>
        <w:t>Goal 3: Ensure healthy lives and promote well-being for all at all ages</w:t>
      </w:r>
      <w:r>
        <w:t xml:space="preserve">. Available at: </w:t>
      </w:r>
      <w:hyperlink r:id="rId10" w:tgtFrame="_new" w:history="1">
        <w:r>
          <w:rPr>
            <w:rStyle w:val="Hyperlink"/>
            <w:rFonts w:eastAsiaTheme="majorEastAsia"/>
          </w:rPr>
          <w:t>https://sdgs.un.org/goals/goal3</w:t>
        </w:r>
      </w:hyperlink>
      <w:r>
        <w:t xml:space="preserve"> (Accessed: 5 March 2026).</w:t>
      </w:r>
    </w:p>
    <w:p w14:paraId="4FD630B7" w14:textId="77777777" w:rsidR="00DC4C65" w:rsidRDefault="00DC4C65" w:rsidP="005721BC">
      <w:pPr>
        <w:pStyle w:val="NormalWeb"/>
      </w:pPr>
      <w:r>
        <w:t xml:space="preserve">World Bank (2022) </w:t>
      </w:r>
      <w:r>
        <w:rPr>
          <w:rStyle w:val="Emphasis"/>
          <w:rFonts w:eastAsiaTheme="majorEastAsia"/>
        </w:rPr>
        <w:t>Rwanda: Community-based health insurance and universal health coverage</w:t>
      </w:r>
      <w:r>
        <w:t>. Washington, DC: World Bank.</w:t>
      </w:r>
    </w:p>
    <w:p w14:paraId="6717BB6A" w14:textId="77777777" w:rsidR="00DC4C65" w:rsidRDefault="00DC4C65" w:rsidP="005932B1">
      <w:pPr>
        <w:pStyle w:val="NormalWeb"/>
      </w:pPr>
      <w:r>
        <w:t xml:space="preserve">World Health Organization (2023) </w:t>
      </w:r>
      <w:r>
        <w:rPr>
          <w:rStyle w:val="Emphasis"/>
          <w:rFonts w:eastAsiaTheme="majorEastAsia"/>
        </w:rPr>
        <w:t>Environmental health and sustainable consumption</w:t>
      </w:r>
      <w:r>
        <w:t>. Geneva: WHO.</w:t>
      </w:r>
    </w:p>
    <w:p w14:paraId="34EF5DD3" w14:textId="77777777" w:rsidR="00DC4C65" w:rsidRDefault="00DC4C65" w:rsidP="00DC4C65">
      <w:pPr>
        <w:pStyle w:val="NormalWeb"/>
      </w:pPr>
      <w:r>
        <w:t xml:space="preserve">World Health Organization (2023) </w:t>
      </w:r>
      <w:r>
        <w:rPr>
          <w:rStyle w:val="Emphasis"/>
          <w:rFonts w:eastAsiaTheme="majorEastAsia"/>
        </w:rPr>
        <w:t>SDG 3: Ensure healthy lives and promote well-being for all at all ages</w:t>
      </w:r>
      <w:r>
        <w:t xml:space="preserve">. Available at: </w:t>
      </w:r>
      <w:hyperlink r:id="rId11" w:tgtFrame="_new" w:history="1">
        <w:r>
          <w:rPr>
            <w:rStyle w:val="Hyperlink"/>
            <w:rFonts w:eastAsiaTheme="majorEastAsia"/>
          </w:rPr>
          <w:t>https://www.who.int</w:t>
        </w:r>
      </w:hyperlink>
      <w:r>
        <w:t xml:space="preserve"> (Accessed: 5 March 2026).</w:t>
      </w:r>
    </w:p>
    <w:p w14:paraId="5DEF28FD" w14:textId="77777777" w:rsidR="00DC4C65" w:rsidRDefault="00DC4C65" w:rsidP="00984655">
      <w:pPr>
        <w:pStyle w:val="NormalWeb"/>
      </w:pPr>
      <w:r>
        <w:t xml:space="preserve">World Health Organization (2023) </w:t>
      </w:r>
      <w:r>
        <w:rPr>
          <w:rStyle w:val="Emphasis"/>
          <w:rFonts w:eastAsiaTheme="majorEastAsia"/>
        </w:rPr>
        <w:t>Universal Health Coverage Partnership</w:t>
      </w:r>
      <w:r>
        <w:t>. Geneva: WHO.</w:t>
      </w:r>
    </w:p>
    <w:p w14:paraId="3B045ABC" w14:textId="77777777" w:rsidR="00DC4C65" w:rsidRDefault="00DC4C65" w:rsidP="005721BC">
      <w:pPr>
        <w:pStyle w:val="NormalWeb"/>
      </w:pPr>
      <w:r>
        <w:t xml:space="preserve">World Health Organization (2024) </w:t>
      </w:r>
      <w:r>
        <w:rPr>
          <w:rStyle w:val="Emphasis"/>
          <w:rFonts w:eastAsiaTheme="majorEastAsia"/>
        </w:rPr>
        <w:t>Joint evaluation of the SDG3 Global Action Plan</w:t>
      </w:r>
      <w:r>
        <w:t>. Geneva: WHO.</w:t>
      </w:r>
    </w:p>
    <w:p w14:paraId="7D6E4007" w14:textId="77777777" w:rsidR="00802A4E" w:rsidRDefault="00802A4E" w:rsidP="005721BC">
      <w:pPr>
        <w:pStyle w:val="NormalWeb"/>
      </w:pPr>
    </w:p>
    <w:p w14:paraId="232AFB34" w14:textId="77777777" w:rsidR="00567830" w:rsidRDefault="00567830" w:rsidP="005721BC">
      <w:pPr>
        <w:pStyle w:val="NormalWeb"/>
      </w:pPr>
    </w:p>
    <w:p w14:paraId="0F429590" w14:textId="77777777" w:rsidR="005721BC" w:rsidRDefault="005721BC" w:rsidP="005721BC">
      <w:pPr>
        <w:pStyle w:val="NormalWeb"/>
      </w:pPr>
    </w:p>
    <w:p w14:paraId="63B00571" w14:textId="77777777" w:rsidR="005721BC" w:rsidRDefault="005721BC" w:rsidP="00C022A7">
      <w:pPr>
        <w:pStyle w:val="NormalWeb"/>
      </w:pPr>
    </w:p>
    <w:p w14:paraId="6CCAC7F8" w14:textId="77777777" w:rsidR="00C022A7" w:rsidRPr="00C022A7" w:rsidRDefault="00C022A7" w:rsidP="00C022A7"/>
    <w:p w14:paraId="1A02B033" w14:textId="77777777" w:rsidR="00C022A7" w:rsidRPr="00C022A7" w:rsidRDefault="00C022A7" w:rsidP="00C022A7"/>
    <w:sectPr w:rsidR="00C022A7" w:rsidRPr="00C022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2A7"/>
    <w:rsid w:val="00011FE7"/>
    <w:rsid w:val="00044E43"/>
    <w:rsid w:val="00066037"/>
    <w:rsid w:val="00075DAF"/>
    <w:rsid w:val="00086E2B"/>
    <w:rsid w:val="00091995"/>
    <w:rsid w:val="00093AA3"/>
    <w:rsid w:val="000A6785"/>
    <w:rsid w:val="000C117D"/>
    <w:rsid w:val="000D6172"/>
    <w:rsid w:val="000E21AC"/>
    <w:rsid w:val="000F0311"/>
    <w:rsid w:val="00106F13"/>
    <w:rsid w:val="00121FBA"/>
    <w:rsid w:val="00123784"/>
    <w:rsid w:val="00132AC4"/>
    <w:rsid w:val="00153929"/>
    <w:rsid w:val="00163B80"/>
    <w:rsid w:val="00167494"/>
    <w:rsid w:val="001744DE"/>
    <w:rsid w:val="0017640E"/>
    <w:rsid w:val="001A2BB1"/>
    <w:rsid w:val="001B68E1"/>
    <w:rsid w:val="001B6A7A"/>
    <w:rsid w:val="001C057A"/>
    <w:rsid w:val="001F08A6"/>
    <w:rsid w:val="001F4E21"/>
    <w:rsid w:val="00202BFD"/>
    <w:rsid w:val="0020365E"/>
    <w:rsid w:val="00213C74"/>
    <w:rsid w:val="002170CC"/>
    <w:rsid w:val="00240536"/>
    <w:rsid w:val="0024135F"/>
    <w:rsid w:val="002430F8"/>
    <w:rsid w:val="0025087C"/>
    <w:rsid w:val="0026640B"/>
    <w:rsid w:val="00286A0A"/>
    <w:rsid w:val="002A52F0"/>
    <w:rsid w:val="002C4315"/>
    <w:rsid w:val="002C55C9"/>
    <w:rsid w:val="002D2FFA"/>
    <w:rsid w:val="002E4A00"/>
    <w:rsid w:val="002E7EAD"/>
    <w:rsid w:val="002F0DE8"/>
    <w:rsid w:val="002F640D"/>
    <w:rsid w:val="00300FFA"/>
    <w:rsid w:val="003029B4"/>
    <w:rsid w:val="00321985"/>
    <w:rsid w:val="00322475"/>
    <w:rsid w:val="003357CA"/>
    <w:rsid w:val="00355E2F"/>
    <w:rsid w:val="00365A2A"/>
    <w:rsid w:val="0036687D"/>
    <w:rsid w:val="0037374E"/>
    <w:rsid w:val="00375CF1"/>
    <w:rsid w:val="00376098"/>
    <w:rsid w:val="003821D3"/>
    <w:rsid w:val="003A2AE0"/>
    <w:rsid w:val="003A639D"/>
    <w:rsid w:val="003C2764"/>
    <w:rsid w:val="003C3482"/>
    <w:rsid w:val="003D08C4"/>
    <w:rsid w:val="003D4D05"/>
    <w:rsid w:val="003F2355"/>
    <w:rsid w:val="003F4D3F"/>
    <w:rsid w:val="003F7BF6"/>
    <w:rsid w:val="00402EB3"/>
    <w:rsid w:val="00404B02"/>
    <w:rsid w:val="004353DF"/>
    <w:rsid w:val="00440915"/>
    <w:rsid w:val="00472ED2"/>
    <w:rsid w:val="004857FA"/>
    <w:rsid w:val="00490361"/>
    <w:rsid w:val="00493EC6"/>
    <w:rsid w:val="0049519F"/>
    <w:rsid w:val="00495BBE"/>
    <w:rsid w:val="004970F2"/>
    <w:rsid w:val="004B2C5C"/>
    <w:rsid w:val="004D286A"/>
    <w:rsid w:val="00500C44"/>
    <w:rsid w:val="00503B3A"/>
    <w:rsid w:val="0050576A"/>
    <w:rsid w:val="00540BE1"/>
    <w:rsid w:val="00547671"/>
    <w:rsid w:val="00567830"/>
    <w:rsid w:val="005721BC"/>
    <w:rsid w:val="005932B1"/>
    <w:rsid w:val="0059345C"/>
    <w:rsid w:val="005A25BF"/>
    <w:rsid w:val="005B7F89"/>
    <w:rsid w:val="005C4255"/>
    <w:rsid w:val="005F5510"/>
    <w:rsid w:val="006034E3"/>
    <w:rsid w:val="00606B9A"/>
    <w:rsid w:val="00612D41"/>
    <w:rsid w:val="0061440C"/>
    <w:rsid w:val="00621896"/>
    <w:rsid w:val="00625A92"/>
    <w:rsid w:val="00627110"/>
    <w:rsid w:val="00632253"/>
    <w:rsid w:val="006671B7"/>
    <w:rsid w:val="006A0527"/>
    <w:rsid w:val="006A32DD"/>
    <w:rsid w:val="006A7431"/>
    <w:rsid w:val="006B3C8A"/>
    <w:rsid w:val="006B469A"/>
    <w:rsid w:val="006D5760"/>
    <w:rsid w:val="006D6132"/>
    <w:rsid w:val="006D71BA"/>
    <w:rsid w:val="006E148F"/>
    <w:rsid w:val="00702555"/>
    <w:rsid w:val="00713A13"/>
    <w:rsid w:val="00746D6A"/>
    <w:rsid w:val="0075319D"/>
    <w:rsid w:val="0076720D"/>
    <w:rsid w:val="007730D3"/>
    <w:rsid w:val="00776AD0"/>
    <w:rsid w:val="00792B56"/>
    <w:rsid w:val="007955DF"/>
    <w:rsid w:val="007B21DA"/>
    <w:rsid w:val="007C748E"/>
    <w:rsid w:val="007C7A99"/>
    <w:rsid w:val="007D4AC7"/>
    <w:rsid w:val="007F2846"/>
    <w:rsid w:val="007F4F06"/>
    <w:rsid w:val="007F5590"/>
    <w:rsid w:val="00801236"/>
    <w:rsid w:val="00802A4E"/>
    <w:rsid w:val="00804944"/>
    <w:rsid w:val="00811BB4"/>
    <w:rsid w:val="008157F4"/>
    <w:rsid w:val="00842C12"/>
    <w:rsid w:val="00843066"/>
    <w:rsid w:val="008510C6"/>
    <w:rsid w:val="0085172F"/>
    <w:rsid w:val="0086307E"/>
    <w:rsid w:val="00870C2C"/>
    <w:rsid w:val="008B05CB"/>
    <w:rsid w:val="008C7FCE"/>
    <w:rsid w:val="008E4F6F"/>
    <w:rsid w:val="00912A3E"/>
    <w:rsid w:val="009157ED"/>
    <w:rsid w:val="0093303C"/>
    <w:rsid w:val="00951499"/>
    <w:rsid w:val="00952BE6"/>
    <w:rsid w:val="00955A48"/>
    <w:rsid w:val="00956652"/>
    <w:rsid w:val="00984655"/>
    <w:rsid w:val="009A17E3"/>
    <w:rsid w:val="009A2842"/>
    <w:rsid w:val="009B245D"/>
    <w:rsid w:val="009C3BD0"/>
    <w:rsid w:val="009E0A9A"/>
    <w:rsid w:val="009E4198"/>
    <w:rsid w:val="009E5352"/>
    <w:rsid w:val="00A02531"/>
    <w:rsid w:val="00A039DA"/>
    <w:rsid w:val="00A17D4F"/>
    <w:rsid w:val="00A22153"/>
    <w:rsid w:val="00A24026"/>
    <w:rsid w:val="00A30153"/>
    <w:rsid w:val="00A301C8"/>
    <w:rsid w:val="00A3421C"/>
    <w:rsid w:val="00A37108"/>
    <w:rsid w:val="00A50615"/>
    <w:rsid w:val="00A77226"/>
    <w:rsid w:val="00AA77EF"/>
    <w:rsid w:val="00AB09C2"/>
    <w:rsid w:val="00AB7799"/>
    <w:rsid w:val="00AD08F5"/>
    <w:rsid w:val="00AD33C4"/>
    <w:rsid w:val="00AD4DC1"/>
    <w:rsid w:val="00AD652B"/>
    <w:rsid w:val="00AE4443"/>
    <w:rsid w:val="00AF2B74"/>
    <w:rsid w:val="00AF3205"/>
    <w:rsid w:val="00AF377D"/>
    <w:rsid w:val="00B225DC"/>
    <w:rsid w:val="00B22F1D"/>
    <w:rsid w:val="00B375CD"/>
    <w:rsid w:val="00B424C7"/>
    <w:rsid w:val="00B4380C"/>
    <w:rsid w:val="00B43A61"/>
    <w:rsid w:val="00B54458"/>
    <w:rsid w:val="00B802D2"/>
    <w:rsid w:val="00B83FE6"/>
    <w:rsid w:val="00B8565E"/>
    <w:rsid w:val="00B90009"/>
    <w:rsid w:val="00BB585E"/>
    <w:rsid w:val="00BC4EBC"/>
    <w:rsid w:val="00BD0A5A"/>
    <w:rsid w:val="00BD261B"/>
    <w:rsid w:val="00BD660E"/>
    <w:rsid w:val="00BE07FA"/>
    <w:rsid w:val="00BE3E80"/>
    <w:rsid w:val="00C00766"/>
    <w:rsid w:val="00C022A7"/>
    <w:rsid w:val="00C17BD9"/>
    <w:rsid w:val="00C2069E"/>
    <w:rsid w:val="00C44203"/>
    <w:rsid w:val="00C5703A"/>
    <w:rsid w:val="00C648A4"/>
    <w:rsid w:val="00C913A9"/>
    <w:rsid w:val="00CC1501"/>
    <w:rsid w:val="00CF192D"/>
    <w:rsid w:val="00CF3E35"/>
    <w:rsid w:val="00CF512F"/>
    <w:rsid w:val="00D04662"/>
    <w:rsid w:val="00D1308C"/>
    <w:rsid w:val="00D26E68"/>
    <w:rsid w:val="00D353FA"/>
    <w:rsid w:val="00D35932"/>
    <w:rsid w:val="00D56375"/>
    <w:rsid w:val="00D74119"/>
    <w:rsid w:val="00D92A97"/>
    <w:rsid w:val="00DA0F61"/>
    <w:rsid w:val="00DA4D16"/>
    <w:rsid w:val="00DB277A"/>
    <w:rsid w:val="00DC4C65"/>
    <w:rsid w:val="00DE0144"/>
    <w:rsid w:val="00DE552A"/>
    <w:rsid w:val="00DE5B4A"/>
    <w:rsid w:val="00DF0522"/>
    <w:rsid w:val="00E06AA4"/>
    <w:rsid w:val="00E13994"/>
    <w:rsid w:val="00E231F3"/>
    <w:rsid w:val="00E267F0"/>
    <w:rsid w:val="00E54D59"/>
    <w:rsid w:val="00E62D5F"/>
    <w:rsid w:val="00E63C95"/>
    <w:rsid w:val="00E669F3"/>
    <w:rsid w:val="00E70BF7"/>
    <w:rsid w:val="00E71646"/>
    <w:rsid w:val="00E81322"/>
    <w:rsid w:val="00E820CB"/>
    <w:rsid w:val="00E8326E"/>
    <w:rsid w:val="00E95856"/>
    <w:rsid w:val="00E96D4B"/>
    <w:rsid w:val="00EB54E1"/>
    <w:rsid w:val="00EC6B07"/>
    <w:rsid w:val="00F133FF"/>
    <w:rsid w:val="00F41A95"/>
    <w:rsid w:val="00F474D5"/>
    <w:rsid w:val="00F562F4"/>
    <w:rsid w:val="00F606C2"/>
    <w:rsid w:val="00F665BC"/>
    <w:rsid w:val="00F71588"/>
    <w:rsid w:val="00F82742"/>
    <w:rsid w:val="00F95CE8"/>
    <w:rsid w:val="00FC1E25"/>
    <w:rsid w:val="00FC5CD2"/>
    <w:rsid w:val="00FC5F6E"/>
    <w:rsid w:val="00FD2391"/>
    <w:rsid w:val="00FD6954"/>
    <w:rsid w:val="00FF60D8"/>
    <w:rsid w:val="00FF6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1CEC5"/>
  <w15:chartTrackingRefBased/>
  <w15:docId w15:val="{0C4327B1-368A-4BB1-A9CD-7D43A5BBC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22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022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22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22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22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22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22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22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22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2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022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22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22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22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22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22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22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22A7"/>
    <w:rPr>
      <w:rFonts w:eastAsiaTheme="majorEastAsia" w:cstheme="majorBidi"/>
      <w:color w:val="272727" w:themeColor="text1" w:themeTint="D8"/>
    </w:rPr>
  </w:style>
  <w:style w:type="paragraph" w:styleId="Title">
    <w:name w:val="Title"/>
    <w:basedOn w:val="Normal"/>
    <w:next w:val="Normal"/>
    <w:link w:val="TitleChar"/>
    <w:uiPriority w:val="10"/>
    <w:qFormat/>
    <w:rsid w:val="00C022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22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22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22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22A7"/>
    <w:pPr>
      <w:spacing w:before="160"/>
      <w:jc w:val="center"/>
    </w:pPr>
    <w:rPr>
      <w:i/>
      <w:iCs/>
      <w:color w:val="404040" w:themeColor="text1" w:themeTint="BF"/>
    </w:rPr>
  </w:style>
  <w:style w:type="character" w:customStyle="1" w:styleId="QuoteChar">
    <w:name w:val="Quote Char"/>
    <w:basedOn w:val="DefaultParagraphFont"/>
    <w:link w:val="Quote"/>
    <w:uiPriority w:val="29"/>
    <w:rsid w:val="00C022A7"/>
    <w:rPr>
      <w:i/>
      <w:iCs/>
      <w:color w:val="404040" w:themeColor="text1" w:themeTint="BF"/>
    </w:rPr>
  </w:style>
  <w:style w:type="paragraph" w:styleId="ListParagraph">
    <w:name w:val="List Paragraph"/>
    <w:basedOn w:val="Normal"/>
    <w:uiPriority w:val="34"/>
    <w:qFormat/>
    <w:rsid w:val="00C022A7"/>
    <w:pPr>
      <w:ind w:left="720"/>
      <w:contextualSpacing/>
    </w:pPr>
  </w:style>
  <w:style w:type="character" w:styleId="IntenseEmphasis">
    <w:name w:val="Intense Emphasis"/>
    <w:basedOn w:val="DefaultParagraphFont"/>
    <w:uiPriority w:val="21"/>
    <w:qFormat/>
    <w:rsid w:val="00C022A7"/>
    <w:rPr>
      <w:i/>
      <w:iCs/>
      <w:color w:val="0F4761" w:themeColor="accent1" w:themeShade="BF"/>
    </w:rPr>
  </w:style>
  <w:style w:type="paragraph" w:styleId="IntenseQuote">
    <w:name w:val="Intense Quote"/>
    <w:basedOn w:val="Normal"/>
    <w:next w:val="Normal"/>
    <w:link w:val="IntenseQuoteChar"/>
    <w:uiPriority w:val="30"/>
    <w:qFormat/>
    <w:rsid w:val="00C022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22A7"/>
    <w:rPr>
      <w:i/>
      <w:iCs/>
      <w:color w:val="0F4761" w:themeColor="accent1" w:themeShade="BF"/>
    </w:rPr>
  </w:style>
  <w:style w:type="character" w:styleId="IntenseReference">
    <w:name w:val="Intense Reference"/>
    <w:basedOn w:val="DefaultParagraphFont"/>
    <w:uiPriority w:val="32"/>
    <w:qFormat/>
    <w:rsid w:val="00C022A7"/>
    <w:rPr>
      <w:b/>
      <w:bCs/>
      <w:smallCaps/>
      <w:color w:val="0F4761" w:themeColor="accent1" w:themeShade="BF"/>
      <w:spacing w:val="5"/>
    </w:rPr>
  </w:style>
  <w:style w:type="character" w:customStyle="1" w:styleId="whitespace-normal">
    <w:name w:val="whitespace-normal"/>
    <w:basedOn w:val="DefaultParagraphFont"/>
    <w:rsid w:val="00C022A7"/>
  </w:style>
  <w:style w:type="paragraph" w:styleId="NormalWeb">
    <w:name w:val="Normal (Web)"/>
    <w:basedOn w:val="Normal"/>
    <w:uiPriority w:val="99"/>
    <w:unhideWhenUsed/>
    <w:rsid w:val="00C022A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C022A7"/>
    <w:rPr>
      <w:i/>
      <w:iCs/>
    </w:rPr>
  </w:style>
  <w:style w:type="character" w:styleId="Hyperlink">
    <w:name w:val="Hyperlink"/>
    <w:basedOn w:val="DefaultParagraphFont"/>
    <w:uiPriority w:val="99"/>
    <w:semiHidden/>
    <w:unhideWhenUsed/>
    <w:rsid w:val="00C022A7"/>
    <w:rPr>
      <w:color w:val="0000FF"/>
      <w:u w:val="single"/>
    </w:rPr>
  </w:style>
  <w:style w:type="character" w:styleId="Strong">
    <w:name w:val="Strong"/>
    <w:basedOn w:val="DefaultParagraphFont"/>
    <w:uiPriority w:val="22"/>
    <w:qFormat/>
    <w:rsid w:val="005678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theglobalfund.or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uters.com" TargetMode="External"/><Relationship Id="rId11" Type="http://schemas.openxmlformats.org/officeDocument/2006/relationships/hyperlink" Target="https://www.who.int" TargetMode="External"/><Relationship Id="rId5" Type="http://schemas.openxmlformats.org/officeDocument/2006/relationships/hyperlink" Target="https://www.nice.org.uk/guidance/ph49" TargetMode="External"/><Relationship Id="rId10" Type="http://schemas.openxmlformats.org/officeDocument/2006/relationships/hyperlink" Target="https://sdgs.un.org/goals/goal3?utm_source=chatgpt.com" TargetMode="External"/><Relationship Id="rId4" Type="http://schemas.openxmlformats.org/officeDocument/2006/relationships/hyperlink" Target="https://www.gavi.org" TargetMode="External"/><Relationship Id="rId9" Type="http://schemas.openxmlformats.org/officeDocument/2006/relationships/hyperlink" Target="https://www.unicef.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3133</Words>
  <Characters>17864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ohanlon</dc:creator>
  <cp:keywords/>
  <dc:description/>
  <cp:lastModifiedBy>heidi ohanlon</cp:lastModifiedBy>
  <cp:revision>28</cp:revision>
  <dcterms:created xsi:type="dcterms:W3CDTF">2026-03-05T12:46:00Z</dcterms:created>
  <dcterms:modified xsi:type="dcterms:W3CDTF">2026-03-05T16:45:00Z</dcterms:modified>
</cp:coreProperties>
</file>