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17146" w:rsidRPr="00FA107A" w:rsidRDefault="00217146" w:rsidP="00C6200C">
      <w:pPr>
        <w:tabs>
          <w:tab w:val="left" w:pos="2235"/>
        </w:tabs>
        <w:spacing w:after="0" w:line="480" w:lineRule="auto"/>
        <w:jc w:val="both"/>
        <w:rPr>
          <w:rFonts w:ascii="Times New Roman" w:hAnsi="Times New Roman" w:cs="Times New Roman"/>
          <w:sz w:val="24"/>
          <w:szCs w:val="24"/>
        </w:rPr>
      </w:pPr>
    </w:p>
    <w:p w:rsidR="00993845" w:rsidRPr="00797C04" w:rsidRDefault="00993845" w:rsidP="00993845">
      <w:pPr>
        <w:spacing w:line="480" w:lineRule="auto"/>
        <w:jc w:val="both"/>
        <w:rPr>
          <w:rFonts w:ascii="Times New Roman" w:hAnsi="Times New Roman" w:cs="Times New Roman"/>
          <w:b/>
          <w:sz w:val="24"/>
          <w:szCs w:val="24"/>
        </w:rPr>
      </w:pPr>
    </w:p>
    <w:p w:rsidR="00993845" w:rsidRPr="00797C04" w:rsidRDefault="00993845" w:rsidP="00993845">
      <w:pPr>
        <w:spacing w:line="480" w:lineRule="auto"/>
        <w:jc w:val="both"/>
        <w:rPr>
          <w:rFonts w:ascii="Times New Roman" w:hAnsi="Times New Roman" w:cs="Times New Roman"/>
          <w:b/>
          <w:sz w:val="24"/>
          <w:szCs w:val="24"/>
        </w:rPr>
      </w:pPr>
      <w:r>
        <w:rPr>
          <w:rFonts w:ascii="Times New Roman" w:hAnsi="Times New Roman"/>
          <w:b/>
          <w:noProof/>
          <w:sz w:val="24"/>
          <w:szCs w:val="24"/>
          <w:lang w:bidi="gu-IN"/>
        </w:rPr>
        <w:drawing>
          <wp:inline distT="0" distB="0" distL="0" distR="0">
            <wp:extent cx="2400300" cy="8382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2400300" cy="838200"/>
                    </a:xfrm>
                    <a:prstGeom prst="rect">
                      <a:avLst/>
                    </a:prstGeom>
                    <a:noFill/>
                    <a:ln w="9525">
                      <a:noFill/>
                      <a:miter lim="800000"/>
                      <a:headEnd/>
                      <a:tailEnd/>
                    </a:ln>
                  </pic:spPr>
                </pic:pic>
              </a:graphicData>
            </a:graphic>
          </wp:inline>
        </w:drawing>
      </w:r>
    </w:p>
    <w:p w:rsidR="00993845" w:rsidRDefault="00993845" w:rsidP="00993845">
      <w:pPr>
        <w:spacing w:line="480" w:lineRule="auto"/>
        <w:jc w:val="both"/>
        <w:rPr>
          <w:rFonts w:ascii="Times New Roman" w:hAnsi="Times New Roman" w:cs="Times New Roman"/>
          <w:b/>
          <w:sz w:val="24"/>
          <w:szCs w:val="24"/>
        </w:rPr>
      </w:pPr>
    </w:p>
    <w:p w:rsidR="00993845" w:rsidRDefault="00993845" w:rsidP="00993845">
      <w:pPr>
        <w:spacing w:line="480" w:lineRule="auto"/>
        <w:jc w:val="right"/>
        <w:rPr>
          <w:rFonts w:ascii="Times New Roman" w:hAnsi="Times New Roman" w:cs="Times New Roman"/>
          <w:b/>
          <w:sz w:val="16"/>
          <w:szCs w:val="16"/>
        </w:rPr>
      </w:pPr>
      <w:r>
        <w:rPr>
          <w:rFonts w:ascii="Times New Roman" w:hAnsi="Times New Roman" w:cs="Times New Roman"/>
          <w:b/>
          <w:sz w:val="16"/>
          <w:szCs w:val="16"/>
        </w:rPr>
        <w:tab/>
      </w:r>
      <w:r>
        <w:rPr>
          <w:rFonts w:ascii="Times New Roman" w:hAnsi="Times New Roman" w:cs="Times New Roman"/>
          <w:b/>
          <w:sz w:val="16"/>
          <w:szCs w:val="16"/>
        </w:rPr>
        <w:tab/>
      </w:r>
      <w:r>
        <w:rPr>
          <w:rFonts w:ascii="Times New Roman" w:hAnsi="Times New Roman" w:cs="Times New Roman"/>
          <w:b/>
          <w:sz w:val="16"/>
          <w:szCs w:val="16"/>
        </w:rPr>
        <w:tab/>
      </w:r>
      <w:r>
        <w:rPr>
          <w:rFonts w:ascii="Times New Roman" w:hAnsi="Times New Roman" w:cs="Times New Roman"/>
          <w:b/>
          <w:sz w:val="16"/>
          <w:szCs w:val="16"/>
        </w:rPr>
        <w:tab/>
      </w:r>
      <w:r>
        <w:rPr>
          <w:rFonts w:ascii="Times New Roman" w:hAnsi="Times New Roman" w:cs="Times New Roman"/>
          <w:b/>
          <w:sz w:val="16"/>
          <w:szCs w:val="16"/>
        </w:rPr>
        <w:tab/>
      </w:r>
      <w:r>
        <w:rPr>
          <w:rFonts w:ascii="Times New Roman" w:hAnsi="Times New Roman" w:cs="Times New Roman"/>
          <w:b/>
          <w:sz w:val="16"/>
          <w:szCs w:val="16"/>
        </w:rPr>
        <w:tab/>
      </w:r>
      <w:r>
        <w:rPr>
          <w:rFonts w:ascii="Times New Roman" w:hAnsi="Times New Roman" w:cs="Times New Roman"/>
          <w:b/>
          <w:sz w:val="16"/>
          <w:szCs w:val="16"/>
        </w:rPr>
        <w:tab/>
      </w:r>
      <w:r>
        <w:rPr>
          <w:rFonts w:ascii="Times New Roman" w:hAnsi="Times New Roman" w:cs="Times New Roman"/>
          <w:b/>
          <w:sz w:val="16"/>
          <w:szCs w:val="16"/>
        </w:rPr>
        <w:tab/>
      </w:r>
      <w:r>
        <w:rPr>
          <w:rFonts w:ascii="Times New Roman" w:hAnsi="Times New Roman" w:cs="Times New Roman"/>
          <w:b/>
          <w:sz w:val="16"/>
          <w:szCs w:val="16"/>
        </w:rPr>
        <w:tab/>
      </w:r>
      <w:r>
        <w:rPr>
          <w:rFonts w:ascii="Times New Roman" w:hAnsi="Times New Roman" w:cs="Times New Roman"/>
          <w:b/>
          <w:sz w:val="16"/>
          <w:szCs w:val="16"/>
        </w:rPr>
        <w:tab/>
      </w:r>
      <w:r>
        <w:rPr>
          <w:rFonts w:ascii="Times New Roman" w:hAnsi="Times New Roman" w:cs="Times New Roman"/>
          <w:b/>
          <w:sz w:val="16"/>
          <w:szCs w:val="16"/>
        </w:rPr>
        <w:tab/>
      </w:r>
    </w:p>
    <w:p w:rsidR="00993845" w:rsidRDefault="00993845" w:rsidP="00993845">
      <w:pPr>
        <w:spacing w:line="480" w:lineRule="auto"/>
        <w:jc w:val="right"/>
        <w:rPr>
          <w:rFonts w:ascii="Times New Roman" w:hAnsi="Times New Roman" w:cs="Times New Roman"/>
          <w:b/>
          <w:sz w:val="16"/>
          <w:szCs w:val="16"/>
        </w:rPr>
      </w:pPr>
    </w:p>
    <w:p w:rsidR="00993845" w:rsidRDefault="00993845" w:rsidP="00993845">
      <w:pPr>
        <w:spacing w:line="480" w:lineRule="auto"/>
        <w:jc w:val="right"/>
        <w:rPr>
          <w:rFonts w:ascii="Times New Roman" w:hAnsi="Times New Roman" w:cs="Times New Roman"/>
          <w:b/>
          <w:sz w:val="16"/>
          <w:szCs w:val="16"/>
        </w:rPr>
      </w:pPr>
    </w:p>
    <w:p w:rsidR="00993845" w:rsidRDefault="00993845" w:rsidP="00993845">
      <w:pPr>
        <w:spacing w:line="480" w:lineRule="auto"/>
        <w:rPr>
          <w:rFonts w:ascii="Times New Roman" w:hAnsi="Times New Roman" w:cs="Times New Roman"/>
          <w:b/>
          <w:sz w:val="16"/>
          <w:szCs w:val="16"/>
        </w:rPr>
      </w:pPr>
    </w:p>
    <w:p w:rsidR="00993845" w:rsidRDefault="00993845" w:rsidP="00993845">
      <w:pPr>
        <w:spacing w:line="480" w:lineRule="auto"/>
        <w:jc w:val="right"/>
        <w:rPr>
          <w:rFonts w:ascii="Times New Roman" w:hAnsi="Times New Roman" w:cs="Times New Roman"/>
          <w:b/>
          <w:sz w:val="16"/>
          <w:szCs w:val="16"/>
        </w:rPr>
      </w:pPr>
    </w:p>
    <w:p w:rsidR="00993845" w:rsidRDefault="00993845" w:rsidP="00993845">
      <w:pPr>
        <w:tabs>
          <w:tab w:val="left" w:pos="6345"/>
        </w:tabs>
        <w:spacing w:line="480" w:lineRule="auto"/>
        <w:rPr>
          <w:rFonts w:ascii="Times New Roman" w:hAnsi="Times New Roman" w:cs="Times New Roman"/>
          <w:b/>
          <w:sz w:val="16"/>
          <w:szCs w:val="16"/>
        </w:rPr>
      </w:pPr>
      <w:r>
        <w:rPr>
          <w:rFonts w:ascii="Times New Roman" w:hAnsi="Times New Roman" w:cs="Times New Roman"/>
          <w:b/>
          <w:sz w:val="16"/>
          <w:szCs w:val="16"/>
        </w:rPr>
        <w:tab/>
      </w:r>
    </w:p>
    <w:p w:rsidR="00993845" w:rsidRDefault="00993845" w:rsidP="00993845">
      <w:pPr>
        <w:tabs>
          <w:tab w:val="left" w:pos="6345"/>
        </w:tabs>
        <w:spacing w:line="480" w:lineRule="auto"/>
        <w:rPr>
          <w:rFonts w:ascii="Times New Roman" w:hAnsi="Times New Roman" w:cs="Times New Roman"/>
          <w:b/>
          <w:sz w:val="16"/>
          <w:szCs w:val="16"/>
        </w:rPr>
      </w:pPr>
    </w:p>
    <w:p w:rsidR="00993845" w:rsidRDefault="00993845" w:rsidP="00993845">
      <w:pPr>
        <w:tabs>
          <w:tab w:val="left" w:pos="6345"/>
        </w:tabs>
        <w:spacing w:line="480" w:lineRule="auto"/>
        <w:rPr>
          <w:rFonts w:ascii="Times New Roman" w:hAnsi="Times New Roman" w:cs="Times New Roman"/>
          <w:b/>
          <w:sz w:val="16"/>
          <w:szCs w:val="16"/>
        </w:rPr>
      </w:pPr>
    </w:p>
    <w:p w:rsidR="00993845" w:rsidRDefault="00993845" w:rsidP="00993845">
      <w:pPr>
        <w:tabs>
          <w:tab w:val="left" w:pos="6345"/>
        </w:tabs>
        <w:spacing w:line="480" w:lineRule="auto"/>
        <w:rPr>
          <w:rFonts w:ascii="Times New Roman" w:hAnsi="Times New Roman" w:cs="Times New Roman"/>
          <w:b/>
          <w:sz w:val="16"/>
          <w:szCs w:val="16"/>
        </w:rPr>
      </w:pPr>
    </w:p>
    <w:p w:rsidR="00993845" w:rsidRDefault="00993845" w:rsidP="00993845">
      <w:pPr>
        <w:tabs>
          <w:tab w:val="left" w:pos="6345"/>
        </w:tabs>
        <w:spacing w:line="480" w:lineRule="auto"/>
        <w:rPr>
          <w:rFonts w:ascii="Times New Roman" w:hAnsi="Times New Roman" w:cs="Times New Roman"/>
          <w:b/>
          <w:sz w:val="16"/>
          <w:szCs w:val="16"/>
        </w:rPr>
      </w:pPr>
    </w:p>
    <w:p w:rsidR="00993845" w:rsidRPr="003D6E6A" w:rsidRDefault="00993845" w:rsidP="00993845">
      <w:pPr>
        <w:spacing w:after="0" w:line="480" w:lineRule="auto"/>
        <w:contextualSpacing/>
        <w:jc w:val="right"/>
        <w:rPr>
          <w:rFonts w:ascii="Times New Roman" w:hAnsi="Times New Roman" w:cs="Times New Roman"/>
          <w:b/>
          <w:sz w:val="32"/>
          <w:szCs w:val="32"/>
        </w:rPr>
      </w:pPr>
      <w:r w:rsidRPr="003D6E6A">
        <w:rPr>
          <w:rFonts w:ascii="Times New Roman" w:hAnsi="Times New Roman" w:cs="Times New Roman"/>
          <w:b/>
          <w:sz w:val="32"/>
          <w:szCs w:val="32"/>
        </w:rPr>
        <w:t>Name: Harshkumar Patel</w:t>
      </w:r>
    </w:p>
    <w:p w:rsidR="00993845" w:rsidRDefault="00993845" w:rsidP="00993845">
      <w:pPr>
        <w:spacing w:after="0" w:line="480" w:lineRule="auto"/>
        <w:contextualSpacing/>
        <w:jc w:val="right"/>
        <w:rPr>
          <w:rFonts w:ascii="Times New Roman" w:hAnsi="Times New Roman" w:cs="Times New Roman"/>
          <w:b/>
          <w:sz w:val="32"/>
          <w:szCs w:val="32"/>
        </w:rPr>
      </w:pPr>
      <w:r w:rsidRPr="003D6E6A">
        <w:rPr>
          <w:rFonts w:ascii="Times New Roman" w:hAnsi="Times New Roman" w:cs="Times New Roman"/>
          <w:b/>
          <w:sz w:val="32"/>
          <w:szCs w:val="32"/>
        </w:rPr>
        <w:t>Student ID: 1708665</w:t>
      </w:r>
    </w:p>
    <w:p w:rsidR="00993845" w:rsidRPr="003D6E6A" w:rsidRDefault="00993845" w:rsidP="00993845">
      <w:pPr>
        <w:spacing w:after="0" w:line="480" w:lineRule="auto"/>
        <w:contextualSpacing/>
        <w:jc w:val="right"/>
        <w:rPr>
          <w:rFonts w:ascii="Times New Roman" w:hAnsi="Times New Roman" w:cs="Times New Roman"/>
          <w:b/>
          <w:sz w:val="32"/>
          <w:szCs w:val="32"/>
        </w:rPr>
      </w:pPr>
      <w:r>
        <w:rPr>
          <w:rFonts w:ascii="Times New Roman" w:hAnsi="Times New Roman" w:cs="Times New Roman"/>
          <w:b/>
          <w:sz w:val="32"/>
          <w:szCs w:val="32"/>
        </w:rPr>
        <w:t>Module Code: SBMA7100</w:t>
      </w:r>
    </w:p>
    <w:p w:rsidR="00993845" w:rsidRPr="003D6E6A" w:rsidRDefault="00993845" w:rsidP="00993845">
      <w:pPr>
        <w:spacing w:after="0" w:line="480" w:lineRule="auto"/>
        <w:contextualSpacing/>
        <w:jc w:val="right"/>
        <w:rPr>
          <w:rFonts w:ascii="Times New Roman" w:hAnsi="Times New Roman" w:cs="Times New Roman"/>
          <w:b/>
          <w:sz w:val="32"/>
          <w:szCs w:val="32"/>
        </w:rPr>
      </w:pPr>
      <w:r w:rsidRPr="003D6E6A">
        <w:rPr>
          <w:rFonts w:ascii="Times New Roman" w:hAnsi="Times New Roman" w:cs="Times New Roman"/>
          <w:b/>
          <w:sz w:val="32"/>
          <w:szCs w:val="32"/>
        </w:rPr>
        <w:t xml:space="preserve">Module </w:t>
      </w:r>
      <w:r>
        <w:rPr>
          <w:rFonts w:ascii="Times New Roman" w:hAnsi="Times New Roman" w:cs="Times New Roman"/>
          <w:b/>
          <w:sz w:val="32"/>
          <w:szCs w:val="32"/>
        </w:rPr>
        <w:t>Title: Finance Management</w:t>
      </w:r>
    </w:p>
    <w:p w:rsidR="00217146" w:rsidRPr="00993845" w:rsidRDefault="00993845" w:rsidP="00993845">
      <w:pPr>
        <w:spacing w:after="0" w:line="480" w:lineRule="auto"/>
        <w:contextualSpacing/>
        <w:jc w:val="right"/>
        <w:rPr>
          <w:rFonts w:ascii="Times New Roman" w:hAnsi="Times New Roman" w:cs="Times New Roman"/>
          <w:b/>
          <w:sz w:val="32"/>
          <w:szCs w:val="32"/>
        </w:rPr>
      </w:pPr>
      <w:r>
        <w:rPr>
          <w:rFonts w:ascii="Times New Roman" w:hAnsi="Times New Roman" w:cs="Times New Roman"/>
          <w:b/>
          <w:sz w:val="32"/>
          <w:szCs w:val="32"/>
        </w:rPr>
        <w:t xml:space="preserve">Lecturer: </w:t>
      </w:r>
      <w:r w:rsidRPr="00993845">
        <w:rPr>
          <w:rFonts w:ascii="Times New Roman" w:hAnsi="Times New Roman" w:cs="Times New Roman"/>
          <w:b/>
          <w:bCs/>
          <w:sz w:val="32"/>
          <w:szCs w:val="32"/>
        </w:rPr>
        <w:t>Isaiah Oino</w:t>
      </w:r>
    </w:p>
    <w:p w:rsidR="006C5022" w:rsidRPr="00745996" w:rsidRDefault="006C5022" w:rsidP="006C5022">
      <w:pPr>
        <w:spacing w:after="0" w:line="480" w:lineRule="auto"/>
        <w:rPr>
          <w:rFonts w:ascii="Times New Roman" w:hAnsi="Times New Roman"/>
          <w:sz w:val="24"/>
        </w:rPr>
      </w:pPr>
    </w:p>
    <w:p w:rsidR="006C5022" w:rsidRPr="00745996" w:rsidRDefault="006C5022" w:rsidP="006C5022">
      <w:pPr>
        <w:pStyle w:val="TOCHeading"/>
        <w:spacing w:before="0" w:line="360" w:lineRule="auto"/>
        <w:jc w:val="center"/>
        <w:rPr>
          <w:rFonts w:ascii="Times New Roman" w:hAnsi="Times New Roman"/>
          <w:sz w:val="24"/>
          <w:szCs w:val="24"/>
        </w:rPr>
      </w:pPr>
      <w:r w:rsidRPr="00745996">
        <w:rPr>
          <w:rFonts w:ascii="Times New Roman" w:hAnsi="Times New Roman"/>
          <w:sz w:val="24"/>
          <w:szCs w:val="24"/>
        </w:rPr>
        <w:t>Table of Contents</w:t>
      </w:r>
    </w:p>
    <w:p w:rsidR="006C5022" w:rsidRDefault="006C5022">
      <w:pPr>
        <w:pStyle w:val="TOC1"/>
        <w:tabs>
          <w:tab w:val="left" w:pos="440"/>
          <w:tab w:val="right" w:leader="dot" w:pos="9350"/>
        </w:tabs>
        <w:rPr>
          <w:rFonts w:asciiTheme="minorHAnsi" w:eastAsiaTheme="minorEastAsia" w:hAnsiTheme="minorHAnsi" w:cstheme="minorBidi"/>
          <w:noProof/>
          <w:lang w:bidi="gu-IN"/>
        </w:rPr>
      </w:pPr>
      <w:r w:rsidRPr="00745996">
        <w:rPr>
          <w:rFonts w:ascii="Times New Roman" w:hAnsi="Times New Roman"/>
          <w:sz w:val="24"/>
          <w:szCs w:val="24"/>
        </w:rPr>
        <w:fldChar w:fldCharType="begin"/>
      </w:r>
      <w:r w:rsidRPr="00745996">
        <w:rPr>
          <w:rFonts w:ascii="Times New Roman" w:hAnsi="Times New Roman"/>
          <w:sz w:val="24"/>
          <w:szCs w:val="24"/>
        </w:rPr>
        <w:instrText xml:space="preserve"> TOC \o "1-3" \h \z \u </w:instrText>
      </w:r>
      <w:r w:rsidRPr="00745996">
        <w:rPr>
          <w:rFonts w:ascii="Times New Roman" w:hAnsi="Times New Roman"/>
          <w:sz w:val="24"/>
          <w:szCs w:val="24"/>
        </w:rPr>
        <w:fldChar w:fldCharType="separate"/>
      </w:r>
      <w:hyperlink w:anchor="_Toc513149425" w:history="1">
        <w:r w:rsidRPr="006E0173">
          <w:rPr>
            <w:rStyle w:val="Hyperlink"/>
            <w:rFonts w:ascii="Times New Roman" w:hAnsi="Times New Roman"/>
            <w:noProof/>
          </w:rPr>
          <w:t>a)</w:t>
        </w:r>
        <w:r>
          <w:rPr>
            <w:rFonts w:asciiTheme="minorHAnsi" w:eastAsiaTheme="minorEastAsia" w:hAnsiTheme="minorHAnsi" w:cstheme="minorBidi"/>
            <w:noProof/>
            <w:lang w:bidi="gu-IN"/>
          </w:rPr>
          <w:tab/>
        </w:r>
        <w:r w:rsidRPr="006E0173">
          <w:rPr>
            <w:rStyle w:val="Hyperlink"/>
            <w:rFonts w:ascii="Times New Roman" w:hAnsi="Times New Roman"/>
            <w:noProof/>
          </w:rPr>
          <w:t>Financial analysis of William Hill Plc and Paddy Power Betfair Plc. :</w:t>
        </w:r>
        <w:r>
          <w:rPr>
            <w:noProof/>
            <w:webHidden/>
          </w:rPr>
          <w:tab/>
        </w:r>
        <w:r>
          <w:rPr>
            <w:noProof/>
            <w:webHidden/>
          </w:rPr>
          <w:fldChar w:fldCharType="begin"/>
        </w:r>
        <w:r>
          <w:rPr>
            <w:noProof/>
            <w:webHidden/>
          </w:rPr>
          <w:instrText xml:space="preserve"> PAGEREF _Toc513149425 \h </w:instrText>
        </w:r>
        <w:r>
          <w:rPr>
            <w:noProof/>
            <w:webHidden/>
          </w:rPr>
        </w:r>
        <w:r>
          <w:rPr>
            <w:noProof/>
            <w:webHidden/>
          </w:rPr>
          <w:fldChar w:fldCharType="separate"/>
        </w:r>
        <w:r>
          <w:rPr>
            <w:noProof/>
            <w:webHidden/>
          </w:rPr>
          <w:t>3</w:t>
        </w:r>
        <w:r>
          <w:rPr>
            <w:noProof/>
            <w:webHidden/>
          </w:rPr>
          <w:fldChar w:fldCharType="end"/>
        </w:r>
      </w:hyperlink>
    </w:p>
    <w:p w:rsidR="006C5022" w:rsidRDefault="006C5022">
      <w:pPr>
        <w:pStyle w:val="TOC1"/>
        <w:tabs>
          <w:tab w:val="left" w:pos="440"/>
          <w:tab w:val="right" w:leader="dot" w:pos="9350"/>
        </w:tabs>
        <w:rPr>
          <w:rFonts w:asciiTheme="minorHAnsi" w:eastAsiaTheme="minorEastAsia" w:hAnsiTheme="minorHAnsi" w:cstheme="minorBidi"/>
          <w:noProof/>
          <w:lang w:bidi="gu-IN"/>
        </w:rPr>
      </w:pPr>
      <w:hyperlink w:anchor="_Toc513149426" w:history="1">
        <w:r w:rsidRPr="006E0173">
          <w:rPr>
            <w:rStyle w:val="Hyperlink"/>
            <w:noProof/>
          </w:rPr>
          <w:t>b)</w:t>
        </w:r>
        <w:r>
          <w:rPr>
            <w:rFonts w:asciiTheme="minorHAnsi" w:eastAsiaTheme="minorEastAsia" w:hAnsiTheme="minorHAnsi" w:cstheme="minorBidi"/>
            <w:noProof/>
            <w:lang w:bidi="gu-IN"/>
          </w:rPr>
          <w:tab/>
        </w:r>
        <w:r w:rsidRPr="006E0173">
          <w:rPr>
            <w:rStyle w:val="Hyperlink"/>
            <w:noProof/>
          </w:rPr>
          <w:t>Advice to Tim about investment decision:</w:t>
        </w:r>
        <w:r>
          <w:rPr>
            <w:noProof/>
            <w:webHidden/>
          </w:rPr>
          <w:tab/>
        </w:r>
        <w:r>
          <w:rPr>
            <w:noProof/>
            <w:webHidden/>
          </w:rPr>
          <w:fldChar w:fldCharType="begin"/>
        </w:r>
        <w:r>
          <w:rPr>
            <w:noProof/>
            <w:webHidden/>
          </w:rPr>
          <w:instrText xml:space="preserve"> PAGEREF _Toc513149426 \h </w:instrText>
        </w:r>
        <w:r>
          <w:rPr>
            <w:noProof/>
            <w:webHidden/>
          </w:rPr>
        </w:r>
        <w:r>
          <w:rPr>
            <w:noProof/>
            <w:webHidden/>
          </w:rPr>
          <w:fldChar w:fldCharType="separate"/>
        </w:r>
        <w:r>
          <w:rPr>
            <w:noProof/>
            <w:webHidden/>
          </w:rPr>
          <w:t>19</w:t>
        </w:r>
        <w:r>
          <w:rPr>
            <w:noProof/>
            <w:webHidden/>
          </w:rPr>
          <w:fldChar w:fldCharType="end"/>
        </w:r>
      </w:hyperlink>
    </w:p>
    <w:p w:rsidR="006C5022" w:rsidRDefault="006C5022">
      <w:pPr>
        <w:pStyle w:val="TOC1"/>
        <w:tabs>
          <w:tab w:val="right" w:leader="dot" w:pos="9350"/>
        </w:tabs>
        <w:rPr>
          <w:rFonts w:asciiTheme="minorHAnsi" w:eastAsiaTheme="minorEastAsia" w:hAnsiTheme="minorHAnsi" w:cstheme="minorBidi"/>
          <w:noProof/>
          <w:lang w:bidi="gu-IN"/>
        </w:rPr>
      </w:pPr>
      <w:hyperlink w:anchor="_Toc513149427" w:history="1">
        <w:r w:rsidRPr="006E0173">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_Toc513149427 \h </w:instrText>
        </w:r>
        <w:r>
          <w:rPr>
            <w:noProof/>
            <w:webHidden/>
          </w:rPr>
        </w:r>
        <w:r>
          <w:rPr>
            <w:noProof/>
            <w:webHidden/>
          </w:rPr>
          <w:fldChar w:fldCharType="separate"/>
        </w:r>
        <w:r>
          <w:rPr>
            <w:noProof/>
            <w:webHidden/>
          </w:rPr>
          <w:t>23</w:t>
        </w:r>
        <w:r>
          <w:rPr>
            <w:noProof/>
            <w:webHidden/>
          </w:rPr>
          <w:fldChar w:fldCharType="end"/>
        </w:r>
      </w:hyperlink>
    </w:p>
    <w:p w:rsidR="006C5022" w:rsidRDefault="006C5022">
      <w:pPr>
        <w:pStyle w:val="TOC1"/>
        <w:tabs>
          <w:tab w:val="right" w:leader="dot" w:pos="9350"/>
        </w:tabs>
        <w:rPr>
          <w:rFonts w:asciiTheme="minorHAnsi" w:eastAsiaTheme="minorEastAsia" w:hAnsiTheme="minorHAnsi" w:cstheme="minorBidi"/>
          <w:noProof/>
          <w:lang w:bidi="gu-IN"/>
        </w:rPr>
      </w:pPr>
      <w:hyperlink w:anchor="_Toc513149428" w:history="1">
        <w:r w:rsidRPr="006E0173">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_Toc513149428 \h </w:instrText>
        </w:r>
        <w:r>
          <w:rPr>
            <w:noProof/>
            <w:webHidden/>
          </w:rPr>
        </w:r>
        <w:r>
          <w:rPr>
            <w:noProof/>
            <w:webHidden/>
          </w:rPr>
          <w:fldChar w:fldCharType="separate"/>
        </w:r>
        <w:r>
          <w:rPr>
            <w:noProof/>
            <w:webHidden/>
          </w:rPr>
          <w:t>26</w:t>
        </w:r>
        <w:r>
          <w:rPr>
            <w:noProof/>
            <w:webHidden/>
          </w:rPr>
          <w:fldChar w:fldCharType="end"/>
        </w:r>
      </w:hyperlink>
    </w:p>
    <w:p w:rsidR="006C5022" w:rsidRDefault="006C5022">
      <w:pPr>
        <w:pStyle w:val="TOC1"/>
        <w:tabs>
          <w:tab w:val="right" w:leader="dot" w:pos="9350"/>
        </w:tabs>
        <w:rPr>
          <w:rFonts w:asciiTheme="minorHAnsi" w:eastAsiaTheme="minorEastAsia" w:hAnsiTheme="minorHAnsi" w:cstheme="minorBidi"/>
          <w:noProof/>
          <w:lang w:bidi="gu-IN"/>
        </w:rPr>
      </w:pPr>
      <w:hyperlink w:anchor="_Toc513149429" w:history="1">
        <w:r w:rsidRPr="006E0173">
          <w:rPr>
            <w:rStyle w:val="Hyperlink"/>
            <w:rFonts w:ascii="Times New Roman" w:hAnsi="Times New Roman"/>
            <w:noProof/>
          </w:rPr>
          <w:t>Part B: Investment Appraisal or Capital Budgeting Analysis</w:t>
        </w:r>
        <w:r>
          <w:rPr>
            <w:noProof/>
            <w:webHidden/>
          </w:rPr>
          <w:tab/>
        </w:r>
        <w:r>
          <w:rPr>
            <w:noProof/>
            <w:webHidden/>
          </w:rPr>
          <w:fldChar w:fldCharType="begin"/>
        </w:r>
        <w:r>
          <w:rPr>
            <w:noProof/>
            <w:webHidden/>
          </w:rPr>
          <w:instrText xml:space="preserve"> PAGEREF _Toc513149429 \h </w:instrText>
        </w:r>
        <w:r>
          <w:rPr>
            <w:noProof/>
            <w:webHidden/>
          </w:rPr>
        </w:r>
        <w:r>
          <w:rPr>
            <w:noProof/>
            <w:webHidden/>
          </w:rPr>
          <w:fldChar w:fldCharType="separate"/>
        </w:r>
        <w:r>
          <w:rPr>
            <w:noProof/>
            <w:webHidden/>
          </w:rPr>
          <w:t>27</w:t>
        </w:r>
        <w:r>
          <w:rPr>
            <w:noProof/>
            <w:webHidden/>
          </w:rPr>
          <w:fldChar w:fldCharType="end"/>
        </w:r>
      </w:hyperlink>
    </w:p>
    <w:p w:rsidR="006C5022" w:rsidRDefault="006C5022">
      <w:pPr>
        <w:pStyle w:val="TOC1"/>
        <w:tabs>
          <w:tab w:val="right" w:leader="dot" w:pos="9350"/>
        </w:tabs>
        <w:rPr>
          <w:rFonts w:asciiTheme="minorHAnsi" w:eastAsiaTheme="minorEastAsia" w:hAnsiTheme="minorHAnsi" w:cstheme="minorBidi"/>
          <w:noProof/>
          <w:lang w:bidi="gu-IN"/>
        </w:rPr>
      </w:pPr>
      <w:hyperlink w:anchor="_Toc513149430" w:history="1">
        <w:r w:rsidRPr="006E0173">
          <w:rPr>
            <w:rStyle w:val="Hyperlink"/>
            <w:rFonts w:ascii="Times New Roman" w:hAnsi="Times New Roman"/>
            <w:noProof/>
          </w:rPr>
          <w:t>(a) Calculation of Payback Period and Net Present Value</w:t>
        </w:r>
        <w:r>
          <w:rPr>
            <w:noProof/>
            <w:webHidden/>
          </w:rPr>
          <w:tab/>
        </w:r>
        <w:r>
          <w:rPr>
            <w:noProof/>
            <w:webHidden/>
          </w:rPr>
          <w:fldChar w:fldCharType="begin"/>
        </w:r>
        <w:r>
          <w:rPr>
            <w:noProof/>
            <w:webHidden/>
          </w:rPr>
          <w:instrText xml:space="preserve"> PAGEREF _Toc513149430 \h </w:instrText>
        </w:r>
        <w:r>
          <w:rPr>
            <w:noProof/>
            <w:webHidden/>
          </w:rPr>
        </w:r>
        <w:r>
          <w:rPr>
            <w:noProof/>
            <w:webHidden/>
          </w:rPr>
          <w:fldChar w:fldCharType="separate"/>
        </w:r>
        <w:r>
          <w:rPr>
            <w:noProof/>
            <w:webHidden/>
          </w:rPr>
          <w:t>27</w:t>
        </w:r>
        <w:r>
          <w:rPr>
            <w:noProof/>
            <w:webHidden/>
          </w:rPr>
          <w:fldChar w:fldCharType="end"/>
        </w:r>
      </w:hyperlink>
    </w:p>
    <w:p w:rsidR="006C5022" w:rsidRDefault="006C5022">
      <w:pPr>
        <w:pStyle w:val="TOC1"/>
        <w:tabs>
          <w:tab w:val="right" w:leader="dot" w:pos="9350"/>
        </w:tabs>
        <w:rPr>
          <w:rFonts w:asciiTheme="minorHAnsi" w:eastAsiaTheme="minorEastAsia" w:hAnsiTheme="minorHAnsi" w:cstheme="minorBidi"/>
          <w:noProof/>
          <w:lang w:bidi="gu-IN"/>
        </w:rPr>
      </w:pPr>
      <w:hyperlink w:anchor="_Toc513149431" w:history="1">
        <w:r w:rsidRPr="006E0173">
          <w:rPr>
            <w:rStyle w:val="Hyperlink"/>
            <w:rFonts w:ascii="Times New Roman" w:hAnsi="Times New Roman"/>
            <w:noProof/>
          </w:rPr>
          <w:t>(b) Determination of Accounting Rate of Return (ARR)</w:t>
        </w:r>
        <w:r>
          <w:rPr>
            <w:noProof/>
            <w:webHidden/>
          </w:rPr>
          <w:tab/>
        </w:r>
        <w:r>
          <w:rPr>
            <w:noProof/>
            <w:webHidden/>
          </w:rPr>
          <w:fldChar w:fldCharType="begin"/>
        </w:r>
        <w:r>
          <w:rPr>
            <w:noProof/>
            <w:webHidden/>
          </w:rPr>
          <w:instrText xml:space="preserve"> PAGEREF _Toc513149431 \h </w:instrText>
        </w:r>
        <w:r>
          <w:rPr>
            <w:noProof/>
            <w:webHidden/>
          </w:rPr>
        </w:r>
        <w:r>
          <w:rPr>
            <w:noProof/>
            <w:webHidden/>
          </w:rPr>
          <w:fldChar w:fldCharType="separate"/>
        </w:r>
        <w:r>
          <w:rPr>
            <w:noProof/>
            <w:webHidden/>
          </w:rPr>
          <w:t>30</w:t>
        </w:r>
        <w:r>
          <w:rPr>
            <w:noProof/>
            <w:webHidden/>
          </w:rPr>
          <w:fldChar w:fldCharType="end"/>
        </w:r>
      </w:hyperlink>
    </w:p>
    <w:p w:rsidR="006C5022" w:rsidRDefault="006C5022">
      <w:pPr>
        <w:pStyle w:val="TOC1"/>
        <w:tabs>
          <w:tab w:val="right" w:leader="dot" w:pos="9350"/>
        </w:tabs>
        <w:rPr>
          <w:rFonts w:asciiTheme="minorHAnsi" w:eastAsiaTheme="minorEastAsia" w:hAnsiTheme="minorHAnsi" w:cstheme="minorBidi"/>
          <w:noProof/>
          <w:lang w:bidi="gu-IN"/>
        </w:rPr>
      </w:pPr>
      <w:hyperlink w:anchor="_Toc513149432" w:history="1">
        <w:r w:rsidRPr="006E0173">
          <w:rPr>
            <w:rStyle w:val="Hyperlink"/>
            <w:rFonts w:ascii="Times New Roman" w:hAnsi="Times New Roman"/>
            <w:noProof/>
          </w:rPr>
          <w:t>(c) Evaluation of Results (result of part a and part b) and Recommendations</w:t>
        </w:r>
        <w:r>
          <w:rPr>
            <w:noProof/>
            <w:webHidden/>
          </w:rPr>
          <w:tab/>
        </w:r>
        <w:r>
          <w:rPr>
            <w:noProof/>
            <w:webHidden/>
          </w:rPr>
          <w:fldChar w:fldCharType="begin"/>
        </w:r>
        <w:r>
          <w:rPr>
            <w:noProof/>
            <w:webHidden/>
          </w:rPr>
          <w:instrText xml:space="preserve"> PAGEREF _Toc513149432 \h </w:instrText>
        </w:r>
        <w:r>
          <w:rPr>
            <w:noProof/>
            <w:webHidden/>
          </w:rPr>
        </w:r>
        <w:r>
          <w:rPr>
            <w:noProof/>
            <w:webHidden/>
          </w:rPr>
          <w:fldChar w:fldCharType="separate"/>
        </w:r>
        <w:r>
          <w:rPr>
            <w:noProof/>
            <w:webHidden/>
          </w:rPr>
          <w:t>32</w:t>
        </w:r>
        <w:r>
          <w:rPr>
            <w:noProof/>
            <w:webHidden/>
          </w:rPr>
          <w:fldChar w:fldCharType="end"/>
        </w:r>
      </w:hyperlink>
    </w:p>
    <w:p w:rsidR="006C5022" w:rsidRDefault="006C5022">
      <w:pPr>
        <w:pStyle w:val="TOC1"/>
        <w:tabs>
          <w:tab w:val="right" w:leader="dot" w:pos="9350"/>
        </w:tabs>
        <w:rPr>
          <w:rFonts w:asciiTheme="minorHAnsi" w:eastAsiaTheme="minorEastAsia" w:hAnsiTheme="minorHAnsi" w:cstheme="minorBidi"/>
          <w:noProof/>
          <w:lang w:bidi="gu-IN"/>
        </w:rPr>
      </w:pPr>
      <w:hyperlink w:anchor="_Toc513149433" w:history="1">
        <w:r w:rsidRPr="006E0173">
          <w:rPr>
            <w:rStyle w:val="Hyperlink"/>
            <w:rFonts w:ascii="Times New Roman" w:hAnsi="Times New Roman"/>
            <w:noProof/>
          </w:rPr>
          <w:t>(d) Advantages and Short-comings of Payback Period and NPV Techniques</w:t>
        </w:r>
        <w:r>
          <w:rPr>
            <w:noProof/>
            <w:webHidden/>
          </w:rPr>
          <w:tab/>
        </w:r>
        <w:r>
          <w:rPr>
            <w:noProof/>
            <w:webHidden/>
          </w:rPr>
          <w:fldChar w:fldCharType="begin"/>
        </w:r>
        <w:r>
          <w:rPr>
            <w:noProof/>
            <w:webHidden/>
          </w:rPr>
          <w:instrText xml:space="preserve"> PAGEREF _Toc513149433 \h </w:instrText>
        </w:r>
        <w:r>
          <w:rPr>
            <w:noProof/>
            <w:webHidden/>
          </w:rPr>
        </w:r>
        <w:r>
          <w:rPr>
            <w:noProof/>
            <w:webHidden/>
          </w:rPr>
          <w:fldChar w:fldCharType="separate"/>
        </w:r>
        <w:r>
          <w:rPr>
            <w:noProof/>
            <w:webHidden/>
          </w:rPr>
          <w:t>32</w:t>
        </w:r>
        <w:r>
          <w:rPr>
            <w:noProof/>
            <w:webHidden/>
          </w:rPr>
          <w:fldChar w:fldCharType="end"/>
        </w:r>
      </w:hyperlink>
    </w:p>
    <w:p w:rsidR="006C5022" w:rsidRDefault="006C5022">
      <w:pPr>
        <w:pStyle w:val="TOC1"/>
        <w:tabs>
          <w:tab w:val="right" w:leader="dot" w:pos="9350"/>
        </w:tabs>
        <w:rPr>
          <w:rFonts w:asciiTheme="minorHAnsi" w:eastAsiaTheme="minorEastAsia" w:hAnsiTheme="minorHAnsi" w:cstheme="minorBidi"/>
          <w:noProof/>
          <w:lang w:bidi="gu-IN"/>
        </w:rPr>
      </w:pPr>
      <w:hyperlink w:anchor="_Toc513149434" w:history="1">
        <w:r w:rsidRPr="006E0173">
          <w:rPr>
            <w:rStyle w:val="Hyperlink"/>
            <w:rFonts w:ascii="Times New Roman" w:hAnsi="Times New Roman"/>
            <w:noProof/>
          </w:rPr>
          <w:t>(e) Non-financial Factors required to be considered in Investment Appraisal Process</w:t>
        </w:r>
        <w:r>
          <w:rPr>
            <w:noProof/>
            <w:webHidden/>
          </w:rPr>
          <w:tab/>
        </w:r>
        <w:r>
          <w:rPr>
            <w:noProof/>
            <w:webHidden/>
          </w:rPr>
          <w:fldChar w:fldCharType="begin"/>
        </w:r>
        <w:r>
          <w:rPr>
            <w:noProof/>
            <w:webHidden/>
          </w:rPr>
          <w:instrText xml:space="preserve"> PAGEREF _Toc513149434 \h </w:instrText>
        </w:r>
        <w:r>
          <w:rPr>
            <w:noProof/>
            <w:webHidden/>
          </w:rPr>
        </w:r>
        <w:r>
          <w:rPr>
            <w:noProof/>
            <w:webHidden/>
          </w:rPr>
          <w:fldChar w:fldCharType="separate"/>
        </w:r>
        <w:r>
          <w:rPr>
            <w:noProof/>
            <w:webHidden/>
          </w:rPr>
          <w:t>35</w:t>
        </w:r>
        <w:r>
          <w:rPr>
            <w:noProof/>
            <w:webHidden/>
          </w:rPr>
          <w:fldChar w:fldCharType="end"/>
        </w:r>
      </w:hyperlink>
    </w:p>
    <w:p w:rsidR="006C5022" w:rsidRDefault="006C5022">
      <w:pPr>
        <w:pStyle w:val="TOC1"/>
        <w:tabs>
          <w:tab w:val="right" w:leader="dot" w:pos="9350"/>
        </w:tabs>
        <w:rPr>
          <w:rFonts w:asciiTheme="minorHAnsi" w:eastAsiaTheme="minorEastAsia" w:hAnsiTheme="minorHAnsi" w:cstheme="minorBidi"/>
          <w:noProof/>
          <w:lang w:bidi="gu-IN"/>
        </w:rPr>
      </w:pPr>
      <w:hyperlink w:anchor="_Toc513149435" w:history="1">
        <w:r w:rsidRPr="006E0173">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_Toc513149435 \h </w:instrText>
        </w:r>
        <w:r>
          <w:rPr>
            <w:noProof/>
            <w:webHidden/>
          </w:rPr>
        </w:r>
        <w:r>
          <w:rPr>
            <w:noProof/>
            <w:webHidden/>
          </w:rPr>
          <w:fldChar w:fldCharType="separate"/>
        </w:r>
        <w:r>
          <w:rPr>
            <w:noProof/>
            <w:webHidden/>
          </w:rPr>
          <w:t>37</w:t>
        </w:r>
        <w:r>
          <w:rPr>
            <w:noProof/>
            <w:webHidden/>
          </w:rPr>
          <w:fldChar w:fldCharType="end"/>
        </w:r>
      </w:hyperlink>
    </w:p>
    <w:p w:rsidR="006C5022" w:rsidRDefault="006C5022">
      <w:pPr>
        <w:pStyle w:val="TOC1"/>
        <w:tabs>
          <w:tab w:val="right" w:leader="dot" w:pos="9350"/>
        </w:tabs>
        <w:rPr>
          <w:rFonts w:asciiTheme="minorHAnsi" w:eastAsiaTheme="minorEastAsia" w:hAnsiTheme="minorHAnsi" w:cstheme="minorBidi"/>
          <w:noProof/>
          <w:lang w:bidi="gu-IN"/>
        </w:rPr>
      </w:pPr>
      <w:hyperlink w:anchor="_Toc513149436" w:history="1">
        <w:r w:rsidRPr="006E0173">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_Toc513149436 \h </w:instrText>
        </w:r>
        <w:r>
          <w:rPr>
            <w:noProof/>
            <w:webHidden/>
          </w:rPr>
        </w:r>
        <w:r>
          <w:rPr>
            <w:noProof/>
            <w:webHidden/>
          </w:rPr>
          <w:fldChar w:fldCharType="separate"/>
        </w:r>
        <w:r>
          <w:rPr>
            <w:noProof/>
            <w:webHidden/>
          </w:rPr>
          <w:t>38</w:t>
        </w:r>
        <w:r>
          <w:rPr>
            <w:noProof/>
            <w:webHidden/>
          </w:rPr>
          <w:fldChar w:fldCharType="end"/>
        </w:r>
      </w:hyperlink>
    </w:p>
    <w:p w:rsidR="00217146" w:rsidRDefault="006C5022" w:rsidP="006C5022">
      <w:pPr>
        <w:tabs>
          <w:tab w:val="left" w:pos="2235"/>
        </w:tabs>
        <w:spacing w:after="0" w:line="480" w:lineRule="auto"/>
        <w:jc w:val="both"/>
        <w:rPr>
          <w:rFonts w:ascii="Times New Roman" w:hAnsi="Times New Roman"/>
          <w:sz w:val="24"/>
          <w:szCs w:val="24"/>
        </w:rPr>
      </w:pPr>
      <w:r w:rsidRPr="00745996">
        <w:rPr>
          <w:rFonts w:ascii="Times New Roman" w:hAnsi="Times New Roman"/>
          <w:sz w:val="24"/>
          <w:szCs w:val="24"/>
        </w:rPr>
        <w:fldChar w:fldCharType="end"/>
      </w:r>
    </w:p>
    <w:p w:rsidR="006C5022" w:rsidRDefault="006C5022" w:rsidP="006C5022">
      <w:pPr>
        <w:tabs>
          <w:tab w:val="left" w:pos="2235"/>
        </w:tabs>
        <w:spacing w:after="0" w:line="480" w:lineRule="auto"/>
        <w:jc w:val="both"/>
        <w:rPr>
          <w:rFonts w:ascii="Times New Roman" w:hAnsi="Times New Roman"/>
          <w:sz w:val="24"/>
          <w:szCs w:val="24"/>
        </w:rPr>
      </w:pPr>
    </w:p>
    <w:p w:rsidR="006C5022" w:rsidRDefault="006C5022" w:rsidP="006C5022">
      <w:pPr>
        <w:tabs>
          <w:tab w:val="left" w:pos="2235"/>
        </w:tabs>
        <w:spacing w:after="0" w:line="480" w:lineRule="auto"/>
        <w:jc w:val="both"/>
        <w:rPr>
          <w:rFonts w:ascii="Times New Roman" w:hAnsi="Times New Roman"/>
          <w:sz w:val="24"/>
          <w:szCs w:val="24"/>
        </w:rPr>
      </w:pPr>
    </w:p>
    <w:p w:rsidR="006C5022" w:rsidRDefault="006C5022" w:rsidP="006C5022">
      <w:pPr>
        <w:tabs>
          <w:tab w:val="left" w:pos="2235"/>
        </w:tabs>
        <w:spacing w:after="0" w:line="480" w:lineRule="auto"/>
        <w:jc w:val="both"/>
        <w:rPr>
          <w:rFonts w:ascii="Times New Roman" w:hAnsi="Times New Roman"/>
          <w:sz w:val="24"/>
          <w:szCs w:val="24"/>
        </w:rPr>
      </w:pPr>
    </w:p>
    <w:p w:rsidR="006C5022" w:rsidRDefault="006C5022" w:rsidP="006C5022">
      <w:pPr>
        <w:tabs>
          <w:tab w:val="left" w:pos="2235"/>
        </w:tabs>
        <w:spacing w:after="0" w:line="480" w:lineRule="auto"/>
        <w:jc w:val="both"/>
        <w:rPr>
          <w:rFonts w:ascii="Times New Roman" w:hAnsi="Times New Roman"/>
          <w:sz w:val="24"/>
          <w:szCs w:val="24"/>
        </w:rPr>
      </w:pPr>
    </w:p>
    <w:p w:rsidR="006C5022" w:rsidRDefault="006C5022" w:rsidP="006C5022">
      <w:pPr>
        <w:tabs>
          <w:tab w:val="left" w:pos="2235"/>
        </w:tabs>
        <w:spacing w:after="0" w:line="480" w:lineRule="auto"/>
        <w:jc w:val="both"/>
        <w:rPr>
          <w:rFonts w:ascii="Times New Roman" w:hAnsi="Times New Roman"/>
          <w:sz w:val="24"/>
          <w:szCs w:val="24"/>
        </w:rPr>
      </w:pPr>
    </w:p>
    <w:p w:rsidR="006C5022" w:rsidRDefault="006C5022" w:rsidP="006C5022">
      <w:pPr>
        <w:tabs>
          <w:tab w:val="left" w:pos="2235"/>
        </w:tabs>
        <w:spacing w:after="0" w:line="480" w:lineRule="auto"/>
        <w:jc w:val="both"/>
        <w:rPr>
          <w:rFonts w:ascii="Times New Roman" w:hAnsi="Times New Roman"/>
          <w:sz w:val="24"/>
          <w:szCs w:val="24"/>
        </w:rPr>
      </w:pPr>
    </w:p>
    <w:p w:rsidR="006C5022" w:rsidRDefault="006C5022" w:rsidP="006C5022">
      <w:pPr>
        <w:tabs>
          <w:tab w:val="left" w:pos="2235"/>
        </w:tabs>
        <w:spacing w:after="0" w:line="480" w:lineRule="auto"/>
        <w:jc w:val="both"/>
        <w:rPr>
          <w:rFonts w:ascii="Times New Roman" w:hAnsi="Times New Roman"/>
          <w:sz w:val="24"/>
          <w:szCs w:val="24"/>
        </w:rPr>
      </w:pPr>
    </w:p>
    <w:p w:rsidR="006C5022" w:rsidRDefault="006C5022" w:rsidP="006C5022">
      <w:pPr>
        <w:tabs>
          <w:tab w:val="left" w:pos="2235"/>
        </w:tabs>
        <w:spacing w:after="0" w:line="480" w:lineRule="auto"/>
        <w:jc w:val="both"/>
        <w:rPr>
          <w:rFonts w:ascii="Times New Roman" w:hAnsi="Times New Roman"/>
          <w:sz w:val="24"/>
          <w:szCs w:val="24"/>
        </w:rPr>
      </w:pPr>
    </w:p>
    <w:p w:rsidR="006C5022" w:rsidRDefault="006C5022" w:rsidP="006C5022">
      <w:pPr>
        <w:tabs>
          <w:tab w:val="left" w:pos="2235"/>
        </w:tabs>
        <w:spacing w:after="0" w:line="480" w:lineRule="auto"/>
        <w:jc w:val="both"/>
        <w:rPr>
          <w:rFonts w:ascii="Times New Roman" w:hAnsi="Times New Roman"/>
          <w:sz w:val="24"/>
          <w:szCs w:val="24"/>
        </w:rPr>
      </w:pPr>
    </w:p>
    <w:p w:rsidR="006C5022" w:rsidRDefault="006C5022" w:rsidP="006C5022">
      <w:pPr>
        <w:tabs>
          <w:tab w:val="left" w:pos="2235"/>
        </w:tabs>
        <w:spacing w:after="0" w:line="480" w:lineRule="auto"/>
        <w:jc w:val="both"/>
        <w:rPr>
          <w:rFonts w:ascii="Times New Roman" w:hAnsi="Times New Roman"/>
          <w:sz w:val="24"/>
          <w:szCs w:val="24"/>
        </w:rPr>
      </w:pPr>
    </w:p>
    <w:p w:rsidR="006C5022" w:rsidRPr="00FA107A" w:rsidRDefault="006C5022" w:rsidP="006C5022">
      <w:pPr>
        <w:tabs>
          <w:tab w:val="left" w:pos="2235"/>
        </w:tabs>
        <w:spacing w:after="0" w:line="480" w:lineRule="auto"/>
        <w:jc w:val="both"/>
        <w:rPr>
          <w:rFonts w:ascii="Times New Roman" w:hAnsi="Times New Roman" w:cs="Times New Roman"/>
          <w:b/>
          <w:sz w:val="24"/>
          <w:szCs w:val="24"/>
        </w:rPr>
      </w:pPr>
    </w:p>
    <w:p w:rsidR="00217146" w:rsidRPr="00FA107A" w:rsidRDefault="00217146" w:rsidP="00C6200C">
      <w:pPr>
        <w:pStyle w:val="Heading1"/>
        <w:numPr>
          <w:ilvl w:val="0"/>
          <w:numId w:val="2"/>
        </w:numPr>
        <w:spacing w:before="0" w:line="480" w:lineRule="auto"/>
        <w:jc w:val="both"/>
        <w:rPr>
          <w:rFonts w:ascii="Times New Roman" w:hAnsi="Times New Roman" w:cs="Times New Roman"/>
          <w:color w:val="auto"/>
          <w:sz w:val="24"/>
          <w:szCs w:val="24"/>
        </w:rPr>
      </w:pPr>
      <w:bookmarkStart w:id="0" w:name="_Toc513149425"/>
      <w:r w:rsidRPr="00FA107A">
        <w:rPr>
          <w:rFonts w:ascii="Times New Roman" w:hAnsi="Times New Roman" w:cs="Times New Roman"/>
          <w:color w:val="auto"/>
          <w:sz w:val="24"/>
          <w:szCs w:val="24"/>
        </w:rPr>
        <w:lastRenderedPageBreak/>
        <w:t>Financial analysis of William Hill Plc and Paddy Power Betfair Plc. :</w:t>
      </w:r>
      <w:bookmarkEnd w:id="0"/>
    </w:p>
    <w:p w:rsidR="0081574E" w:rsidRPr="00FA107A" w:rsidRDefault="00EF551E" w:rsidP="00C6200C">
      <w:pPr>
        <w:spacing w:after="0" w:line="480" w:lineRule="auto"/>
        <w:jc w:val="both"/>
        <w:rPr>
          <w:rFonts w:ascii="Times New Roman" w:hAnsi="Times New Roman" w:cs="Times New Roman"/>
          <w:sz w:val="24"/>
          <w:szCs w:val="24"/>
        </w:rPr>
      </w:pPr>
      <w:r w:rsidRPr="00FA107A">
        <w:rPr>
          <w:rFonts w:ascii="Times New Roman" w:hAnsi="Times New Roman" w:cs="Times New Roman"/>
          <w:sz w:val="24"/>
          <w:szCs w:val="24"/>
        </w:rPr>
        <w:t>Investment is not an easy task because</w:t>
      </w:r>
      <w:r w:rsidR="00FA107A">
        <w:rPr>
          <w:rFonts w:ascii="Times New Roman" w:hAnsi="Times New Roman" w:cs="Times New Roman"/>
          <w:sz w:val="24"/>
          <w:szCs w:val="24"/>
        </w:rPr>
        <w:t xml:space="preserve"> the return on the investment or</w:t>
      </w:r>
      <w:r w:rsidRPr="00FA107A">
        <w:rPr>
          <w:rFonts w:ascii="Times New Roman" w:hAnsi="Times New Roman" w:cs="Times New Roman"/>
          <w:sz w:val="24"/>
          <w:szCs w:val="24"/>
        </w:rPr>
        <w:t xml:space="preserve"> how much profit an investment will provide to the investor is totally depends on the decision which he has taken before he started his investment. Before investing in a company, it is very important for the investor to do proper research about the particular company and should also analyze the financial records of such company so the growth of the company and its financial position can be examined and then the investor can take decision about the investment</w:t>
      </w:r>
      <w:r w:rsidR="00FA107A">
        <w:rPr>
          <w:rFonts w:ascii="Times New Roman" w:hAnsi="Times New Roman" w:cs="Times New Roman"/>
          <w:sz w:val="24"/>
          <w:szCs w:val="24"/>
        </w:rPr>
        <w:t xml:space="preserve"> (Levy, 2015)</w:t>
      </w:r>
      <w:r w:rsidRPr="00FA107A">
        <w:rPr>
          <w:rFonts w:ascii="Times New Roman" w:hAnsi="Times New Roman" w:cs="Times New Roman"/>
          <w:sz w:val="24"/>
          <w:szCs w:val="24"/>
        </w:rPr>
        <w:t xml:space="preserve">. If the financial records of a company are good and showing continuous growth then it would be better for the investor to invest in that company but if the company is struggling and not earning enough profit then it would be better for the investor to choose another company for his investment. Here Tim </w:t>
      </w:r>
      <w:r w:rsidR="0043461C" w:rsidRPr="00FA107A">
        <w:rPr>
          <w:rFonts w:ascii="Times New Roman" w:hAnsi="Times New Roman" w:cs="Times New Roman"/>
          <w:sz w:val="24"/>
          <w:szCs w:val="24"/>
        </w:rPr>
        <w:t>wants to invest</w:t>
      </w:r>
      <w:r w:rsidR="00124A69" w:rsidRPr="00FA107A">
        <w:rPr>
          <w:rFonts w:ascii="Times New Roman" w:hAnsi="Times New Roman" w:cs="Times New Roman"/>
          <w:sz w:val="24"/>
          <w:szCs w:val="24"/>
        </w:rPr>
        <w:t xml:space="preserve"> in UK travel and leisure sector and for this he has chose two companies such as; William Hill Plc and Paddy Power Betfair Plc. </w:t>
      </w:r>
      <w:r w:rsidR="008F31B1" w:rsidRPr="00FA107A">
        <w:rPr>
          <w:rFonts w:ascii="Times New Roman" w:hAnsi="Times New Roman" w:cs="Times New Roman"/>
          <w:sz w:val="24"/>
          <w:szCs w:val="24"/>
        </w:rPr>
        <w:t xml:space="preserve">William Hill Plc </w:t>
      </w:r>
      <w:r w:rsidR="00146522" w:rsidRPr="00FA107A">
        <w:rPr>
          <w:rFonts w:ascii="Times New Roman" w:hAnsi="Times New Roman" w:cs="Times New Roman"/>
          <w:sz w:val="24"/>
          <w:szCs w:val="24"/>
        </w:rPr>
        <w:t>i</w:t>
      </w:r>
      <w:r w:rsidR="008F31B1" w:rsidRPr="00FA107A">
        <w:rPr>
          <w:rFonts w:ascii="Times New Roman" w:hAnsi="Times New Roman" w:cs="Times New Roman"/>
          <w:sz w:val="24"/>
          <w:szCs w:val="24"/>
        </w:rPr>
        <w:t xml:space="preserve">s a bookmaker company which is situated in London. William Hill founded this company in 1934. William Hill Plc is a multinational company which operates worldwide and its office of UK has approx 16,601 employees in it. This company has a good reputation in market and this is listed in London Stock Exchange. Along with this, </w:t>
      </w:r>
      <w:r w:rsidR="00146522" w:rsidRPr="00FA107A">
        <w:rPr>
          <w:rFonts w:ascii="Times New Roman" w:hAnsi="Times New Roman" w:cs="Times New Roman"/>
          <w:sz w:val="24"/>
          <w:szCs w:val="24"/>
        </w:rPr>
        <w:t>Paddy Power Betfair Plc</w:t>
      </w:r>
      <w:r w:rsidR="008F31B1" w:rsidRPr="00FA107A">
        <w:rPr>
          <w:rFonts w:ascii="Times New Roman" w:hAnsi="Times New Roman" w:cs="Times New Roman"/>
          <w:sz w:val="24"/>
          <w:szCs w:val="24"/>
        </w:rPr>
        <w:t xml:space="preserve"> is also a company which makes books and it was formed in 2016 by the merger of Paddy Power and Betfair. This company is also listed in London Stock Exchange. </w:t>
      </w:r>
      <w:r w:rsidR="00146522" w:rsidRPr="00FA107A">
        <w:rPr>
          <w:rFonts w:ascii="Times New Roman" w:hAnsi="Times New Roman" w:cs="Times New Roman"/>
          <w:sz w:val="24"/>
          <w:szCs w:val="24"/>
        </w:rPr>
        <w:t xml:space="preserve">Paddy Power Betfair Plc also operated online and includes various brands like; Betfair, Sportsbet, TVG and Paddy Power. </w:t>
      </w:r>
      <w:r w:rsidR="00124A69" w:rsidRPr="00FA107A">
        <w:rPr>
          <w:rFonts w:ascii="Times New Roman" w:hAnsi="Times New Roman" w:cs="Times New Roman"/>
          <w:sz w:val="24"/>
          <w:szCs w:val="24"/>
        </w:rPr>
        <w:t>So the decision about the investment in these two companies depends on the financial position of these companies and for this it is very important to analyze the financial records of these companies and calculation of different investor ratios are needed because on the basis of these ratios the decision about the investment in these companies can be made</w:t>
      </w:r>
      <w:r w:rsidR="00FA107A">
        <w:rPr>
          <w:rFonts w:ascii="Times New Roman" w:hAnsi="Times New Roman" w:cs="Times New Roman"/>
          <w:sz w:val="24"/>
          <w:szCs w:val="24"/>
        </w:rPr>
        <w:t xml:space="preserve"> </w:t>
      </w:r>
      <w:r w:rsidR="00FA107A" w:rsidRPr="00FA107A">
        <w:rPr>
          <w:rFonts w:ascii="Times New Roman" w:hAnsi="Times New Roman" w:cs="Times New Roman"/>
          <w:sz w:val="24"/>
          <w:szCs w:val="24"/>
        </w:rPr>
        <w:t>(</w:t>
      </w:r>
      <w:r w:rsidR="00FA107A" w:rsidRPr="00FA107A">
        <w:rPr>
          <w:rFonts w:ascii="Times New Roman" w:hAnsi="Times New Roman" w:cs="Times New Roman"/>
          <w:sz w:val="24"/>
          <w:szCs w:val="24"/>
          <w:shd w:val="clear" w:color="auto" w:fill="FFFFFF"/>
        </w:rPr>
        <w:t>Bierman and Smidt, 2012)</w:t>
      </w:r>
      <w:r w:rsidR="00124A69" w:rsidRPr="00FA107A">
        <w:rPr>
          <w:rFonts w:ascii="Times New Roman" w:hAnsi="Times New Roman" w:cs="Times New Roman"/>
          <w:sz w:val="24"/>
          <w:szCs w:val="24"/>
        </w:rPr>
        <w:t>.</w:t>
      </w:r>
      <w:r w:rsidR="00C13C0C" w:rsidRPr="00FA107A">
        <w:rPr>
          <w:rFonts w:ascii="Times New Roman" w:hAnsi="Times New Roman" w:cs="Times New Roman"/>
          <w:sz w:val="24"/>
          <w:szCs w:val="24"/>
        </w:rPr>
        <w:t xml:space="preserve"> </w:t>
      </w:r>
      <w:r w:rsidR="00C13C0C" w:rsidRPr="00FA107A">
        <w:rPr>
          <w:rFonts w:ascii="Times New Roman" w:hAnsi="Times New Roman" w:cs="Times New Roman"/>
          <w:sz w:val="24"/>
          <w:szCs w:val="24"/>
        </w:rPr>
        <w:lastRenderedPageBreak/>
        <w:t>There are some ratios which are related to the decision of investment and on the basis of these ratios Tim can take decision about the investment in these two companies. Following are the financial records of William Hill Plc and Paddy Power Betfair Plc, on the basis of these records different ratios can be calculated and then decision about the investment can be made:</w:t>
      </w:r>
    </w:p>
    <w:p w:rsidR="0020053C" w:rsidRPr="00FA107A" w:rsidRDefault="0020053C" w:rsidP="00C6200C">
      <w:pPr>
        <w:spacing w:after="0" w:line="480" w:lineRule="auto"/>
        <w:jc w:val="both"/>
        <w:rPr>
          <w:rFonts w:ascii="Times New Roman" w:hAnsi="Times New Roman" w:cs="Times New Roman"/>
          <w:b/>
          <w:sz w:val="24"/>
          <w:szCs w:val="24"/>
        </w:rPr>
      </w:pPr>
      <w:r w:rsidRPr="00FA107A">
        <w:rPr>
          <w:rFonts w:ascii="Times New Roman" w:hAnsi="Times New Roman" w:cs="Times New Roman"/>
          <w:b/>
          <w:sz w:val="24"/>
          <w:szCs w:val="24"/>
        </w:rPr>
        <w:t>Financial records of William Hill Plc</w:t>
      </w:r>
      <w:r w:rsidR="003E1458" w:rsidRPr="00FA107A">
        <w:rPr>
          <w:rFonts w:ascii="Times New Roman" w:hAnsi="Times New Roman" w:cs="Times New Roman"/>
          <w:b/>
          <w:sz w:val="24"/>
          <w:szCs w:val="24"/>
        </w:rPr>
        <w:t>:</w:t>
      </w:r>
    </w:p>
    <w:p w:rsidR="00F1085F" w:rsidRPr="00FA107A" w:rsidRDefault="00F1085F" w:rsidP="00C6200C">
      <w:pPr>
        <w:spacing w:after="0" w:line="480" w:lineRule="auto"/>
        <w:jc w:val="both"/>
        <w:rPr>
          <w:rFonts w:ascii="Times New Roman" w:hAnsi="Times New Roman" w:cs="Times New Roman"/>
          <w:b/>
          <w:i/>
          <w:sz w:val="24"/>
          <w:szCs w:val="24"/>
        </w:rPr>
      </w:pPr>
      <w:r w:rsidRPr="00FA107A">
        <w:rPr>
          <w:rFonts w:ascii="Times New Roman" w:hAnsi="Times New Roman" w:cs="Times New Roman"/>
          <w:b/>
          <w:i/>
          <w:sz w:val="24"/>
          <w:szCs w:val="24"/>
        </w:rPr>
        <w:t>Income statement of William Hill Plc:</w:t>
      </w:r>
    </w:p>
    <w:tbl>
      <w:tblPr>
        <w:tblW w:w="8420" w:type="dxa"/>
        <w:tblInd w:w="93" w:type="dxa"/>
        <w:tblLook w:val="04A0"/>
      </w:tblPr>
      <w:tblGrid>
        <w:gridCol w:w="2660"/>
        <w:gridCol w:w="960"/>
        <w:gridCol w:w="960"/>
        <w:gridCol w:w="960"/>
        <w:gridCol w:w="960"/>
        <w:gridCol w:w="960"/>
        <w:gridCol w:w="960"/>
      </w:tblGrid>
      <w:tr w:rsidR="00F1085F" w:rsidRPr="00FA107A" w:rsidTr="00F1085F">
        <w:trPr>
          <w:trHeight w:val="285"/>
        </w:trPr>
        <w:tc>
          <w:tcPr>
            <w:tcW w:w="8420" w:type="dxa"/>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WILLIAM HILL PLC  (WMH) CashFlowFlag INCOME STATEMENT</w:t>
            </w:r>
          </w:p>
        </w:tc>
      </w:tr>
      <w:tr w:rsidR="00F1085F" w:rsidRPr="00FA107A" w:rsidTr="00F1085F">
        <w:trPr>
          <w:trHeight w:val="94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Fiscal year ends in December. GBP in millions except per share data.</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2013-12</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2014-12</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2015-12</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2016-12</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2017-12</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TTM</w:t>
            </w:r>
          </w:p>
        </w:tc>
      </w:tr>
      <w:tr w:rsidR="00F1085F" w:rsidRPr="00FA107A" w:rsidTr="00F1085F">
        <w:trPr>
          <w:trHeight w:val="31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Revenue</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1486</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1609</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1591</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1604</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1711</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1711</w:t>
            </w:r>
          </w:p>
        </w:tc>
      </w:tr>
      <w:tr w:rsidR="00F1085F" w:rsidRPr="00FA107A" w:rsidTr="00F1085F">
        <w:trPr>
          <w:trHeight w:val="31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Cost of revenue</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272</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304</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378</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382</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432</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432</w:t>
            </w:r>
          </w:p>
        </w:tc>
      </w:tr>
      <w:tr w:rsidR="00F1085F" w:rsidRPr="00FA107A" w:rsidTr="00F1085F">
        <w:trPr>
          <w:trHeight w:val="31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Gross profit</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1214</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1305</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1213</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1222</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1279</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1279</w:t>
            </w:r>
          </w:p>
        </w:tc>
      </w:tr>
      <w:tr w:rsidR="00F1085F" w:rsidRPr="00FA107A" w:rsidTr="00F1085F">
        <w:trPr>
          <w:trHeight w:val="31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Operating expenses</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F1085F" w:rsidRPr="00FA107A" w:rsidTr="00F1085F">
        <w:trPr>
          <w:trHeight w:val="630"/>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Restructuring, merger and acquisition</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54</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54</w:t>
            </w:r>
          </w:p>
        </w:tc>
      </w:tr>
      <w:tr w:rsidR="00F1085F" w:rsidRPr="00FA107A" w:rsidTr="00F1085F">
        <w:trPr>
          <w:trHeight w:val="31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Other operating expenses</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919</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1032</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998</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991</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1281</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1281</w:t>
            </w:r>
          </w:p>
        </w:tc>
      </w:tr>
      <w:tr w:rsidR="00F1085F" w:rsidRPr="00FA107A" w:rsidTr="00F1085F">
        <w:trPr>
          <w:trHeight w:val="31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Total operating expenses</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919</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1032</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998</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1011</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1336</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1336</w:t>
            </w:r>
          </w:p>
        </w:tc>
      </w:tr>
      <w:tr w:rsidR="00F1085F" w:rsidRPr="00FA107A" w:rsidTr="00F1085F">
        <w:trPr>
          <w:trHeight w:val="31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Operating income</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296</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273</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215</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211</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-57</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-57</w:t>
            </w:r>
          </w:p>
        </w:tc>
      </w:tr>
      <w:tr w:rsidR="00F1085F" w:rsidRPr="00FA107A" w:rsidTr="00F1085F">
        <w:trPr>
          <w:trHeight w:val="31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Interest Expense</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41</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44</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40</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50</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38</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38</w:t>
            </w:r>
          </w:p>
        </w:tc>
      </w:tr>
      <w:tr w:rsidR="00F1085F" w:rsidRPr="00FA107A" w:rsidTr="00F1085F">
        <w:trPr>
          <w:trHeight w:val="31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Other income (expense)</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21</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w:t>
            </w:r>
          </w:p>
        </w:tc>
      </w:tr>
      <w:tr w:rsidR="00F1085F" w:rsidRPr="00FA107A" w:rsidTr="00F1085F">
        <w:trPr>
          <w:trHeight w:val="31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Income before taxes</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257</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234</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185</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181</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-75</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-75</w:t>
            </w:r>
          </w:p>
        </w:tc>
      </w:tr>
      <w:tr w:rsidR="00F1085F" w:rsidRPr="00FA107A" w:rsidTr="00F1085F">
        <w:trPr>
          <w:trHeight w:val="31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lastRenderedPageBreak/>
              <w:t>Provision for income taxes</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30</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28</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17</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w:t>
            </w:r>
          </w:p>
        </w:tc>
      </w:tr>
      <w:tr w:rsidR="00F1085F" w:rsidRPr="00FA107A" w:rsidTr="00F1085F">
        <w:trPr>
          <w:trHeight w:val="630"/>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Net income from continuing operations</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226</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206</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190</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164</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-83</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-83</w:t>
            </w:r>
          </w:p>
        </w:tc>
      </w:tr>
      <w:tr w:rsidR="00F1085F" w:rsidRPr="00FA107A" w:rsidTr="00F1085F">
        <w:trPr>
          <w:trHeight w:val="31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Other</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-15</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F1085F" w:rsidRPr="00FA107A" w:rsidTr="00F1085F">
        <w:trPr>
          <w:trHeight w:val="31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Net income</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211</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206</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190</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164</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-83</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-83</w:t>
            </w:r>
          </w:p>
        </w:tc>
      </w:tr>
      <w:tr w:rsidR="00F1085F" w:rsidRPr="00FA107A" w:rsidTr="00F1085F">
        <w:trPr>
          <w:trHeight w:val="630"/>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Net income available to common shareholders</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211</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206</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190</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164</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-83</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-83</w:t>
            </w:r>
          </w:p>
        </w:tc>
      </w:tr>
      <w:tr w:rsidR="00F1085F" w:rsidRPr="00FA107A" w:rsidTr="00F1085F">
        <w:trPr>
          <w:trHeight w:val="31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Earnings per share</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F1085F" w:rsidRPr="00FA107A" w:rsidTr="00F1085F">
        <w:trPr>
          <w:trHeight w:val="31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Basic</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0.25</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0.23</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0.21</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0.19</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-0.1</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-0.1</w:t>
            </w:r>
          </w:p>
        </w:tc>
      </w:tr>
      <w:tr w:rsidR="00F1085F" w:rsidRPr="00FA107A" w:rsidTr="00F1085F">
        <w:trPr>
          <w:trHeight w:val="31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Diluted</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0.24</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0.23</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0.21</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0.19</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-0.1</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-0.1</w:t>
            </w:r>
          </w:p>
        </w:tc>
      </w:tr>
      <w:tr w:rsidR="00F1085F" w:rsidRPr="00FA107A" w:rsidTr="00F1085F">
        <w:trPr>
          <w:trHeight w:val="630"/>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Weighted average shares outstanding</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F1085F" w:rsidRPr="00FA107A" w:rsidTr="00F1085F">
        <w:trPr>
          <w:trHeight w:val="31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Basic</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838</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873</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881</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872</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857</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857</w:t>
            </w:r>
          </w:p>
        </w:tc>
      </w:tr>
      <w:tr w:rsidR="00F1085F" w:rsidRPr="00FA107A" w:rsidTr="00F1085F">
        <w:trPr>
          <w:trHeight w:val="31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Diluted</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854</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881</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885</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875</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862</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862</w:t>
            </w:r>
          </w:p>
        </w:tc>
      </w:tr>
      <w:tr w:rsidR="00F1085F" w:rsidRPr="00FA107A" w:rsidTr="00F1085F">
        <w:trPr>
          <w:trHeight w:val="315"/>
        </w:trPr>
        <w:tc>
          <w:tcPr>
            <w:tcW w:w="2660" w:type="dxa"/>
            <w:tcBorders>
              <w:top w:val="nil"/>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EBITDA</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364</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397</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367</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318</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51</w:t>
            </w:r>
          </w:p>
        </w:tc>
        <w:tc>
          <w:tcPr>
            <w:tcW w:w="960" w:type="dxa"/>
            <w:tcBorders>
              <w:top w:val="nil"/>
              <w:left w:val="nil"/>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51</w:t>
            </w:r>
          </w:p>
        </w:tc>
      </w:tr>
    </w:tbl>
    <w:p w:rsidR="00C13C0C" w:rsidRPr="00FA107A" w:rsidRDefault="00C13C0C" w:rsidP="00C6200C">
      <w:pPr>
        <w:spacing w:after="0" w:line="480" w:lineRule="auto"/>
        <w:jc w:val="both"/>
        <w:rPr>
          <w:rFonts w:ascii="Times New Roman" w:hAnsi="Times New Roman" w:cs="Times New Roman"/>
          <w:sz w:val="24"/>
          <w:szCs w:val="24"/>
        </w:rPr>
      </w:pPr>
    </w:p>
    <w:p w:rsidR="00674E73" w:rsidRPr="00FA107A" w:rsidRDefault="00F1085F" w:rsidP="00C6200C">
      <w:pPr>
        <w:spacing w:after="0" w:line="480" w:lineRule="auto"/>
        <w:jc w:val="both"/>
        <w:rPr>
          <w:rFonts w:ascii="Times New Roman" w:hAnsi="Times New Roman" w:cs="Times New Roman"/>
          <w:b/>
          <w:i/>
          <w:sz w:val="24"/>
          <w:szCs w:val="24"/>
        </w:rPr>
      </w:pPr>
      <w:r w:rsidRPr="00FA107A">
        <w:rPr>
          <w:rFonts w:ascii="Times New Roman" w:hAnsi="Times New Roman" w:cs="Times New Roman"/>
          <w:b/>
          <w:i/>
          <w:sz w:val="24"/>
          <w:szCs w:val="24"/>
        </w:rPr>
        <w:t>Balance sheet of William Hill Plc:</w:t>
      </w:r>
    </w:p>
    <w:tbl>
      <w:tblPr>
        <w:tblW w:w="7240" w:type="dxa"/>
        <w:tblInd w:w="93" w:type="dxa"/>
        <w:tblLook w:val="04A0"/>
      </w:tblPr>
      <w:tblGrid>
        <w:gridCol w:w="2240"/>
        <w:gridCol w:w="1160"/>
        <w:gridCol w:w="960"/>
        <w:gridCol w:w="960"/>
        <w:gridCol w:w="960"/>
        <w:gridCol w:w="960"/>
      </w:tblGrid>
      <w:tr w:rsidR="00F1085F" w:rsidRPr="00FA107A" w:rsidTr="00F1085F">
        <w:trPr>
          <w:trHeight w:val="315"/>
        </w:trPr>
        <w:tc>
          <w:tcPr>
            <w:tcW w:w="7240" w:type="dxa"/>
            <w:gridSpan w:val="6"/>
            <w:tcBorders>
              <w:top w:val="single" w:sz="4" w:space="0" w:color="auto"/>
              <w:left w:val="single" w:sz="4" w:space="0" w:color="auto"/>
              <w:bottom w:val="single" w:sz="4" w:space="0" w:color="auto"/>
              <w:right w:val="single" w:sz="4" w:space="0" w:color="auto"/>
            </w:tcBorders>
            <w:shd w:val="clear" w:color="auto" w:fill="auto"/>
            <w:vAlign w:val="center"/>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WILLIAM HILL PLC  (WMH) CashFlowFlag BALANCE SHEET</w:t>
            </w:r>
          </w:p>
        </w:tc>
      </w:tr>
      <w:tr w:rsidR="00F1085F" w:rsidRPr="00FA107A" w:rsidTr="00F1085F">
        <w:trPr>
          <w:trHeight w:val="124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Fiscal year ends in December. GBP in millions except per share data.</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2013-12</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2014-12</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2015-12</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2016-12</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2017-12</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i/>
                <w:sz w:val="24"/>
                <w:szCs w:val="24"/>
              </w:rPr>
            </w:pPr>
            <w:r w:rsidRPr="00FA107A">
              <w:rPr>
                <w:rFonts w:ascii="Times New Roman" w:eastAsia="Times New Roman" w:hAnsi="Times New Roman" w:cs="Times New Roman"/>
                <w:i/>
                <w:sz w:val="24"/>
                <w:szCs w:val="24"/>
              </w:rPr>
              <w:lastRenderedPageBreak/>
              <w:t>Assets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i/>
                <w:sz w:val="24"/>
                <w:szCs w:val="24"/>
              </w:rPr>
            </w:pPr>
            <w:r w:rsidRPr="00FA107A">
              <w:rPr>
                <w:rFonts w:ascii="Times New Roman" w:eastAsia="Times New Roman" w:hAnsi="Times New Roman" w:cs="Times New Roman"/>
                <w:i/>
                <w:sz w:val="24"/>
                <w:szCs w:val="24"/>
              </w:rPr>
              <w:t>Current assets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Cash</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F1085F" w:rsidRPr="00FA107A" w:rsidTr="00F1085F">
        <w:trPr>
          <w:trHeight w:val="630"/>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Cash and cash equivalents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207</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222</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282</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200</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214</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Short-term investments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Total cash</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207</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222</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282</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200</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214</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Receivables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18</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Inventories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Prepaid expenses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36</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38</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41</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42</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46</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Other current assets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22</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14</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29</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116</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Total current assets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273</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282</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343</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292</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393</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Non-current assets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F1085F" w:rsidRPr="00FA107A" w:rsidTr="00F1085F">
        <w:trPr>
          <w:trHeight w:val="630"/>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Property, plant and equipment</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F1085F" w:rsidRPr="00FA107A" w:rsidTr="00F1085F">
        <w:trPr>
          <w:trHeight w:val="630"/>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Gross property, plant and equipment</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505</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507</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517</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547</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540</w:t>
            </w:r>
          </w:p>
        </w:tc>
      </w:tr>
      <w:tr w:rsidR="00F1085F" w:rsidRPr="00FA107A" w:rsidTr="00F1085F">
        <w:trPr>
          <w:trHeight w:val="630"/>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Accumulated Depreciation</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-256</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-282</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-306</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-334</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-350</w:t>
            </w:r>
          </w:p>
        </w:tc>
      </w:tr>
      <w:tr w:rsidR="00F1085F" w:rsidRPr="00FA107A" w:rsidTr="00F1085F">
        <w:trPr>
          <w:trHeight w:val="630"/>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Net property, plant and equipment</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249</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225</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211</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212</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190</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Goodwill</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1171</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1165</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1146</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1251</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1001</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lastRenderedPageBreak/>
              <w:t>Intangible assets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684</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651</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586</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554</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577</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Deferred income taxes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19</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13</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13</w:t>
            </w:r>
          </w:p>
        </w:tc>
      </w:tr>
      <w:tr w:rsidR="00F1085F" w:rsidRPr="00FA107A" w:rsidTr="00F1085F">
        <w:trPr>
          <w:trHeight w:val="630"/>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Prepaid pension benefit</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28</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23</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16</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59</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Other long-term assets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19</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16</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34</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115</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129</w:t>
            </w:r>
          </w:p>
        </w:tc>
      </w:tr>
      <w:tr w:rsidR="00F1085F" w:rsidRPr="00FA107A" w:rsidTr="00F1085F">
        <w:trPr>
          <w:trHeight w:val="630"/>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Total non-current assets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2141</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2098</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2004</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2151</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1969</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Total assets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2414</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2381</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2347</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2443</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2362</w:t>
            </w:r>
          </w:p>
        </w:tc>
      </w:tr>
      <w:tr w:rsidR="00F1085F" w:rsidRPr="00FA107A" w:rsidTr="00F1085F">
        <w:trPr>
          <w:trHeight w:val="630"/>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i/>
                <w:sz w:val="24"/>
                <w:szCs w:val="24"/>
              </w:rPr>
            </w:pPr>
            <w:r w:rsidRPr="00FA107A">
              <w:rPr>
                <w:rFonts w:ascii="Times New Roman" w:eastAsia="Times New Roman" w:hAnsi="Times New Roman" w:cs="Times New Roman"/>
                <w:i/>
                <w:sz w:val="24"/>
                <w:szCs w:val="24"/>
              </w:rPr>
              <w:t>Liabilities and stockholders' equity</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Liabilities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Current liabilities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Short-term debt</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299</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Accounts payable</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114</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110</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108</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130</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125</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Taxes payable</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93</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105</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119</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124</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135</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Other current liabilities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122</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155</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137</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157</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217</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Total current liabilities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329</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370</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663</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410</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478</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Non-current liabilities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lastRenderedPageBreak/>
              <w:t>Long-term debt</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896</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716</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370</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719</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720</w:t>
            </w:r>
          </w:p>
        </w:tc>
      </w:tr>
      <w:tr w:rsidR="00F1085F" w:rsidRPr="00FA107A" w:rsidTr="00F1085F">
        <w:trPr>
          <w:trHeight w:val="630"/>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Deferred taxes liabilities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149</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134</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98</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88</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101</w:t>
            </w:r>
          </w:p>
        </w:tc>
      </w:tr>
      <w:tr w:rsidR="00F1085F" w:rsidRPr="00FA107A" w:rsidTr="00F1085F">
        <w:trPr>
          <w:trHeight w:val="630"/>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Pensions and other benefits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18</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F1085F" w:rsidRPr="00FA107A" w:rsidTr="00F1085F">
        <w:trPr>
          <w:trHeight w:val="630"/>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Total non-current liabilities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1062</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850</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468</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807</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821</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Total liabilities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1391</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1220</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1131</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1217</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1299</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Stockholders' equity</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Common stock</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89</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89</w:t>
            </w:r>
          </w:p>
        </w:tc>
      </w:tr>
      <w:tr w:rsidR="00F1085F" w:rsidRPr="00FA107A" w:rsidTr="00F1085F">
        <w:trPr>
          <w:trHeight w:val="630"/>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Additional paid-in capital</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681</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683</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687</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689</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689</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Retained earnings</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379</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515</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591</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629</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473</w:t>
            </w:r>
          </w:p>
        </w:tc>
      </w:tr>
      <w:tr w:rsidR="00F1085F" w:rsidRPr="00FA107A" w:rsidTr="00F1085F">
        <w:trPr>
          <w:trHeight w:val="315"/>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Treasury stock</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-98</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-97</w:t>
            </w:r>
          </w:p>
        </w:tc>
      </w:tr>
      <w:tr w:rsidR="00F1085F" w:rsidRPr="00FA107A" w:rsidTr="00F1085F">
        <w:trPr>
          <w:trHeight w:val="630"/>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Accumulated other comprehensive income</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-32</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-37</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-58</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-83</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-92</w:t>
            </w:r>
          </w:p>
        </w:tc>
      </w:tr>
      <w:tr w:rsidR="00F1085F" w:rsidRPr="00FA107A" w:rsidTr="00F1085F">
        <w:trPr>
          <w:trHeight w:val="630"/>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Total stockholders' equity</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1023</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1160</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1216</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1226</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1063</w:t>
            </w:r>
          </w:p>
        </w:tc>
      </w:tr>
      <w:tr w:rsidR="00F1085F" w:rsidRPr="00FA107A" w:rsidTr="00F1085F">
        <w:trPr>
          <w:trHeight w:val="630"/>
        </w:trPr>
        <w:tc>
          <w:tcPr>
            <w:tcW w:w="2240" w:type="dxa"/>
            <w:tcBorders>
              <w:top w:val="nil"/>
              <w:left w:val="single" w:sz="4" w:space="0" w:color="auto"/>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Total liabilities and stockholders' equity</w:t>
            </w:r>
          </w:p>
        </w:tc>
        <w:tc>
          <w:tcPr>
            <w:tcW w:w="11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2414</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2381</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2347</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2443</w:t>
            </w:r>
          </w:p>
        </w:tc>
        <w:tc>
          <w:tcPr>
            <w:tcW w:w="960" w:type="dxa"/>
            <w:tcBorders>
              <w:top w:val="nil"/>
              <w:left w:val="nil"/>
              <w:bottom w:val="single" w:sz="4" w:space="0" w:color="auto"/>
              <w:right w:val="single" w:sz="4" w:space="0" w:color="auto"/>
            </w:tcBorders>
            <w:shd w:val="clear" w:color="auto" w:fill="auto"/>
            <w:vAlign w:val="bottom"/>
            <w:hideMark/>
          </w:tcPr>
          <w:p w:rsidR="00F1085F" w:rsidRPr="00FA107A" w:rsidRDefault="00F1085F"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2362</w:t>
            </w:r>
          </w:p>
        </w:tc>
      </w:tr>
    </w:tbl>
    <w:p w:rsidR="00F1085F" w:rsidRPr="00FA107A" w:rsidRDefault="00F1085F" w:rsidP="00C6200C">
      <w:pPr>
        <w:spacing w:after="0" w:line="480" w:lineRule="auto"/>
        <w:jc w:val="both"/>
        <w:rPr>
          <w:rFonts w:ascii="Times New Roman" w:hAnsi="Times New Roman" w:cs="Times New Roman"/>
          <w:b/>
          <w:sz w:val="24"/>
          <w:szCs w:val="24"/>
        </w:rPr>
      </w:pPr>
    </w:p>
    <w:p w:rsidR="003E6D67" w:rsidRPr="00FA107A" w:rsidRDefault="003E6D67" w:rsidP="00C6200C">
      <w:pPr>
        <w:spacing w:after="0" w:line="480" w:lineRule="auto"/>
        <w:jc w:val="both"/>
        <w:rPr>
          <w:rFonts w:ascii="Times New Roman" w:hAnsi="Times New Roman" w:cs="Times New Roman"/>
          <w:b/>
          <w:i/>
          <w:sz w:val="24"/>
          <w:szCs w:val="24"/>
        </w:rPr>
      </w:pPr>
      <w:r w:rsidRPr="00FA107A">
        <w:rPr>
          <w:rFonts w:ascii="Times New Roman" w:hAnsi="Times New Roman" w:cs="Times New Roman"/>
          <w:b/>
          <w:i/>
          <w:sz w:val="24"/>
          <w:szCs w:val="24"/>
        </w:rPr>
        <w:lastRenderedPageBreak/>
        <w:t>Calculation of different ratios:</w:t>
      </w:r>
    </w:p>
    <w:p w:rsidR="00F1085F" w:rsidRPr="00FA107A" w:rsidRDefault="00F1085F" w:rsidP="00C6200C">
      <w:pPr>
        <w:spacing w:after="0" w:line="480" w:lineRule="auto"/>
        <w:jc w:val="both"/>
        <w:rPr>
          <w:rFonts w:ascii="Times New Roman" w:hAnsi="Times New Roman" w:cs="Times New Roman"/>
          <w:b/>
          <w:i/>
          <w:sz w:val="24"/>
          <w:szCs w:val="24"/>
        </w:rPr>
      </w:pPr>
      <w:r w:rsidRPr="00FA107A">
        <w:rPr>
          <w:rFonts w:ascii="Times New Roman" w:hAnsi="Times New Roman" w:cs="Times New Roman"/>
          <w:b/>
          <w:i/>
          <w:sz w:val="24"/>
          <w:szCs w:val="24"/>
        </w:rPr>
        <w:t>Profit margin:</w:t>
      </w:r>
    </w:p>
    <w:p w:rsidR="00FA107A" w:rsidRPr="00743861" w:rsidRDefault="002C6ED8" w:rsidP="00743861">
      <w:pPr>
        <w:spacing w:after="0" w:line="480" w:lineRule="auto"/>
        <w:jc w:val="center"/>
        <w:rPr>
          <w:rFonts w:ascii="Times New Roman" w:eastAsiaTheme="minorEastAsia" w:hAnsi="Times New Roman" w:cs="Times New Roman"/>
          <w:i/>
          <w:sz w:val="24"/>
          <w:szCs w:val="24"/>
        </w:rPr>
      </w:pPr>
      <m:oMath>
        <m:r>
          <w:rPr>
            <w:rFonts w:ascii="Cambria Math" w:hAnsi="Times New Roman" w:cs="Times New Roman"/>
            <w:sz w:val="32"/>
            <w:szCs w:val="24"/>
          </w:rPr>
          <m:t>=</m:t>
        </m:r>
        <m:f>
          <m:fPr>
            <m:ctrlPr>
              <w:rPr>
                <w:rFonts w:ascii="Cambria Math" w:hAnsi="Times New Roman" w:cs="Times New Roman"/>
                <w:i/>
                <w:sz w:val="32"/>
                <w:szCs w:val="24"/>
              </w:rPr>
            </m:ctrlPr>
          </m:fPr>
          <m:num>
            <m:r>
              <w:rPr>
                <w:rFonts w:ascii="Cambria Math" w:hAnsi="Cambria Math" w:cs="Times New Roman"/>
                <w:sz w:val="32"/>
                <w:szCs w:val="24"/>
              </w:rPr>
              <m:t>Net</m:t>
            </m:r>
            <m:r>
              <w:rPr>
                <w:rFonts w:ascii="Cambria Math" w:hAnsi="Times New Roman" w:cs="Times New Roman"/>
                <w:sz w:val="32"/>
                <w:szCs w:val="24"/>
              </w:rPr>
              <m:t xml:space="preserve"> </m:t>
            </m:r>
            <m:r>
              <w:rPr>
                <w:rFonts w:ascii="Cambria Math" w:hAnsi="Cambria Math" w:cs="Times New Roman"/>
                <w:sz w:val="32"/>
                <w:szCs w:val="24"/>
              </w:rPr>
              <m:t>income</m:t>
            </m:r>
          </m:num>
          <m:den>
            <m:r>
              <w:rPr>
                <w:rFonts w:ascii="Cambria Math" w:hAnsi="Cambria Math" w:cs="Times New Roman"/>
                <w:sz w:val="32"/>
                <w:szCs w:val="24"/>
              </w:rPr>
              <m:t>Revenues</m:t>
            </m:r>
          </m:den>
        </m:f>
        <m:r>
          <w:rPr>
            <w:rFonts w:ascii="Cambria Math" w:hAnsi="Times New Roman" w:cs="Times New Roman"/>
            <w:sz w:val="32"/>
            <w:szCs w:val="24"/>
          </w:rPr>
          <m:t xml:space="preserve">  </m:t>
        </m:r>
      </m:oMath>
      <w:r w:rsidR="00743861">
        <w:rPr>
          <w:rFonts w:ascii="Times New Roman" w:hAnsi="Times New Roman" w:cs="Times New Roman"/>
          <w:sz w:val="24"/>
          <w:szCs w:val="24"/>
        </w:rPr>
        <w:t>(Heikal, et al., 2014)</w:t>
      </w:r>
    </w:p>
    <w:p w:rsidR="002C6ED8" w:rsidRPr="00FA107A" w:rsidRDefault="003E1458" w:rsidP="00C6200C">
      <w:pPr>
        <w:spacing w:after="0" w:line="480" w:lineRule="auto"/>
        <w:jc w:val="both"/>
        <w:rPr>
          <w:rFonts w:ascii="Times New Roman" w:eastAsiaTheme="minorEastAsia" w:hAnsi="Times New Roman" w:cs="Times New Roman"/>
          <w:i/>
          <w:sz w:val="24"/>
          <w:szCs w:val="24"/>
        </w:rPr>
      </w:pPr>
      <m:oMathPara>
        <m:oMath>
          <m:r>
            <w:rPr>
              <w:rFonts w:ascii="Cambria Math" w:hAnsi="Times New Roman" w:cs="Times New Roman"/>
              <w:sz w:val="24"/>
              <w:szCs w:val="24"/>
            </w:rPr>
            <m:t>=</m:t>
          </m:r>
          <m:f>
            <m:fPr>
              <m:ctrlPr>
                <w:rPr>
                  <w:rFonts w:ascii="Cambria Math" w:hAnsi="Times New Roman" w:cs="Times New Roman"/>
                  <w:i/>
                  <w:sz w:val="24"/>
                  <w:szCs w:val="24"/>
                </w:rPr>
              </m:ctrlPr>
            </m:fPr>
            <m:num>
              <m:r>
                <w:rPr>
                  <w:rFonts w:ascii="Cambria Math" w:hAnsi="Cambria Math" w:cs="Times New Roman"/>
                  <w:sz w:val="24"/>
                  <w:szCs w:val="24"/>
                </w:rPr>
                <m:t>-</m:t>
              </m:r>
              <m:r>
                <w:rPr>
                  <w:rFonts w:ascii="Cambria Math" w:hAnsi="Times New Roman" w:cs="Times New Roman"/>
                  <w:sz w:val="24"/>
                  <w:szCs w:val="24"/>
                </w:rPr>
                <m:t>83</m:t>
              </m:r>
            </m:num>
            <m:den>
              <m:r>
                <w:rPr>
                  <w:rFonts w:ascii="Cambria Math" w:hAnsi="Times New Roman" w:cs="Times New Roman"/>
                  <w:sz w:val="24"/>
                  <w:szCs w:val="24"/>
                </w:rPr>
                <m:t>1711</m:t>
              </m:r>
            </m:den>
          </m:f>
        </m:oMath>
      </m:oMathPara>
    </w:p>
    <w:p w:rsidR="00217146" w:rsidRPr="00FA107A" w:rsidRDefault="002C6ED8" w:rsidP="00C6200C">
      <w:pPr>
        <w:spacing w:after="0" w:line="480" w:lineRule="auto"/>
        <w:jc w:val="both"/>
        <w:rPr>
          <w:rFonts w:ascii="Times New Roman" w:hAnsi="Times New Roman" w:cs="Times New Roman"/>
          <w:sz w:val="24"/>
          <w:szCs w:val="24"/>
        </w:rPr>
      </w:pPr>
      <w:r w:rsidRPr="00FA107A">
        <w:rPr>
          <w:rFonts w:ascii="Times New Roman" w:hAnsi="Times New Roman" w:cs="Times New Roman"/>
          <w:sz w:val="24"/>
          <w:szCs w:val="24"/>
        </w:rPr>
        <w:t>= -0.04</w:t>
      </w:r>
      <w:r w:rsidR="00881006" w:rsidRPr="00FA107A">
        <w:rPr>
          <w:rFonts w:ascii="Times New Roman" w:hAnsi="Times New Roman" w:cs="Times New Roman"/>
          <w:sz w:val="24"/>
          <w:szCs w:val="24"/>
        </w:rPr>
        <w:t>%</w:t>
      </w:r>
    </w:p>
    <w:p w:rsidR="00674E73" w:rsidRPr="00FA107A" w:rsidRDefault="00407017" w:rsidP="00C6200C">
      <w:pPr>
        <w:spacing w:after="0" w:line="480" w:lineRule="auto"/>
        <w:jc w:val="both"/>
        <w:rPr>
          <w:rFonts w:ascii="Times New Roman" w:hAnsi="Times New Roman" w:cs="Times New Roman"/>
          <w:b/>
          <w:i/>
          <w:sz w:val="24"/>
          <w:szCs w:val="24"/>
        </w:rPr>
      </w:pPr>
      <w:r w:rsidRPr="00FA107A">
        <w:rPr>
          <w:rFonts w:ascii="Times New Roman" w:hAnsi="Times New Roman" w:cs="Times New Roman"/>
          <w:b/>
          <w:i/>
          <w:sz w:val="24"/>
          <w:szCs w:val="24"/>
        </w:rPr>
        <w:t>Return on assets (ROA):</w:t>
      </w:r>
    </w:p>
    <w:p w:rsidR="00407017" w:rsidRPr="00FA107A" w:rsidRDefault="00407017" w:rsidP="00C6200C">
      <w:pPr>
        <w:spacing w:after="0" w:line="480" w:lineRule="auto"/>
        <w:jc w:val="both"/>
        <w:rPr>
          <w:rFonts w:ascii="Times New Roman" w:hAnsi="Times New Roman" w:cs="Times New Roman"/>
          <w:sz w:val="24"/>
          <w:szCs w:val="24"/>
        </w:rPr>
      </w:pPr>
      <m:oMathPara>
        <m:oMath>
          <m:r>
            <w:rPr>
              <w:rFonts w:ascii="Cambria Math" w:hAnsi="Times New Roman" w:cs="Times New Roman"/>
              <w:sz w:val="24"/>
              <w:szCs w:val="24"/>
            </w:rPr>
            <m:t>=</m:t>
          </m:r>
          <m:f>
            <m:fPr>
              <m:ctrlPr>
                <w:rPr>
                  <w:rFonts w:ascii="Cambria Math" w:hAnsi="Times New Roman" w:cs="Times New Roman"/>
                  <w:i/>
                  <w:sz w:val="24"/>
                  <w:szCs w:val="24"/>
                </w:rPr>
              </m:ctrlPr>
            </m:fPr>
            <m:num>
              <m:r>
                <w:rPr>
                  <w:rFonts w:ascii="Cambria Math" w:hAnsi="Cambria Math" w:cs="Times New Roman"/>
                  <w:sz w:val="24"/>
                  <w:szCs w:val="24"/>
                </w:rPr>
                <m:t>Net</m:t>
              </m:r>
              <m:r>
                <w:rPr>
                  <w:rFonts w:ascii="Cambria Math" w:hAnsi="Times New Roman" w:cs="Times New Roman"/>
                  <w:sz w:val="24"/>
                  <w:szCs w:val="24"/>
                </w:rPr>
                <m:t xml:space="preserve"> </m:t>
              </m:r>
              <m:r>
                <w:rPr>
                  <w:rFonts w:ascii="Cambria Math" w:hAnsi="Cambria Math" w:cs="Times New Roman"/>
                  <w:sz w:val="24"/>
                  <w:szCs w:val="24"/>
                </w:rPr>
                <m:t>income</m:t>
              </m:r>
            </m:num>
            <m:den>
              <m:r>
                <w:rPr>
                  <w:rFonts w:ascii="Cambria Math" w:hAnsi="Cambria Math" w:cs="Times New Roman"/>
                  <w:sz w:val="24"/>
                  <w:szCs w:val="24"/>
                </w:rPr>
                <m:t>total</m:t>
              </m:r>
              <m:r>
                <w:rPr>
                  <w:rFonts w:ascii="Cambria Math" w:hAnsi="Times New Roman" w:cs="Times New Roman"/>
                  <w:sz w:val="24"/>
                  <w:szCs w:val="24"/>
                </w:rPr>
                <m:t xml:space="preserve"> </m:t>
              </m:r>
              <m:r>
                <w:rPr>
                  <w:rFonts w:ascii="Cambria Math" w:hAnsi="Cambria Math" w:cs="Times New Roman"/>
                  <w:sz w:val="24"/>
                  <w:szCs w:val="24"/>
                </w:rPr>
                <m:t>assets</m:t>
              </m:r>
            </m:den>
          </m:f>
        </m:oMath>
      </m:oMathPara>
    </w:p>
    <w:p w:rsidR="00407017" w:rsidRPr="00FA107A" w:rsidRDefault="00407017" w:rsidP="00C6200C">
      <w:pPr>
        <w:spacing w:after="0" w:line="480" w:lineRule="auto"/>
        <w:jc w:val="both"/>
        <w:rPr>
          <w:rFonts w:ascii="Times New Roman" w:eastAsiaTheme="minorEastAsia" w:hAnsi="Times New Roman" w:cs="Times New Roman"/>
          <w:i/>
          <w:sz w:val="24"/>
          <w:szCs w:val="24"/>
        </w:rPr>
      </w:pPr>
      <m:oMathPara>
        <m:oMath>
          <m:r>
            <w:rPr>
              <w:rFonts w:ascii="Cambria Math" w:hAnsi="Times New Roman" w:cs="Times New Roman"/>
              <w:sz w:val="24"/>
              <w:szCs w:val="24"/>
            </w:rPr>
            <m:t>=</m:t>
          </m:r>
          <m:f>
            <m:fPr>
              <m:ctrlPr>
                <w:rPr>
                  <w:rFonts w:ascii="Cambria Math" w:hAnsi="Times New Roman" w:cs="Times New Roman"/>
                  <w:i/>
                  <w:sz w:val="24"/>
                  <w:szCs w:val="24"/>
                </w:rPr>
              </m:ctrlPr>
            </m:fPr>
            <m:num>
              <m:r>
                <w:rPr>
                  <w:rFonts w:ascii="Cambria Math" w:hAnsi="Cambria Math" w:cs="Times New Roman"/>
                  <w:sz w:val="24"/>
                  <w:szCs w:val="24"/>
                </w:rPr>
                <m:t>-</m:t>
              </m:r>
              <m:r>
                <w:rPr>
                  <w:rFonts w:ascii="Cambria Math" w:hAnsi="Times New Roman" w:cs="Times New Roman"/>
                  <w:sz w:val="24"/>
                  <w:szCs w:val="24"/>
                </w:rPr>
                <m:t>83</m:t>
              </m:r>
            </m:num>
            <m:den>
              <m:r>
                <w:rPr>
                  <w:rFonts w:ascii="Cambria Math" w:hAnsi="Times New Roman" w:cs="Times New Roman"/>
                  <w:sz w:val="24"/>
                  <w:szCs w:val="24"/>
                </w:rPr>
                <m:t>2362</m:t>
              </m:r>
            </m:den>
          </m:f>
        </m:oMath>
      </m:oMathPara>
    </w:p>
    <w:p w:rsidR="00407017" w:rsidRPr="00FA107A" w:rsidRDefault="00407017"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i/>
          <w:sz w:val="24"/>
          <w:szCs w:val="24"/>
        </w:rPr>
        <w:t xml:space="preserve">= </w:t>
      </w:r>
      <w:r w:rsidRPr="00FA107A">
        <w:rPr>
          <w:rFonts w:ascii="Times New Roman" w:eastAsiaTheme="minorEastAsia" w:hAnsi="Times New Roman" w:cs="Times New Roman"/>
          <w:sz w:val="24"/>
          <w:szCs w:val="24"/>
        </w:rPr>
        <w:t>-0.03</w:t>
      </w:r>
      <w:r w:rsidR="00881006" w:rsidRPr="00FA107A">
        <w:rPr>
          <w:rFonts w:ascii="Times New Roman" w:eastAsiaTheme="minorEastAsia" w:hAnsi="Times New Roman" w:cs="Times New Roman"/>
          <w:sz w:val="24"/>
          <w:szCs w:val="24"/>
        </w:rPr>
        <w:t>%</w:t>
      </w:r>
    </w:p>
    <w:p w:rsidR="00407017" w:rsidRPr="00FA107A" w:rsidRDefault="00407017" w:rsidP="00C6200C">
      <w:pPr>
        <w:spacing w:after="0" w:line="480" w:lineRule="auto"/>
        <w:jc w:val="both"/>
        <w:rPr>
          <w:rFonts w:ascii="Times New Roman" w:eastAsiaTheme="minorEastAsia" w:hAnsi="Times New Roman" w:cs="Times New Roman"/>
          <w:b/>
          <w:i/>
          <w:sz w:val="24"/>
          <w:szCs w:val="24"/>
        </w:rPr>
      </w:pPr>
      <w:r w:rsidRPr="00FA107A">
        <w:rPr>
          <w:rFonts w:ascii="Times New Roman" w:eastAsiaTheme="minorEastAsia" w:hAnsi="Times New Roman" w:cs="Times New Roman"/>
          <w:b/>
          <w:i/>
          <w:sz w:val="24"/>
          <w:szCs w:val="24"/>
        </w:rPr>
        <w:t>Return on equity (ROE):</w:t>
      </w:r>
    </w:p>
    <w:p w:rsidR="00407017" w:rsidRPr="00FA107A" w:rsidRDefault="00407017" w:rsidP="00C6200C">
      <w:pPr>
        <w:spacing w:after="0" w:line="480" w:lineRule="auto"/>
        <w:jc w:val="both"/>
        <w:rPr>
          <w:rFonts w:ascii="Times New Roman" w:hAnsi="Times New Roman" w:cs="Times New Roman"/>
          <w:sz w:val="24"/>
          <w:szCs w:val="24"/>
        </w:rPr>
      </w:pPr>
      <m:oMathPara>
        <m:oMath>
          <m:r>
            <w:rPr>
              <w:rFonts w:ascii="Cambria Math" w:hAnsi="Times New Roman" w:cs="Times New Roman"/>
              <w:sz w:val="24"/>
              <w:szCs w:val="24"/>
            </w:rPr>
            <m:t>=</m:t>
          </m:r>
          <m:f>
            <m:fPr>
              <m:ctrlPr>
                <w:rPr>
                  <w:rFonts w:ascii="Cambria Math" w:hAnsi="Times New Roman" w:cs="Times New Roman"/>
                  <w:i/>
                  <w:sz w:val="24"/>
                  <w:szCs w:val="24"/>
                </w:rPr>
              </m:ctrlPr>
            </m:fPr>
            <m:num>
              <m:r>
                <w:rPr>
                  <w:rFonts w:ascii="Cambria Math" w:hAnsi="Cambria Math" w:cs="Times New Roman"/>
                  <w:sz w:val="24"/>
                  <w:szCs w:val="24"/>
                </w:rPr>
                <m:t>Net</m:t>
              </m:r>
              <m:r>
                <w:rPr>
                  <w:rFonts w:ascii="Cambria Math" w:hAnsi="Times New Roman" w:cs="Times New Roman"/>
                  <w:sz w:val="24"/>
                  <w:szCs w:val="24"/>
                </w:rPr>
                <m:t xml:space="preserve"> </m:t>
              </m:r>
              <m:r>
                <w:rPr>
                  <w:rFonts w:ascii="Cambria Math" w:hAnsi="Cambria Math" w:cs="Times New Roman"/>
                  <w:sz w:val="24"/>
                  <w:szCs w:val="24"/>
                </w:rPr>
                <m:t>income</m:t>
              </m:r>
            </m:num>
            <m:den>
              <m:r>
                <w:rPr>
                  <w:rFonts w:ascii="Cambria Math" w:hAnsi="Cambria Math" w:cs="Times New Roman"/>
                  <w:sz w:val="24"/>
                  <w:szCs w:val="24"/>
                </w:rPr>
                <m:t>total</m:t>
              </m:r>
              <m:r>
                <w:rPr>
                  <w:rFonts w:ascii="Cambria Math" w:hAnsi="Times New Roman" w:cs="Times New Roman"/>
                  <w:sz w:val="24"/>
                  <w:szCs w:val="24"/>
                </w:rPr>
                <m:t xml:space="preserve"> </m:t>
              </m:r>
              <m:r>
                <w:rPr>
                  <w:rFonts w:ascii="Cambria Math" w:hAnsi="Cambria Math" w:cs="Times New Roman"/>
                  <w:sz w:val="24"/>
                  <w:szCs w:val="24"/>
                </w:rPr>
                <m:t>shareholder</m:t>
              </m:r>
              <m:r>
                <w:rPr>
                  <w:rFonts w:ascii="Cambria Math" w:hAnsi="Times New Roman" w:cs="Times New Roman"/>
                  <w:sz w:val="24"/>
                  <w:szCs w:val="24"/>
                </w:rPr>
                <m:t xml:space="preserve"> </m:t>
              </m:r>
              <m:r>
                <w:rPr>
                  <w:rFonts w:ascii="Cambria Math" w:hAnsi="Cambria Math" w:cs="Times New Roman"/>
                  <w:sz w:val="24"/>
                  <w:szCs w:val="24"/>
                </w:rPr>
                <m:t>equity</m:t>
              </m:r>
            </m:den>
          </m:f>
        </m:oMath>
      </m:oMathPara>
    </w:p>
    <w:p w:rsidR="00407017" w:rsidRPr="00FA107A" w:rsidRDefault="00407017" w:rsidP="00C6200C">
      <w:pPr>
        <w:spacing w:after="0" w:line="480" w:lineRule="auto"/>
        <w:jc w:val="both"/>
        <w:rPr>
          <w:rFonts w:ascii="Times New Roman" w:eastAsiaTheme="minorEastAsia" w:hAnsi="Times New Roman" w:cs="Times New Roman"/>
          <w:i/>
          <w:sz w:val="24"/>
          <w:szCs w:val="24"/>
        </w:rPr>
      </w:pPr>
      <m:oMathPara>
        <m:oMath>
          <m:r>
            <w:rPr>
              <w:rFonts w:ascii="Cambria Math" w:hAnsi="Times New Roman" w:cs="Times New Roman"/>
              <w:sz w:val="24"/>
              <w:szCs w:val="24"/>
            </w:rPr>
            <m:t>=</m:t>
          </m:r>
          <m:f>
            <m:fPr>
              <m:ctrlPr>
                <w:rPr>
                  <w:rFonts w:ascii="Cambria Math" w:hAnsi="Times New Roman" w:cs="Times New Roman"/>
                  <w:i/>
                  <w:sz w:val="24"/>
                  <w:szCs w:val="24"/>
                </w:rPr>
              </m:ctrlPr>
            </m:fPr>
            <m:num>
              <m:r>
                <w:rPr>
                  <w:rFonts w:ascii="Cambria Math" w:hAnsi="Cambria Math" w:cs="Times New Roman"/>
                  <w:sz w:val="24"/>
                  <w:szCs w:val="24"/>
                </w:rPr>
                <m:t>-</m:t>
              </m:r>
              <m:r>
                <w:rPr>
                  <w:rFonts w:ascii="Cambria Math" w:hAnsi="Times New Roman" w:cs="Times New Roman"/>
                  <w:sz w:val="24"/>
                  <w:szCs w:val="24"/>
                </w:rPr>
                <m:t>83</m:t>
              </m:r>
            </m:num>
            <m:den>
              <m:r>
                <w:rPr>
                  <w:rFonts w:ascii="Cambria Math" w:hAnsi="Times New Roman" w:cs="Times New Roman"/>
                  <w:sz w:val="24"/>
                  <w:szCs w:val="24"/>
                </w:rPr>
                <m:t>1063</m:t>
              </m:r>
            </m:den>
          </m:f>
        </m:oMath>
      </m:oMathPara>
    </w:p>
    <w:p w:rsidR="00407017" w:rsidRPr="00FA107A" w:rsidRDefault="00407017"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sz w:val="24"/>
          <w:szCs w:val="24"/>
        </w:rPr>
        <w:t>= -0.07</w:t>
      </w:r>
      <w:r w:rsidR="00881006" w:rsidRPr="00FA107A">
        <w:rPr>
          <w:rFonts w:ascii="Times New Roman" w:eastAsiaTheme="minorEastAsia" w:hAnsi="Times New Roman" w:cs="Times New Roman"/>
          <w:sz w:val="24"/>
          <w:szCs w:val="24"/>
        </w:rPr>
        <w:t>%</w:t>
      </w:r>
    </w:p>
    <w:p w:rsidR="00407017" w:rsidRPr="00FA107A" w:rsidRDefault="00407017" w:rsidP="00C6200C">
      <w:pPr>
        <w:spacing w:after="0" w:line="480" w:lineRule="auto"/>
        <w:jc w:val="both"/>
        <w:rPr>
          <w:rFonts w:ascii="Times New Roman" w:eastAsiaTheme="minorEastAsia" w:hAnsi="Times New Roman" w:cs="Times New Roman"/>
          <w:b/>
          <w:i/>
          <w:sz w:val="24"/>
          <w:szCs w:val="24"/>
        </w:rPr>
      </w:pPr>
      <w:r w:rsidRPr="00FA107A">
        <w:rPr>
          <w:rFonts w:ascii="Times New Roman" w:eastAsiaTheme="minorEastAsia" w:hAnsi="Times New Roman" w:cs="Times New Roman"/>
          <w:b/>
          <w:i/>
          <w:sz w:val="24"/>
          <w:szCs w:val="24"/>
        </w:rPr>
        <w:t>Current ratio:</w:t>
      </w:r>
    </w:p>
    <w:p w:rsidR="00407017" w:rsidRPr="00FA107A" w:rsidRDefault="00407017" w:rsidP="00C6200C">
      <w:pPr>
        <w:spacing w:after="0" w:line="480" w:lineRule="auto"/>
        <w:jc w:val="both"/>
        <w:rPr>
          <w:rFonts w:ascii="Times New Roman" w:hAnsi="Times New Roman" w:cs="Times New Roman"/>
          <w:sz w:val="24"/>
          <w:szCs w:val="24"/>
        </w:rPr>
      </w:pPr>
      <m:oMathPara>
        <m:oMath>
          <m:r>
            <w:rPr>
              <w:rFonts w:ascii="Cambria Math" w:hAnsi="Times New Roman" w:cs="Times New Roman"/>
              <w:sz w:val="24"/>
              <w:szCs w:val="24"/>
            </w:rPr>
            <m:t>=</m:t>
          </m:r>
          <m:f>
            <m:fPr>
              <m:ctrlPr>
                <w:rPr>
                  <w:rFonts w:ascii="Cambria Math" w:hAnsi="Times New Roman" w:cs="Times New Roman"/>
                  <w:i/>
                  <w:sz w:val="24"/>
                  <w:szCs w:val="24"/>
                </w:rPr>
              </m:ctrlPr>
            </m:fPr>
            <m:num>
              <m:r>
                <w:rPr>
                  <w:rFonts w:ascii="Cambria Math" w:hAnsi="Cambria Math" w:cs="Times New Roman"/>
                  <w:sz w:val="24"/>
                  <w:szCs w:val="24"/>
                </w:rPr>
                <m:t>Current</m:t>
              </m:r>
              <m:r>
                <w:rPr>
                  <w:rFonts w:ascii="Cambria Math" w:hAnsi="Times New Roman" w:cs="Times New Roman"/>
                  <w:sz w:val="24"/>
                  <w:szCs w:val="24"/>
                </w:rPr>
                <m:t xml:space="preserve"> </m:t>
              </m:r>
              <m:r>
                <w:rPr>
                  <w:rFonts w:ascii="Cambria Math" w:hAnsi="Cambria Math" w:cs="Times New Roman"/>
                  <w:sz w:val="24"/>
                  <w:szCs w:val="24"/>
                </w:rPr>
                <m:t>assets</m:t>
              </m:r>
            </m:num>
            <m:den>
              <m:r>
                <w:rPr>
                  <w:rFonts w:ascii="Cambria Math" w:hAnsi="Cambria Math" w:cs="Times New Roman"/>
                  <w:sz w:val="24"/>
                  <w:szCs w:val="24"/>
                </w:rPr>
                <m:t>Current</m:t>
              </m:r>
              <m:r>
                <w:rPr>
                  <w:rFonts w:ascii="Cambria Math" w:hAnsi="Times New Roman" w:cs="Times New Roman"/>
                  <w:sz w:val="24"/>
                  <w:szCs w:val="24"/>
                </w:rPr>
                <m:t xml:space="preserve"> </m:t>
              </m:r>
              <m:r>
                <w:rPr>
                  <w:rFonts w:ascii="Cambria Math" w:hAnsi="Cambria Math" w:cs="Times New Roman"/>
                  <w:sz w:val="24"/>
                  <w:szCs w:val="24"/>
                </w:rPr>
                <m:t>liabilities</m:t>
              </m:r>
            </m:den>
          </m:f>
        </m:oMath>
      </m:oMathPara>
    </w:p>
    <w:p w:rsidR="00407017" w:rsidRPr="00FA107A" w:rsidRDefault="00407017" w:rsidP="00C6200C">
      <w:pPr>
        <w:spacing w:after="0" w:line="480" w:lineRule="auto"/>
        <w:jc w:val="both"/>
        <w:rPr>
          <w:rFonts w:ascii="Times New Roman" w:eastAsiaTheme="minorEastAsia" w:hAnsi="Times New Roman" w:cs="Times New Roman"/>
          <w:i/>
          <w:sz w:val="24"/>
          <w:szCs w:val="24"/>
        </w:rPr>
      </w:pPr>
      <m:oMathPara>
        <m:oMath>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393</m:t>
              </m:r>
            </m:num>
            <m:den>
              <m:r>
                <w:rPr>
                  <w:rFonts w:ascii="Cambria Math" w:hAnsi="Cambria Math" w:cs="Times New Roman"/>
                  <w:sz w:val="24"/>
                  <w:szCs w:val="24"/>
                </w:rPr>
                <m:t>478</m:t>
              </m:r>
            </m:den>
          </m:f>
        </m:oMath>
      </m:oMathPara>
    </w:p>
    <w:p w:rsidR="00407017" w:rsidRPr="00FA107A" w:rsidRDefault="00407017"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b/>
          <w:sz w:val="24"/>
          <w:szCs w:val="24"/>
        </w:rPr>
        <w:t>=</w:t>
      </w:r>
      <w:r w:rsidRPr="00FA107A">
        <w:rPr>
          <w:rFonts w:ascii="Times New Roman" w:eastAsiaTheme="minorEastAsia" w:hAnsi="Times New Roman" w:cs="Times New Roman"/>
          <w:sz w:val="24"/>
          <w:szCs w:val="24"/>
        </w:rPr>
        <w:t xml:space="preserve"> 0.82</w:t>
      </w:r>
      <w:r w:rsidR="00881006" w:rsidRPr="00FA107A">
        <w:rPr>
          <w:rFonts w:ascii="Times New Roman" w:eastAsiaTheme="minorEastAsia" w:hAnsi="Times New Roman" w:cs="Times New Roman"/>
          <w:sz w:val="24"/>
          <w:szCs w:val="24"/>
        </w:rPr>
        <w:t>%</w:t>
      </w:r>
    </w:p>
    <w:p w:rsidR="00407017" w:rsidRPr="00FA107A" w:rsidRDefault="006C5153" w:rsidP="00C6200C">
      <w:pPr>
        <w:spacing w:after="0" w:line="480" w:lineRule="auto"/>
        <w:jc w:val="both"/>
        <w:rPr>
          <w:rFonts w:ascii="Times New Roman" w:eastAsiaTheme="minorEastAsia" w:hAnsi="Times New Roman" w:cs="Times New Roman"/>
          <w:b/>
          <w:i/>
          <w:sz w:val="24"/>
          <w:szCs w:val="24"/>
        </w:rPr>
      </w:pPr>
      <w:r w:rsidRPr="00FA107A">
        <w:rPr>
          <w:rFonts w:ascii="Times New Roman" w:eastAsiaTheme="minorEastAsia" w:hAnsi="Times New Roman" w:cs="Times New Roman"/>
          <w:b/>
          <w:i/>
          <w:sz w:val="24"/>
          <w:szCs w:val="24"/>
        </w:rPr>
        <w:t>Debt-equity-ratio:</w:t>
      </w:r>
    </w:p>
    <w:p w:rsidR="006C5153" w:rsidRPr="00FA107A" w:rsidRDefault="006C5153" w:rsidP="00743861">
      <w:pPr>
        <w:spacing w:after="0" w:line="480" w:lineRule="auto"/>
        <w:jc w:val="center"/>
        <w:rPr>
          <w:rFonts w:ascii="Times New Roman" w:hAnsi="Times New Roman" w:cs="Times New Roman"/>
          <w:sz w:val="24"/>
          <w:szCs w:val="24"/>
        </w:rPr>
      </w:pPr>
      <m:oMath>
        <m:r>
          <w:rPr>
            <w:rFonts w:ascii="Cambria Math" w:hAnsi="Cambria Math" w:cs="Times New Roman"/>
            <w:sz w:val="32"/>
            <w:szCs w:val="24"/>
          </w:rPr>
          <m:t>=</m:t>
        </m:r>
        <m:f>
          <m:fPr>
            <m:ctrlPr>
              <w:rPr>
                <w:rFonts w:ascii="Cambria Math" w:hAnsi="Cambria Math" w:cs="Times New Roman"/>
                <w:i/>
                <w:sz w:val="32"/>
                <w:szCs w:val="24"/>
              </w:rPr>
            </m:ctrlPr>
          </m:fPr>
          <m:num>
            <m:r>
              <w:rPr>
                <w:rFonts w:ascii="Cambria Math" w:hAnsi="Cambria Math" w:cs="Times New Roman"/>
                <w:sz w:val="32"/>
                <w:szCs w:val="24"/>
              </w:rPr>
              <m:t>Total liabilities</m:t>
            </m:r>
          </m:num>
          <m:den>
            <m:r>
              <w:rPr>
                <w:rFonts w:ascii="Cambria Math" w:hAnsi="Cambria Math" w:cs="Times New Roman"/>
                <w:sz w:val="32"/>
                <w:szCs w:val="24"/>
              </w:rPr>
              <m:t>Total shareholder equity</m:t>
            </m:r>
          </m:den>
        </m:f>
      </m:oMath>
      <w:r w:rsidR="00743861">
        <w:rPr>
          <w:rFonts w:ascii="Times New Roman" w:eastAsiaTheme="minorEastAsia" w:hAnsi="Times New Roman" w:cs="Times New Roman"/>
          <w:sz w:val="32"/>
          <w:szCs w:val="24"/>
        </w:rPr>
        <w:t xml:space="preserve"> </w:t>
      </w:r>
      <w:r w:rsidR="00743861" w:rsidRPr="00743861">
        <w:rPr>
          <w:rFonts w:ascii="Times New Roman" w:eastAsiaTheme="minorEastAsia" w:hAnsi="Times New Roman" w:cs="Times New Roman"/>
          <w:sz w:val="24"/>
          <w:szCs w:val="24"/>
        </w:rPr>
        <w:t xml:space="preserve"> </w:t>
      </w:r>
      <w:r w:rsidR="00743861">
        <w:rPr>
          <w:rFonts w:ascii="Times New Roman" w:eastAsiaTheme="minorEastAsia" w:hAnsi="Times New Roman" w:cs="Times New Roman"/>
          <w:sz w:val="24"/>
          <w:szCs w:val="24"/>
        </w:rPr>
        <w:t>(Welch, 2011)</w:t>
      </w:r>
    </w:p>
    <w:p w:rsidR="006C5153" w:rsidRPr="00FA107A" w:rsidRDefault="006C5153" w:rsidP="00C6200C">
      <w:pPr>
        <w:spacing w:after="0" w:line="480" w:lineRule="auto"/>
        <w:jc w:val="both"/>
        <w:rPr>
          <w:rFonts w:ascii="Times New Roman" w:eastAsiaTheme="minorEastAsia" w:hAnsi="Times New Roman" w:cs="Times New Roman"/>
          <w:i/>
          <w:sz w:val="24"/>
          <w:szCs w:val="24"/>
        </w:rPr>
      </w:pPr>
      <m:oMathPara>
        <m:oMath>
          <m:r>
            <w:rPr>
              <w:rFonts w:ascii="Cambria Math" w:hAnsi="Cambria Math" w:cs="Times New Roman"/>
              <w:sz w:val="24"/>
              <w:szCs w:val="24"/>
            </w:rPr>
            <w:lastRenderedPageBreak/>
            <m:t>=</m:t>
          </m:r>
          <m:f>
            <m:fPr>
              <m:ctrlPr>
                <w:rPr>
                  <w:rFonts w:ascii="Cambria Math" w:hAnsi="Cambria Math" w:cs="Times New Roman"/>
                  <w:i/>
                  <w:sz w:val="24"/>
                  <w:szCs w:val="24"/>
                </w:rPr>
              </m:ctrlPr>
            </m:fPr>
            <m:num>
              <m:r>
                <w:rPr>
                  <w:rFonts w:ascii="Cambria Math" w:hAnsi="Cambria Math" w:cs="Times New Roman"/>
                  <w:sz w:val="24"/>
                  <w:szCs w:val="24"/>
                </w:rPr>
                <m:t>1299</m:t>
              </m:r>
            </m:num>
            <m:den>
              <m:r>
                <w:rPr>
                  <w:rFonts w:ascii="Cambria Math" w:hAnsi="Cambria Math" w:cs="Times New Roman"/>
                  <w:sz w:val="24"/>
                  <w:szCs w:val="24"/>
                </w:rPr>
                <m:t>1063</m:t>
              </m:r>
            </m:den>
          </m:f>
        </m:oMath>
      </m:oMathPara>
    </w:p>
    <w:p w:rsidR="006C5153" w:rsidRPr="00FA107A" w:rsidRDefault="006C5153"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sz w:val="24"/>
          <w:szCs w:val="24"/>
        </w:rPr>
        <w:t>= 1.22</w:t>
      </w:r>
      <w:r w:rsidR="00881006" w:rsidRPr="00FA107A">
        <w:rPr>
          <w:rFonts w:ascii="Times New Roman" w:eastAsiaTheme="minorEastAsia" w:hAnsi="Times New Roman" w:cs="Times New Roman"/>
          <w:sz w:val="24"/>
          <w:szCs w:val="24"/>
        </w:rPr>
        <w:t>%</w:t>
      </w:r>
    </w:p>
    <w:p w:rsidR="006C5153" w:rsidRPr="00FA107A" w:rsidRDefault="006C5153" w:rsidP="00C6200C">
      <w:pPr>
        <w:spacing w:after="0" w:line="480" w:lineRule="auto"/>
        <w:jc w:val="both"/>
        <w:rPr>
          <w:rFonts w:ascii="Times New Roman" w:eastAsiaTheme="minorEastAsia" w:hAnsi="Times New Roman" w:cs="Times New Roman"/>
          <w:b/>
          <w:i/>
          <w:sz w:val="24"/>
          <w:szCs w:val="24"/>
        </w:rPr>
      </w:pPr>
      <w:r w:rsidRPr="00FA107A">
        <w:rPr>
          <w:rFonts w:ascii="Times New Roman" w:eastAsiaTheme="minorEastAsia" w:hAnsi="Times New Roman" w:cs="Times New Roman"/>
          <w:b/>
          <w:i/>
          <w:sz w:val="24"/>
          <w:szCs w:val="24"/>
        </w:rPr>
        <w:t>Assets turnover ratio:</w:t>
      </w:r>
    </w:p>
    <w:p w:rsidR="006C5153" w:rsidRPr="00FA107A" w:rsidRDefault="006C5153" w:rsidP="00C6200C">
      <w:pPr>
        <w:spacing w:after="0" w:line="480" w:lineRule="auto"/>
        <w:jc w:val="both"/>
        <w:rPr>
          <w:rFonts w:ascii="Times New Roman" w:hAnsi="Times New Roman" w:cs="Times New Roman"/>
          <w:sz w:val="24"/>
          <w:szCs w:val="24"/>
        </w:rPr>
      </w:pPr>
      <m:oMathPara>
        <m:oMath>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Sales</m:t>
              </m:r>
            </m:num>
            <m:den>
              <m:r>
                <w:rPr>
                  <w:rFonts w:ascii="Cambria Math" w:hAnsi="Cambria Math" w:cs="Times New Roman"/>
                  <w:sz w:val="24"/>
                  <w:szCs w:val="24"/>
                </w:rPr>
                <m:t>total assets</m:t>
              </m:r>
            </m:den>
          </m:f>
        </m:oMath>
      </m:oMathPara>
    </w:p>
    <w:p w:rsidR="006C5153" w:rsidRPr="00FA107A" w:rsidRDefault="006C5153" w:rsidP="00C6200C">
      <w:pPr>
        <w:spacing w:after="0" w:line="480" w:lineRule="auto"/>
        <w:jc w:val="both"/>
        <w:rPr>
          <w:rFonts w:ascii="Times New Roman" w:eastAsiaTheme="minorEastAsia" w:hAnsi="Times New Roman" w:cs="Times New Roman"/>
          <w:i/>
          <w:sz w:val="24"/>
          <w:szCs w:val="24"/>
        </w:rPr>
      </w:pPr>
      <m:oMathPara>
        <m:oMath>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1711</m:t>
              </m:r>
            </m:num>
            <m:den>
              <m:r>
                <w:rPr>
                  <w:rFonts w:ascii="Cambria Math" w:hAnsi="Cambria Math" w:cs="Times New Roman"/>
                  <w:sz w:val="24"/>
                  <w:szCs w:val="24"/>
                </w:rPr>
                <m:t>2362</m:t>
              </m:r>
            </m:den>
          </m:f>
        </m:oMath>
      </m:oMathPara>
    </w:p>
    <w:p w:rsidR="006C5153" w:rsidRPr="00FA107A" w:rsidRDefault="00F02615"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sz w:val="24"/>
          <w:szCs w:val="24"/>
        </w:rPr>
        <w:t>= 0.72</w:t>
      </w:r>
      <w:r w:rsidR="00881006" w:rsidRPr="00FA107A">
        <w:rPr>
          <w:rFonts w:ascii="Times New Roman" w:eastAsiaTheme="minorEastAsia" w:hAnsi="Times New Roman" w:cs="Times New Roman"/>
          <w:sz w:val="24"/>
          <w:szCs w:val="24"/>
        </w:rPr>
        <w:t>%</w:t>
      </w:r>
    </w:p>
    <w:p w:rsidR="00F02615" w:rsidRPr="00FA107A" w:rsidRDefault="00291B9A" w:rsidP="00C6200C">
      <w:pPr>
        <w:spacing w:after="0" w:line="480" w:lineRule="auto"/>
        <w:jc w:val="both"/>
        <w:rPr>
          <w:rFonts w:ascii="Times New Roman" w:eastAsiaTheme="minorEastAsia" w:hAnsi="Times New Roman" w:cs="Times New Roman"/>
          <w:b/>
          <w:i/>
          <w:sz w:val="24"/>
          <w:szCs w:val="24"/>
        </w:rPr>
      </w:pPr>
      <w:r w:rsidRPr="00FA107A">
        <w:rPr>
          <w:rFonts w:ascii="Times New Roman" w:eastAsiaTheme="minorEastAsia" w:hAnsi="Times New Roman" w:cs="Times New Roman"/>
          <w:b/>
          <w:i/>
          <w:sz w:val="24"/>
          <w:szCs w:val="24"/>
        </w:rPr>
        <w:t>Total debt to total assets:</w:t>
      </w:r>
    </w:p>
    <w:p w:rsidR="00291B9A" w:rsidRPr="00FA107A" w:rsidRDefault="00291B9A" w:rsidP="00C6200C">
      <w:pPr>
        <w:spacing w:after="0" w:line="480" w:lineRule="auto"/>
        <w:jc w:val="both"/>
        <w:rPr>
          <w:rFonts w:ascii="Times New Roman" w:hAnsi="Times New Roman" w:cs="Times New Roman"/>
          <w:sz w:val="24"/>
          <w:szCs w:val="24"/>
        </w:rPr>
      </w:pPr>
      <m:oMathPara>
        <m:oMath>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Short term debt+Long term debt</m:t>
              </m:r>
            </m:num>
            <m:den>
              <m:r>
                <w:rPr>
                  <w:rFonts w:ascii="Cambria Math" w:hAnsi="Cambria Math" w:cs="Times New Roman"/>
                  <w:sz w:val="24"/>
                  <w:szCs w:val="24"/>
                </w:rPr>
                <m:t>Total assets</m:t>
              </m:r>
            </m:den>
          </m:f>
        </m:oMath>
      </m:oMathPara>
    </w:p>
    <w:p w:rsidR="00291B9A" w:rsidRPr="00FA107A" w:rsidRDefault="00291B9A" w:rsidP="00C6200C">
      <w:pPr>
        <w:spacing w:after="0" w:line="480" w:lineRule="auto"/>
        <w:jc w:val="both"/>
        <w:rPr>
          <w:rFonts w:ascii="Times New Roman" w:eastAsiaTheme="minorEastAsia" w:hAnsi="Times New Roman" w:cs="Times New Roman"/>
          <w:i/>
          <w:sz w:val="24"/>
          <w:szCs w:val="24"/>
        </w:rPr>
      </w:pPr>
      <m:oMathPara>
        <m:oMath>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0+721</m:t>
              </m:r>
            </m:num>
            <m:den>
              <m:r>
                <w:rPr>
                  <w:rFonts w:ascii="Cambria Math" w:hAnsi="Cambria Math" w:cs="Times New Roman"/>
                  <w:sz w:val="24"/>
                  <w:szCs w:val="24"/>
                </w:rPr>
                <m:t>2362</m:t>
              </m:r>
            </m:den>
          </m:f>
        </m:oMath>
      </m:oMathPara>
    </w:p>
    <w:p w:rsidR="00291B9A" w:rsidRPr="00FA107A" w:rsidRDefault="00291B9A"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sz w:val="24"/>
          <w:szCs w:val="24"/>
        </w:rPr>
        <w:t>= 0.30</w:t>
      </w:r>
      <w:r w:rsidR="00881006" w:rsidRPr="00FA107A">
        <w:rPr>
          <w:rFonts w:ascii="Times New Roman" w:eastAsiaTheme="minorEastAsia" w:hAnsi="Times New Roman" w:cs="Times New Roman"/>
          <w:sz w:val="24"/>
          <w:szCs w:val="24"/>
        </w:rPr>
        <w:t>%</w:t>
      </w:r>
    </w:p>
    <w:p w:rsidR="00291B9A" w:rsidRPr="00FA107A" w:rsidRDefault="00291B9A" w:rsidP="00C6200C">
      <w:pPr>
        <w:spacing w:after="0" w:line="480" w:lineRule="auto"/>
        <w:jc w:val="both"/>
        <w:rPr>
          <w:rFonts w:ascii="Times New Roman" w:eastAsiaTheme="minorEastAsia" w:hAnsi="Times New Roman" w:cs="Times New Roman"/>
          <w:b/>
          <w:i/>
          <w:sz w:val="24"/>
          <w:szCs w:val="24"/>
        </w:rPr>
      </w:pPr>
      <w:r w:rsidRPr="00FA107A">
        <w:rPr>
          <w:rFonts w:ascii="Times New Roman" w:eastAsiaTheme="minorEastAsia" w:hAnsi="Times New Roman" w:cs="Times New Roman"/>
          <w:b/>
          <w:i/>
          <w:sz w:val="24"/>
          <w:szCs w:val="24"/>
        </w:rPr>
        <w:t xml:space="preserve">Cash </w:t>
      </w:r>
      <w:r w:rsidR="00743861">
        <w:rPr>
          <w:rFonts w:ascii="Times New Roman" w:eastAsiaTheme="minorEastAsia" w:hAnsi="Times New Roman" w:cs="Times New Roman"/>
          <w:b/>
          <w:i/>
          <w:sz w:val="24"/>
          <w:szCs w:val="24"/>
        </w:rPr>
        <w:t>turnover ratio</w:t>
      </w:r>
      <w:r w:rsidRPr="00FA107A">
        <w:rPr>
          <w:rFonts w:ascii="Times New Roman" w:eastAsiaTheme="minorEastAsia" w:hAnsi="Times New Roman" w:cs="Times New Roman"/>
          <w:b/>
          <w:i/>
          <w:sz w:val="24"/>
          <w:szCs w:val="24"/>
        </w:rPr>
        <w:t>:</w:t>
      </w:r>
    </w:p>
    <w:p w:rsidR="00291B9A" w:rsidRPr="00FA107A" w:rsidRDefault="00291B9A" w:rsidP="00743861">
      <w:pPr>
        <w:spacing w:after="0" w:line="480" w:lineRule="auto"/>
        <w:jc w:val="center"/>
        <w:rPr>
          <w:rFonts w:ascii="Times New Roman" w:hAnsi="Times New Roman" w:cs="Times New Roman"/>
          <w:sz w:val="24"/>
          <w:szCs w:val="24"/>
        </w:rPr>
      </w:pPr>
      <m:oMath>
        <m:r>
          <w:rPr>
            <w:rFonts w:ascii="Cambria Math" w:hAnsi="Cambria Math" w:cs="Times New Roman"/>
            <w:sz w:val="32"/>
            <w:szCs w:val="24"/>
          </w:rPr>
          <m:t>=</m:t>
        </m:r>
        <m:f>
          <m:fPr>
            <m:ctrlPr>
              <w:rPr>
                <w:rFonts w:ascii="Cambria Math" w:hAnsi="Cambria Math" w:cs="Times New Roman"/>
                <w:i/>
                <w:sz w:val="32"/>
                <w:szCs w:val="24"/>
              </w:rPr>
            </m:ctrlPr>
          </m:fPr>
          <m:num>
            <m:r>
              <w:rPr>
                <w:rFonts w:ascii="Cambria Math" w:hAnsi="Cambria Math" w:cs="Times New Roman"/>
                <w:sz w:val="32"/>
                <w:szCs w:val="24"/>
              </w:rPr>
              <m:t>Net Sales</m:t>
            </m:r>
          </m:num>
          <m:den>
            <m:r>
              <w:rPr>
                <w:rFonts w:ascii="Cambria Math" w:hAnsi="Cambria Math" w:cs="Times New Roman"/>
                <w:sz w:val="32"/>
                <w:szCs w:val="24"/>
              </w:rPr>
              <m:t>Net working capita</m:t>
            </m:r>
          </m:den>
        </m:f>
      </m:oMath>
      <w:r w:rsidR="00743861" w:rsidRPr="00743861">
        <w:rPr>
          <w:rFonts w:ascii="Times New Roman" w:eastAsiaTheme="minorEastAsia" w:hAnsi="Times New Roman" w:cs="Times New Roman"/>
          <w:sz w:val="32"/>
          <w:szCs w:val="24"/>
        </w:rPr>
        <w:t xml:space="preserve"> </w:t>
      </w:r>
      <w:r w:rsidR="00743861" w:rsidRPr="00743861">
        <w:rPr>
          <w:rFonts w:ascii="Times New Roman" w:eastAsiaTheme="minorEastAsia" w:hAnsi="Times New Roman" w:cs="Times New Roman"/>
          <w:sz w:val="24"/>
          <w:szCs w:val="24"/>
        </w:rPr>
        <w:t>(</w:t>
      </w:r>
      <w:r w:rsidR="00743861" w:rsidRPr="00743861">
        <w:rPr>
          <w:rFonts w:ascii="Times New Roman" w:hAnsi="Times New Roman" w:cs="Times New Roman"/>
          <w:sz w:val="24"/>
          <w:szCs w:val="24"/>
          <w:shd w:val="clear" w:color="auto" w:fill="FFFFFF"/>
        </w:rPr>
        <w:t>Kirkham</w:t>
      </w:r>
      <w:r w:rsidR="00743861" w:rsidRPr="00743861">
        <w:rPr>
          <w:rFonts w:ascii="Times New Roman" w:eastAsiaTheme="minorEastAsia" w:hAnsi="Times New Roman" w:cs="Times New Roman"/>
          <w:sz w:val="24"/>
          <w:szCs w:val="24"/>
        </w:rPr>
        <w:t>, 2012)</w:t>
      </w:r>
    </w:p>
    <w:p w:rsidR="00291B9A" w:rsidRPr="00FA107A" w:rsidRDefault="003E1458"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sz w:val="24"/>
          <w:szCs w:val="24"/>
        </w:rPr>
        <w:t xml:space="preserve">Net working capital= Current assets – current liabilities </w:t>
      </w:r>
    </w:p>
    <w:p w:rsidR="003E1458" w:rsidRPr="00FA107A" w:rsidRDefault="003E1458"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sz w:val="24"/>
          <w:szCs w:val="24"/>
        </w:rPr>
        <w:t>Net Working capital= 393 – 478</w:t>
      </w:r>
    </w:p>
    <w:p w:rsidR="003E1458" w:rsidRPr="00FA107A" w:rsidRDefault="003E1458"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sz w:val="24"/>
          <w:szCs w:val="24"/>
        </w:rPr>
        <w:t>Net Working Capita= -85</w:t>
      </w:r>
    </w:p>
    <w:p w:rsidR="003E1458" w:rsidRPr="00743861" w:rsidRDefault="003E1458" w:rsidP="00C6200C">
      <w:pPr>
        <w:spacing w:after="0" w:line="480" w:lineRule="auto"/>
        <w:jc w:val="both"/>
        <w:rPr>
          <w:rFonts w:ascii="Times New Roman" w:eastAsiaTheme="minorEastAsia" w:hAnsi="Times New Roman" w:cs="Times New Roman"/>
          <w:i/>
          <w:sz w:val="32"/>
          <w:szCs w:val="24"/>
        </w:rPr>
      </w:pPr>
      <w:r w:rsidRPr="00FA107A">
        <w:rPr>
          <w:rFonts w:ascii="Times New Roman" w:eastAsiaTheme="minorEastAsia" w:hAnsi="Times New Roman" w:cs="Times New Roman"/>
          <w:sz w:val="24"/>
          <w:szCs w:val="24"/>
        </w:rPr>
        <w:t xml:space="preserve">Cash Turnover= </w:t>
      </w:r>
      <m:oMath>
        <m:f>
          <m:fPr>
            <m:ctrlPr>
              <w:rPr>
                <w:rFonts w:ascii="Cambria Math" w:hAnsi="Cambria Math" w:cs="Times New Roman"/>
                <w:i/>
                <w:sz w:val="32"/>
                <w:szCs w:val="24"/>
              </w:rPr>
            </m:ctrlPr>
          </m:fPr>
          <m:num>
            <m:r>
              <w:rPr>
                <w:rFonts w:ascii="Cambria Math" w:hAnsi="Cambria Math" w:cs="Times New Roman"/>
                <w:sz w:val="32"/>
                <w:szCs w:val="24"/>
              </w:rPr>
              <m:t>1711</m:t>
            </m:r>
          </m:num>
          <m:den>
            <m:r>
              <w:rPr>
                <w:rFonts w:ascii="Cambria Math" w:hAnsi="Cambria Math" w:cs="Times New Roman"/>
                <w:sz w:val="32"/>
                <w:szCs w:val="24"/>
              </w:rPr>
              <m:t>-85</m:t>
            </m:r>
          </m:den>
        </m:f>
      </m:oMath>
    </w:p>
    <w:p w:rsidR="003E1458" w:rsidRPr="00FA107A" w:rsidRDefault="003E1458"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sz w:val="24"/>
          <w:szCs w:val="24"/>
        </w:rPr>
        <w:t>Cash Turnover= -20.12</w:t>
      </w:r>
      <w:r w:rsidR="00881006" w:rsidRPr="00FA107A">
        <w:rPr>
          <w:rFonts w:ascii="Times New Roman" w:eastAsiaTheme="minorEastAsia" w:hAnsi="Times New Roman" w:cs="Times New Roman"/>
          <w:sz w:val="24"/>
          <w:szCs w:val="24"/>
        </w:rPr>
        <w:t>%</w:t>
      </w:r>
    </w:p>
    <w:p w:rsidR="003E1458" w:rsidRPr="00FA107A" w:rsidRDefault="003E1458" w:rsidP="00C6200C">
      <w:pPr>
        <w:spacing w:after="0" w:line="480" w:lineRule="auto"/>
        <w:jc w:val="both"/>
        <w:rPr>
          <w:rFonts w:ascii="Times New Roman" w:hAnsi="Times New Roman" w:cs="Times New Roman"/>
          <w:b/>
          <w:sz w:val="24"/>
          <w:szCs w:val="24"/>
        </w:rPr>
      </w:pPr>
      <w:r w:rsidRPr="00FA107A">
        <w:rPr>
          <w:rFonts w:ascii="Times New Roman" w:hAnsi="Times New Roman" w:cs="Times New Roman"/>
          <w:b/>
          <w:sz w:val="24"/>
          <w:szCs w:val="24"/>
        </w:rPr>
        <w:t>Financial records of Paddy Power Betfair Plc:</w:t>
      </w:r>
    </w:p>
    <w:p w:rsidR="003E1458" w:rsidRPr="00FA107A" w:rsidRDefault="00111AB6" w:rsidP="00C6200C">
      <w:pPr>
        <w:spacing w:after="0" w:line="480" w:lineRule="auto"/>
        <w:jc w:val="both"/>
        <w:rPr>
          <w:rFonts w:ascii="Times New Roman" w:hAnsi="Times New Roman" w:cs="Times New Roman"/>
          <w:b/>
          <w:i/>
          <w:sz w:val="24"/>
          <w:szCs w:val="24"/>
        </w:rPr>
      </w:pPr>
      <w:r w:rsidRPr="00FA107A">
        <w:rPr>
          <w:rFonts w:ascii="Times New Roman" w:hAnsi="Times New Roman" w:cs="Times New Roman"/>
          <w:b/>
          <w:i/>
          <w:sz w:val="24"/>
          <w:szCs w:val="24"/>
        </w:rPr>
        <w:t>Income statement of Paddy Power Betfair</w:t>
      </w:r>
      <w:r w:rsidR="003E1458" w:rsidRPr="00FA107A">
        <w:rPr>
          <w:rFonts w:ascii="Times New Roman" w:hAnsi="Times New Roman" w:cs="Times New Roman"/>
          <w:b/>
          <w:i/>
          <w:sz w:val="24"/>
          <w:szCs w:val="24"/>
        </w:rPr>
        <w:t xml:space="preserve"> Plc:</w:t>
      </w:r>
    </w:p>
    <w:tbl>
      <w:tblPr>
        <w:tblW w:w="9020" w:type="dxa"/>
        <w:tblInd w:w="93" w:type="dxa"/>
        <w:tblLook w:val="04A0"/>
      </w:tblPr>
      <w:tblGrid>
        <w:gridCol w:w="2120"/>
        <w:gridCol w:w="1840"/>
        <w:gridCol w:w="1220"/>
        <w:gridCol w:w="960"/>
        <w:gridCol w:w="960"/>
        <w:gridCol w:w="960"/>
        <w:gridCol w:w="960"/>
      </w:tblGrid>
      <w:tr w:rsidR="00111AB6" w:rsidRPr="00FA107A" w:rsidTr="00111AB6">
        <w:trPr>
          <w:trHeight w:val="315"/>
        </w:trPr>
        <w:tc>
          <w:tcPr>
            <w:tcW w:w="9020" w:type="dxa"/>
            <w:gridSpan w:val="7"/>
            <w:tcBorders>
              <w:top w:val="single" w:sz="4" w:space="0" w:color="auto"/>
              <w:left w:val="single" w:sz="4" w:space="0" w:color="auto"/>
              <w:bottom w:val="single" w:sz="4" w:space="0" w:color="auto"/>
              <w:right w:val="single" w:sz="4" w:space="0" w:color="000000"/>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lastRenderedPageBreak/>
              <w:t>PADDY POWER BETFAIR PLC  (PPB) CashFlowFlag INCOME STATEMENT</w:t>
            </w:r>
          </w:p>
        </w:tc>
      </w:tr>
      <w:tr w:rsidR="00111AB6" w:rsidRPr="00FA107A" w:rsidTr="00111AB6">
        <w:trPr>
          <w:trHeight w:val="2205"/>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Fiscal year ends in December. GBP in millions except per share data.</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2012-12</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2013-12</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2014-12</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2015-12</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2016-12</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TTM</w:t>
            </w:r>
          </w:p>
        </w:tc>
      </w:tr>
      <w:tr w:rsidR="00111AB6" w:rsidRPr="00FA107A" w:rsidTr="00111AB6">
        <w:trPr>
          <w:trHeight w:val="315"/>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Revenue</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535</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624</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689</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807</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1501</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1619</w:t>
            </w:r>
          </w:p>
        </w:tc>
      </w:tr>
      <w:tr w:rsidR="00111AB6" w:rsidRPr="00FA107A" w:rsidTr="00111AB6">
        <w:trPr>
          <w:trHeight w:val="630"/>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Cost of revenue</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82</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107</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131</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204</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346</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371</w:t>
            </w:r>
          </w:p>
        </w:tc>
      </w:tr>
      <w:tr w:rsidR="00111AB6" w:rsidRPr="00FA107A" w:rsidTr="00111AB6">
        <w:trPr>
          <w:trHeight w:val="315"/>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Gross profit</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453</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517</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558</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603</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1154</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1248</w:t>
            </w:r>
          </w:p>
        </w:tc>
      </w:tr>
      <w:tr w:rsidR="00111AB6" w:rsidRPr="00FA107A" w:rsidTr="00111AB6">
        <w:trPr>
          <w:trHeight w:val="630"/>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Operating expenses</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111AB6" w:rsidRPr="00FA107A" w:rsidTr="00111AB6">
        <w:trPr>
          <w:trHeight w:val="945"/>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Sales, General and administrative</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56</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99</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117</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130</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111AB6" w:rsidRPr="00FA107A" w:rsidTr="00111AB6">
        <w:trPr>
          <w:trHeight w:val="945"/>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Restructuring, merger and acquisition</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101</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17</w:t>
            </w:r>
          </w:p>
        </w:tc>
      </w:tr>
      <w:tr w:rsidR="00111AB6" w:rsidRPr="00FA107A" w:rsidTr="00111AB6">
        <w:trPr>
          <w:trHeight w:val="945"/>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Other operating expenses</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286</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302</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313</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347</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1038</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1067</w:t>
            </w:r>
          </w:p>
        </w:tc>
      </w:tr>
      <w:tr w:rsidR="00111AB6" w:rsidRPr="00FA107A" w:rsidTr="00111AB6">
        <w:trPr>
          <w:trHeight w:val="945"/>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Total operating expenses</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342</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402</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430</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478</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1139</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1084</w:t>
            </w:r>
          </w:p>
        </w:tc>
      </w:tr>
      <w:tr w:rsidR="00111AB6" w:rsidRPr="00FA107A" w:rsidTr="00111AB6">
        <w:trPr>
          <w:trHeight w:val="630"/>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Operating income</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111</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115</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128</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126</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15</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164</w:t>
            </w:r>
          </w:p>
        </w:tc>
      </w:tr>
      <w:tr w:rsidR="00111AB6" w:rsidRPr="00FA107A" w:rsidTr="00111AB6">
        <w:trPr>
          <w:trHeight w:val="630"/>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Interest Expense</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w:t>
            </w:r>
          </w:p>
        </w:tc>
      </w:tr>
      <w:tr w:rsidR="00111AB6" w:rsidRPr="00FA107A" w:rsidTr="00111AB6">
        <w:trPr>
          <w:trHeight w:val="630"/>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Other income (expense)</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w:t>
            </w:r>
          </w:p>
        </w:tc>
      </w:tr>
      <w:tr w:rsidR="00111AB6" w:rsidRPr="00FA107A" w:rsidTr="00111AB6">
        <w:trPr>
          <w:trHeight w:val="630"/>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lastRenderedPageBreak/>
              <w:t>Income before taxes</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114</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118</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130</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125</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160</w:t>
            </w:r>
          </w:p>
        </w:tc>
      </w:tr>
      <w:tr w:rsidR="00111AB6" w:rsidRPr="00FA107A" w:rsidTr="00111AB6">
        <w:trPr>
          <w:trHeight w:val="630"/>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Provision for income taxes</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15</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15</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17</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16</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18</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28</w:t>
            </w:r>
          </w:p>
        </w:tc>
      </w:tr>
      <w:tr w:rsidR="00111AB6" w:rsidRPr="00FA107A" w:rsidTr="00111AB6">
        <w:trPr>
          <w:trHeight w:val="1260"/>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Net income from continuing operations</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99</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103</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113</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109</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132</w:t>
            </w:r>
          </w:p>
        </w:tc>
      </w:tr>
      <w:tr w:rsidR="00111AB6" w:rsidRPr="00FA107A" w:rsidTr="00111AB6">
        <w:trPr>
          <w:trHeight w:val="315"/>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Net income</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99</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103</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113</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109</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132</w:t>
            </w:r>
          </w:p>
        </w:tc>
      </w:tr>
      <w:tr w:rsidR="00111AB6" w:rsidRPr="00FA107A" w:rsidTr="00111AB6">
        <w:trPr>
          <w:trHeight w:val="1260"/>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Net income available to common shareholders</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99</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103</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113</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109</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132</w:t>
            </w:r>
          </w:p>
        </w:tc>
      </w:tr>
      <w:tr w:rsidR="00111AB6" w:rsidRPr="00FA107A" w:rsidTr="00111AB6">
        <w:trPr>
          <w:trHeight w:val="630"/>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Earnings per share</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111AB6" w:rsidRPr="00FA107A" w:rsidTr="00111AB6">
        <w:trPr>
          <w:trHeight w:val="315"/>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Basic</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2.28</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2.39</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2.61</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2.41</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-0.07</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1.63</w:t>
            </w:r>
          </w:p>
        </w:tc>
      </w:tr>
      <w:tr w:rsidR="00111AB6" w:rsidRPr="00FA107A" w:rsidTr="00111AB6">
        <w:trPr>
          <w:trHeight w:val="315"/>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Diluted</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2.26</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2.34</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2.58</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2.37</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-0.07</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1.63</w:t>
            </w:r>
          </w:p>
        </w:tc>
      </w:tr>
      <w:tr w:rsidR="00111AB6" w:rsidRPr="00FA107A" w:rsidTr="00111AB6">
        <w:trPr>
          <w:trHeight w:val="1260"/>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Weighted average shares outstanding</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111AB6" w:rsidRPr="00FA107A" w:rsidTr="00111AB6">
        <w:trPr>
          <w:trHeight w:val="315"/>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Basic</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43</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43</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43</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45</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80</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84</w:t>
            </w:r>
          </w:p>
        </w:tc>
      </w:tr>
      <w:tr w:rsidR="00111AB6" w:rsidRPr="00FA107A" w:rsidTr="00111AB6">
        <w:trPr>
          <w:trHeight w:val="315"/>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Diluted</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44</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44</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44</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46</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80</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84</w:t>
            </w:r>
          </w:p>
        </w:tc>
      </w:tr>
      <w:tr w:rsidR="00111AB6" w:rsidRPr="00FA107A" w:rsidTr="00111AB6">
        <w:trPr>
          <w:trHeight w:val="315"/>
        </w:trPr>
        <w:tc>
          <w:tcPr>
            <w:tcW w:w="2120" w:type="dxa"/>
            <w:tcBorders>
              <w:top w:val="nil"/>
              <w:left w:val="single" w:sz="4" w:space="0" w:color="auto"/>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EBITDA</w:t>
            </w:r>
          </w:p>
        </w:tc>
        <w:tc>
          <w:tcPr>
            <w:tcW w:w="184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140</w:t>
            </w:r>
          </w:p>
        </w:tc>
        <w:tc>
          <w:tcPr>
            <w:tcW w:w="122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151</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168</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166</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257</w:t>
            </w:r>
          </w:p>
        </w:tc>
        <w:tc>
          <w:tcPr>
            <w:tcW w:w="960" w:type="dxa"/>
            <w:tcBorders>
              <w:top w:val="nil"/>
              <w:left w:val="nil"/>
              <w:bottom w:val="single" w:sz="4" w:space="0" w:color="auto"/>
              <w:right w:val="single" w:sz="4" w:space="0" w:color="auto"/>
            </w:tcBorders>
            <w:shd w:val="clear" w:color="auto" w:fill="auto"/>
            <w:vAlign w:val="center"/>
            <w:hideMark/>
          </w:tcPr>
          <w:p w:rsidR="00111AB6" w:rsidRPr="00FA107A" w:rsidRDefault="00111AB6"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405</w:t>
            </w:r>
          </w:p>
        </w:tc>
      </w:tr>
    </w:tbl>
    <w:p w:rsidR="003E1458" w:rsidRPr="00FA107A" w:rsidRDefault="003E1458" w:rsidP="00C6200C">
      <w:pPr>
        <w:spacing w:after="0" w:line="480" w:lineRule="auto"/>
        <w:jc w:val="both"/>
        <w:rPr>
          <w:rFonts w:ascii="Times New Roman" w:eastAsiaTheme="minorEastAsia" w:hAnsi="Times New Roman" w:cs="Times New Roman"/>
          <w:sz w:val="24"/>
          <w:szCs w:val="24"/>
        </w:rPr>
      </w:pPr>
    </w:p>
    <w:p w:rsidR="003E6D67" w:rsidRPr="00FA107A" w:rsidRDefault="003E6D67" w:rsidP="00C6200C">
      <w:pPr>
        <w:spacing w:after="0" w:line="480" w:lineRule="auto"/>
        <w:jc w:val="both"/>
        <w:rPr>
          <w:rFonts w:ascii="Times New Roman" w:hAnsi="Times New Roman" w:cs="Times New Roman"/>
          <w:b/>
          <w:i/>
          <w:sz w:val="24"/>
          <w:szCs w:val="24"/>
        </w:rPr>
      </w:pPr>
      <w:r w:rsidRPr="00FA107A">
        <w:rPr>
          <w:rFonts w:ascii="Times New Roman" w:hAnsi="Times New Roman" w:cs="Times New Roman"/>
          <w:b/>
          <w:i/>
          <w:sz w:val="24"/>
          <w:szCs w:val="24"/>
        </w:rPr>
        <w:t>Balance sheet of Paddy Power Betfair Plc:</w:t>
      </w:r>
    </w:p>
    <w:tbl>
      <w:tblPr>
        <w:tblW w:w="7755" w:type="dxa"/>
        <w:tblInd w:w="93" w:type="dxa"/>
        <w:tblLook w:val="04A0"/>
      </w:tblPr>
      <w:tblGrid>
        <w:gridCol w:w="2480"/>
        <w:gridCol w:w="960"/>
        <w:gridCol w:w="960"/>
        <w:gridCol w:w="960"/>
        <w:gridCol w:w="960"/>
        <w:gridCol w:w="1435"/>
      </w:tblGrid>
      <w:tr w:rsidR="003E6D67" w:rsidRPr="00FA107A" w:rsidTr="004D1333">
        <w:trPr>
          <w:trHeight w:val="510"/>
        </w:trPr>
        <w:tc>
          <w:tcPr>
            <w:tcW w:w="7755" w:type="dxa"/>
            <w:gridSpan w:val="6"/>
            <w:tcBorders>
              <w:top w:val="single" w:sz="4" w:space="0" w:color="auto"/>
              <w:left w:val="single" w:sz="4" w:space="0" w:color="auto"/>
              <w:bottom w:val="single" w:sz="4" w:space="0" w:color="auto"/>
              <w:right w:val="single" w:sz="4" w:space="0" w:color="000000"/>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lastRenderedPageBreak/>
              <w:t>PADDY POWER BETFAIR PLC  (PPB) CashFlowFlag BALANCE SHEET</w:t>
            </w:r>
          </w:p>
        </w:tc>
      </w:tr>
      <w:tr w:rsidR="003E6D67" w:rsidRPr="00FA107A" w:rsidTr="004D1333">
        <w:trPr>
          <w:trHeight w:val="1260"/>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Fiscal year ends in December. GBP in millions except per share data.</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2012-12</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2013-12</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2014-12</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2015-12</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2016-12</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i/>
                <w:sz w:val="24"/>
                <w:szCs w:val="24"/>
              </w:rPr>
            </w:pPr>
            <w:r w:rsidRPr="00FA107A">
              <w:rPr>
                <w:rFonts w:ascii="Times New Roman" w:eastAsia="Times New Roman" w:hAnsi="Times New Roman" w:cs="Times New Roman"/>
                <w:i/>
                <w:sz w:val="24"/>
                <w:szCs w:val="24"/>
              </w:rPr>
              <w:t>Assets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i/>
                <w:sz w:val="24"/>
                <w:szCs w:val="24"/>
              </w:rPr>
            </w:pPr>
            <w:r w:rsidRPr="00FA107A">
              <w:rPr>
                <w:rFonts w:ascii="Times New Roman" w:eastAsia="Times New Roman" w:hAnsi="Times New Roman" w:cs="Times New Roman"/>
                <w:i/>
                <w:sz w:val="24"/>
                <w:szCs w:val="24"/>
              </w:rPr>
              <w:t>Current assets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Cash</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3E6D67" w:rsidRPr="00FA107A" w:rsidTr="004D1333">
        <w:trPr>
          <w:trHeight w:val="630"/>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Cash and cash equivalents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106</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147</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192</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112</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250</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Short-term investments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62</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Total cash</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167</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147</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192</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114</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250</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Receivables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Prepaid expenses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14</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18</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19</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18</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41</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Other current assets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46</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33</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36</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68</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Total current assets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189</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215</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248</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172</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370</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Non-current assets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3E6D67" w:rsidRPr="00FA107A" w:rsidTr="004D1333">
        <w:trPr>
          <w:trHeight w:val="630"/>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Property, plant and equipment</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3E6D67" w:rsidRPr="00FA107A" w:rsidTr="004D1333">
        <w:trPr>
          <w:trHeight w:val="630"/>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Gross property, plant and equipment</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201</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228</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242</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239</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335</w:t>
            </w:r>
          </w:p>
        </w:tc>
      </w:tr>
      <w:tr w:rsidR="003E6D67" w:rsidRPr="00FA107A" w:rsidTr="004D1333">
        <w:trPr>
          <w:trHeight w:val="630"/>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xml:space="preserve">Accumulated </w:t>
            </w:r>
            <w:r w:rsidRPr="00FA107A">
              <w:rPr>
                <w:rFonts w:ascii="Times New Roman" w:eastAsia="Times New Roman" w:hAnsi="Times New Roman" w:cs="Times New Roman"/>
                <w:sz w:val="24"/>
                <w:szCs w:val="24"/>
              </w:rPr>
              <w:lastRenderedPageBreak/>
              <w:t>Depreciation</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lastRenderedPageBreak/>
              <w:t>-114</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-131</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-143</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-147</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-201</w:t>
            </w:r>
          </w:p>
        </w:tc>
      </w:tr>
      <w:tr w:rsidR="003E6D67" w:rsidRPr="00FA107A" w:rsidTr="004D1333">
        <w:trPr>
          <w:trHeight w:val="630"/>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lastRenderedPageBreak/>
              <w:t>Net property, plant and equipment</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86</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97</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99</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93</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134</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Goodwill</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79</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78</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80</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80</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3891</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Intangible assets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51</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58</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60</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61</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581</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Deferred income taxes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7</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7</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9</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Other long-term assets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7</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Total non-current assets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230</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243</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247</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240</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4622</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Total assets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419</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458</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495</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412</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4992</w:t>
            </w:r>
          </w:p>
        </w:tc>
      </w:tr>
      <w:tr w:rsidR="003E6D67" w:rsidRPr="00FA107A" w:rsidTr="004D1333">
        <w:trPr>
          <w:trHeight w:val="630"/>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i/>
                <w:sz w:val="24"/>
                <w:szCs w:val="24"/>
              </w:rPr>
            </w:pPr>
            <w:r w:rsidRPr="00FA107A">
              <w:rPr>
                <w:rFonts w:ascii="Times New Roman" w:eastAsia="Times New Roman" w:hAnsi="Times New Roman" w:cs="Times New Roman"/>
                <w:i/>
                <w:sz w:val="24"/>
                <w:szCs w:val="24"/>
              </w:rPr>
              <w:t>Liabilities and stockholders' equity</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i/>
                <w:sz w:val="24"/>
                <w:szCs w:val="24"/>
              </w:rPr>
            </w:pPr>
            <w:r w:rsidRPr="00FA107A">
              <w:rPr>
                <w:rFonts w:ascii="Times New Roman" w:eastAsia="Times New Roman" w:hAnsi="Times New Roman" w:cs="Times New Roman"/>
                <w:i/>
                <w:sz w:val="24"/>
                <w:szCs w:val="24"/>
              </w:rPr>
              <w:t>Liabilities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i/>
                <w:sz w:val="24"/>
                <w:szCs w:val="24"/>
              </w:rPr>
            </w:pPr>
            <w:r w:rsidRPr="00FA107A">
              <w:rPr>
                <w:rFonts w:ascii="Times New Roman" w:eastAsia="Times New Roman" w:hAnsi="Times New Roman" w:cs="Times New Roman"/>
                <w:i/>
                <w:sz w:val="24"/>
                <w:szCs w:val="24"/>
              </w:rPr>
              <w:t>Current liabilities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Short-term debt</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Accounts payable</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63</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16</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61</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71</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72</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Taxes payable</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19</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18</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14</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14</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39</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Other current liabilities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85</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150</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110</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124</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262</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Total current liabilities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167</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183</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185</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209</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373</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Non-current liabilities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Long-term debt</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143</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214</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xml:space="preserve">Deferred taxes </w:t>
            </w:r>
            <w:r w:rsidRPr="00FA107A">
              <w:rPr>
                <w:rFonts w:ascii="Times New Roman" w:eastAsia="Times New Roman" w:hAnsi="Times New Roman" w:cs="Times New Roman"/>
                <w:sz w:val="24"/>
                <w:szCs w:val="24"/>
              </w:rPr>
              <w:lastRenderedPageBreak/>
              <w:t>liabilities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lastRenderedPageBreak/>
              <w:t>4</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61</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lastRenderedPageBreak/>
              <w:t>Accrued liabilities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0</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Other long-term liabilities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21</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11</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27</w:t>
            </w:r>
          </w:p>
        </w:tc>
      </w:tr>
      <w:tr w:rsidR="003E6D67" w:rsidRPr="00FA107A" w:rsidTr="004D1333">
        <w:trPr>
          <w:trHeight w:val="630"/>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Total non-current liabilities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25</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14</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8</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151</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303</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Total liabilities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192</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198</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193</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361</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675</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i/>
                <w:sz w:val="24"/>
                <w:szCs w:val="24"/>
              </w:rPr>
            </w:pPr>
            <w:r w:rsidRPr="00FA107A">
              <w:rPr>
                <w:rFonts w:ascii="Times New Roman" w:eastAsia="Times New Roman" w:hAnsi="Times New Roman" w:cs="Times New Roman"/>
                <w:i/>
                <w:sz w:val="24"/>
                <w:szCs w:val="24"/>
              </w:rPr>
              <w:t>Stockholders' equity</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Common stock</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417</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Additional paid-in capital</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33</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35</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35</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 </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Retained earnings</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233</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290</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329</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101</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3798</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Treasury stock</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-28</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-29</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-45</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-38</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-72</w:t>
            </w:r>
          </w:p>
        </w:tc>
      </w:tr>
      <w:tr w:rsidR="003E6D67" w:rsidRPr="00FA107A" w:rsidTr="004D1333">
        <w:trPr>
          <w:trHeight w:val="630"/>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Accumulated other comprehensive income</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-10</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-36</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-17</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-13</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173</w:t>
            </w:r>
          </w:p>
        </w:tc>
      </w:tr>
      <w:tr w:rsidR="003E6D67" w:rsidRPr="00FA107A" w:rsidTr="004D1333">
        <w:trPr>
          <w:trHeight w:val="315"/>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Total stockholders' equity</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227</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260</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302</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51</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sz w:val="24"/>
                <w:szCs w:val="24"/>
              </w:rPr>
            </w:pPr>
            <w:r w:rsidRPr="00FA107A">
              <w:rPr>
                <w:rFonts w:ascii="Times New Roman" w:eastAsia="Times New Roman" w:hAnsi="Times New Roman" w:cs="Times New Roman"/>
                <w:sz w:val="24"/>
                <w:szCs w:val="24"/>
              </w:rPr>
              <w:t>4317</w:t>
            </w:r>
          </w:p>
        </w:tc>
      </w:tr>
      <w:tr w:rsidR="003E6D67" w:rsidRPr="00FA107A" w:rsidTr="004D1333">
        <w:trPr>
          <w:trHeight w:val="630"/>
        </w:trPr>
        <w:tc>
          <w:tcPr>
            <w:tcW w:w="2480" w:type="dxa"/>
            <w:tcBorders>
              <w:top w:val="nil"/>
              <w:left w:val="single" w:sz="4" w:space="0" w:color="auto"/>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Total liabilities and stockholders' equity</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419</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458</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495</w:t>
            </w:r>
          </w:p>
        </w:tc>
        <w:tc>
          <w:tcPr>
            <w:tcW w:w="960"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412</w:t>
            </w:r>
          </w:p>
        </w:tc>
        <w:tc>
          <w:tcPr>
            <w:tcW w:w="1435" w:type="dxa"/>
            <w:tcBorders>
              <w:top w:val="nil"/>
              <w:left w:val="nil"/>
              <w:bottom w:val="single" w:sz="4" w:space="0" w:color="auto"/>
              <w:right w:val="single" w:sz="4" w:space="0" w:color="auto"/>
            </w:tcBorders>
            <w:shd w:val="clear" w:color="auto" w:fill="auto"/>
            <w:vAlign w:val="center"/>
            <w:hideMark/>
          </w:tcPr>
          <w:p w:rsidR="003E6D67" w:rsidRPr="00FA107A" w:rsidRDefault="003E6D67" w:rsidP="00C6200C">
            <w:pPr>
              <w:spacing w:after="0" w:line="480" w:lineRule="auto"/>
              <w:jc w:val="both"/>
              <w:rPr>
                <w:rFonts w:ascii="Times New Roman" w:eastAsia="Times New Roman" w:hAnsi="Times New Roman" w:cs="Times New Roman"/>
                <w:b/>
                <w:sz w:val="24"/>
                <w:szCs w:val="24"/>
              </w:rPr>
            </w:pPr>
            <w:r w:rsidRPr="00FA107A">
              <w:rPr>
                <w:rFonts w:ascii="Times New Roman" w:eastAsia="Times New Roman" w:hAnsi="Times New Roman" w:cs="Times New Roman"/>
                <w:b/>
                <w:sz w:val="24"/>
                <w:szCs w:val="24"/>
              </w:rPr>
              <w:t>4992</w:t>
            </w:r>
          </w:p>
        </w:tc>
      </w:tr>
    </w:tbl>
    <w:p w:rsidR="003E6D67" w:rsidRPr="00FA107A" w:rsidRDefault="003E6D67" w:rsidP="00C6200C">
      <w:pPr>
        <w:spacing w:after="0" w:line="480" w:lineRule="auto"/>
        <w:jc w:val="both"/>
        <w:rPr>
          <w:rFonts w:ascii="Times New Roman" w:eastAsiaTheme="minorEastAsia" w:hAnsi="Times New Roman" w:cs="Times New Roman"/>
          <w:sz w:val="24"/>
          <w:szCs w:val="24"/>
        </w:rPr>
      </w:pPr>
    </w:p>
    <w:p w:rsidR="003E6D67" w:rsidRPr="00FA107A" w:rsidRDefault="003E6D67" w:rsidP="00C6200C">
      <w:pPr>
        <w:spacing w:after="0" w:line="480" w:lineRule="auto"/>
        <w:jc w:val="both"/>
        <w:rPr>
          <w:rFonts w:ascii="Times New Roman" w:hAnsi="Times New Roman" w:cs="Times New Roman"/>
          <w:b/>
          <w:i/>
          <w:sz w:val="24"/>
          <w:szCs w:val="24"/>
        </w:rPr>
      </w:pPr>
      <w:r w:rsidRPr="00FA107A">
        <w:rPr>
          <w:rFonts w:ascii="Times New Roman" w:hAnsi="Times New Roman" w:cs="Times New Roman"/>
          <w:b/>
          <w:i/>
          <w:sz w:val="24"/>
          <w:szCs w:val="24"/>
        </w:rPr>
        <w:t>Calculation of different ratios:</w:t>
      </w:r>
    </w:p>
    <w:p w:rsidR="003E6D67" w:rsidRPr="00FA107A" w:rsidRDefault="003E6D67" w:rsidP="00C6200C">
      <w:pPr>
        <w:spacing w:after="0" w:line="480" w:lineRule="auto"/>
        <w:jc w:val="both"/>
        <w:rPr>
          <w:rFonts w:ascii="Times New Roman" w:hAnsi="Times New Roman" w:cs="Times New Roman"/>
          <w:b/>
          <w:i/>
          <w:sz w:val="24"/>
          <w:szCs w:val="24"/>
        </w:rPr>
      </w:pPr>
      <w:r w:rsidRPr="00FA107A">
        <w:rPr>
          <w:rFonts w:ascii="Times New Roman" w:hAnsi="Times New Roman" w:cs="Times New Roman"/>
          <w:b/>
          <w:i/>
          <w:sz w:val="24"/>
          <w:szCs w:val="24"/>
        </w:rPr>
        <w:t>Profit margin:</w:t>
      </w:r>
    </w:p>
    <w:p w:rsidR="003E6D67" w:rsidRPr="00FA107A" w:rsidRDefault="003E6D67" w:rsidP="00C6200C">
      <w:pPr>
        <w:spacing w:after="0" w:line="480" w:lineRule="auto"/>
        <w:jc w:val="both"/>
        <w:rPr>
          <w:rFonts w:ascii="Times New Roman" w:eastAsiaTheme="minorEastAsia" w:hAnsi="Times New Roman" w:cs="Times New Roman"/>
          <w:sz w:val="24"/>
          <w:szCs w:val="24"/>
        </w:rPr>
      </w:pPr>
      <m:oMathPara>
        <m:oMath>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Net income</m:t>
              </m:r>
            </m:num>
            <m:den>
              <m:r>
                <w:rPr>
                  <w:rFonts w:ascii="Cambria Math" w:hAnsi="Cambria Math" w:cs="Times New Roman"/>
                  <w:sz w:val="24"/>
                  <w:szCs w:val="24"/>
                </w:rPr>
                <m:t>Revenues</m:t>
              </m:r>
            </m:den>
          </m:f>
        </m:oMath>
      </m:oMathPara>
    </w:p>
    <w:p w:rsidR="003E6D67" w:rsidRPr="00FA107A" w:rsidRDefault="003E6D67" w:rsidP="00C6200C">
      <w:pPr>
        <w:spacing w:after="0" w:line="480" w:lineRule="auto"/>
        <w:jc w:val="both"/>
        <w:rPr>
          <w:rFonts w:ascii="Times New Roman" w:eastAsiaTheme="minorEastAsia" w:hAnsi="Times New Roman" w:cs="Times New Roman"/>
          <w:i/>
          <w:sz w:val="24"/>
          <w:szCs w:val="24"/>
        </w:rPr>
      </w:pPr>
      <m:oMathPara>
        <m:oMath>
          <m:r>
            <w:rPr>
              <w:rFonts w:ascii="Cambria Math" w:hAnsi="Cambria Math" w:cs="Times New Roman"/>
              <w:sz w:val="24"/>
              <w:szCs w:val="24"/>
            </w:rPr>
            <w:lastRenderedPageBreak/>
            <m:t>=</m:t>
          </m:r>
          <m:f>
            <m:fPr>
              <m:ctrlPr>
                <w:rPr>
                  <w:rFonts w:ascii="Cambria Math" w:hAnsi="Cambria Math" w:cs="Times New Roman"/>
                  <w:i/>
                  <w:sz w:val="24"/>
                  <w:szCs w:val="24"/>
                </w:rPr>
              </m:ctrlPr>
            </m:fPr>
            <m:num>
              <m:r>
                <w:rPr>
                  <w:rFonts w:ascii="Cambria Math" w:hAnsi="Cambria Math" w:cs="Times New Roman"/>
                  <w:sz w:val="24"/>
                  <w:szCs w:val="24"/>
                </w:rPr>
                <m:t>132</m:t>
              </m:r>
            </m:num>
            <m:den>
              <m:r>
                <w:rPr>
                  <w:rFonts w:ascii="Cambria Math" w:hAnsi="Cambria Math" w:cs="Times New Roman"/>
                  <w:sz w:val="24"/>
                  <w:szCs w:val="24"/>
                </w:rPr>
                <m:t>1501</m:t>
              </m:r>
            </m:den>
          </m:f>
        </m:oMath>
      </m:oMathPara>
    </w:p>
    <w:p w:rsidR="003E6D67" w:rsidRPr="00FA107A" w:rsidRDefault="003E6D67" w:rsidP="00C6200C">
      <w:pPr>
        <w:spacing w:after="0" w:line="480" w:lineRule="auto"/>
        <w:jc w:val="both"/>
        <w:rPr>
          <w:rFonts w:ascii="Times New Roman" w:hAnsi="Times New Roman" w:cs="Times New Roman"/>
          <w:sz w:val="24"/>
          <w:szCs w:val="24"/>
        </w:rPr>
      </w:pPr>
      <w:r w:rsidRPr="00FA107A">
        <w:rPr>
          <w:rFonts w:ascii="Times New Roman" w:hAnsi="Times New Roman" w:cs="Times New Roman"/>
          <w:sz w:val="24"/>
          <w:szCs w:val="24"/>
        </w:rPr>
        <w:t>= 0.08</w:t>
      </w:r>
      <w:r w:rsidR="00881006" w:rsidRPr="00FA107A">
        <w:rPr>
          <w:rFonts w:ascii="Times New Roman" w:hAnsi="Times New Roman" w:cs="Times New Roman"/>
          <w:sz w:val="24"/>
          <w:szCs w:val="24"/>
        </w:rPr>
        <w:t>%</w:t>
      </w:r>
    </w:p>
    <w:p w:rsidR="003E6D67" w:rsidRPr="00FA107A" w:rsidRDefault="003E6D67" w:rsidP="00C6200C">
      <w:pPr>
        <w:spacing w:after="0" w:line="480" w:lineRule="auto"/>
        <w:jc w:val="both"/>
        <w:rPr>
          <w:rFonts w:ascii="Times New Roman" w:hAnsi="Times New Roman" w:cs="Times New Roman"/>
          <w:b/>
          <w:i/>
          <w:sz w:val="24"/>
          <w:szCs w:val="24"/>
        </w:rPr>
      </w:pPr>
      <w:r w:rsidRPr="00FA107A">
        <w:rPr>
          <w:rFonts w:ascii="Times New Roman" w:hAnsi="Times New Roman" w:cs="Times New Roman"/>
          <w:b/>
          <w:i/>
          <w:sz w:val="24"/>
          <w:szCs w:val="24"/>
        </w:rPr>
        <w:t>Return on assets (ROA):</w:t>
      </w:r>
    </w:p>
    <w:p w:rsidR="003E6D67" w:rsidRPr="00FA107A" w:rsidRDefault="004D1333" w:rsidP="00C6200C">
      <w:pPr>
        <w:spacing w:after="0" w:line="480" w:lineRule="auto"/>
        <w:jc w:val="both"/>
        <w:rPr>
          <w:rFonts w:ascii="Times New Roman" w:hAnsi="Times New Roman" w:cs="Times New Roman"/>
          <w:sz w:val="24"/>
          <w:szCs w:val="24"/>
        </w:rPr>
      </w:pPr>
      <m:oMathPara>
        <m:oMath>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Net income</m:t>
              </m:r>
            </m:num>
            <m:den>
              <m:r>
                <w:rPr>
                  <w:rFonts w:ascii="Cambria Math" w:hAnsi="Cambria Math" w:cs="Times New Roman"/>
                  <w:sz w:val="24"/>
                  <w:szCs w:val="24"/>
                </w:rPr>
                <m:t>total assets</m:t>
              </m:r>
            </m:den>
          </m:f>
        </m:oMath>
      </m:oMathPara>
    </w:p>
    <w:p w:rsidR="003E6D67" w:rsidRPr="00FA107A" w:rsidRDefault="003E6D67" w:rsidP="00C6200C">
      <w:pPr>
        <w:spacing w:after="0" w:line="480" w:lineRule="auto"/>
        <w:jc w:val="both"/>
        <w:rPr>
          <w:rFonts w:ascii="Times New Roman" w:eastAsiaTheme="minorEastAsia" w:hAnsi="Times New Roman" w:cs="Times New Roman"/>
          <w:i/>
          <w:sz w:val="24"/>
          <w:szCs w:val="24"/>
        </w:rPr>
      </w:pPr>
      <m:oMathPara>
        <m:oMath>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132</m:t>
              </m:r>
            </m:num>
            <m:den>
              <m:r>
                <w:rPr>
                  <w:rFonts w:ascii="Cambria Math" w:hAnsi="Cambria Math" w:cs="Times New Roman"/>
                  <w:sz w:val="24"/>
                  <w:szCs w:val="24"/>
                </w:rPr>
                <m:t>4992</m:t>
              </m:r>
            </m:den>
          </m:f>
        </m:oMath>
      </m:oMathPara>
    </w:p>
    <w:p w:rsidR="003E6D67" w:rsidRPr="00FA107A" w:rsidRDefault="003E6D67"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i/>
          <w:sz w:val="24"/>
          <w:szCs w:val="24"/>
        </w:rPr>
        <w:t xml:space="preserve">= </w:t>
      </w:r>
      <w:r w:rsidR="004D1333" w:rsidRPr="00FA107A">
        <w:rPr>
          <w:rFonts w:ascii="Times New Roman" w:eastAsiaTheme="minorEastAsia" w:hAnsi="Times New Roman" w:cs="Times New Roman"/>
          <w:sz w:val="24"/>
          <w:szCs w:val="24"/>
        </w:rPr>
        <w:t>0.02</w:t>
      </w:r>
      <w:r w:rsidR="00881006" w:rsidRPr="00FA107A">
        <w:rPr>
          <w:rFonts w:ascii="Times New Roman" w:eastAsiaTheme="minorEastAsia" w:hAnsi="Times New Roman" w:cs="Times New Roman"/>
          <w:sz w:val="24"/>
          <w:szCs w:val="24"/>
        </w:rPr>
        <w:t>%</w:t>
      </w:r>
    </w:p>
    <w:p w:rsidR="003E6D67" w:rsidRPr="00FA107A" w:rsidRDefault="003E6D67" w:rsidP="00C6200C">
      <w:pPr>
        <w:spacing w:after="0" w:line="480" w:lineRule="auto"/>
        <w:jc w:val="both"/>
        <w:rPr>
          <w:rFonts w:ascii="Times New Roman" w:eastAsiaTheme="minorEastAsia" w:hAnsi="Times New Roman" w:cs="Times New Roman"/>
          <w:b/>
          <w:i/>
          <w:sz w:val="24"/>
          <w:szCs w:val="24"/>
        </w:rPr>
      </w:pPr>
      <w:r w:rsidRPr="00FA107A">
        <w:rPr>
          <w:rFonts w:ascii="Times New Roman" w:eastAsiaTheme="minorEastAsia" w:hAnsi="Times New Roman" w:cs="Times New Roman"/>
          <w:b/>
          <w:i/>
          <w:sz w:val="24"/>
          <w:szCs w:val="24"/>
        </w:rPr>
        <w:t>Return on equity (ROE):</w:t>
      </w:r>
    </w:p>
    <w:p w:rsidR="003E6D67" w:rsidRPr="00FA107A" w:rsidRDefault="003E6D67" w:rsidP="00C6200C">
      <w:pPr>
        <w:spacing w:after="0" w:line="480" w:lineRule="auto"/>
        <w:jc w:val="both"/>
        <w:rPr>
          <w:rFonts w:ascii="Times New Roman" w:hAnsi="Times New Roman" w:cs="Times New Roman"/>
          <w:sz w:val="24"/>
          <w:szCs w:val="24"/>
        </w:rPr>
      </w:pPr>
      <m:oMathPara>
        <m:oMath>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Net income</m:t>
              </m:r>
            </m:num>
            <m:den>
              <m:r>
                <w:rPr>
                  <w:rFonts w:ascii="Cambria Math" w:hAnsi="Cambria Math" w:cs="Times New Roman"/>
                  <w:sz w:val="24"/>
                  <w:szCs w:val="24"/>
                </w:rPr>
                <m:t>total shareholder equity</m:t>
              </m:r>
            </m:den>
          </m:f>
        </m:oMath>
      </m:oMathPara>
    </w:p>
    <w:p w:rsidR="003E6D67" w:rsidRPr="00FA107A" w:rsidRDefault="003E6D67" w:rsidP="00C6200C">
      <w:pPr>
        <w:spacing w:after="0" w:line="480" w:lineRule="auto"/>
        <w:jc w:val="both"/>
        <w:rPr>
          <w:rFonts w:ascii="Times New Roman" w:eastAsiaTheme="minorEastAsia" w:hAnsi="Times New Roman" w:cs="Times New Roman"/>
          <w:i/>
          <w:sz w:val="24"/>
          <w:szCs w:val="24"/>
        </w:rPr>
      </w:pPr>
      <m:oMathPara>
        <m:oMath>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132</m:t>
              </m:r>
            </m:num>
            <m:den>
              <m:r>
                <w:rPr>
                  <w:rFonts w:ascii="Cambria Math" w:hAnsi="Cambria Math" w:cs="Times New Roman"/>
                  <w:sz w:val="24"/>
                  <w:szCs w:val="24"/>
                </w:rPr>
                <m:t>4317</m:t>
              </m:r>
            </m:den>
          </m:f>
        </m:oMath>
      </m:oMathPara>
    </w:p>
    <w:p w:rsidR="003E6D67" w:rsidRPr="00FA107A" w:rsidRDefault="004D1333"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sz w:val="24"/>
          <w:szCs w:val="24"/>
        </w:rPr>
        <w:t>= 0.03</w:t>
      </w:r>
      <w:r w:rsidR="00881006" w:rsidRPr="00FA107A">
        <w:rPr>
          <w:rFonts w:ascii="Times New Roman" w:eastAsiaTheme="minorEastAsia" w:hAnsi="Times New Roman" w:cs="Times New Roman"/>
          <w:sz w:val="24"/>
          <w:szCs w:val="24"/>
        </w:rPr>
        <w:t>%</w:t>
      </w:r>
    </w:p>
    <w:p w:rsidR="003E6D67" w:rsidRPr="00FA107A" w:rsidRDefault="003E6D67" w:rsidP="00C6200C">
      <w:pPr>
        <w:spacing w:after="0" w:line="480" w:lineRule="auto"/>
        <w:jc w:val="both"/>
        <w:rPr>
          <w:rFonts w:ascii="Times New Roman" w:eastAsiaTheme="minorEastAsia" w:hAnsi="Times New Roman" w:cs="Times New Roman"/>
          <w:b/>
          <w:i/>
          <w:sz w:val="24"/>
          <w:szCs w:val="24"/>
        </w:rPr>
      </w:pPr>
      <w:r w:rsidRPr="00FA107A">
        <w:rPr>
          <w:rFonts w:ascii="Times New Roman" w:eastAsiaTheme="minorEastAsia" w:hAnsi="Times New Roman" w:cs="Times New Roman"/>
          <w:b/>
          <w:i/>
          <w:sz w:val="24"/>
          <w:szCs w:val="24"/>
        </w:rPr>
        <w:t>Current ratio:</w:t>
      </w:r>
    </w:p>
    <w:p w:rsidR="003E6D67" w:rsidRPr="00FA107A" w:rsidRDefault="003E6D67" w:rsidP="00C6200C">
      <w:pPr>
        <w:spacing w:after="0" w:line="480" w:lineRule="auto"/>
        <w:jc w:val="both"/>
        <w:rPr>
          <w:rFonts w:ascii="Times New Roman" w:hAnsi="Times New Roman" w:cs="Times New Roman"/>
          <w:sz w:val="24"/>
          <w:szCs w:val="24"/>
        </w:rPr>
      </w:pPr>
      <m:oMathPara>
        <m:oMath>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Current assets</m:t>
              </m:r>
            </m:num>
            <m:den>
              <m:r>
                <w:rPr>
                  <w:rFonts w:ascii="Cambria Math" w:hAnsi="Cambria Math" w:cs="Times New Roman"/>
                  <w:sz w:val="24"/>
                  <w:szCs w:val="24"/>
                </w:rPr>
                <m:t>Current liabilities</m:t>
              </m:r>
            </m:den>
          </m:f>
        </m:oMath>
      </m:oMathPara>
    </w:p>
    <w:p w:rsidR="003E6D67" w:rsidRPr="00FA107A" w:rsidRDefault="003E6D67" w:rsidP="00C6200C">
      <w:pPr>
        <w:spacing w:after="0" w:line="480" w:lineRule="auto"/>
        <w:jc w:val="both"/>
        <w:rPr>
          <w:rFonts w:ascii="Times New Roman" w:eastAsiaTheme="minorEastAsia" w:hAnsi="Times New Roman" w:cs="Times New Roman"/>
          <w:i/>
          <w:sz w:val="24"/>
          <w:szCs w:val="24"/>
        </w:rPr>
      </w:pPr>
      <m:oMathPara>
        <m:oMath>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370</m:t>
              </m:r>
            </m:num>
            <m:den>
              <m:r>
                <w:rPr>
                  <w:rFonts w:ascii="Cambria Math" w:hAnsi="Cambria Math" w:cs="Times New Roman"/>
                  <w:sz w:val="24"/>
                  <w:szCs w:val="24"/>
                </w:rPr>
                <m:t>373</m:t>
              </m:r>
            </m:den>
          </m:f>
        </m:oMath>
      </m:oMathPara>
    </w:p>
    <w:p w:rsidR="003E6D67" w:rsidRPr="00FA107A" w:rsidRDefault="003E6D67"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b/>
          <w:sz w:val="24"/>
          <w:szCs w:val="24"/>
        </w:rPr>
        <w:t>=</w:t>
      </w:r>
      <w:r w:rsidR="004D1333" w:rsidRPr="00FA107A">
        <w:rPr>
          <w:rFonts w:ascii="Times New Roman" w:eastAsiaTheme="minorEastAsia" w:hAnsi="Times New Roman" w:cs="Times New Roman"/>
          <w:sz w:val="24"/>
          <w:szCs w:val="24"/>
        </w:rPr>
        <w:t xml:space="preserve"> 0.99</w:t>
      </w:r>
      <w:r w:rsidR="00881006" w:rsidRPr="00FA107A">
        <w:rPr>
          <w:rFonts w:ascii="Times New Roman" w:eastAsiaTheme="minorEastAsia" w:hAnsi="Times New Roman" w:cs="Times New Roman"/>
          <w:sz w:val="24"/>
          <w:szCs w:val="24"/>
        </w:rPr>
        <w:t>%</w:t>
      </w:r>
    </w:p>
    <w:p w:rsidR="003E6D67" w:rsidRPr="00FA107A" w:rsidRDefault="003E6D67" w:rsidP="00C6200C">
      <w:pPr>
        <w:spacing w:after="0" w:line="480" w:lineRule="auto"/>
        <w:jc w:val="both"/>
        <w:rPr>
          <w:rFonts w:ascii="Times New Roman" w:eastAsiaTheme="minorEastAsia" w:hAnsi="Times New Roman" w:cs="Times New Roman"/>
          <w:b/>
          <w:i/>
          <w:sz w:val="24"/>
          <w:szCs w:val="24"/>
        </w:rPr>
      </w:pPr>
      <w:r w:rsidRPr="00FA107A">
        <w:rPr>
          <w:rFonts w:ascii="Times New Roman" w:eastAsiaTheme="minorEastAsia" w:hAnsi="Times New Roman" w:cs="Times New Roman"/>
          <w:b/>
          <w:i/>
          <w:sz w:val="24"/>
          <w:szCs w:val="24"/>
        </w:rPr>
        <w:t>Debt-equity-ratio:</w:t>
      </w:r>
    </w:p>
    <w:p w:rsidR="003E6D67" w:rsidRPr="00FA107A" w:rsidRDefault="003E6D67" w:rsidP="00C6200C">
      <w:pPr>
        <w:spacing w:after="0" w:line="480" w:lineRule="auto"/>
        <w:jc w:val="both"/>
        <w:rPr>
          <w:rFonts w:ascii="Times New Roman" w:hAnsi="Times New Roman" w:cs="Times New Roman"/>
          <w:sz w:val="24"/>
          <w:szCs w:val="24"/>
        </w:rPr>
      </w:pPr>
      <m:oMathPara>
        <m:oMath>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Total liabilities</m:t>
              </m:r>
            </m:num>
            <m:den>
              <m:r>
                <w:rPr>
                  <w:rFonts w:ascii="Cambria Math" w:hAnsi="Cambria Math" w:cs="Times New Roman"/>
                  <w:sz w:val="24"/>
                  <w:szCs w:val="24"/>
                </w:rPr>
                <m:t>Total shareholder equity</m:t>
              </m:r>
            </m:den>
          </m:f>
        </m:oMath>
      </m:oMathPara>
    </w:p>
    <w:p w:rsidR="003E6D67" w:rsidRPr="00FA107A" w:rsidRDefault="003E6D67" w:rsidP="00C6200C">
      <w:pPr>
        <w:spacing w:after="0" w:line="480" w:lineRule="auto"/>
        <w:jc w:val="both"/>
        <w:rPr>
          <w:rFonts w:ascii="Times New Roman" w:eastAsiaTheme="minorEastAsia" w:hAnsi="Times New Roman" w:cs="Times New Roman"/>
          <w:i/>
          <w:sz w:val="24"/>
          <w:szCs w:val="24"/>
        </w:rPr>
      </w:pPr>
      <m:oMathPara>
        <m:oMath>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675</m:t>
              </m:r>
            </m:num>
            <m:den>
              <m:r>
                <w:rPr>
                  <w:rFonts w:ascii="Cambria Math" w:hAnsi="Cambria Math" w:cs="Times New Roman"/>
                  <w:sz w:val="24"/>
                  <w:szCs w:val="24"/>
                </w:rPr>
                <m:t>4317</m:t>
              </m:r>
            </m:den>
          </m:f>
        </m:oMath>
      </m:oMathPara>
    </w:p>
    <w:p w:rsidR="003E6D67" w:rsidRPr="00FA107A" w:rsidRDefault="004D1333"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sz w:val="24"/>
          <w:szCs w:val="24"/>
        </w:rPr>
        <w:t>= 0.15</w:t>
      </w:r>
      <w:r w:rsidR="00881006" w:rsidRPr="00FA107A">
        <w:rPr>
          <w:rFonts w:ascii="Times New Roman" w:eastAsiaTheme="minorEastAsia" w:hAnsi="Times New Roman" w:cs="Times New Roman"/>
          <w:sz w:val="24"/>
          <w:szCs w:val="24"/>
        </w:rPr>
        <w:t>%</w:t>
      </w:r>
    </w:p>
    <w:p w:rsidR="003E6D67" w:rsidRPr="00FA107A" w:rsidRDefault="003E6D67" w:rsidP="00C6200C">
      <w:pPr>
        <w:spacing w:after="0" w:line="480" w:lineRule="auto"/>
        <w:jc w:val="both"/>
        <w:rPr>
          <w:rFonts w:ascii="Times New Roman" w:eastAsiaTheme="minorEastAsia" w:hAnsi="Times New Roman" w:cs="Times New Roman"/>
          <w:b/>
          <w:i/>
          <w:sz w:val="24"/>
          <w:szCs w:val="24"/>
        </w:rPr>
      </w:pPr>
      <w:r w:rsidRPr="00FA107A">
        <w:rPr>
          <w:rFonts w:ascii="Times New Roman" w:eastAsiaTheme="minorEastAsia" w:hAnsi="Times New Roman" w:cs="Times New Roman"/>
          <w:b/>
          <w:i/>
          <w:sz w:val="24"/>
          <w:szCs w:val="24"/>
        </w:rPr>
        <w:t>Assets turnover ratio:</w:t>
      </w:r>
    </w:p>
    <w:p w:rsidR="003E6D67" w:rsidRPr="00FA107A" w:rsidRDefault="003E6D67" w:rsidP="00C6200C">
      <w:pPr>
        <w:spacing w:after="0" w:line="480" w:lineRule="auto"/>
        <w:jc w:val="both"/>
        <w:rPr>
          <w:rFonts w:ascii="Times New Roman" w:hAnsi="Times New Roman" w:cs="Times New Roman"/>
          <w:sz w:val="24"/>
          <w:szCs w:val="24"/>
        </w:rPr>
      </w:pPr>
      <m:oMathPara>
        <m:oMath>
          <m:r>
            <w:rPr>
              <w:rFonts w:ascii="Cambria Math" w:hAnsi="Cambria Math" w:cs="Times New Roman"/>
              <w:sz w:val="24"/>
              <w:szCs w:val="24"/>
            </w:rPr>
            <w:lastRenderedPageBreak/>
            <m:t>=</m:t>
          </m:r>
          <m:f>
            <m:fPr>
              <m:ctrlPr>
                <w:rPr>
                  <w:rFonts w:ascii="Cambria Math" w:hAnsi="Cambria Math" w:cs="Times New Roman"/>
                  <w:i/>
                  <w:sz w:val="24"/>
                  <w:szCs w:val="24"/>
                </w:rPr>
              </m:ctrlPr>
            </m:fPr>
            <m:num>
              <m:r>
                <w:rPr>
                  <w:rFonts w:ascii="Cambria Math" w:hAnsi="Cambria Math" w:cs="Times New Roman"/>
                  <w:sz w:val="24"/>
                  <w:szCs w:val="24"/>
                </w:rPr>
                <m:t>Sales</m:t>
              </m:r>
            </m:num>
            <m:den>
              <m:r>
                <w:rPr>
                  <w:rFonts w:ascii="Cambria Math" w:hAnsi="Cambria Math" w:cs="Times New Roman"/>
                  <w:sz w:val="24"/>
                  <w:szCs w:val="24"/>
                </w:rPr>
                <m:t>total assets</m:t>
              </m:r>
            </m:den>
          </m:f>
        </m:oMath>
      </m:oMathPara>
    </w:p>
    <w:p w:rsidR="003E6D67" w:rsidRPr="00FA107A" w:rsidRDefault="003E6D67" w:rsidP="00C6200C">
      <w:pPr>
        <w:spacing w:after="0" w:line="480" w:lineRule="auto"/>
        <w:jc w:val="both"/>
        <w:rPr>
          <w:rFonts w:ascii="Times New Roman" w:eastAsiaTheme="minorEastAsia" w:hAnsi="Times New Roman" w:cs="Times New Roman"/>
          <w:i/>
          <w:sz w:val="24"/>
          <w:szCs w:val="24"/>
        </w:rPr>
      </w:pPr>
      <m:oMathPara>
        <m:oMath>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1501</m:t>
              </m:r>
            </m:num>
            <m:den>
              <m:r>
                <w:rPr>
                  <w:rFonts w:ascii="Cambria Math" w:hAnsi="Cambria Math" w:cs="Times New Roman"/>
                  <w:sz w:val="24"/>
                  <w:szCs w:val="24"/>
                </w:rPr>
                <m:t>4992</m:t>
              </m:r>
            </m:den>
          </m:f>
        </m:oMath>
      </m:oMathPara>
    </w:p>
    <w:p w:rsidR="003E6D67" w:rsidRPr="00FA107A" w:rsidRDefault="004D1333"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sz w:val="24"/>
          <w:szCs w:val="24"/>
        </w:rPr>
        <w:t>= 0.30</w:t>
      </w:r>
      <w:r w:rsidR="00881006" w:rsidRPr="00FA107A">
        <w:rPr>
          <w:rFonts w:ascii="Times New Roman" w:eastAsiaTheme="minorEastAsia" w:hAnsi="Times New Roman" w:cs="Times New Roman"/>
          <w:sz w:val="24"/>
          <w:szCs w:val="24"/>
        </w:rPr>
        <w:t>%</w:t>
      </w:r>
    </w:p>
    <w:p w:rsidR="003E6D67" w:rsidRPr="00FA107A" w:rsidRDefault="003E6D67" w:rsidP="00C6200C">
      <w:pPr>
        <w:spacing w:after="0" w:line="480" w:lineRule="auto"/>
        <w:jc w:val="both"/>
        <w:rPr>
          <w:rFonts w:ascii="Times New Roman" w:eastAsiaTheme="minorEastAsia" w:hAnsi="Times New Roman" w:cs="Times New Roman"/>
          <w:b/>
          <w:i/>
          <w:sz w:val="24"/>
          <w:szCs w:val="24"/>
        </w:rPr>
      </w:pPr>
      <w:r w:rsidRPr="00FA107A">
        <w:rPr>
          <w:rFonts w:ascii="Times New Roman" w:eastAsiaTheme="minorEastAsia" w:hAnsi="Times New Roman" w:cs="Times New Roman"/>
          <w:b/>
          <w:i/>
          <w:sz w:val="24"/>
          <w:szCs w:val="24"/>
        </w:rPr>
        <w:t>Total debt to total assets:</w:t>
      </w:r>
    </w:p>
    <w:p w:rsidR="003E6D67" w:rsidRPr="00FA107A" w:rsidRDefault="003E6D67" w:rsidP="00C6200C">
      <w:pPr>
        <w:spacing w:after="0" w:line="480" w:lineRule="auto"/>
        <w:jc w:val="both"/>
        <w:rPr>
          <w:rFonts w:ascii="Times New Roman" w:hAnsi="Times New Roman" w:cs="Times New Roman"/>
          <w:sz w:val="24"/>
          <w:szCs w:val="24"/>
        </w:rPr>
      </w:pPr>
      <m:oMathPara>
        <m:oMath>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Short term debt+Long term debt</m:t>
              </m:r>
            </m:num>
            <m:den>
              <m:r>
                <w:rPr>
                  <w:rFonts w:ascii="Cambria Math" w:hAnsi="Cambria Math" w:cs="Times New Roman"/>
                  <w:sz w:val="24"/>
                  <w:szCs w:val="24"/>
                </w:rPr>
                <m:t>Total assets</m:t>
              </m:r>
            </m:den>
          </m:f>
        </m:oMath>
      </m:oMathPara>
    </w:p>
    <w:p w:rsidR="003E6D67" w:rsidRPr="00FA107A" w:rsidRDefault="003E6D67" w:rsidP="00C6200C">
      <w:pPr>
        <w:spacing w:after="0" w:line="480" w:lineRule="auto"/>
        <w:jc w:val="both"/>
        <w:rPr>
          <w:rFonts w:ascii="Times New Roman" w:eastAsiaTheme="minorEastAsia" w:hAnsi="Times New Roman" w:cs="Times New Roman"/>
          <w:i/>
          <w:sz w:val="24"/>
          <w:szCs w:val="24"/>
        </w:rPr>
      </w:pPr>
      <m:oMathPara>
        <m:oMath>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0+214</m:t>
              </m:r>
            </m:num>
            <m:den>
              <m:r>
                <w:rPr>
                  <w:rFonts w:ascii="Cambria Math" w:hAnsi="Cambria Math" w:cs="Times New Roman"/>
                  <w:sz w:val="24"/>
                  <w:szCs w:val="24"/>
                </w:rPr>
                <m:t>4992</m:t>
              </m:r>
            </m:den>
          </m:f>
        </m:oMath>
      </m:oMathPara>
    </w:p>
    <w:p w:rsidR="003E6D67" w:rsidRPr="00FA107A" w:rsidRDefault="004D1333"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sz w:val="24"/>
          <w:szCs w:val="24"/>
        </w:rPr>
        <w:t>= 0.04</w:t>
      </w:r>
      <w:r w:rsidR="00881006" w:rsidRPr="00FA107A">
        <w:rPr>
          <w:rFonts w:ascii="Times New Roman" w:eastAsiaTheme="minorEastAsia" w:hAnsi="Times New Roman" w:cs="Times New Roman"/>
          <w:sz w:val="24"/>
          <w:szCs w:val="24"/>
        </w:rPr>
        <w:t>%</w:t>
      </w:r>
    </w:p>
    <w:p w:rsidR="003E6D67" w:rsidRPr="00FA107A" w:rsidRDefault="003E6D67" w:rsidP="00C6200C">
      <w:pPr>
        <w:spacing w:after="0" w:line="480" w:lineRule="auto"/>
        <w:jc w:val="both"/>
        <w:rPr>
          <w:rFonts w:ascii="Times New Roman" w:eastAsiaTheme="minorEastAsia" w:hAnsi="Times New Roman" w:cs="Times New Roman"/>
          <w:b/>
          <w:i/>
          <w:sz w:val="24"/>
          <w:szCs w:val="24"/>
        </w:rPr>
      </w:pPr>
      <w:r w:rsidRPr="00FA107A">
        <w:rPr>
          <w:rFonts w:ascii="Times New Roman" w:eastAsiaTheme="minorEastAsia" w:hAnsi="Times New Roman" w:cs="Times New Roman"/>
          <w:b/>
          <w:i/>
          <w:sz w:val="24"/>
          <w:szCs w:val="24"/>
        </w:rPr>
        <w:t>Cash turnover:</w:t>
      </w:r>
    </w:p>
    <w:p w:rsidR="003E6D67" w:rsidRPr="00FA107A" w:rsidRDefault="003E6D67" w:rsidP="00C6200C">
      <w:pPr>
        <w:spacing w:after="0" w:line="480" w:lineRule="auto"/>
        <w:jc w:val="both"/>
        <w:rPr>
          <w:rFonts w:ascii="Times New Roman" w:hAnsi="Times New Roman" w:cs="Times New Roman"/>
          <w:sz w:val="24"/>
          <w:szCs w:val="24"/>
        </w:rPr>
      </w:pPr>
      <m:oMathPara>
        <m:oMath>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Net Sales</m:t>
              </m:r>
            </m:num>
            <m:den>
              <m:r>
                <w:rPr>
                  <w:rFonts w:ascii="Cambria Math" w:hAnsi="Cambria Math" w:cs="Times New Roman"/>
                  <w:sz w:val="24"/>
                  <w:szCs w:val="24"/>
                </w:rPr>
                <m:t>Net working capita</m:t>
              </m:r>
            </m:den>
          </m:f>
        </m:oMath>
      </m:oMathPara>
    </w:p>
    <w:p w:rsidR="003E6D67" w:rsidRPr="00FA107A" w:rsidRDefault="003E6D67"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sz w:val="24"/>
          <w:szCs w:val="24"/>
        </w:rPr>
        <w:t xml:space="preserve">Net working capital= Current assets – current liabilities </w:t>
      </w:r>
    </w:p>
    <w:p w:rsidR="003E6D67" w:rsidRPr="00FA107A" w:rsidRDefault="003255CB"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sz w:val="24"/>
          <w:szCs w:val="24"/>
        </w:rPr>
        <w:t>Net Working capital= 370 – 373</w:t>
      </w:r>
    </w:p>
    <w:p w:rsidR="003E6D67" w:rsidRPr="00FA107A" w:rsidRDefault="003255CB"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sz w:val="24"/>
          <w:szCs w:val="24"/>
        </w:rPr>
        <w:t>Net Working Capita= -3</w:t>
      </w:r>
    </w:p>
    <w:p w:rsidR="003E6D67" w:rsidRPr="00FA107A" w:rsidRDefault="003E6D67" w:rsidP="00C6200C">
      <w:pPr>
        <w:spacing w:after="0" w:line="480" w:lineRule="auto"/>
        <w:jc w:val="both"/>
        <w:rPr>
          <w:rFonts w:ascii="Times New Roman" w:eastAsiaTheme="minorEastAsia" w:hAnsi="Times New Roman" w:cs="Times New Roman"/>
          <w:i/>
          <w:sz w:val="24"/>
          <w:szCs w:val="24"/>
        </w:rPr>
      </w:pPr>
      <w:r w:rsidRPr="00FA107A">
        <w:rPr>
          <w:rFonts w:ascii="Times New Roman" w:eastAsiaTheme="minorEastAsia" w:hAnsi="Times New Roman" w:cs="Times New Roman"/>
          <w:sz w:val="24"/>
          <w:szCs w:val="24"/>
        </w:rPr>
        <w:t xml:space="preserve">Cash Turnover= </w:t>
      </w:r>
      <m:oMath>
        <m:f>
          <m:fPr>
            <m:ctrlPr>
              <w:rPr>
                <w:rFonts w:ascii="Cambria Math" w:hAnsi="Cambria Math" w:cs="Times New Roman"/>
                <w:i/>
                <w:sz w:val="32"/>
                <w:szCs w:val="24"/>
              </w:rPr>
            </m:ctrlPr>
          </m:fPr>
          <m:num>
            <m:r>
              <w:rPr>
                <w:rFonts w:ascii="Cambria Math" w:hAnsi="Cambria Math" w:cs="Times New Roman"/>
                <w:sz w:val="32"/>
                <w:szCs w:val="24"/>
              </w:rPr>
              <m:t>1501</m:t>
            </m:r>
          </m:num>
          <m:den>
            <m:r>
              <w:rPr>
                <w:rFonts w:ascii="Cambria Math" w:hAnsi="Cambria Math" w:cs="Times New Roman"/>
                <w:sz w:val="32"/>
                <w:szCs w:val="24"/>
              </w:rPr>
              <m:t>-3</m:t>
            </m:r>
          </m:den>
        </m:f>
      </m:oMath>
    </w:p>
    <w:p w:rsidR="003E6D67" w:rsidRPr="00FA107A" w:rsidRDefault="003255CB" w:rsidP="00C6200C">
      <w:pPr>
        <w:spacing w:after="0" w:line="480" w:lineRule="auto"/>
        <w:jc w:val="both"/>
        <w:rPr>
          <w:rFonts w:ascii="Times New Roman" w:eastAsiaTheme="minorEastAsia" w:hAnsi="Times New Roman" w:cs="Times New Roman"/>
          <w:sz w:val="24"/>
          <w:szCs w:val="24"/>
        </w:rPr>
      </w:pPr>
      <w:r w:rsidRPr="00FA107A">
        <w:rPr>
          <w:rFonts w:ascii="Times New Roman" w:eastAsiaTheme="minorEastAsia" w:hAnsi="Times New Roman" w:cs="Times New Roman"/>
          <w:sz w:val="24"/>
          <w:szCs w:val="24"/>
        </w:rPr>
        <w:t>Cash Turnover= -500.33</w:t>
      </w:r>
      <w:r w:rsidR="00881006" w:rsidRPr="00FA107A">
        <w:rPr>
          <w:rFonts w:ascii="Times New Roman" w:eastAsiaTheme="minorEastAsia" w:hAnsi="Times New Roman" w:cs="Times New Roman"/>
          <w:sz w:val="24"/>
          <w:szCs w:val="24"/>
        </w:rPr>
        <w:t>%</w:t>
      </w:r>
    </w:p>
    <w:p w:rsidR="003E6D67" w:rsidRPr="00FA107A" w:rsidRDefault="003255CB" w:rsidP="00C6200C">
      <w:pPr>
        <w:spacing w:after="0" w:line="480" w:lineRule="auto"/>
        <w:jc w:val="both"/>
        <w:rPr>
          <w:rFonts w:ascii="Times New Roman" w:eastAsiaTheme="minorEastAsia" w:hAnsi="Times New Roman" w:cs="Times New Roman"/>
          <w:b/>
          <w:sz w:val="24"/>
          <w:szCs w:val="24"/>
        </w:rPr>
      </w:pPr>
      <w:r w:rsidRPr="00FA107A">
        <w:rPr>
          <w:rFonts w:ascii="Times New Roman" w:eastAsiaTheme="minorEastAsia" w:hAnsi="Times New Roman" w:cs="Times New Roman"/>
          <w:b/>
          <w:sz w:val="24"/>
          <w:szCs w:val="24"/>
        </w:rPr>
        <w:t>Interpretation:</w:t>
      </w:r>
    </w:p>
    <w:p w:rsidR="00C32D37" w:rsidRPr="00FA107A" w:rsidRDefault="00BE2A71" w:rsidP="00C6200C">
      <w:pPr>
        <w:spacing w:after="0" w:line="480" w:lineRule="auto"/>
        <w:jc w:val="both"/>
        <w:rPr>
          <w:rFonts w:ascii="Times New Roman" w:hAnsi="Times New Roman" w:cs="Times New Roman"/>
          <w:sz w:val="24"/>
          <w:szCs w:val="24"/>
        </w:rPr>
      </w:pPr>
      <w:r w:rsidRPr="00FA107A">
        <w:rPr>
          <w:rFonts w:ascii="Times New Roman" w:eastAsiaTheme="minorEastAsia" w:hAnsi="Times New Roman" w:cs="Times New Roman"/>
          <w:sz w:val="24"/>
          <w:szCs w:val="24"/>
        </w:rPr>
        <w:t xml:space="preserve">From the analysis of the financial records of </w:t>
      </w:r>
      <w:r w:rsidRPr="00FA107A">
        <w:rPr>
          <w:rFonts w:ascii="Times New Roman" w:hAnsi="Times New Roman" w:cs="Times New Roman"/>
          <w:sz w:val="24"/>
          <w:szCs w:val="24"/>
        </w:rPr>
        <w:t xml:space="preserve">William Hill Plc and Paddy Power Betfair Plc, it was found that William Hill Plc is a company which has good experience in its field but from last five years it is facing many challenges which are affecting the growth of this company. from the income statement it was found that its sales and revenue is increasing every year but its net income is also decreasing continuously every year and in 2017 its net income was -83.2 Million. </w:t>
      </w:r>
      <w:r w:rsidRPr="00FA107A">
        <w:rPr>
          <w:rFonts w:ascii="Times New Roman" w:hAnsi="Times New Roman" w:cs="Times New Roman"/>
          <w:sz w:val="24"/>
          <w:szCs w:val="24"/>
        </w:rPr>
        <w:lastRenderedPageBreak/>
        <w:t xml:space="preserve">This represents the poor condition of this company. </w:t>
      </w:r>
      <w:r w:rsidR="00E97E74" w:rsidRPr="00FA107A">
        <w:rPr>
          <w:rFonts w:ascii="Times New Roman" w:hAnsi="Times New Roman" w:cs="Times New Roman"/>
          <w:sz w:val="24"/>
          <w:szCs w:val="24"/>
        </w:rPr>
        <w:t>F</w:t>
      </w:r>
      <w:r w:rsidRPr="00FA107A">
        <w:rPr>
          <w:rFonts w:ascii="Times New Roman" w:hAnsi="Times New Roman" w:cs="Times New Roman"/>
          <w:sz w:val="24"/>
          <w:szCs w:val="24"/>
        </w:rPr>
        <w:t xml:space="preserve">rom the analysis of its balance sheet it was found that </w:t>
      </w:r>
      <w:r w:rsidR="00E97E74" w:rsidRPr="00FA107A">
        <w:rPr>
          <w:rFonts w:ascii="Times New Roman" w:hAnsi="Times New Roman" w:cs="Times New Roman"/>
          <w:sz w:val="24"/>
          <w:szCs w:val="24"/>
        </w:rPr>
        <w:t>its total assets of 2017 was 2.36 billion and it</w:t>
      </w:r>
      <w:r w:rsidR="007C134F" w:rsidRPr="00FA107A">
        <w:rPr>
          <w:rFonts w:ascii="Times New Roman" w:hAnsi="Times New Roman" w:cs="Times New Roman"/>
          <w:sz w:val="24"/>
          <w:szCs w:val="24"/>
        </w:rPr>
        <w:t>s total liability of 2017 was 1.3</w:t>
      </w:r>
      <w:r w:rsidR="00E97E74" w:rsidRPr="00FA107A">
        <w:rPr>
          <w:rFonts w:ascii="Times New Roman" w:hAnsi="Times New Roman" w:cs="Times New Roman"/>
          <w:sz w:val="24"/>
          <w:szCs w:val="24"/>
        </w:rPr>
        <w:t xml:space="preserve"> billion which represent</w:t>
      </w:r>
      <w:r w:rsidR="007C134F" w:rsidRPr="00FA107A">
        <w:rPr>
          <w:rFonts w:ascii="Times New Roman" w:hAnsi="Times New Roman" w:cs="Times New Roman"/>
          <w:sz w:val="24"/>
          <w:szCs w:val="24"/>
        </w:rPr>
        <w:t xml:space="preserve"> its strong position</w:t>
      </w:r>
      <w:r w:rsidR="00743861">
        <w:rPr>
          <w:rFonts w:ascii="Times New Roman" w:hAnsi="Times New Roman" w:cs="Times New Roman"/>
          <w:sz w:val="24"/>
          <w:szCs w:val="24"/>
        </w:rPr>
        <w:t xml:space="preserve"> (Blessing and Onoja, 2015)</w:t>
      </w:r>
      <w:r w:rsidR="00E97E74" w:rsidRPr="00FA107A">
        <w:rPr>
          <w:rFonts w:ascii="Times New Roman" w:hAnsi="Times New Roman" w:cs="Times New Roman"/>
          <w:sz w:val="24"/>
          <w:szCs w:val="24"/>
        </w:rPr>
        <w:t xml:space="preserve">. Along with this, decision about the investment in this </w:t>
      </w:r>
      <w:r w:rsidR="000E66DA" w:rsidRPr="00FA107A">
        <w:rPr>
          <w:rFonts w:ascii="Times New Roman" w:hAnsi="Times New Roman" w:cs="Times New Roman"/>
          <w:sz w:val="24"/>
          <w:szCs w:val="24"/>
        </w:rPr>
        <w:t>Company</w:t>
      </w:r>
      <w:r w:rsidR="00E97E74" w:rsidRPr="00FA107A">
        <w:rPr>
          <w:rFonts w:ascii="Times New Roman" w:hAnsi="Times New Roman" w:cs="Times New Roman"/>
          <w:sz w:val="24"/>
          <w:szCs w:val="24"/>
        </w:rPr>
        <w:t xml:space="preserve"> cannot be made on the basis of the financial books of this company only because there are some ratios which are calculated like; profit margin ratio, return on assets ratio, return on equity ratio, current ratio, debt-equity ratio, assets turnover ratio,</w:t>
      </w:r>
      <w:r w:rsidR="00FE6B29" w:rsidRPr="00FA107A">
        <w:rPr>
          <w:rFonts w:ascii="Times New Roman" w:hAnsi="Times New Roman" w:cs="Times New Roman"/>
          <w:sz w:val="24"/>
          <w:szCs w:val="24"/>
        </w:rPr>
        <w:t xml:space="preserve"> total debt to total assets and</w:t>
      </w:r>
      <w:r w:rsidR="00E97E74" w:rsidRPr="00FA107A">
        <w:rPr>
          <w:rFonts w:ascii="Times New Roman" w:hAnsi="Times New Roman" w:cs="Times New Roman"/>
          <w:sz w:val="24"/>
          <w:szCs w:val="24"/>
        </w:rPr>
        <w:t xml:space="preserve"> cash turnover ratio, on the basis of the calculation of these ratios decision about the investment in William Hill Plc can be made. From the calculation </w:t>
      </w:r>
      <w:r w:rsidR="00FE6B29" w:rsidRPr="00FA107A">
        <w:rPr>
          <w:rFonts w:ascii="Times New Roman" w:hAnsi="Times New Roman" w:cs="Times New Roman"/>
          <w:sz w:val="24"/>
          <w:szCs w:val="24"/>
        </w:rPr>
        <w:t xml:space="preserve">it was found that its profit margin ratio is -0.04 which shows that its profit is very low, its return on </w:t>
      </w:r>
      <w:r w:rsidR="00B118BE" w:rsidRPr="00FA107A">
        <w:rPr>
          <w:rFonts w:ascii="Times New Roman" w:hAnsi="Times New Roman" w:cs="Times New Roman"/>
          <w:sz w:val="24"/>
          <w:szCs w:val="24"/>
        </w:rPr>
        <w:t>equity</w:t>
      </w:r>
      <w:r w:rsidR="00FE6B29" w:rsidRPr="00FA107A">
        <w:rPr>
          <w:rFonts w:ascii="Times New Roman" w:hAnsi="Times New Roman" w:cs="Times New Roman"/>
          <w:sz w:val="24"/>
          <w:szCs w:val="24"/>
        </w:rPr>
        <w:t xml:space="preserve"> ratio is </w:t>
      </w:r>
      <w:r w:rsidR="00B118BE" w:rsidRPr="00FA107A">
        <w:rPr>
          <w:rFonts w:ascii="Times New Roman" w:hAnsi="Times New Roman" w:cs="Times New Roman"/>
          <w:sz w:val="24"/>
          <w:szCs w:val="24"/>
        </w:rPr>
        <w:t xml:space="preserve">-0.07 which represents that its capability to reward its shareholder is very week, Return of assets ratio of this company is -0.03 which means company is not good to use its assets to make money, current ratio of William Hills is 0.82 which means </w:t>
      </w:r>
      <w:r w:rsidR="008640B2" w:rsidRPr="00FA107A">
        <w:rPr>
          <w:rFonts w:ascii="Times New Roman" w:hAnsi="Times New Roman" w:cs="Times New Roman"/>
          <w:sz w:val="24"/>
          <w:szCs w:val="24"/>
        </w:rPr>
        <w:t>its ability to pay short term liability is very low</w:t>
      </w:r>
      <w:r w:rsidR="00743861">
        <w:rPr>
          <w:rFonts w:ascii="Times New Roman" w:hAnsi="Times New Roman" w:cs="Times New Roman"/>
          <w:sz w:val="24"/>
          <w:szCs w:val="24"/>
        </w:rPr>
        <w:t xml:space="preserve"> (Seok, et al., 2012)</w:t>
      </w:r>
      <w:r w:rsidR="008640B2" w:rsidRPr="00FA107A">
        <w:rPr>
          <w:rFonts w:ascii="Times New Roman" w:hAnsi="Times New Roman" w:cs="Times New Roman"/>
          <w:sz w:val="24"/>
          <w:szCs w:val="24"/>
        </w:rPr>
        <w:t>. Debt-equity-ratio shows relation between borrowed capital amount and the amount of capital contributed by the shareholders</w:t>
      </w:r>
      <w:r w:rsidR="00EF56E8" w:rsidRPr="00FA107A">
        <w:rPr>
          <w:rFonts w:ascii="Times New Roman" w:hAnsi="Times New Roman" w:cs="Times New Roman"/>
          <w:sz w:val="24"/>
          <w:szCs w:val="24"/>
        </w:rPr>
        <w:t xml:space="preserve"> and its debt equity ratio is 0.15,</w:t>
      </w:r>
      <w:r w:rsidR="008640B2" w:rsidRPr="00FA107A">
        <w:rPr>
          <w:rFonts w:ascii="Times New Roman" w:hAnsi="Times New Roman" w:cs="Times New Roman"/>
          <w:sz w:val="24"/>
          <w:szCs w:val="24"/>
        </w:rPr>
        <w:t xml:space="preserve"> so it can be said that the portion of assets provided by creditors is greater than its internal capita</w:t>
      </w:r>
      <w:r w:rsidR="00C059A7" w:rsidRPr="00FA107A">
        <w:rPr>
          <w:rFonts w:ascii="Times New Roman" w:hAnsi="Times New Roman" w:cs="Times New Roman"/>
          <w:sz w:val="24"/>
          <w:szCs w:val="24"/>
        </w:rPr>
        <w:t>l, Assets turnover ratio of this company is 0.72 which means its power to use its assets to produce products is also low, total debt to total assets ratio of this company is 0.30 which is a good sign, cash turnover ratio of this company is -20.12</w:t>
      </w:r>
      <w:r w:rsidR="00B97CC9" w:rsidRPr="00FA107A">
        <w:rPr>
          <w:rFonts w:ascii="Times New Roman" w:hAnsi="Times New Roman" w:cs="Times New Roman"/>
          <w:sz w:val="24"/>
          <w:szCs w:val="24"/>
        </w:rPr>
        <w:t xml:space="preserve"> which represent that its ability to convert its cash into sales revenue is very low. </w:t>
      </w:r>
    </w:p>
    <w:p w:rsidR="00FE6B29" w:rsidRPr="00FA107A" w:rsidRDefault="00A4458E" w:rsidP="00C6200C">
      <w:pPr>
        <w:spacing w:after="0" w:line="480" w:lineRule="auto"/>
        <w:jc w:val="both"/>
        <w:rPr>
          <w:rFonts w:ascii="Times New Roman" w:eastAsiaTheme="minorEastAsia" w:hAnsi="Times New Roman" w:cs="Times New Roman"/>
          <w:sz w:val="24"/>
          <w:szCs w:val="24"/>
        </w:rPr>
      </w:pPr>
      <w:r w:rsidRPr="00FA107A">
        <w:rPr>
          <w:rFonts w:ascii="Times New Roman" w:hAnsi="Times New Roman" w:cs="Times New Roman"/>
          <w:sz w:val="24"/>
          <w:szCs w:val="24"/>
        </w:rPr>
        <w:t xml:space="preserve">Now talking about the financial records of Paddy Power Betfair Plc, then it can be said that this company is a new company which is growing continuously. </w:t>
      </w:r>
      <w:r w:rsidR="00272498" w:rsidRPr="00FA107A">
        <w:rPr>
          <w:rFonts w:ascii="Times New Roman" w:hAnsi="Times New Roman" w:cs="Times New Roman"/>
          <w:sz w:val="24"/>
          <w:szCs w:val="24"/>
        </w:rPr>
        <w:t xml:space="preserve">From the analysis of income statement of Paddy Power Betfair Plc, it was found that its revenue in 2016 was 1,501 million but its net income in same year was -6 million. </w:t>
      </w:r>
      <w:r w:rsidR="007C134F" w:rsidRPr="00FA107A">
        <w:rPr>
          <w:rFonts w:ascii="Times New Roman" w:hAnsi="Times New Roman" w:cs="Times New Roman"/>
          <w:sz w:val="24"/>
          <w:szCs w:val="24"/>
        </w:rPr>
        <w:t>In 2015 its net income was109</w:t>
      </w:r>
      <w:r w:rsidR="00272498" w:rsidRPr="00FA107A">
        <w:rPr>
          <w:rFonts w:ascii="Times New Roman" w:hAnsi="Times New Roman" w:cs="Times New Roman"/>
          <w:sz w:val="24"/>
          <w:szCs w:val="24"/>
        </w:rPr>
        <w:t xml:space="preserve"> </w:t>
      </w:r>
      <w:r w:rsidR="007C134F" w:rsidRPr="00FA107A">
        <w:rPr>
          <w:rFonts w:ascii="Times New Roman" w:hAnsi="Times New Roman" w:cs="Times New Roman"/>
          <w:sz w:val="24"/>
          <w:szCs w:val="24"/>
        </w:rPr>
        <w:t xml:space="preserve">million which was </w:t>
      </w:r>
      <w:r w:rsidR="007C134F" w:rsidRPr="00FA107A">
        <w:rPr>
          <w:rFonts w:ascii="Times New Roman" w:hAnsi="Times New Roman" w:cs="Times New Roman"/>
          <w:sz w:val="24"/>
          <w:szCs w:val="24"/>
        </w:rPr>
        <w:lastRenderedPageBreak/>
        <w:t>decreased in 2016, this shows a big decrease in its net income. From the analysis of its balance sheet it was found that its total assets in 2016 was 4992 billion and its total liabilities was 675 billion, it means its assets are greater than its liabilities which represents its good position. From the calculation of different ratios it was found that</w:t>
      </w:r>
      <w:r w:rsidR="00881006" w:rsidRPr="00FA107A">
        <w:rPr>
          <w:rFonts w:ascii="Times New Roman" w:hAnsi="Times New Roman" w:cs="Times New Roman"/>
          <w:sz w:val="24"/>
          <w:szCs w:val="24"/>
        </w:rPr>
        <w:t xml:space="preserve"> profit margin ratio of this company is 0.08 which shows that its profit is low but greater than the prof</w:t>
      </w:r>
      <w:r w:rsidR="00EF56E8" w:rsidRPr="00FA107A">
        <w:rPr>
          <w:rFonts w:ascii="Times New Roman" w:hAnsi="Times New Roman" w:cs="Times New Roman"/>
          <w:sz w:val="24"/>
          <w:szCs w:val="24"/>
        </w:rPr>
        <w:t>i</w:t>
      </w:r>
      <w:r w:rsidR="00881006" w:rsidRPr="00FA107A">
        <w:rPr>
          <w:rFonts w:ascii="Times New Roman" w:hAnsi="Times New Roman" w:cs="Times New Roman"/>
          <w:sz w:val="24"/>
          <w:szCs w:val="24"/>
        </w:rPr>
        <w:t xml:space="preserve">t margin of William Hill Plc, its return on equity ratio is </w:t>
      </w:r>
      <w:r w:rsidR="00EF56E8" w:rsidRPr="00FA107A">
        <w:rPr>
          <w:rFonts w:ascii="Times New Roman" w:hAnsi="Times New Roman" w:cs="Times New Roman"/>
          <w:sz w:val="24"/>
          <w:szCs w:val="24"/>
        </w:rPr>
        <w:t>0.03</w:t>
      </w:r>
      <w:r w:rsidR="00881006" w:rsidRPr="00FA107A">
        <w:rPr>
          <w:rFonts w:ascii="Times New Roman" w:hAnsi="Times New Roman" w:cs="Times New Roman"/>
          <w:sz w:val="24"/>
          <w:szCs w:val="24"/>
        </w:rPr>
        <w:t xml:space="preserve"> which represents that its capability to rew</w:t>
      </w:r>
      <w:r w:rsidR="00EF56E8" w:rsidRPr="00FA107A">
        <w:rPr>
          <w:rFonts w:ascii="Times New Roman" w:hAnsi="Times New Roman" w:cs="Times New Roman"/>
          <w:sz w:val="24"/>
          <w:szCs w:val="24"/>
        </w:rPr>
        <w:t>ard its shareholder is better than the capability of William Hill Plc</w:t>
      </w:r>
      <w:r w:rsidR="00881006" w:rsidRPr="00FA107A">
        <w:rPr>
          <w:rFonts w:ascii="Times New Roman" w:hAnsi="Times New Roman" w:cs="Times New Roman"/>
          <w:sz w:val="24"/>
          <w:szCs w:val="24"/>
        </w:rPr>
        <w:t>, Return of a</w:t>
      </w:r>
      <w:r w:rsidR="00EF56E8" w:rsidRPr="00FA107A">
        <w:rPr>
          <w:rFonts w:ascii="Times New Roman" w:hAnsi="Times New Roman" w:cs="Times New Roman"/>
          <w:sz w:val="24"/>
          <w:szCs w:val="24"/>
        </w:rPr>
        <w:t>ssets ratio of this company is 0.02</w:t>
      </w:r>
      <w:r w:rsidR="00881006" w:rsidRPr="00FA107A">
        <w:rPr>
          <w:rFonts w:ascii="Times New Roman" w:hAnsi="Times New Roman" w:cs="Times New Roman"/>
          <w:sz w:val="24"/>
          <w:szCs w:val="24"/>
        </w:rPr>
        <w:t xml:space="preserve"> which means company is not </w:t>
      </w:r>
      <w:r w:rsidR="00EF56E8" w:rsidRPr="00FA107A">
        <w:rPr>
          <w:rFonts w:ascii="Times New Roman" w:hAnsi="Times New Roman" w:cs="Times New Roman"/>
          <w:sz w:val="24"/>
          <w:szCs w:val="24"/>
        </w:rPr>
        <w:t xml:space="preserve">as much </w:t>
      </w:r>
      <w:r w:rsidR="00881006" w:rsidRPr="00FA107A">
        <w:rPr>
          <w:rFonts w:ascii="Times New Roman" w:hAnsi="Times New Roman" w:cs="Times New Roman"/>
          <w:sz w:val="24"/>
          <w:szCs w:val="24"/>
        </w:rPr>
        <w:t>good to use its assets to make money</w:t>
      </w:r>
      <w:r w:rsidR="00EF56E8" w:rsidRPr="00FA107A">
        <w:rPr>
          <w:rFonts w:ascii="Times New Roman" w:hAnsi="Times New Roman" w:cs="Times New Roman"/>
          <w:sz w:val="24"/>
          <w:szCs w:val="24"/>
        </w:rPr>
        <w:t xml:space="preserve"> but this ratio is also greater than the ratio of William Hill Plc, current ratio of this company is 0.99 which is also low</w:t>
      </w:r>
      <w:r w:rsidR="00881006" w:rsidRPr="00FA107A">
        <w:rPr>
          <w:rFonts w:ascii="Times New Roman" w:hAnsi="Times New Roman" w:cs="Times New Roman"/>
          <w:sz w:val="24"/>
          <w:szCs w:val="24"/>
        </w:rPr>
        <w:t xml:space="preserve">. Debt-equity-ratio </w:t>
      </w:r>
      <w:r w:rsidR="005D7F2C" w:rsidRPr="00FA107A">
        <w:rPr>
          <w:rFonts w:ascii="Times New Roman" w:hAnsi="Times New Roman" w:cs="Times New Roman"/>
          <w:sz w:val="24"/>
          <w:szCs w:val="24"/>
        </w:rPr>
        <w:t xml:space="preserve">of this company is 0.15 it means </w:t>
      </w:r>
      <w:r w:rsidR="00881006" w:rsidRPr="00FA107A">
        <w:rPr>
          <w:rFonts w:ascii="Times New Roman" w:hAnsi="Times New Roman" w:cs="Times New Roman"/>
          <w:sz w:val="24"/>
          <w:szCs w:val="24"/>
        </w:rPr>
        <w:t xml:space="preserve">the portion of assets </w:t>
      </w:r>
      <w:r w:rsidR="005D7F2C" w:rsidRPr="00FA107A">
        <w:rPr>
          <w:rFonts w:ascii="Times New Roman" w:hAnsi="Times New Roman" w:cs="Times New Roman"/>
          <w:sz w:val="24"/>
          <w:szCs w:val="24"/>
        </w:rPr>
        <w:t>provided by creditors is lesser than its internal capital. In addition to this, a</w:t>
      </w:r>
      <w:r w:rsidR="00881006" w:rsidRPr="00FA107A">
        <w:rPr>
          <w:rFonts w:ascii="Times New Roman" w:hAnsi="Times New Roman" w:cs="Times New Roman"/>
          <w:sz w:val="24"/>
          <w:szCs w:val="24"/>
        </w:rPr>
        <w:t>ssets turno</w:t>
      </w:r>
      <w:r w:rsidR="005D7F2C" w:rsidRPr="00FA107A">
        <w:rPr>
          <w:rFonts w:ascii="Times New Roman" w:hAnsi="Times New Roman" w:cs="Times New Roman"/>
          <w:sz w:val="24"/>
          <w:szCs w:val="24"/>
        </w:rPr>
        <w:t>ver ratio of this company is 0.30</w:t>
      </w:r>
      <w:r w:rsidR="00881006" w:rsidRPr="00FA107A">
        <w:rPr>
          <w:rFonts w:ascii="Times New Roman" w:hAnsi="Times New Roman" w:cs="Times New Roman"/>
          <w:sz w:val="24"/>
          <w:szCs w:val="24"/>
        </w:rPr>
        <w:t xml:space="preserve"> which means its power to use its assets to produce products is also </w:t>
      </w:r>
      <w:r w:rsidR="005D7F2C" w:rsidRPr="00FA107A">
        <w:rPr>
          <w:rFonts w:ascii="Times New Roman" w:hAnsi="Times New Roman" w:cs="Times New Roman"/>
          <w:sz w:val="24"/>
          <w:szCs w:val="24"/>
        </w:rPr>
        <w:t>very low and it is lesser th</w:t>
      </w:r>
      <w:r w:rsidR="007C15A8">
        <w:rPr>
          <w:rFonts w:ascii="Times New Roman" w:hAnsi="Times New Roman" w:cs="Times New Roman"/>
          <w:sz w:val="24"/>
          <w:szCs w:val="24"/>
        </w:rPr>
        <w:t>an the ratio of William Hill Plc (Grant, 2016).</w:t>
      </w:r>
      <w:r w:rsidR="005D7F2C" w:rsidRPr="00FA107A">
        <w:rPr>
          <w:rFonts w:ascii="Times New Roman" w:hAnsi="Times New Roman" w:cs="Times New Roman"/>
          <w:sz w:val="24"/>
          <w:szCs w:val="24"/>
        </w:rPr>
        <w:t xml:space="preserve"> </w:t>
      </w:r>
      <w:r w:rsidR="007C15A8">
        <w:rPr>
          <w:rFonts w:ascii="Times New Roman" w:hAnsi="Times New Roman" w:cs="Times New Roman"/>
          <w:sz w:val="24"/>
          <w:szCs w:val="24"/>
        </w:rPr>
        <w:t>T</w:t>
      </w:r>
      <w:r w:rsidR="00881006" w:rsidRPr="00FA107A">
        <w:rPr>
          <w:rFonts w:ascii="Times New Roman" w:hAnsi="Times New Roman" w:cs="Times New Roman"/>
          <w:sz w:val="24"/>
          <w:szCs w:val="24"/>
        </w:rPr>
        <w:t>otal debt to total assets ratio of this co</w:t>
      </w:r>
      <w:r w:rsidR="005D7F2C" w:rsidRPr="00FA107A">
        <w:rPr>
          <w:rFonts w:ascii="Times New Roman" w:hAnsi="Times New Roman" w:cs="Times New Roman"/>
          <w:sz w:val="24"/>
          <w:szCs w:val="24"/>
        </w:rPr>
        <w:t>mpany is 0.04</w:t>
      </w:r>
      <w:r w:rsidR="00881006" w:rsidRPr="00FA107A">
        <w:rPr>
          <w:rFonts w:ascii="Times New Roman" w:hAnsi="Times New Roman" w:cs="Times New Roman"/>
          <w:sz w:val="24"/>
          <w:szCs w:val="24"/>
        </w:rPr>
        <w:t xml:space="preserve"> which is a good sign</w:t>
      </w:r>
      <w:r w:rsidR="002A6FED" w:rsidRPr="00FA107A">
        <w:rPr>
          <w:rFonts w:ascii="Times New Roman" w:hAnsi="Times New Roman" w:cs="Times New Roman"/>
          <w:sz w:val="24"/>
          <w:szCs w:val="24"/>
        </w:rPr>
        <w:t xml:space="preserve"> because it tells that the total assets which were financed by creditor is very low</w:t>
      </w:r>
      <w:r w:rsidR="00881006" w:rsidRPr="00FA107A">
        <w:rPr>
          <w:rFonts w:ascii="Times New Roman" w:hAnsi="Times New Roman" w:cs="Times New Roman"/>
          <w:sz w:val="24"/>
          <w:szCs w:val="24"/>
        </w:rPr>
        <w:t>, cash turn</w:t>
      </w:r>
      <w:r w:rsidR="002A6FED" w:rsidRPr="00FA107A">
        <w:rPr>
          <w:rFonts w:ascii="Times New Roman" w:hAnsi="Times New Roman" w:cs="Times New Roman"/>
          <w:sz w:val="24"/>
          <w:szCs w:val="24"/>
        </w:rPr>
        <w:t>over ratio of this company is -500.33 which means</w:t>
      </w:r>
      <w:r w:rsidR="00881006" w:rsidRPr="00FA107A">
        <w:rPr>
          <w:rFonts w:ascii="Times New Roman" w:hAnsi="Times New Roman" w:cs="Times New Roman"/>
          <w:sz w:val="24"/>
          <w:szCs w:val="24"/>
        </w:rPr>
        <w:t xml:space="preserve"> its ability to convert its cash into sales revenue is very low.</w:t>
      </w:r>
    </w:p>
    <w:p w:rsidR="00FE6B29" w:rsidRPr="00FA107A" w:rsidRDefault="00C32D37" w:rsidP="00C6200C">
      <w:pPr>
        <w:spacing w:after="0" w:line="480" w:lineRule="auto"/>
        <w:jc w:val="both"/>
        <w:rPr>
          <w:rFonts w:ascii="Times New Roman" w:hAnsi="Times New Roman" w:cs="Times New Roman"/>
          <w:sz w:val="24"/>
          <w:szCs w:val="24"/>
        </w:rPr>
      </w:pPr>
      <w:r w:rsidRPr="00FA107A">
        <w:rPr>
          <w:rFonts w:ascii="Times New Roman" w:eastAsiaTheme="minorEastAsia" w:hAnsi="Times New Roman" w:cs="Times New Roman"/>
          <w:sz w:val="24"/>
          <w:szCs w:val="24"/>
        </w:rPr>
        <w:t xml:space="preserve">So from these calculations it can be analyzed that the current position of both the companies is not so good but talking about the comparison between these two companies then it can be said that the position of </w:t>
      </w:r>
      <w:r w:rsidRPr="00FA107A">
        <w:rPr>
          <w:rFonts w:ascii="Times New Roman" w:hAnsi="Times New Roman" w:cs="Times New Roman"/>
          <w:sz w:val="24"/>
          <w:szCs w:val="24"/>
        </w:rPr>
        <w:t xml:space="preserve">Paddy Power Betfair Plc is good as compare to the position of William Hill Plc. </w:t>
      </w:r>
    </w:p>
    <w:p w:rsidR="00C32D37" w:rsidRPr="00FA107A" w:rsidRDefault="00E942FA" w:rsidP="00C6200C">
      <w:pPr>
        <w:pStyle w:val="Heading1"/>
        <w:numPr>
          <w:ilvl w:val="0"/>
          <w:numId w:val="2"/>
        </w:numPr>
        <w:spacing w:before="0" w:line="480" w:lineRule="auto"/>
        <w:jc w:val="both"/>
        <w:rPr>
          <w:rFonts w:eastAsiaTheme="minorEastAsia"/>
          <w:color w:val="auto"/>
          <w:sz w:val="24"/>
          <w:szCs w:val="24"/>
        </w:rPr>
      </w:pPr>
      <w:bookmarkStart w:id="1" w:name="_Toc513149426"/>
      <w:r w:rsidRPr="00FA107A">
        <w:rPr>
          <w:rFonts w:eastAsiaTheme="minorEastAsia"/>
          <w:color w:val="auto"/>
          <w:sz w:val="24"/>
          <w:szCs w:val="24"/>
        </w:rPr>
        <w:t>Advice to Tim about investment decision:</w:t>
      </w:r>
      <w:bookmarkEnd w:id="1"/>
    </w:p>
    <w:p w:rsidR="000E66DA" w:rsidRPr="00FA107A" w:rsidRDefault="00367C69" w:rsidP="00C6200C">
      <w:pPr>
        <w:spacing w:after="0" w:line="480" w:lineRule="auto"/>
        <w:jc w:val="both"/>
        <w:rPr>
          <w:rFonts w:ascii="Times New Roman" w:hAnsi="Times New Roman" w:cs="Times New Roman"/>
          <w:sz w:val="24"/>
          <w:szCs w:val="24"/>
        </w:rPr>
      </w:pPr>
      <w:r w:rsidRPr="00FA107A">
        <w:rPr>
          <w:rFonts w:ascii="Times New Roman" w:hAnsi="Times New Roman" w:cs="Times New Roman"/>
          <w:sz w:val="24"/>
          <w:szCs w:val="24"/>
        </w:rPr>
        <w:t xml:space="preserve">As given in the scenario Tim Farrow is risk-averse and has a large portfolio of shares and he wants to invest in UK travel and leisure sector and for this he has identifies two companies in </w:t>
      </w:r>
      <w:r w:rsidRPr="00FA107A">
        <w:rPr>
          <w:rFonts w:ascii="Times New Roman" w:hAnsi="Times New Roman" w:cs="Times New Roman"/>
          <w:sz w:val="24"/>
          <w:szCs w:val="24"/>
        </w:rPr>
        <w:lastRenderedPageBreak/>
        <w:t xml:space="preserve">which he is interested to invest such as; William Hill Plc and Paddy Power Betfair Plc. From the analysis of the file of Tim Farrow it has been analyzed that he has a good experience in this investment field and </w:t>
      </w:r>
      <w:r w:rsidR="00E81DDF" w:rsidRPr="00FA107A">
        <w:rPr>
          <w:rFonts w:ascii="Times New Roman" w:hAnsi="Times New Roman" w:cs="Times New Roman"/>
          <w:sz w:val="24"/>
          <w:szCs w:val="24"/>
        </w:rPr>
        <w:t xml:space="preserve">have capability to take risk because investment is totally based on the risk factor. Here Tim Farrow is interested in two companies such as; William Hill Plc and Paddy Power Betfair Plc and both the companies are bookmakers. From the analysis of financial records of both the companies it is found that both the companies are struggling recently but in past time these companies were experienced huge profit and had also experienced continuous growth. </w:t>
      </w:r>
      <w:r w:rsidR="00FF11E9" w:rsidRPr="00FA107A">
        <w:rPr>
          <w:rFonts w:ascii="Times New Roman" w:hAnsi="Times New Roman" w:cs="Times New Roman"/>
          <w:sz w:val="24"/>
          <w:szCs w:val="24"/>
        </w:rPr>
        <w:t>Tim has good experience and he never take decision without any analysis of the company in which he is interested to investment and for the analysis of the financial records of these companies and to know the financial position of the company Tim has chosen World Wealth Management where the financial records of the companies will be analyzed and then on the basis of the analyzed report Tim will take decision about the investment in these companies</w:t>
      </w:r>
      <w:r w:rsidR="000314AE" w:rsidRPr="00FA107A">
        <w:rPr>
          <w:rFonts w:ascii="Times New Roman" w:hAnsi="Times New Roman" w:cs="Times New Roman"/>
          <w:sz w:val="24"/>
          <w:szCs w:val="24"/>
        </w:rPr>
        <w:t xml:space="preserve">. From the analysis of the report of William Hill Plc and Paddy Power Betfair Plc it can be said that both the companies are struggling now days and their recent financial position is not good at all because both the companies are suffering from high loss. But it should be consider that from the analysis it is found that before 2017 </w:t>
      </w:r>
      <w:r w:rsidR="00056972" w:rsidRPr="00FA107A">
        <w:rPr>
          <w:rFonts w:ascii="Times New Roman" w:hAnsi="Times New Roman" w:cs="Times New Roman"/>
          <w:sz w:val="24"/>
          <w:szCs w:val="24"/>
        </w:rPr>
        <w:t>William Hill Plc earned high profit and its net income was also</w:t>
      </w:r>
      <w:r w:rsidR="00056972" w:rsidRPr="007C15A8">
        <w:rPr>
          <w:rFonts w:ascii="Times New Roman" w:hAnsi="Times New Roman" w:cs="Times New Roman"/>
          <w:sz w:val="24"/>
          <w:szCs w:val="24"/>
        </w:rPr>
        <w:t xml:space="preserve"> very high but in 2017 its net income decreased and it converted into loss</w:t>
      </w:r>
      <w:r w:rsidR="007C15A8" w:rsidRPr="007C15A8">
        <w:rPr>
          <w:rFonts w:ascii="Times New Roman" w:hAnsi="Times New Roman" w:cs="Times New Roman"/>
          <w:sz w:val="24"/>
          <w:szCs w:val="24"/>
        </w:rPr>
        <w:t xml:space="preserve"> (</w:t>
      </w:r>
      <w:r w:rsidR="007C15A8" w:rsidRPr="007C15A8">
        <w:rPr>
          <w:rFonts w:ascii="Times New Roman" w:hAnsi="Times New Roman" w:cs="Times New Roman"/>
          <w:sz w:val="24"/>
          <w:szCs w:val="24"/>
          <w:shd w:val="clear" w:color="auto" w:fill="FFFFFF"/>
        </w:rPr>
        <w:t>Yuniningsih, et al., 2017)</w:t>
      </w:r>
      <w:r w:rsidR="00056972" w:rsidRPr="00FA107A">
        <w:rPr>
          <w:rFonts w:ascii="Times New Roman" w:hAnsi="Times New Roman" w:cs="Times New Roman"/>
          <w:sz w:val="24"/>
          <w:szCs w:val="24"/>
        </w:rPr>
        <w:t>. Similar to the William Hill Plc, Paddy Power Betfair Plc has also earned high profit before 2016 but in that year its net income decreased and it converted into loss.</w:t>
      </w:r>
    </w:p>
    <w:p w:rsidR="000E66DA" w:rsidRPr="00FA107A" w:rsidRDefault="00056972" w:rsidP="00C6200C">
      <w:pPr>
        <w:spacing w:after="0" w:line="480" w:lineRule="auto"/>
        <w:jc w:val="both"/>
        <w:rPr>
          <w:rFonts w:ascii="Times New Roman" w:hAnsi="Times New Roman" w:cs="Times New Roman"/>
          <w:sz w:val="24"/>
          <w:szCs w:val="24"/>
        </w:rPr>
      </w:pPr>
      <w:r w:rsidRPr="00FA107A">
        <w:rPr>
          <w:rFonts w:ascii="Times New Roman" w:hAnsi="Times New Roman" w:cs="Times New Roman"/>
          <w:sz w:val="24"/>
          <w:szCs w:val="24"/>
        </w:rPr>
        <w:t xml:space="preserve"> </w:t>
      </w:r>
      <w:r w:rsidR="000E66DA" w:rsidRPr="00FA107A">
        <w:rPr>
          <w:rFonts w:ascii="Times New Roman" w:hAnsi="Times New Roman" w:cs="Times New Roman"/>
          <w:sz w:val="24"/>
          <w:szCs w:val="24"/>
        </w:rPr>
        <w:t>T</w:t>
      </w:r>
      <w:r w:rsidRPr="00FA107A">
        <w:rPr>
          <w:rFonts w:ascii="Times New Roman" w:hAnsi="Times New Roman" w:cs="Times New Roman"/>
          <w:sz w:val="24"/>
          <w:szCs w:val="24"/>
        </w:rPr>
        <w:t xml:space="preserve">alking about the comparison between these two companies </w:t>
      </w:r>
      <w:r w:rsidR="00134578" w:rsidRPr="00FA107A">
        <w:rPr>
          <w:rFonts w:ascii="Times New Roman" w:hAnsi="Times New Roman" w:cs="Times New Roman"/>
          <w:sz w:val="24"/>
          <w:szCs w:val="24"/>
        </w:rPr>
        <w:t xml:space="preserve">then </w:t>
      </w:r>
      <w:r w:rsidRPr="00FA107A">
        <w:rPr>
          <w:rFonts w:ascii="Times New Roman" w:hAnsi="Times New Roman" w:cs="Times New Roman"/>
          <w:sz w:val="24"/>
          <w:szCs w:val="24"/>
        </w:rPr>
        <w:t xml:space="preserve">it is found that financial condition of Paddy Power Betfair Plc is good as compare to the financial condition of William Hill Plc. </w:t>
      </w:r>
      <w:r w:rsidR="00696702" w:rsidRPr="00FA107A">
        <w:rPr>
          <w:rFonts w:ascii="Times New Roman" w:hAnsi="Times New Roman" w:cs="Times New Roman"/>
          <w:sz w:val="24"/>
          <w:szCs w:val="24"/>
        </w:rPr>
        <w:t xml:space="preserve">But along with this, talking about the eperinence of these companies then it is analyzed that William Hill Plc has good experience because it was founded in 1934 and because of this it </w:t>
      </w:r>
      <w:r w:rsidR="00696702" w:rsidRPr="00FA107A">
        <w:rPr>
          <w:rFonts w:ascii="Times New Roman" w:hAnsi="Times New Roman" w:cs="Times New Roman"/>
          <w:sz w:val="24"/>
          <w:szCs w:val="24"/>
        </w:rPr>
        <w:lastRenderedPageBreak/>
        <w:t xml:space="preserve">has good market reputation and goodwill that’s why </w:t>
      </w:r>
      <w:r w:rsidR="007C15A8" w:rsidRPr="00FA107A">
        <w:rPr>
          <w:rFonts w:ascii="Times New Roman" w:hAnsi="Times New Roman" w:cs="Times New Roman"/>
          <w:sz w:val="24"/>
          <w:szCs w:val="24"/>
        </w:rPr>
        <w:t>it’s</w:t>
      </w:r>
      <w:r w:rsidR="00696702" w:rsidRPr="00FA107A">
        <w:rPr>
          <w:rFonts w:ascii="Times New Roman" w:hAnsi="Times New Roman" w:cs="Times New Roman"/>
          <w:sz w:val="24"/>
          <w:szCs w:val="24"/>
        </w:rPr>
        <w:t xml:space="preserve"> all stakeholders have trust on it. Paddy Power Betfair Plc is also a good company but is does not have high experience because it was formed in 2016 by the merger of Paddy Power and Betfair. Decision about the investment in these companies cannot be made on the basis of the experience of these companies only because in most of the cases new companies also done well and compete with the companies which have a high experience</w:t>
      </w:r>
      <w:r w:rsidR="007C15A8">
        <w:rPr>
          <w:rFonts w:ascii="Times New Roman" w:hAnsi="Times New Roman" w:cs="Times New Roman"/>
          <w:sz w:val="24"/>
          <w:szCs w:val="24"/>
        </w:rPr>
        <w:t xml:space="preserve"> (Coates, 2014)</w:t>
      </w:r>
      <w:r w:rsidR="00696702" w:rsidRPr="00FA107A">
        <w:rPr>
          <w:rFonts w:ascii="Times New Roman" w:hAnsi="Times New Roman" w:cs="Times New Roman"/>
          <w:sz w:val="24"/>
          <w:szCs w:val="24"/>
        </w:rPr>
        <w:t>. Paddy Power Betfair Plc is a merger of two companies so it cannot be said that it does not have experience because both the companies Paddy Power and Betfair have good experience and experience of these two companies will definitely help the merger company to achieve its goal. Talking about the investment decision then it can be recommend to Tim Farrow that he can choose another companies which has good financial position and earning high profit but if Tim Farrow has only these two companies in his mind then it can be recommend to him to invest in Paddy Po</w:t>
      </w:r>
      <w:r w:rsidR="00EF25AC" w:rsidRPr="00FA107A">
        <w:rPr>
          <w:rFonts w:ascii="Times New Roman" w:hAnsi="Times New Roman" w:cs="Times New Roman"/>
          <w:sz w:val="24"/>
          <w:szCs w:val="24"/>
        </w:rPr>
        <w:t>w</w:t>
      </w:r>
      <w:r w:rsidR="00696702" w:rsidRPr="00FA107A">
        <w:rPr>
          <w:rFonts w:ascii="Times New Roman" w:hAnsi="Times New Roman" w:cs="Times New Roman"/>
          <w:sz w:val="24"/>
          <w:szCs w:val="24"/>
        </w:rPr>
        <w:t>er Betfair Plc because its financial position is good as compare to the financial pos</w:t>
      </w:r>
      <w:r w:rsidR="00EF25AC" w:rsidRPr="00FA107A">
        <w:rPr>
          <w:rFonts w:ascii="Times New Roman" w:hAnsi="Times New Roman" w:cs="Times New Roman"/>
          <w:sz w:val="24"/>
          <w:szCs w:val="24"/>
        </w:rPr>
        <w:t>i</w:t>
      </w:r>
      <w:r w:rsidR="00696702" w:rsidRPr="00FA107A">
        <w:rPr>
          <w:rFonts w:ascii="Times New Roman" w:hAnsi="Times New Roman" w:cs="Times New Roman"/>
          <w:sz w:val="24"/>
          <w:szCs w:val="24"/>
        </w:rPr>
        <w:t xml:space="preserve">tion of </w:t>
      </w:r>
      <w:r w:rsidR="00EF25AC" w:rsidRPr="00FA107A">
        <w:rPr>
          <w:rFonts w:ascii="Times New Roman" w:hAnsi="Times New Roman" w:cs="Times New Roman"/>
          <w:sz w:val="24"/>
          <w:szCs w:val="24"/>
        </w:rPr>
        <w:t xml:space="preserve">William Hill Plc. </w:t>
      </w:r>
      <w:r w:rsidR="000E66DA" w:rsidRPr="00FA107A">
        <w:rPr>
          <w:rFonts w:ascii="Times New Roman" w:hAnsi="Times New Roman" w:cs="Times New Roman"/>
          <w:sz w:val="24"/>
          <w:szCs w:val="24"/>
        </w:rPr>
        <w:t>From the financial records it is found that Paddy Power Betfair Plc has high total assets as compare to the total assets of William Hill Plc.</w:t>
      </w:r>
    </w:p>
    <w:p w:rsidR="00E942FA" w:rsidRPr="00FA107A" w:rsidRDefault="00704DB9" w:rsidP="00C6200C">
      <w:pPr>
        <w:spacing w:after="0" w:line="480" w:lineRule="auto"/>
        <w:jc w:val="both"/>
        <w:rPr>
          <w:rFonts w:ascii="Times New Roman" w:hAnsi="Times New Roman" w:cs="Times New Roman"/>
          <w:sz w:val="24"/>
          <w:szCs w:val="24"/>
        </w:rPr>
      </w:pPr>
      <w:r w:rsidRPr="00FA107A">
        <w:rPr>
          <w:rFonts w:ascii="Times New Roman" w:hAnsi="Times New Roman" w:cs="Times New Roman"/>
          <w:sz w:val="24"/>
          <w:szCs w:val="24"/>
        </w:rPr>
        <w:t xml:space="preserve">From the analysis of different ratios it was found that </w:t>
      </w:r>
      <w:r w:rsidR="000E66DA" w:rsidRPr="00FA107A">
        <w:rPr>
          <w:rFonts w:ascii="Times New Roman" w:hAnsi="Times New Roman" w:cs="Times New Roman"/>
          <w:sz w:val="24"/>
          <w:szCs w:val="24"/>
        </w:rPr>
        <w:t xml:space="preserve">profit margin ratio of Paddy Power Betfair Plc is higher than William Hill Plc, which shows that profitability of Paddy Power Betfair is higher because it is using its all resources to compete with other existing companies. Along with this, it is found that capability to reward its shareholders of Paddy Power </w:t>
      </w:r>
      <w:r w:rsidR="00C6200C" w:rsidRPr="00FA107A">
        <w:rPr>
          <w:rFonts w:ascii="Times New Roman" w:hAnsi="Times New Roman" w:cs="Times New Roman"/>
          <w:sz w:val="24"/>
          <w:szCs w:val="24"/>
        </w:rPr>
        <w:t>B</w:t>
      </w:r>
      <w:r w:rsidR="000E66DA" w:rsidRPr="00FA107A">
        <w:rPr>
          <w:rFonts w:ascii="Times New Roman" w:hAnsi="Times New Roman" w:cs="Times New Roman"/>
          <w:sz w:val="24"/>
          <w:szCs w:val="24"/>
        </w:rPr>
        <w:t xml:space="preserve">etfair Plc is higher and that’s what Tim Farrow should consider while taking decision about the investment in this company. </w:t>
      </w:r>
      <w:r w:rsidR="00C6200C" w:rsidRPr="00FA107A">
        <w:rPr>
          <w:rFonts w:ascii="Times New Roman" w:hAnsi="Times New Roman" w:cs="Times New Roman"/>
          <w:sz w:val="24"/>
          <w:szCs w:val="24"/>
        </w:rPr>
        <w:t>The capability to use its assets to make product is also good of Paddy Power Betfair Plc that helps to use resources in best way and this affect the performance of the company that’s why it is also a reason why investment in this company would be better for Tim Farrow</w:t>
      </w:r>
      <w:r w:rsidR="007C15A8">
        <w:rPr>
          <w:rFonts w:ascii="Times New Roman" w:hAnsi="Times New Roman" w:cs="Times New Roman"/>
          <w:sz w:val="24"/>
          <w:szCs w:val="24"/>
        </w:rPr>
        <w:t xml:space="preserve"> (Vogal, </w:t>
      </w:r>
      <w:r w:rsidR="007C15A8">
        <w:rPr>
          <w:rFonts w:ascii="Times New Roman" w:hAnsi="Times New Roman" w:cs="Times New Roman"/>
          <w:sz w:val="24"/>
          <w:szCs w:val="24"/>
        </w:rPr>
        <w:lastRenderedPageBreak/>
        <w:t>2014)</w:t>
      </w:r>
      <w:r w:rsidR="00C6200C" w:rsidRPr="00FA107A">
        <w:rPr>
          <w:rFonts w:ascii="Times New Roman" w:hAnsi="Times New Roman" w:cs="Times New Roman"/>
          <w:sz w:val="24"/>
          <w:szCs w:val="24"/>
        </w:rPr>
        <w:t>. Current ratio of Paddy Power Betfair Plc is low but as compare to William Hill Plc this ratio is high so this is also a reason why Tim Farrow should choose this company for investment. Current ratio shows capability of a company to pay its short term liabilities and Paddy Power Betfair Plc is more capable than William Hill Plc to pay its short term liabilities.</w:t>
      </w:r>
    </w:p>
    <w:p w:rsidR="00911552" w:rsidRDefault="00911552" w:rsidP="00C6200C">
      <w:pPr>
        <w:spacing w:after="0" w:line="480" w:lineRule="auto"/>
        <w:jc w:val="both"/>
        <w:rPr>
          <w:rFonts w:ascii="Times New Roman" w:hAnsi="Times New Roman" w:cs="Times New Roman"/>
          <w:sz w:val="24"/>
          <w:szCs w:val="24"/>
        </w:rPr>
      </w:pPr>
      <w:r w:rsidRPr="00FA107A">
        <w:rPr>
          <w:rFonts w:ascii="Times New Roman" w:hAnsi="Times New Roman" w:cs="Times New Roman"/>
          <w:sz w:val="24"/>
          <w:szCs w:val="24"/>
        </w:rPr>
        <w:t xml:space="preserve">The decision about the investment in these companies also depend on how much capital external creditors provided to the business and for this debt-equity ratio calculated and from this calculation it was found that this ratio of Paddy Power Betfair Plc is lesser than William Hill Plc that means the amount of capital which is external creditors provided to this company is low and it has low liability that’s why this company is more capable and this is another reason why Tim Farrow should invest in this company. From the calculation of total debt to total assets ratio it is found that </w:t>
      </w:r>
      <w:r w:rsidR="00FA107A" w:rsidRPr="00FA107A">
        <w:rPr>
          <w:rFonts w:ascii="Times New Roman" w:hAnsi="Times New Roman" w:cs="Times New Roman"/>
          <w:sz w:val="24"/>
          <w:szCs w:val="24"/>
        </w:rPr>
        <w:t>this ratio of Paddy Power Betfair Plc is lesser than William Hill Plc. This means company has low assets which were financed by the creditors</w:t>
      </w:r>
      <w:r w:rsidR="007C15A8">
        <w:rPr>
          <w:rFonts w:ascii="Times New Roman" w:hAnsi="Times New Roman" w:cs="Times New Roman"/>
          <w:sz w:val="24"/>
          <w:szCs w:val="24"/>
        </w:rPr>
        <w:t xml:space="preserve"> </w:t>
      </w:r>
      <w:r w:rsidR="007C15A8" w:rsidRPr="007C15A8">
        <w:rPr>
          <w:rFonts w:ascii="Times New Roman" w:hAnsi="Times New Roman" w:cs="Times New Roman"/>
          <w:sz w:val="24"/>
          <w:szCs w:val="24"/>
        </w:rPr>
        <w:t>(</w:t>
      </w:r>
      <w:r w:rsidR="007C15A8" w:rsidRPr="007C15A8">
        <w:rPr>
          <w:rFonts w:ascii="Times New Roman" w:hAnsi="Times New Roman" w:cs="Times New Roman"/>
          <w:sz w:val="24"/>
          <w:szCs w:val="24"/>
          <w:shd w:val="clear" w:color="auto" w:fill="FFFFFF"/>
        </w:rPr>
        <w:t>On</w:t>
      </w:r>
      <w:r w:rsidR="007C15A8">
        <w:rPr>
          <w:rFonts w:ascii="Times New Roman" w:hAnsi="Times New Roman" w:cs="Times New Roman"/>
          <w:sz w:val="24"/>
          <w:szCs w:val="24"/>
          <w:shd w:val="clear" w:color="auto" w:fill="FFFFFF"/>
        </w:rPr>
        <w:t xml:space="preserve">gore </w:t>
      </w:r>
      <w:r w:rsidR="007C15A8" w:rsidRPr="007C15A8">
        <w:rPr>
          <w:rFonts w:ascii="Times New Roman" w:hAnsi="Times New Roman" w:cs="Times New Roman"/>
          <w:sz w:val="24"/>
          <w:szCs w:val="24"/>
          <w:shd w:val="clear" w:color="auto" w:fill="FFFFFF"/>
        </w:rPr>
        <w:t>and Kusa, 2013)</w:t>
      </w:r>
      <w:r w:rsidR="00FA107A" w:rsidRPr="00FA107A">
        <w:rPr>
          <w:rFonts w:ascii="Times New Roman" w:hAnsi="Times New Roman" w:cs="Times New Roman"/>
          <w:sz w:val="24"/>
          <w:szCs w:val="24"/>
        </w:rPr>
        <w:t xml:space="preserve">. There are only few parameters where William Hill Plc is good as compare to Paddy Power Betfair Plc and one of those parameters is cash turnover ratio. Cash turnover ratio of William Hill Plc is higher than Paddy Power Betfair Plc which means William Hill Plc has more capability to convert its cash into sales revenue. So these are the reason why Tim Farrow should invest in Paddy Power Betfair Plc instead of William Hill Plc. </w:t>
      </w:r>
    </w:p>
    <w:p w:rsidR="007C15A8" w:rsidRDefault="007C15A8" w:rsidP="00C6200C">
      <w:pPr>
        <w:spacing w:after="0" w:line="480" w:lineRule="auto"/>
        <w:jc w:val="both"/>
        <w:rPr>
          <w:rFonts w:ascii="Times New Roman" w:hAnsi="Times New Roman" w:cs="Times New Roman"/>
          <w:sz w:val="24"/>
          <w:szCs w:val="24"/>
        </w:rPr>
      </w:pPr>
    </w:p>
    <w:p w:rsidR="007C15A8" w:rsidRDefault="007C15A8" w:rsidP="00C6200C">
      <w:pPr>
        <w:spacing w:after="0" w:line="480" w:lineRule="auto"/>
        <w:jc w:val="both"/>
        <w:rPr>
          <w:rFonts w:ascii="Times New Roman" w:hAnsi="Times New Roman" w:cs="Times New Roman"/>
          <w:sz w:val="24"/>
          <w:szCs w:val="24"/>
        </w:rPr>
      </w:pPr>
    </w:p>
    <w:p w:rsidR="007C15A8" w:rsidRDefault="007C15A8" w:rsidP="00C6200C">
      <w:pPr>
        <w:spacing w:after="0" w:line="480" w:lineRule="auto"/>
        <w:jc w:val="both"/>
        <w:rPr>
          <w:rFonts w:ascii="Times New Roman" w:hAnsi="Times New Roman" w:cs="Times New Roman"/>
          <w:sz w:val="24"/>
          <w:szCs w:val="24"/>
        </w:rPr>
      </w:pPr>
    </w:p>
    <w:p w:rsidR="007C15A8" w:rsidRDefault="007C15A8" w:rsidP="00C6200C">
      <w:pPr>
        <w:spacing w:after="0" w:line="480" w:lineRule="auto"/>
        <w:jc w:val="both"/>
        <w:rPr>
          <w:rFonts w:ascii="Times New Roman" w:hAnsi="Times New Roman" w:cs="Times New Roman"/>
          <w:sz w:val="24"/>
          <w:szCs w:val="24"/>
        </w:rPr>
      </w:pPr>
    </w:p>
    <w:p w:rsidR="007C15A8" w:rsidRDefault="007C15A8" w:rsidP="00C6200C">
      <w:pPr>
        <w:spacing w:after="0" w:line="480" w:lineRule="auto"/>
        <w:jc w:val="both"/>
        <w:rPr>
          <w:rFonts w:ascii="Times New Roman" w:hAnsi="Times New Roman" w:cs="Times New Roman"/>
          <w:sz w:val="24"/>
          <w:szCs w:val="24"/>
        </w:rPr>
      </w:pPr>
    </w:p>
    <w:p w:rsidR="007C15A8" w:rsidRDefault="007C15A8" w:rsidP="007C15A8">
      <w:pPr>
        <w:spacing w:after="0" w:line="480" w:lineRule="auto"/>
        <w:jc w:val="both"/>
        <w:rPr>
          <w:rFonts w:ascii="Times New Roman" w:hAnsi="Times New Roman" w:cs="Times New Roman"/>
          <w:sz w:val="24"/>
          <w:szCs w:val="24"/>
        </w:rPr>
      </w:pPr>
    </w:p>
    <w:p w:rsidR="007C15A8" w:rsidRPr="007C15A8" w:rsidRDefault="007C15A8" w:rsidP="007C15A8">
      <w:pPr>
        <w:pStyle w:val="Heading1"/>
        <w:spacing w:before="0" w:line="480" w:lineRule="auto"/>
        <w:jc w:val="both"/>
        <w:rPr>
          <w:rFonts w:ascii="Times New Roman" w:hAnsi="Times New Roman" w:cs="Times New Roman"/>
          <w:color w:val="auto"/>
          <w:sz w:val="24"/>
        </w:rPr>
      </w:pPr>
      <w:bookmarkStart w:id="2" w:name="_Toc513149427"/>
      <w:r>
        <w:rPr>
          <w:rFonts w:ascii="Times New Roman" w:hAnsi="Times New Roman" w:cs="Times New Roman"/>
          <w:color w:val="auto"/>
          <w:sz w:val="24"/>
        </w:rPr>
        <w:lastRenderedPageBreak/>
        <w:t>References:</w:t>
      </w:r>
      <w:bookmarkEnd w:id="2"/>
    </w:p>
    <w:p w:rsidR="007C15A8" w:rsidRPr="00712336" w:rsidRDefault="007C15A8" w:rsidP="007C15A8">
      <w:pPr>
        <w:spacing w:after="0" w:line="480" w:lineRule="auto"/>
        <w:jc w:val="both"/>
        <w:rPr>
          <w:rFonts w:ascii="Times New Roman" w:hAnsi="Times New Roman" w:cs="Times New Roman"/>
          <w:sz w:val="24"/>
          <w:szCs w:val="20"/>
          <w:shd w:val="clear" w:color="auto" w:fill="FFFFFF"/>
        </w:rPr>
      </w:pPr>
      <w:r w:rsidRPr="00712336">
        <w:rPr>
          <w:rFonts w:ascii="Times New Roman" w:hAnsi="Times New Roman" w:cs="Times New Roman"/>
          <w:sz w:val="24"/>
          <w:szCs w:val="20"/>
          <w:shd w:val="clear" w:color="auto" w:fill="FFFFFF"/>
        </w:rPr>
        <w:t>Bierman Jr, H. and Smidt, S. (2012) </w:t>
      </w:r>
      <w:r w:rsidRPr="00712336">
        <w:rPr>
          <w:rFonts w:ascii="Times New Roman" w:hAnsi="Times New Roman" w:cs="Times New Roman"/>
          <w:i/>
          <w:iCs/>
          <w:sz w:val="24"/>
          <w:szCs w:val="20"/>
          <w:shd w:val="clear" w:color="auto" w:fill="FFFFFF"/>
        </w:rPr>
        <w:t>The capital budgeting decision: economic analysis of investment projects</w:t>
      </w:r>
      <w:r w:rsidRPr="00712336">
        <w:rPr>
          <w:rFonts w:ascii="Times New Roman" w:hAnsi="Times New Roman" w:cs="Times New Roman"/>
          <w:sz w:val="24"/>
          <w:szCs w:val="20"/>
          <w:shd w:val="clear" w:color="auto" w:fill="FFFFFF"/>
        </w:rPr>
        <w:t>. USA: Routledge.</w:t>
      </w:r>
    </w:p>
    <w:p w:rsidR="007C15A8" w:rsidRPr="00712336" w:rsidRDefault="007C15A8" w:rsidP="007C15A8">
      <w:pPr>
        <w:spacing w:after="0" w:line="480" w:lineRule="auto"/>
        <w:jc w:val="both"/>
        <w:rPr>
          <w:rFonts w:ascii="Times New Roman" w:hAnsi="Times New Roman" w:cs="Times New Roman"/>
          <w:sz w:val="24"/>
          <w:szCs w:val="20"/>
          <w:shd w:val="clear" w:color="auto" w:fill="FFFFFF"/>
        </w:rPr>
      </w:pPr>
      <w:r w:rsidRPr="00712336">
        <w:rPr>
          <w:rFonts w:ascii="Times New Roman" w:hAnsi="Times New Roman" w:cs="Times New Roman"/>
          <w:sz w:val="24"/>
          <w:szCs w:val="20"/>
          <w:shd w:val="clear" w:color="auto" w:fill="FFFFFF"/>
        </w:rPr>
        <w:t>Blessing, A. and Onoja, Е.Е. (2015) The role of financial statements on investment decision making: a case of united bank for Africa PLC (2004-2013), </w:t>
      </w:r>
      <w:r w:rsidRPr="00712336">
        <w:rPr>
          <w:rFonts w:ascii="Times New Roman" w:hAnsi="Times New Roman" w:cs="Times New Roman"/>
          <w:i/>
          <w:iCs/>
          <w:sz w:val="24"/>
          <w:szCs w:val="20"/>
          <w:shd w:val="clear" w:color="auto" w:fill="FFFFFF"/>
        </w:rPr>
        <w:t>European Journal of Business, Economics and Accountancy</w:t>
      </w:r>
      <w:r w:rsidRPr="00712336">
        <w:rPr>
          <w:rFonts w:ascii="Times New Roman" w:hAnsi="Times New Roman" w:cs="Times New Roman"/>
          <w:sz w:val="24"/>
          <w:szCs w:val="20"/>
          <w:shd w:val="clear" w:color="auto" w:fill="FFFFFF"/>
        </w:rPr>
        <w:t>, </w:t>
      </w:r>
      <w:r w:rsidRPr="00712336">
        <w:rPr>
          <w:rFonts w:ascii="Times New Roman" w:hAnsi="Times New Roman" w:cs="Times New Roman"/>
          <w:iCs/>
          <w:sz w:val="24"/>
          <w:szCs w:val="20"/>
          <w:shd w:val="clear" w:color="auto" w:fill="FFFFFF"/>
        </w:rPr>
        <w:t>3</w:t>
      </w:r>
      <w:r w:rsidRPr="00712336">
        <w:rPr>
          <w:rFonts w:ascii="Times New Roman" w:hAnsi="Times New Roman" w:cs="Times New Roman"/>
          <w:sz w:val="24"/>
          <w:szCs w:val="20"/>
          <w:shd w:val="clear" w:color="auto" w:fill="FFFFFF"/>
        </w:rPr>
        <w:t>(2), pp.12-37.</w:t>
      </w:r>
    </w:p>
    <w:p w:rsidR="007C15A8" w:rsidRPr="00712336" w:rsidRDefault="007C15A8" w:rsidP="007C15A8">
      <w:pPr>
        <w:spacing w:after="0" w:line="480" w:lineRule="auto"/>
        <w:jc w:val="both"/>
        <w:rPr>
          <w:rFonts w:ascii="Times New Roman" w:hAnsi="Times New Roman" w:cs="Times New Roman"/>
          <w:sz w:val="24"/>
          <w:szCs w:val="20"/>
          <w:shd w:val="clear" w:color="auto" w:fill="FFFFFF"/>
        </w:rPr>
      </w:pPr>
      <w:r w:rsidRPr="00712336">
        <w:rPr>
          <w:rFonts w:ascii="Times New Roman" w:hAnsi="Times New Roman" w:cs="Times New Roman"/>
          <w:sz w:val="24"/>
          <w:szCs w:val="20"/>
          <w:shd w:val="clear" w:color="auto" w:fill="FFFFFF"/>
        </w:rPr>
        <w:t>Coates IV, J.C. (2014) Cost-Benefit Analysis of Financial Regulation: Case Studies and Implications, </w:t>
      </w:r>
      <w:r w:rsidRPr="00712336">
        <w:rPr>
          <w:rFonts w:ascii="Times New Roman" w:hAnsi="Times New Roman" w:cs="Times New Roman"/>
          <w:i/>
          <w:iCs/>
          <w:sz w:val="24"/>
          <w:szCs w:val="20"/>
          <w:shd w:val="clear" w:color="auto" w:fill="FFFFFF"/>
        </w:rPr>
        <w:t>Yale LJ</w:t>
      </w:r>
      <w:r w:rsidRPr="00712336">
        <w:rPr>
          <w:rFonts w:ascii="Times New Roman" w:hAnsi="Times New Roman" w:cs="Times New Roman"/>
          <w:sz w:val="24"/>
          <w:szCs w:val="20"/>
          <w:shd w:val="clear" w:color="auto" w:fill="FFFFFF"/>
        </w:rPr>
        <w:t>, </w:t>
      </w:r>
      <w:r w:rsidRPr="00712336">
        <w:rPr>
          <w:rFonts w:ascii="Times New Roman" w:hAnsi="Times New Roman" w:cs="Times New Roman"/>
          <w:iCs/>
          <w:sz w:val="24"/>
          <w:szCs w:val="20"/>
          <w:shd w:val="clear" w:color="auto" w:fill="FFFFFF"/>
        </w:rPr>
        <w:t>124</w:t>
      </w:r>
      <w:r w:rsidRPr="00712336">
        <w:rPr>
          <w:rFonts w:ascii="Times New Roman" w:hAnsi="Times New Roman" w:cs="Times New Roman"/>
          <w:sz w:val="24"/>
          <w:szCs w:val="20"/>
          <w:shd w:val="clear" w:color="auto" w:fill="FFFFFF"/>
        </w:rPr>
        <w:t>, p.882.</w:t>
      </w:r>
    </w:p>
    <w:p w:rsidR="007C15A8" w:rsidRPr="00712336" w:rsidRDefault="007C15A8" w:rsidP="007C15A8">
      <w:pPr>
        <w:spacing w:after="0" w:line="480" w:lineRule="auto"/>
        <w:jc w:val="both"/>
        <w:rPr>
          <w:rFonts w:ascii="Times New Roman" w:hAnsi="Times New Roman" w:cs="Times New Roman"/>
          <w:sz w:val="24"/>
          <w:szCs w:val="20"/>
          <w:shd w:val="clear" w:color="auto" w:fill="FFFFFF"/>
        </w:rPr>
      </w:pPr>
      <w:r w:rsidRPr="00712336">
        <w:rPr>
          <w:rFonts w:ascii="Times New Roman" w:hAnsi="Times New Roman" w:cs="Times New Roman"/>
          <w:sz w:val="24"/>
          <w:szCs w:val="20"/>
          <w:shd w:val="clear" w:color="auto" w:fill="FFFFFF"/>
        </w:rPr>
        <w:t>Grant, R.M. (2016) </w:t>
      </w:r>
      <w:r w:rsidRPr="00712336">
        <w:rPr>
          <w:rFonts w:ascii="Times New Roman" w:hAnsi="Times New Roman" w:cs="Times New Roman"/>
          <w:i/>
          <w:iCs/>
          <w:sz w:val="24"/>
          <w:szCs w:val="20"/>
          <w:shd w:val="clear" w:color="auto" w:fill="FFFFFF"/>
        </w:rPr>
        <w:t>Contemporary strategy analysis: Text and cases edition</w:t>
      </w:r>
      <w:r w:rsidRPr="00712336">
        <w:rPr>
          <w:rFonts w:ascii="Times New Roman" w:hAnsi="Times New Roman" w:cs="Times New Roman"/>
          <w:sz w:val="24"/>
          <w:szCs w:val="20"/>
          <w:shd w:val="clear" w:color="auto" w:fill="FFFFFF"/>
        </w:rPr>
        <w:t>. USA: John Wiley &amp; Sons.</w:t>
      </w:r>
    </w:p>
    <w:p w:rsidR="007C15A8" w:rsidRPr="00712336" w:rsidRDefault="007C15A8" w:rsidP="007C15A8">
      <w:pPr>
        <w:spacing w:after="0" w:line="480" w:lineRule="auto"/>
        <w:jc w:val="both"/>
        <w:rPr>
          <w:rFonts w:ascii="Times New Roman" w:hAnsi="Times New Roman" w:cs="Times New Roman"/>
          <w:sz w:val="24"/>
          <w:szCs w:val="20"/>
          <w:shd w:val="clear" w:color="auto" w:fill="FFFFFF"/>
        </w:rPr>
      </w:pPr>
      <w:r w:rsidRPr="00712336">
        <w:rPr>
          <w:rFonts w:ascii="Times New Roman" w:hAnsi="Times New Roman" w:cs="Times New Roman"/>
          <w:sz w:val="24"/>
          <w:szCs w:val="20"/>
          <w:shd w:val="clear" w:color="auto" w:fill="FFFFFF"/>
        </w:rPr>
        <w:t>Heikal, M., Khaddafi, M. and Ummah, A. (2014) Influence analysis of return on assets (ROA), return on equity (ROE), net profit margin (NPM), debt to equity ratio (DER), and current ratio (CR), against corporate profit growth in automotive in Indonesia Stock Exchange, </w:t>
      </w:r>
      <w:r w:rsidRPr="00712336">
        <w:rPr>
          <w:rFonts w:ascii="Times New Roman" w:hAnsi="Times New Roman" w:cs="Times New Roman"/>
          <w:i/>
          <w:iCs/>
          <w:sz w:val="24"/>
          <w:szCs w:val="20"/>
          <w:shd w:val="clear" w:color="auto" w:fill="FFFFFF"/>
        </w:rPr>
        <w:t>International Journal of Academic Research in Business and Social Sciences</w:t>
      </w:r>
      <w:r w:rsidRPr="00712336">
        <w:rPr>
          <w:rFonts w:ascii="Times New Roman" w:hAnsi="Times New Roman" w:cs="Times New Roman"/>
          <w:sz w:val="24"/>
          <w:szCs w:val="20"/>
          <w:shd w:val="clear" w:color="auto" w:fill="FFFFFF"/>
        </w:rPr>
        <w:t>, </w:t>
      </w:r>
      <w:r w:rsidRPr="00712336">
        <w:rPr>
          <w:rFonts w:ascii="Times New Roman" w:hAnsi="Times New Roman" w:cs="Times New Roman"/>
          <w:iCs/>
          <w:sz w:val="24"/>
          <w:szCs w:val="20"/>
          <w:shd w:val="clear" w:color="auto" w:fill="FFFFFF"/>
        </w:rPr>
        <w:t>4</w:t>
      </w:r>
      <w:r w:rsidRPr="00712336">
        <w:rPr>
          <w:rFonts w:ascii="Times New Roman" w:hAnsi="Times New Roman" w:cs="Times New Roman"/>
          <w:sz w:val="24"/>
          <w:szCs w:val="20"/>
          <w:shd w:val="clear" w:color="auto" w:fill="FFFFFF"/>
        </w:rPr>
        <w:t>(12), p.101.</w:t>
      </w:r>
    </w:p>
    <w:p w:rsidR="007C15A8" w:rsidRPr="00712336" w:rsidRDefault="007C15A8" w:rsidP="007C15A8">
      <w:pPr>
        <w:spacing w:after="0" w:line="480" w:lineRule="auto"/>
        <w:jc w:val="both"/>
        <w:rPr>
          <w:rFonts w:ascii="Times New Roman" w:hAnsi="Times New Roman" w:cs="Times New Roman"/>
          <w:sz w:val="24"/>
          <w:szCs w:val="20"/>
          <w:shd w:val="clear" w:color="auto" w:fill="FFFFFF"/>
        </w:rPr>
      </w:pPr>
      <w:r w:rsidRPr="00712336">
        <w:rPr>
          <w:rFonts w:ascii="Times New Roman" w:hAnsi="Times New Roman" w:cs="Times New Roman"/>
          <w:sz w:val="24"/>
          <w:szCs w:val="20"/>
          <w:shd w:val="clear" w:color="auto" w:fill="FFFFFF"/>
        </w:rPr>
        <w:t>Kirkham, R. (2012) Liquidity analysis using cash flow ratios and traditional ratios: The telecommunications sector in Australia, </w:t>
      </w:r>
      <w:r w:rsidRPr="00712336">
        <w:rPr>
          <w:rFonts w:ascii="Times New Roman" w:hAnsi="Times New Roman" w:cs="Times New Roman"/>
          <w:i/>
          <w:iCs/>
          <w:sz w:val="24"/>
          <w:szCs w:val="20"/>
          <w:shd w:val="clear" w:color="auto" w:fill="FFFFFF"/>
        </w:rPr>
        <w:t>The Journal of New Business Ideas &amp; Trends</w:t>
      </w:r>
      <w:r w:rsidRPr="00712336">
        <w:rPr>
          <w:rFonts w:ascii="Times New Roman" w:hAnsi="Times New Roman" w:cs="Times New Roman"/>
          <w:sz w:val="24"/>
          <w:szCs w:val="20"/>
          <w:shd w:val="clear" w:color="auto" w:fill="FFFFFF"/>
        </w:rPr>
        <w:t>, </w:t>
      </w:r>
      <w:r w:rsidRPr="00712336">
        <w:rPr>
          <w:rFonts w:ascii="Times New Roman" w:hAnsi="Times New Roman" w:cs="Times New Roman"/>
          <w:iCs/>
          <w:sz w:val="24"/>
          <w:szCs w:val="20"/>
          <w:shd w:val="clear" w:color="auto" w:fill="FFFFFF"/>
        </w:rPr>
        <w:t>10</w:t>
      </w:r>
      <w:r w:rsidRPr="00712336">
        <w:rPr>
          <w:rFonts w:ascii="Times New Roman" w:hAnsi="Times New Roman" w:cs="Times New Roman"/>
          <w:sz w:val="24"/>
          <w:szCs w:val="20"/>
          <w:shd w:val="clear" w:color="auto" w:fill="FFFFFF"/>
        </w:rPr>
        <w:t>(1), p.1.</w:t>
      </w:r>
    </w:p>
    <w:p w:rsidR="007C15A8" w:rsidRPr="00712336" w:rsidRDefault="007C15A8" w:rsidP="007C15A8">
      <w:pPr>
        <w:spacing w:after="0" w:line="480" w:lineRule="auto"/>
        <w:jc w:val="both"/>
        <w:rPr>
          <w:rFonts w:ascii="Times New Roman" w:hAnsi="Times New Roman" w:cs="Times New Roman"/>
          <w:sz w:val="24"/>
          <w:szCs w:val="20"/>
          <w:shd w:val="clear" w:color="auto" w:fill="FFFFFF"/>
        </w:rPr>
      </w:pPr>
      <w:r w:rsidRPr="00712336">
        <w:rPr>
          <w:rFonts w:ascii="Times New Roman" w:hAnsi="Times New Roman" w:cs="Times New Roman"/>
          <w:sz w:val="24"/>
          <w:szCs w:val="20"/>
          <w:shd w:val="clear" w:color="auto" w:fill="FFFFFF"/>
        </w:rPr>
        <w:t>Levy, H. (2015) </w:t>
      </w:r>
      <w:r w:rsidRPr="00712336">
        <w:rPr>
          <w:rFonts w:ascii="Times New Roman" w:hAnsi="Times New Roman" w:cs="Times New Roman"/>
          <w:i/>
          <w:iCs/>
          <w:sz w:val="24"/>
          <w:szCs w:val="20"/>
          <w:shd w:val="clear" w:color="auto" w:fill="FFFFFF"/>
        </w:rPr>
        <w:t>Stochastic dominance: Investment decision making under uncertainty</w:t>
      </w:r>
      <w:r w:rsidRPr="00712336">
        <w:rPr>
          <w:rFonts w:ascii="Times New Roman" w:hAnsi="Times New Roman" w:cs="Times New Roman"/>
          <w:sz w:val="24"/>
          <w:szCs w:val="20"/>
          <w:shd w:val="clear" w:color="auto" w:fill="FFFFFF"/>
        </w:rPr>
        <w:t>. USA: Springer.</w:t>
      </w:r>
    </w:p>
    <w:p w:rsidR="007C15A8" w:rsidRPr="00712336" w:rsidRDefault="007C15A8" w:rsidP="007C15A8">
      <w:pPr>
        <w:spacing w:after="0" w:line="480" w:lineRule="auto"/>
        <w:jc w:val="both"/>
        <w:rPr>
          <w:rFonts w:ascii="Times New Roman" w:hAnsi="Times New Roman" w:cs="Times New Roman"/>
          <w:sz w:val="24"/>
          <w:szCs w:val="20"/>
          <w:shd w:val="clear" w:color="auto" w:fill="FFFFFF"/>
        </w:rPr>
      </w:pPr>
      <w:r w:rsidRPr="00712336">
        <w:rPr>
          <w:rFonts w:ascii="Times New Roman" w:hAnsi="Times New Roman" w:cs="Times New Roman"/>
          <w:sz w:val="24"/>
          <w:szCs w:val="20"/>
          <w:shd w:val="clear" w:color="auto" w:fill="FFFFFF"/>
        </w:rPr>
        <w:t>Ongore, V.O. and Kusa, G.B. (2013) Determinants of financial performance of commercial banks in Kenya, </w:t>
      </w:r>
      <w:r w:rsidRPr="00712336">
        <w:rPr>
          <w:rFonts w:ascii="Times New Roman" w:hAnsi="Times New Roman" w:cs="Times New Roman"/>
          <w:i/>
          <w:iCs/>
          <w:sz w:val="24"/>
          <w:szCs w:val="20"/>
          <w:shd w:val="clear" w:color="auto" w:fill="FFFFFF"/>
        </w:rPr>
        <w:t>International Journal of Economics and Financial Issues</w:t>
      </w:r>
      <w:r w:rsidRPr="00712336">
        <w:rPr>
          <w:rFonts w:ascii="Times New Roman" w:hAnsi="Times New Roman" w:cs="Times New Roman"/>
          <w:sz w:val="24"/>
          <w:szCs w:val="20"/>
          <w:shd w:val="clear" w:color="auto" w:fill="FFFFFF"/>
        </w:rPr>
        <w:t>, </w:t>
      </w:r>
      <w:r w:rsidRPr="00712336">
        <w:rPr>
          <w:rFonts w:ascii="Times New Roman" w:hAnsi="Times New Roman" w:cs="Times New Roman"/>
          <w:iCs/>
          <w:sz w:val="24"/>
          <w:szCs w:val="20"/>
          <w:shd w:val="clear" w:color="auto" w:fill="FFFFFF"/>
        </w:rPr>
        <w:t>3</w:t>
      </w:r>
      <w:r w:rsidRPr="00712336">
        <w:rPr>
          <w:rFonts w:ascii="Times New Roman" w:hAnsi="Times New Roman" w:cs="Times New Roman"/>
          <w:sz w:val="24"/>
          <w:szCs w:val="20"/>
          <w:shd w:val="clear" w:color="auto" w:fill="FFFFFF"/>
        </w:rPr>
        <w:t>(1), p.237.</w:t>
      </w:r>
    </w:p>
    <w:p w:rsidR="007C15A8" w:rsidRPr="00712336" w:rsidRDefault="007C15A8" w:rsidP="007C15A8">
      <w:pPr>
        <w:spacing w:after="0" w:line="480" w:lineRule="auto"/>
        <w:jc w:val="both"/>
        <w:rPr>
          <w:rFonts w:ascii="Times New Roman" w:hAnsi="Times New Roman" w:cs="Times New Roman"/>
          <w:sz w:val="24"/>
          <w:szCs w:val="20"/>
          <w:shd w:val="clear" w:color="auto" w:fill="FFFFFF"/>
        </w:rPr>
      </w:pPr>
      <w:r w:rsidRPr="00712336">
        <w:rPr>
          <w:rFonts w:ascii="Times New Roman" w:hAnsi="Times New Roman" w:cs="Times New Roman"/>
          <w:sz w:val="24"/>
          <w:szCs w:val="20"/>
          <w:shd w:val="clear" w:color="auto" w:fill="FFFFFF"/>
        </w:rPr>
        <w:t>Seok, O., Ahn, W., Han, M.K. and Ha, M.W. (2012) High on/off current ratio AlGaN/GaN MOS-HEMTs employing RF-sputtered HfO2 gate insulators, </w:t>
      </w:r>
      <w:r w:rsidRPr="00712336">
        <w:rPr>
          <w:rFonts w:ascii="Times New Roman" w:hAnsi="Times New Roman" w:cs="Times New Roman"/>
          <w:i/>
          <w:iCs/>
          <w:sz w:val="24"/>
          <w:szCs w:val="20"/>
          <w:shd w:val="clear" w:color="auto" w:fill="FFFFFF"/>
        </w:rPr>
        <w:t>Semiconductor Science and Technology</w:t>
      </w:r>
      <w:r w:rsidRPr="00712336">
        <w:rPr>
          <w:rFonts w:ascii="Times New Roman" w:hAnsi="Times New Roman" w:cs="Times New Roman"/>
          <w:sz w:val="24"/>
          <w:szCs w:val="20"/>
          <w:shd w:val="clear" w:color="auto" w:fill="FFFFFF"/>
        </w:rPr>
        <w:t>, </w:t>
      </w:r>
      <w:r w:rsidRPr="00712336">
        <w:rPr>
          <w:rFonts w:ascii="Times New Roman" w:hAnsi="Times New Roman" w:cs="Times New Roman"/>
          <w:iCs/>
          <w:sz w:val="24"/>
          <w:szCs w:val="20"/>
          <w:shd w:val="clear" w:color="auto" w:fill="FFFFFF"/>
        </w:rPr>
        <w:t>28</w:t>
      </w:r>
      <w:r w:rsidRPr="00712336">
        <w:rPr>
          <w:rFonts w:ascii="Times New Roman" w:hAnsi="Times New Roman" w:cs="Times New Roman"/>
          <w:sz w:val="24"/>
          <w:szCs w:val="20"/>
          <w:shd w:val="clear" w:color="auto" w:fill="FFFFFF"/>
        </w:rPr>
        <w:t>(2), p.025001.</w:t>
      </w:r>
    </w:p>
    <w:p w:rsidR="007C15A8" w:rsidRPr="00712336" w:rsidRDefault="007C15A8" w:rsidP="007C15A8">
      <w:pPr>
        <w:spacing w:after="0" w:line="480" w:lineRule="auto"/>
        <w:jc w:val="both"/>
        <w:rPr>
          <w:rFonts w:ascii="Times New Roman" w:hAnsi="Times New Roman" w:cs="Times New Roman"/>
          <w:sz w:val="24"/>
          <w:szCs w:val="20"/>
          <w:shd w:val="clear" w:color="auto" w:fill="FFFFFF"/>
        </w:rPr>
      </w:pPr>
      <w:r w:rsidRPr="00712336">
        <w:rPr>
          <w:rFonts w:ascii="Times New Roman" w:hAnsi="Times New Roman" w:cs="Times New Roman"/>
          <w:sz w:val="24"/>
          <w:szCs w:val="20"/>
          <w:shd w:val="clear" w:color="auto" w:fill="FFFFFF"/>
        </w:rPr>
        <w:lastRenderedPageBreak/>
        <w:t>Vogel, H.L. (2014 </w:t>
      </w:r>
      <w:r w:rsidRPr="00712336">
        <w:rPr>
          <w:rFonts w:ascii="Times New Roman" w:hAnsi="Times New Roman" w:cs="Times New Roman"/>
          <w:i/>
          <w:iCs/>
          <w:sz w:val="24"/>
          <w:szCs w:val="20"/>
          <w:shd w:val="clear" w:color="auto" w:fill="FFFFFF"/>
        </w:rPr>
        <w:t>Entertainment industry economics: A guide for financial analysis</w:t>
      </w:r>
      <w:r w:rsidRPr="00712336">
        <w:rPr>
          <w:rFonts w:ascii="Times New Roman" w:hAnsi="Times New Roman" w:cs="Times New Roman"/>
          <w:sz w:val="24"/>
          <w:szCs w:val="20"/>
          <w:shd w:val="clear" w:color="auto" w:fill="FFFFFF"/>
        </w:rPr>
        <w:t>. UK: Cambridge University Press.</w:t>
      </w:r>
    </w:p>
    <w:p w:rsidR="007C15A8" w:rsidRPr="00712336" w:rsidRDefault="007C15A8" w:rsidP="007C15A8">
      <w:pPr>
        <w:spacing w:after="0" w:line="480" w:lineRule="auto"/>
        <w:jc w:val="both"/>
        <w:rPr>
          <w:rFonts w:ascii="Times New Roman" w:hAnsi="Times New Roman" w:cs="Times New Roman"/>
          <w:sz w:val="24"/>
          <w:szCs w:val="20"/>
          <w:shd w:val="clear" w:color="auto" w:fill="FFFFFF"/>
        </w:rPr>
      </w:pPr>
      <w:r w:rsidRPr="00712336">
        <w:rPr>
          <w:rFonts w:ascii="Times New Roman" w:hAnsi="Times New Roman" w:cs="Times New Roman"/>
          <w:sz w:val="24"/>
          <w:szCs w:val="20"/>
          <w:shd w:val="clear" w:color="auto" w:fill="FFFFFF"/>
        </w:rPr>
        <w:t>Welch, I. (2011) Two common problems in capital structure research: The financial</w:t>
      </w:r>
      <w:r w:rsidRPr="00712336">
        <w:rPr>
          <w:rFonts w:ascii="Cambria Math" w:hAnsi="Cambria Math" w:cs="Times New Roman"/>
          <w:sz w:val="24"/>
          <w:szCs w:val="20"/>
          <w:shd w:val="clear" w:color="auto" w:fill="FFFFFF"/>
        </w:rPr>
        <w:t>‐</w:t>
      </w:r>
      <w:r w:rsidRPr="00712336">
        <w:rPr>
          <w:rFonts w:ascii="Times New Roman" w:hAnsi="Times New Roman" w:cs="Times New Roman"/>
          <w:sz w:val="24"/>
          <w:szCs w:val="20"/>
          <w:shd w:val="clear" w:color="auto" w:fill="FFFFFF"/>
        </w:rPr>
        <w:t>debt</w:t>
      </w:r>
      <w:r w:rsidRPr="00712336">
        <w:rPr>
          <w:rFonts w:ascii="Cambria Math" w:hAnsi="Cambria Math" w:cs="Times New Roman"/>
          <w:sz w:val="24"/>
          <w:szCs w:val="20"/>
          <w:shd w:val="clear" w:color="auto" w:fill="FFFFFF"/>
        </w:rPr>
        <w:t>‐</w:t>
      </w:r>
      <w:r w:rsidRPr="00712336">
        <w:rPr>
          <w:rFonts w:ascii="Times New Roman" w:hAnsi="Times New Roman" w:cs="Times New Roman"/>
          <w:sz w:val="24"/>
          <w:szCs w:val="20"/>
          <w:shd w:val="clear" w:color="auto" w:fill="FFFFFF"/>
        </w:rPr>
        <w:t>to</w:t>
      </w:r>
      <w:r w:rsidRPr="00712336">
        <w:rPr>
          <w:rFonts w:ascii="Cambria Math" w:hAnsi="Cambria Math" w:cs="Times New Roman"/>
          <w:sz w:val="24"/>
          <w:szCs w:val="20"/>
          <w:shd w:val="clear" w:color="auto" w:fill="FFFFFF"/>
        </w:rPr>
        <w:t>‐</w:t>
      </w:r>
      <w:r w:rsidRPr="00712336">
        <w:rPr>
          <w:rFonts w:ascii="Times New Roman" w:hAnsi="Times New Roman" w:cs="Times New Roman"/>
          <w:sz w:val="24"/>
          <w:szCs w:val="20"/>
          <w:shd w:val="clear" w:color="auto" w:fill="FFFFFF"/>
        </w:rPr>
        <w:t>asset ratio and issuing activity versus leverage changes, </w:t>
      </w:r>
      <w:r w:rsidRPr="00712336">
        <w:rPr>
          <w:rFonts w:ascii="Times New Roman" w:hAnsi="Times New Roman" w:cs="Times New Roman"/>
          <w:i/>
          <w:iCs/>
          <w:sz w:val="24"/>
          <w:szCs w:val="20"/>
          <w:shd w:val="clear" w:color="auto" w:fill="FFFFFF"/>
        </w:rPr>
        <w:t>International Review of Finance</w:t>
      </w:r>
      <w:r w:rsidRPr="00712336">
        <w:rPr>
          <w:rFonts w:ascii="Times New Roman" w:hAnsi="Times New Roman" w:cs="Times New Roman"/>
          <w:sz w:val="24"/>
          <w:szCs w:val="20"/>
          <w:shd w:val="clear" w:color="auto" w:fill="FFFFFF"/>
        </w:rPr>
        <w:t>, </w:t>
      </w:r>
      <w:r w:rsidRPr="00712336">
        <w:rPr>
          <w:rFonts w:ascii="Times New Roman" w:hAnsi="Times New Roman" w:cs="Times New Roman"/>
          <w:iCs/>
          <w:sz w:val="24"/>
          <w:szCs w:val="20"/>
          <w:shd w:val="clear" w:color="auto" w:fill="FFFFFF"/>
        </w:rPr>
        <w:t>11</w:t>
      </w:r>
      <w:r w:rsidRPr="00712336">
        <w:rPr>
          <w:rFonts w:ascii="Times New Roman" w:hAnsi="Times New Roman" w:cs="Times New Roman"/>
          <w:sz w:val="24"/>
          <w:szCs w:val="20"/>
          <w:shd w:val="clear" w:color="auto" w:fill="FFFFFF"/>
        </w:rPr>
        <w:t>(1), pp.1-17.</w:t>
      </w:r>
    </w:p>
    <w:p w:rsidR="007C15A8" w:rsidRPr="00712336" w:rsidRDefault="007C15A8" w:rsidP="007C15A8">
      <w:pPr>
        <w:spacing w:after="0" w:line="480" w:lineRule="auto"/>
        <w:jc w:val="both"/>
        <w:rPr>
          <w:rFonts w:ascii="Times New Roman" w:hAnsi="Times New Roman" w:cs="Times New Roman"/>
          <w:sz w:val="24"/>
          <w:szCs w:val="20"/>
          <w:shd w:val="clear" w:color="auto" w:fill="FFFFFF"/>
        </w:rPr>
      </w:pPr>
      <w:r w:rsidRPr="00712336">
        <w:rPr>
          <w:rFonts w:ascii="Times New Roman" w:hAnsi="Times New Roman" w:cs="Times New Roman"/>
          <w:sz w:val="24"/>
          <w:szCs w:val="20"/>
          <w:shd w:val="clear" w:color="auto" w:fill="FFFFFF"/>
        </w:rPr>
        <w:t>Yuniningsih, Y., Widodo, S. and Wajdi, M.B.N. (2017) An analysis of Decision Making in the Stock Investment, </w:t>
      </w:r>
      <w:r w:rsidRPr="00712336">
        <w:rPr>
          <w:rFonts w:ascii="Times New Roman" w:hAnsi="Times New Roman" w:cs="Times New Roman"/>
          <w:i/>
          <w:iCs/>
          <w:sz w:val="24"/>
          <w:szCs w:val="20"/>
          <w:shd w:val="clear" w:color="auto" w:fill="FFFFFF"/>
        </w:rPr>
        <w:t>Economic: Journal of Economic and Islamic Law</w:t>
      </w:r>
      <w:r w:rsidRPr="00712336">
        <w:rPr>
          <w:rFonts w:ascii="Times New Roman" w:hAnsi="Times New Roman" w:cs="Times New Roman"/>
          <w:sz w:val="24"/>
          <w:szCs w:val="20"/>
          <w:shd w:val="clear" w:color="auto" w:fill="FFFFFF"/>
        </w:rPr>
        <w:t>, </w:t>
      </w:r>
      <w:r w:rsidRPr="00712336">
        <w:rPr>
          <w:rFonts w:ascii="Times New Roman" w:hAnsi="Times New Roman" w:cs="Times New Roman"/>
          <w:iCs/>
          <w:sz w:val="24"/>
          <w:szCs w:val="20"/>
          <w:shd w:val="clear" w:color="auto" w:fill="FFFFFF"/>
        </w:rPr>
        <w:t>8</w:t>
      </w:r>
      <w:r w:rsidRPr="00712336">
        <w:rPr>
          <w:rFonts w:ascii="Times New Roman" w:hAnsi="Times New Roman" w:cs="Times New Roman"/>
          <w:sz w:val="24"/>
          <w:szCs w:val="20"/>
          <w:shd w:val="clear" w:color="auto" w:fill="FFFFFF"/>
        </w:rPr>
        <w:t>(2), pp.122-128.</w:t>
      </w:r>
    </w:p>
    <w:p w:rsidR="006C5022" w:rsidRPr="00745996"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jc w:val="both"/>
        <w:rPr>
          <w:rFonts w:ascii="Times New Roman" w:hAnsi="Times New Roman"/>
          <w:sz w:val="24"/>
        </w:rPr>
      </w:pPr>
    </w:p>
    <w:p w:rsidR="006C5022" w:rsidRDefault="006C5022" w:rsidP="006C5022">
      <w:pPr>
        <w:spacing w:after="0" w:line="480" w:lineRule="auto"/>
        <w:jc w:val="both"/>
        <w:rPr>
          <w:rFonts w:ascii="Times New Roman" w:hAnsi="Times New Roman"/>
          <w:sz w:val="24"/>
        </w:rPr>
      </w:pPr>
    </w:p>
    <w:p w:rsidR="006C5022" w:rsidRDefault="006C5022" w:rsidP="006C5022">
      <w:pPr>
        <w:spacing w:after="0" w:line="480" w:lineRule="auto"/>
        <w:jc w:val="both"/>
        <w:rPr>
          <w:rFonts w:ascii="Times New Roman" w:hAnsi="Times New Roman"/>
          <w:sz w:val="24"/>
        </w:rPr>
      </w:pPr>
    </w:p>
    <w:p w:rsidR="006C5022" w:rsidRDefault="006C5022" w:rsidP="006C5022">
      <w:pPr>
        <w:spacing w:after="0" w:line="480" w:lineRule="auto"/>
        <w:jc w:val="both"/>
        <w:rPr>
          <w:rFonts w:ascii="Times New Roman" w:hAnsi="Times New Roman"/>
          <w:sz w:val="24"/>
        </w:rPr>
      </w:pPr>
    </w:p>
    <w:p w:rsidR="006C5022" w:rsidRDefault="006C5022" w:rsidP="006C5022">
      <w:pPr>
        <w:spacing w:after="0" w:line="480" w:lineRule="auto"/>
        <w:jc w:val="both"/>
        <w:rPr>
          <w:rFonts w:ascii="Times New Roman" w:hAnsi="Times New Roman"/>
          <w:sz w:val="24"/>
        </w:rPr>
      </w:pPr>
    </w:p>
    <w:p w:rsidR="006C5022" w:rsidRDefault="006C5022" w:rsidP="006C5022">
      <w:pPr>
        <w:spacing w:after="0" w:line="480" w:lineRule="auto"/>
        <w:jc w:val="both"/>
        <w:rPr>
          <w:rFonts w:ascii="Times New Roman" w:hAnsi="Times New Roman"/>
          <w:sz w:val="24"/>
        </w:rPr>
      </w:pPr>
    </w:p>
    <w:p w:rsidR="006C5022"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jc w:val="both"/>
        <w:rPr>
          <w:rFonts w:ascii="Times New Roman" w:hAnsi="Times New Roman"/>
          <w:sz w:val="24"/>
        </w:rPr>
      </w:pPr>
    </w:p>
    <w:p w:rsidR="006C5022" w:rsidRPr="006C5022" w:rsidRDefault="006C5022" w:rsidP="006C5022">
      <w:pPr>
        <w:spacing w:after="0" w:line="480" w:lineRule="auto"/>
        <w:jc w:val="both"/>
        <w:rPr>
          <w:rFonts w:ascii="Times New Roman" w:hAnsi="Times New Roman"/>
          <w:b/>
          <w:bCs/>
          <w:sz w:val="32"/>
          <w:szCs w:val="32"/>
        </w:rPr>
      </w:pPr>
    </w:p>
    <w:p w:rsidR="006C5022" w:rsidRDefault="006C5022" w:rsidP="006C5022">
      <w:pPr>
        <w:spacing w:after="0" w:line="480" w:lineRule="auto"/>
        <w:jc w:val="center"/>
        <w:rPr>
          <w:rFonts w:ascii="Times New Roman" w:hAnsi="Times New Roman"/>
          <w:b/>
          <w:bCs/>
          <w:sz w:val="32"/>
          <w:szCs w:val="32"/>
        </w:rPr>
      </w:pPr>
    </w:p>
    <w:p w:rsidR="006C5022" w:rsidRDefault="006C5022" w:rsidP="006C5022">
      <w:pPr>
        <w:spacing w:after="0" w:line="480" w:lineRule="auto"/>
        <w:jc w:val="center"/>
        <w:rPr>
          <w:rFonts w:ascii="Times New Roman" w:hAnsi="Times New Roman"/>
          <w:b/>
          <w:bCs/>
          <w:sz w:val="32"/>
          <w:szCs w:val="32"/>
        </w:rPr>
      </w:pPr>
    </w:p>
    <w:p w:rsidR="006C5022" w:rsidRDefault="006C5022" w:rsidP="006C5022">
      <w:pPr>
        <w:spacing w:after="0" w:line="480" w:lineRule="auto"/>
        <w:jc w:val="center"/>
        <w:rPr>
          <w:rFonts w:ascii="Times New Roman" w:hAnsi="Times New Roman"/>
          <w:b/>
          <w:bCs/>
          <w:sz w:val="32"/>
          <w:szCs w:val="32"/>
        </w:rPr>
      </w:pPr>
    </w:p>
    <w:p w:rsidR="006C5022" w:rsidRDefault="006C5022" w:rsidP="006C5022">
      <w:pPr>
        <w:spacing w:after="0" w:line="480" w:lineRule="auto"/>
        <w:jc w:val="center"/>
        <w:rPr>
          <w:rFonts w:ascii="Times New Roman" w:hAnsi="Times New Roman"/>
          <w:b/>
          <w:bCs/>
          <w:sz w:val="32"/>
          <w:szCs w:val="32"/>
        </w:rPr>
      </w:pPr>
    </w:p>
    <w:p w:rsidR="006C5022" w:rsidRDefault="006C5022" w:rsidP="006C5022">
      <w:pPr>
        <w:spacing w:after="0" w:line="480" w:lineRule="auto"/>
        <w:jc w:val="center"/>
        <w:rPr>
          <w:rFonts w:ascii="Times New Roman" w:hAnsi="Times New Roman"/>
          <w:b/>
          <w:bCs/>
          <w:sz w:val="32"/>
          <w:szCs w:val="32"/>
        </w:rPr>
      </w:pPr>
    </w:p>
    <w:p w:rsidR="006C5022" w:rsidRPr="006C5022" w:rsidRDefault="006C5022" w:rsidP="006C5022">
      <w:pPr>
        <w:spacing w:after="0" w:line="480" w:lineRule="auto"/>
        <w:jc w:val="center"/>
        <w:rPr>
          <w:rFonts w:ascii="Times New Roman" w:hAnsi="Times New Roman"/>
          <w:b/>
          <w:bCs/>
          <w:sz w:val="32"/>
          <w:szCs w:val="32"/>
        </w:rPr>
      </w:pPr>
      <w:r w:rsidRPr="006C5022">
        <w:rPr>
          <w:rFonts w:ascii="Times New Roman" w:hAnsi="Times New Roman"/>
          <w:b/>
          <w:bCs/>
          <w:sz w:val="32"/>
          <w:szCs w:val="32"/>
        </w:rPr>
        <w:t>Financial Management: Part B</w:t>
      </w:r>
    </w:p>
    <w:p w:rsidR="006C5022" w:rsidRPr="00745996"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rPr>
          <w:rFonts w:ascii="Times New Roman" w:hAnsi="Times New Roman"/>
          <w:sz w:val="24"/>
          <w:szCs w:val="24"/>
        </w:rPr>
      </w:pPr>
      <w:r w:rsidRPr="00745996">
        <w:rPr>
          <w:rFonts w:ascii="Times New Roman" w:hAnsi="Times New Roman"/>
          <w:sz w:val="24"/>
        </w:rPr>
        <w:br w:type="page"/>
      </w:r>
    </w:p>
    <w:p w:rsidR="006C5022" w:rsidRPr="00745996" w:rsidRDefault="006C5022" w:rsidP="006C5022">
      <w:pPr>
        <w:spacing w:after="0" w:line="360" w:lineRule="auto"/>
        <w:rPr>
          <w:rFonts w:ascii="Times New Roman" w:hAnsi="Times New Roman"/>
          <w:sz w:val="24"/>
          <w:szCs w:val="24"/>
        </w:rPr>
      </w:pPr>
    </w:p>
    <w:p w:rsidR="006C5022" w:rsidRPr="00745996" w:rsidRDefault="006C5022" w:rsidP="006C5022">
      <w:pPr>
        <w:spacing w:after="0" w:line="480" w:lineRule="auto"/>
        <w:jc w:val="both"/>
        <w:rPr>
          <w:rFonts w:ascii="Times New Roman" w:hAnsi="Times New Roman"/>
          <w:sz w:val="24"/>
          <w:szCs w:val="24"/>
        </w:rPr>
      </w:pPr>
    </w:p>
    <w:p w:rsidR="006C5022" w:rsidRPr="00745996"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rPr>
          <w:rFonts w:ascii="Times New Roman" w:hAnsi="Times New Roman"/>
          <w:sz w:val="24"/>
        </w:rPr>
      </w:pPr>
    </w:p>
    <w:p w:rsidR="006C5022" w:rsidRPr="00745996" w:rsidRDefault="006C5022" w:rsidP="006C5022">
      <w:pPr>
        <w:pStyle w:val="Heading1"/>
        <w:spacing w:before="0" w:line="480" w:lineRule="auto"/>
        <w:jc w:val="center"/>
        <w:rPr>
          <w:rFonts w:ascii="Times New Roman" w:hAnsi="Times New Roman"/>
          <w:sz w:val="24"/>
        </w:rPr>
      </w:pPr>
      <w:bookmarkStart w:id="3" w:name="_Toc513149428"/>
      <w:r w:rsidRPr="00745996">
        <w:rPr>
          <w:rFonts w:ascii="Times New Roman" w:hAnsi="Times New Roman"/>
          <w:sz w:val="24"/>
        </w:rPr>
        <w:t>Introduction</w:t>
      </w:r>
      <w:bookmarkEnd w:id="3"/>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This report is designed for developing practical knowledge of different techniques and concepts related to financial management. This report will emphasize on usage of capital budgeting techniques like Payback Period, NPV, accounting rate of return or ARR etc for the evaluation of different projects. Further section of report will provide recommendations regarding the selection of most appropriate project with appropriate reasoning behind selection. Main purpose of this report is to develop is to generate knowledge about the theoretical and practical aspects of the selected capital budgeting techniques. For example, it elaborates the knowledge about meaning of different capital budgeting techniques, along with the decision criteria for selection or ranking of the projects. Moreover, it focuses on calculation of NPV, Payback period and ARR for the two projects. The results of PBP, NPV and ARR are evaluated in order to determine most appropriate project for investment. This report is also helpful to understand the advantages and disadvantages of key capital budgeting techniques like NPV technique and the payback period technique. Final section of this report will focus on discussion over different non-financial factors that are required to be considered while performing the investment appraisal process.</w:t>
      </w:r>
    </w:p>
    <w:p w:rsidR="006C5022" w:rsidRPr="00745996"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rPr>
          <w:rFonts w:ascii="Times New Roman" w:hAnsi="Times New Roman"/>
          <w:sz w:val="24"/>
        </w:rPr>
      </w:pPr>
      <w:r w:rsidRPr="00745996">
        <w:rPr>
          <w:rFonts w:ascii="Times New Roman" w:hAnsi="Times New Roman"/>
          <w:sz w:val="24"/>
        </w:rPr>
        <w:br w:type="page"/>
      </w:r>
    </w:p>
    <w:p w:rsidR="006C5022" w:rsidRPr="00745996" w:rsidRDefault="006C5022" w:rsidP="006C5022">
      <w:pPr>
        <w:pStyle w:val="Heading1"/>
        <w:spacing w:before="0" w:line="480" w:lineRule="auto"/>
        <w:rPr>
          <w:rFonts w:ascii="Times New Roman" w:hAnsi="Times New Roman"/>
          <w:sz w:val="24"/>
        </w:rPr>
      </w:pPr>
      <w:bookmarkStart w:id="4" w:name="_Toc513149429"/>
      <w:r w:rsidRPr="00745996">
        <w:rPr>
          <w:rFonts w:ascii="Times New Roman" w:hAnsi="Times New Roman"/>
          <w:sz w:val="24"/>
        </w:rPr>
        <w:lastRenderedPageBreak/>
        <w:t>Part B: Investment Appraisal or Capital Budgeting Analysis</w:t>
      </w:r>
      <w:bookmarkEnd w:id="4"/>
    </w:p>
    <w:p w:rsidR="006C5022" w:rsidRPr="00745996" w:rsidRDefault="006C5022" w:rsidP="006C5022">
      <w:pPr>
        <w:pStyle w:val="Heading1"/>
        <w:spacing w:before="0" w:line="480" w:lineRule="auto"/>
        <w:rPr>
          <w:rFonts w:ascii="Times New Roman" w:hAnsi="Times New Roman"/>
          <w:sz w:val="24"/>
        </w:rPr>
      </w:pPr>
      <w:bookmarkStart w:id="5" w:name="_Toc513149430"/>
      <w:r w:rsidRPr="00745996">
        <w:rPr>
          <w:rFonts w:ascii="Times New Roman" w:hAnsi="Times New Roman"/>
          <w:sz w:val="24"/>
        </w:rPr>
        <w:t>(a) Calculation of Payback Period and Net Present Value</w:t>
      </w:r>
      <w:bookmarkEnd w:id="5"/>
    </w:p>
    <w:p w:rsidR="006C5022" w:rsidRPr="00745996" w:rsidRDefault="006C5022" w:rsidP="006C5022">
      <w:pPr>
        <w:spacing w:after="0" w:line="480" w:lineRule="auto"/>
        <w:jc w:val="both"/>
        <w:rPr>
          <w:rFonts w:ascii="Times New Roman" w:hAnsi="Times New Roman"/>
          <w:b/>
          <w:sz w:val="24"/>
        </w:rPr>
      </w:pPr>
      <w:r w:rsidRPr="00745996">
        <w:rPr>
          <w:rFonts w:ascii="Times New Roman" w:hAnsi="Times New Roman"/>
          <w:b/>
          <w:sz w:val="24"/>
        </w:rPr>
        <w:t>Payback Period:</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Payback period can be defined as the duration of time period that is anticipated to be consumed by a project for the recovery of total of investment being made in it. In other words, payback period refers to that duration of time, in which the project starts earning profits for the investors of project. Decision criteria under Payback Period method is that a project will be accepted in if it meet the expectation of investors regarding payback period (Wiggins, 2014). A project the payback period of which is higher than original life of the project will be immediately rejected. If, there are two or more projects, the higher ranking in selection will be given to projects with lower value of payback period. Following formula can be used for the determination of value of payback period for a project:</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Payback Period = A + B / C</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Where:</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A = year of full recovery</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B = Last negative value in the cumulative cash flows</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C = Value of NCF in next year to recovery</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u w:val="single"/>
        </w:rPr>
        <w:t>Payback Period of Project A</w:t>
      </w:r>
      <w:r w:rsidRPr="00745996">
        <w:rPr>
          <w:rFonts w:ascii="Times New Roman" w:hAnsi="Times New Roman"/>
          <w:sz w:val="24"/>
        </w:rPr>
        <w:t>:</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Following table depicts the calculation of cumulative cash flows for Project A:</w:t>
      </w:r>
    </w:p>
    <w:tbl>
      <w:tblPr>
        <w:tblW w:w="4746" w:type="dxa"/>
        <w:jc w:val="center"/>
        <w:tblInd w:w="93" w:type="dxa"/>
        <w:tblLook w:val="04A0"/>
      </w:tblPr>
      <w:tblGrid>
        <w:gridCol w:w="683"/>
        <w:gridCol w:w="1463"/>
        <w:gridCol w:w="2600"/>
      </w:tblGrid>
      <w:tr w:rsidR="006C5022" w:rsidRPr="00B20CA7" w:rsidTr="00AA334C">
        <w:trPr>
          <w:trHeight w:val="315"/>
          <w:jc w:val="center"/>
        </w:trPr>
        <w:tc>
          <w:tcPr>
            <w:tcW w:w="474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Table for Payback Period for Project A</w:t>
            </w:r>
          </w:p>
        </w:tc>
      </w:tr>
      <w:tr w:rsidR="006C5022" w:rsidRPr="00B20CA7" w:rsidTr="00AA334C">
        <w:trPr>
          <w:trHeight w:val="315"/>
          <w:jc w:val="center"/>
        </w:trPr>
        <w:tc>
          <w:tcPr>
            <w:tcW w:w="6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Year</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Cash Flows</w:t>
            </w:r>
          </w:p>
        </w:tc>
        <w:tc>
          <w:tcPr>
            <w:tcW w:w="2600"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Cumulative Cash Flows</w:t>
            </w:r>
          </w:p>
        </w:tc>
      </w:tr>
      <w:tr w:rsidR="006C5022" w:rsidRPr="00B20CA7" w:rsidTr="00AA334C">
        <w:trPr>
          <w:trHeight w:val="315"/>
          <w:jc w:val="center"/>
        </w:trPr>
        <w:tc>
          <w:tcPr>
            <w:tcW w:w="6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0</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-160000</w:t>
            </w:r>
          </w:p>
        </w:tc>
        <w:tc>
          <w:tcPr>
            <w:tcW w:w="2600"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-160000</w:t>
            </w:r>
          </w:p>
        </w:tc>
      </w:tr>
      <w:tr w:rsidR="006C5022" w:rsidRPr="00B20CA7" w:rsidTr="00AA334C">
        <w:trPr>
          <w:trHeight w:val="315"/>
          <w:jc w:val="center"/>
        </w:trPr>
        <w:tc>
          <w:tcPr>
            <w:tcW w:w="6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1</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45000</w:t>
            </w:r>
          </w:p>
        </w:tc>
        <w:tc>
          <w:tcPr>
            <w:tcW w:w="2600"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-115000</w:t>
            </w:r>
          </w:p>
        </w:tc>
      </w:tr>
      <w:tr w:rsidR="006C5022" w:rsidRPr="00B20CA7" w:rsidTr="00AA334C">
        <w:trPr>
          <w:trHeight w:val="315"/>
          <w:jc w:val="center"/>
        </w:trPr>
        <w:tc>
          <w:tcPr>
            <w:tcW w:w="6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2</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45000</w:t>
            </w:r>
          </w:p>
        </w:tc>
        <w:tc>
          <w:tcPr>
            <w:tcW w:w="2600"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-70000</w:t>
            </w:r>
          </w:p>
        </w:tc>
      </w:tr>
      <w:tr w:rsidR="006C5022" w:rsidRPr="00B20CA7" w:rsidTr="00AA334C">
        <w:trPr>
          <w:trHeight w:val="315"/>
          <w:jc w:val="center"/>
        </w:trPr>
        <w:tc>
          <w:tcPr>
            <w:tcW w:w="6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3</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45000</w:t>
            </w:r>
          </w:p>
        </w:tc>
        <w:tc>
          <w:tcPr>
            <w:tcW w:w="2600"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-25000</w:t>
            </w:r>
          </w:p>
        </w:tc>
      </w:tr>
      <w:tr w:rsidR="006C5022" w:rsidRPr="00B20CA7" w:rsidTr="00AA334C">
        <w:trPr>
          <w:trHeight w:val="315"/>
          <w:jc w:val="center"/>
        </w:trPr>
        <w:tc>
          <w:tcPr>
            <w:tcW w:w="6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45000</w:t>
            </w:r>
          </w:p>
        </w:tc>
        <w:tc>
          <w:tcPr>
            <w:tcW w:w="2600"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20000</w:t>
            </w:r>
          </w:p>
        </w:tc>
      </w:tr>
      <w:tr w:rsidR="006C5022" w:rsidRPr="00B20CA7" w:rsidTr="00AA334C">
        <w:trPr>
          <w:trHeight w:val="315"/>
          <w:jc w:val="center"/>
        </w:trPr>
        <w:tc>
          <w:tcPr>
            <w:tcW w:w="6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lastRenderedPageBreak/>
              <w:t>5</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45000</w:t>
            </w:r>
          </w:p>
        </w:tc>
        <w:tc>
          <w:tcPr>
            <w:tcW w:w="2600"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65000</w:t>
            </w:r>
          </w:p>
        </w:tc>
      </w:tr>
      <w:tr w:rsidR="006C5022" w:rsidRPr="00B20CA7" w:rsidTr="00AA334C">
        <w:trPr>
          <w:trHeight w:val="315"/>
          <w:jc w:val="center"/>
        </w:trPr>
        <w:tc>
          <w:tcPr>
            <w:tcW w:w="6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6</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45000</w:t>
            </w:r>
          </w:p>
        </w:tc>
        <w:tc>
          <w:tcPr>
            <w:tcW w:w="2600"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110000</w:t>
            </w:r>
          </w:p>
        </w:tc>
      </w:tr>
    </w:tbl>
    <w:p w:rsidR="006C5022" w:rsidRPr="00745996"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Payback Period = A + B / C</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4 + 25000/ 45000</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4.55 years or 4 Years and 6.7 months</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u w:val="single"/>
        </w:rPr>
        <w:t>Payback Period of Project B</w:t>
      </w:r>
      <w:r w:rsidRPr="00745996">
        <w:rPr>
          <w:rFonts w:ascii="Times New Roman" w:hAnsi="Times New Roman"/>
          <w:sz w:val="24"/>
        </w:rPr>
        <w:t>:</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Following table presents the calculation of cumulative cash flows for Project B:</w:t>
      </w:r>
    </w:p>
    <w:tbl>
      <w:tblPr>
        <w:tblW w:w="4746" w:type="dxa"/>
        <w:jc w:val="center"/>
        <w:tblInd w:w="93" w:type="dxa"/>
        <w:tblLook w:val="04A0"/>
      </w:tblPr>
      <w:tblGrid>
        <w:gridCol w:w="683"/>
        <w:gridCol w:w="1463"/>
        <w:gridCol w:w="2600"/>
      </w:tblGrid>
      <w:tr w:rsidR="006C5022" w:rsidRPr="00B20CA7" w:rsidTr="00AA334C">
        <w:trPr>
          <w:trHeight w:val="315"/>
          <w:jc w:val="center"/>
        </w:trPr>
        <w:tc>
          <w:tcPr>
            <w:tcW w:w="474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Table for Payback Period for Project B</w:t>
            </w:r>
          </w:p>
        </w:tc>
      </w:tr>
      <w:tr w:rsidR="006C5022" w:rsidRPr="00B20CA7" w:rsidTr="00AA334C">
        <w:trPr>
          <w:trHeight w:val="315"/>
          <w:jc w:val="center"/>
        </w:trPr>
        <w:tc>
          <w:tcPr>
            <w:tcW w:w="6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Year</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Cash Flows</w:t>
            </w:r>
          </w:p>
        </w:tc>
        <w:tc>
          <w:tcPr>
            <w:tcW w:w="2600"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Cumulative Cash Flows</w:t>
            </w:r>
          </w:p>
        </w:tc>
      </w:tr>
      <w:tr w:rsidR="006C5022" w:rsidRPr="00B20CA7" w:rsidTr="00AA334C">
        <w:trPr>
          <w:trHeight w:val="315"/>
          <w:jc w:val="center"/>
        </w:trPr>
        <w:tc>
          <w:tcPr>
            <w:tcW w:w="6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0</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-220000</w:t>
            </w:r>
          </w:p>
        </w:tc>
        <w:tc>
          <w:tcPr>
            <w:tcW w:w="2600"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-220000</w:t>
            </w:r>
          </w:p>
        </w:tc>
      </w:tr>
      <w:tr w:rsidR="006C5022" w:rsidRPr="00B20CA7" w:rsidTr="00AA334C">
        <w:trPr>
          <w:trHeight w:val="315"/>
          <w:jc w:val="center"/>
        </w:trPr>
        <w:tc>
          <w:tcPr>
            <w:tcW w:w="6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1</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60000</w:t>
            </w:r>
          </w:p>
        </w:tc>
        <w:tc>
          <w:tcPr>
            <w:tcW w:w="2600"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-160000</w:t>
            </w:r>
          </w:p>
        </w:tc>
      </w:tr>
      <w:tr w:rsidR="006C5022" w:rsidRPr="00B20CA7" w:rsidTr="00AA334C">
        <w:trPr>
          <w:trHeight w:val="315"/>
          <w:jc w:val="center"/>
        </w:trPr>
        <w:tc>
          <w:tcPr>
            <w:tcW w:w="6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2</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60000</w:t>
            </w:r>
          </w:p>
        </w:tc>
        <w:tc>
          <w:tcPr>
            <w:tcW w:w="2600"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-100000</w:t>
            </w:r>
          </w:p>
        </w:tc>
      </w:tr>
      <w:tr w:rsidR="006C5022" w:rsidRPr="00B20CA7" w:rsidTr="00AA334C">
        <w:trPr>
          <w:trHeight w:val="315"/>
          <w:jc w:val="center"/>
        </w:trPr>
        <w:tc>
          <w:tcPr>
            <w:tcW w:w="6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3</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60000</w:t>
            </w:r>
          </w:p>
        </w:tc>
        <w:tc>
          <w:tcPr>
            <w:tcW w:w="2600"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-40000</w:t>
            </w:r>
          </w:p>
        </w:tc>
      </w:tr>
      <w:tr w:rsidR="006C5022" w:rsidRPr="00B20CA7" w:rsidTr="00AA334C">
        <w:trPr>
          <w:trHeight w:val="315"/>
          <w:jc w:val="center"/>
        </w:trPr>
        <w:tc>
          <w:tcPr>
            <w:tcW w:w="6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60000</w:t>
            </w:r>
          </w:p>
        </w:tc>
        <w:tc>
          <w:tcPr>
            <w:tcW w:w="2600"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20000</w:t>
            </w:r>
          </w:p>
        </w:tc>
      </w:tr>
      <w:tr w:rsidR="006C5022" w:rsidRPr="00B20CA7" w:rsidTr="00AA334C">
        <w:trPr>
          <w:trHeight w:val="315"/>
          <w:jc w:val="center"/>
        </w:trPr>
        <w:tc>
          <w:tcPr>
            <w:tcW w:w="6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5</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60000</w:t>
            </w:r>
          </w:p>
        </w:tc>
        <w:tc>
          <w:tcPr>
            <w:tcW w:w="2600"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80000</w:t>
            </w:r>
          </w:p>
        </w:tc>
      </w:tr>
      <w:tr w:rsidR="006C5022" w:rsidRPr="00B20CA7" w:rsidTr="00AA334C">
        <w:trPr>
          <w:trHeight w:val="315"/>
          <w:jc w:val="center"/>
        </w:trPr>
        <w:tc>
          <w:tcPr>
            <w:tcW w:w="6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6</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60000</w:t>
            </w:r>
          </w:p>
        </w:tc>
        <w:tc>
          <w:tcPr>
            <w:tcW w:w="2600"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140000</w:t>
            </w:r>
          </w:p>
        </w:tc>
      </w:tr>
    </w:tbl>
    <w:p w:rsidR="006C5022" w:rsidRPr="00745996"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Payback Period = A + B / C</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4 + 40000/ 60000</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4.67 years or 4 years and 8 months</w:t>
      </w:r>
    </w:p>
    <w:p w:rsidR="006C5022" w:rsidRPr="00745996" w:rsidRDefault="006C5022" w:rsidP="006C5022">
      <w:pPr>
        <w:spacing w:after="0" w:line="480" w:lineRule="auto"/>
        <w:jc w:val="both"/>
        <w:rPr>
          <w:rFonts w:ascii="Times New Roman" w:hAnsi="Times New Roman"/>
          <w:b/>
          <w:sz w:val="24"/>
        </w:rPr>
      </w:pPr>
      <w:r w:rsidRPr="00745996">
        <w:rPr>
          <w:rFonts w:ascii="Times New Roman" w:hAnsi="Times New Roman"/>
          <w:b/>
          <w:sz w:val="24"/>
        </w:rPr>
        <w:t>Net Present Value (NPV):</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xml:space="preserve">Net present value can be determined by identifying difference between total present value of the cash inflows and total present value of cash outflows. In other words, NPV can be defined as the difference of total present value of cash inflows and the total initial investment. NPV is used as a measure of profitability of a project. The decision criteria under NPV methodology is that a project with positive value of NPV is accepted and a project with negative value of NPV is immediately rejected while talking investment appraisal decisions (McAllister, 2015). If, there </w:t>
      </w:r>
      <w:r w:rsidRPr="00745996">
        <w:rPr>
          <w:rFonts w:ascii="Times New Roman" w:hAnsi="Times New Roman"/>
          <w:sz w:val="24"/>
        </w:rPr>
        <w:lastRenderedPageBreak/>
        <w:t>are two or more projects, then projects with higher value of NPV are given priority ranking in selection. In other words, a project with higher value of will be given priority in selection for investment. The following formula can be used for determination of value of NPV:</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Net Present Value (NPV) = Total Present Value of Cash Inflows – Initial Investment</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Or</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NPV = Total Present Value of Cash Inflows – Total Present Value of Cash Outflows</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u w:val="single"/>
        </w:rPr>
        <w:t>Calculation of NPV for Project A</w:t>
      </w:r>
      <w:r w:rsidRPr="00745996">
        <w:rPr>
          <w:rFonts w:ascii="Times New Roman" w:hAnsi="Times New Roman"/>
          <w:sz w:val="24"/>
        </w:rPr>
        <w:t>:</w:t>
      </w:r>
    </w:p>
    <w:tbl>
      <w:tblPr>
        <w:tblW w:w="8425" w:type="dxa"/>
        <w:jc w:val="center"/>
        <w:tblInd w:w="93" w:type="dxa"/>
        <w:tblLook w:val="04A0"/>
      </w:tblPr>
      <w:tblGrid>
        <w:gridCol w:w="1809"/>
        <w:gridCol w:w="1463"/>
        <w:gridCol w:w="2537"/>
        <w:gridCol w:w="2616"/>
      </w:tblGrid>
      <w:tr w:rsidR="006C5022" w:rsidRPr="00B20CA7" w:rsidTr="00AA334C">
        <w:trPr>
          <w:trHeight w:val="315"/>
          <w:jc w:val="center"/>
        </w:trPr>
        <w:tc>
          <w:tcPr>
            <w:tcW w:w="8425" w:type="dxa"/>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Table Showing calculation of discounted cash flows for Project A</w:t>
            </w:r>
          </w:p>
        </w:tc>
      </w:tr>
      <w:tr w:rsidR="006C5022" w:rsidRPr="00B20CA7" w:rsidTr="00AA334C">
        <w:trPr>
          <w:trHeight w:val="315"/>
          <w:jc w:val="center"/>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Year</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Cash Flows</w:t>
            </w:r>
          </w:p>
        </w:tc>
        <w:tc>
          <w:tcPr>
            <w:tcW w:w="253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Discount Factor @ 7%</w:t>
            </w:r>
          </w:p>
        </w:tc>
        <w:tc>
          <w:tcPr>
            <w:tcW w:w="2616"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Discounted Cash Flows</w:t>
            </w:r>
          </w:p>
        </w:tc>
      </w:tr>
      <w:tr w:rsidR="006C5022" w:rsidRPr="00B20CA7" w:rsidTr="00AA334C">
        <w:trPr>
          <w:trHeight w:val="315"/>
          <w:jc w:val="center"/>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1</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45000</w:t>
            </w:r>
          </w:p>
        </w:tc>
        <w:tc>
          <w:tcPr>
            <w:tcW w:w="253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0.935</w:t>
            </w:r>
          </w:p>
        </w:tc>
        <w:tc>
          <w:tcPr>
            <w:tcW w:w="2616"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42056</w:t>
            </w:r>
          </w:p>
        </w:tc>
      </w:tr>
      <w:tr w:rsidR="006C5022" w:rsidRPr="00B20CA7" w:rsidTr="00AA334C">
        <w:trPr>
          <w:trHeight w:val="315"/>
          <w:jc w:val="center"/>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2</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45000</w:t>
            </w:r>
          </w:p>
        </w:tc>
        <w:tc>
          <w:tcPr>
            <w:tcW w:w="253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0.873</w:t>
            </w:r>
          </w:p>
        </w:tc>
        <w:tc>
          <w:tcPr>
            <w:tcW w:w="2616"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39305</w:t>
            </w:r>
          </w:p>
        </w:tc>
      </w:tr>
      <w:tr w:rsidR="006C5022" w:rsidRPr="00B20CA7" w:rsidTr="00AA334C">
        <w:trPr>
          <w:trHeight w:val="315"/>
          <w:jc w:val="center"/>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3</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45000</w:t>
            </w:r>
          </w:p>
        </w:tc>
        <w:tc>
          <w:tcPr>
            <w:tcW w:w="253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0.816</w:t>
            </w:r>
          </w:p>
        </w:tc>
        <w:tc>
          <w:tcPr>
            <w:tcW w:w="2616"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36733</w:t>
            </w:r>
          </w:p>
        </w:tc>
      </w:tr>
      <w:tr w:rsidR="006C5022" w:rsidRPr="00B20CA7" w:rsidTr="00AA334C">
        <w:trPr>
          <w:trHeight w:val="315"/>
          <w:jc w:val="center"/>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45000</w:t>
            </w:r>
          </w:p>
        </w:tc>
        <w:tc>
          <w:tcPr>
            <w:tcW w:w="253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0.763</w:t>
            </w:r>
          </w:p>
        </w:tc>
        <w:tc>
          <w:tcPr>
            <w:tcW w:w="2616"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34330</w:t>
            </w:r>
          </w:p>
        </w:tc>
      </w:tr>
      <w:tr w:rsidR="006C5022" w:rsidRPr="00B20CA7" w:rsidTr="00AA334C">
        <w:trPr>
          <w:trHeight w:val="315"/>
          <w:jc w:val="center"/>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5</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45000</w:t>
            </w:r>
          </w:p>
        </w:tc>
        <w:tc>
          <w:tcPr>
            <w:tcW w:w="253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0.713</w:t>
            </w:r>
          </w:p>
        </w:tc>
        <w:tc>
          <w:tcPr>
            <w:tcW w:w="2616"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32084</w:t>
            </w:r>
          </w:p>
        </w:tc>
      </w:tr>
      <w:tr w:rsidR="006C5022" w:rsidRPr="00B20CA7" w:rsidTr="00AA334C">
        <w:trPr>
          <w:trHeight w:val="315"/>
          <w:jc w:val="center"/>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6</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45000</w:t>
            </w:r>
          </w:p>
        </w:tc>
        <w:tc>
          <w:tcPr>
            <w:tcW w:w="253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0.666</w:t>
            </w:r>
          </w:p>
        </w:tc>
        <w:tc>
          <w:tcPr>
            <w:tcW w:w="2616"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29985</w:t>
            </w:r>
          </w:p>
        </w:tc>
      </w:tr>
      <w:tr w:rsidR="006C5022" w:rsidRPr="00B20CA7" w:rsidTr="00AA334C">
        <w:trPr>
          <w:trHeight w:val="315"/>
          <w:jc w:val="center"/>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rPr>
                <w:rFonts w:ascii="Times New Roman" w:hAnsi="Times New Roman"/>
                <w:color w:val="000000"/>
                <w:sz w:val="24"/>
                <w:szCs w:val="24"/>
              </w:rPr>
            </w:pPr>
            <w:r w:rsidRPr="00745996">
              <w:rPr>
                <w:rFonts w:ascii="Times New Roman" w:hAnsi="Times New Roman"/>
                <w:color w:val="000000"/>
                <w:sz w:val="24"/>
                <w:szCs w:val="24"/>
              </w:rPr>
              <w:t>Residual Value</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20000</w:t>
            </w:r>
          </w:p>
        </w:tc>
        <w:tc>
          <w:tcPr>
            <w:tcW w:w="253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0.666</w:t>
            </w:r>
          </w:p>
        </w:tc>
        <w:tc>
          <w:tcPr>
            <w:tcW w:w="2616"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13327</w:t>
            </w:r>
          </w:p>
        </w:tc>
      </w:tr>
      <w:tr w:rsidR="006C5022" w:rsidRPr="00B20CA7" w:rsidTr="00AA334C">
        <w:trPr>
          <w:trHeight w:val="315"/>
          <w:jc w:val="center"/>
        </w:trPr>
        <w:tc>
          <w:tcPr>
            <w:tcW w:w="580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Total Present Value of Cash Inflows</w:t>
            </w:r>
          </w:p>
        </w:tc>
        <w:tc>
          <w:tcPr>
            <w:tcW w:w="2616"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227821</w:t>
            </w:r>
          </w:p>
        </w:tc>
      </w:tr>
    </w:tbl>
    <w:p w:rsidR="006C5022" w:rsidRPr="00745996"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Net Present Value (NPV) = Total Present Value of Cash Inflows – Initial Investment</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227821 – 160000</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₤67,821</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u w:val="single"/>
        </w:rPr>
        <w:t>Calculation of NPV for Project B</w:t>
      </w:r>
      <w:r w:rsidRPr="00745996">
        <w:rPr>
          <w:rFonts w:ascii="Times New Roman" w:hAnsi="Times New Roman"/>
          <w:sz w:val="24"/>
        </w:rPr>
        <w:t>:</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Table showing calculation of total present value of cash inflows is as below:</w:t>
      </w:r>
    </w:p>
    <w:tbl>
      <w:tblPr>
        <w:tblW w:w="8425" w:type="dxa"/>
        <w:jc w:val="center"/>
        <w:tblInd w:w="93" w:type="dxa"/>
        <w:tblLook w:val="04A0"/>
      </w:tblPr>
      <w:tblGrid>
        <w:gridCol w:w="1809"/>
        <w:gridCol w:w="1463"/>
        <w:gridCol w:w="2537"/>
        <w:gridCol w:w="2616"/>
      </w:tblGrid>
      <w:tr w:rsidR="006C5022" w:rsidRPr="00B20CA7" w:rsidTr="00AA334C">
        <w:trPr>
          <w:trHeight w:val="315"/>
          <w:jc w:val="center"/>
        </w:trPr>
        <w:tc>
          <w:tcPr>
            <w:tcW w:w="8425" w:type="dxa"/>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Table Showing calculation of discounted cash flows for Project B</w:t>
            </w:r>
          </w:p>
        </w:tc>
      </w:tr>
      <w:tr w:rsidR="006C5022" w:rsidRPr="00B20CA7" w:rsidTr="00AA334C">
        <w:trPr>
          <w:trHeight w:val="315"/>
          <w:jc w:val="center"/>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Year</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Cash Flows</w:t>
            </w:r>
          </w:p>
        </w:tc>
        <w:tc>
          <w:tcPr>
            <w:tcW w:w="253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Discount Factor @ 7%</w:t>
            </w:r>
          </w:p>
        </w:tc>
        <w:tc>
          <w:tcPr>
            <w:tcW w:w="2616"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Discounted Cash Flows</w:t>
            </w:r>
          </w:p>
        </w:tc>
      </w:tr>
      <w:tr w:rsidR="006C5022" w:rsidRPr="00B20CA7" w:rsidTr="00AA334C">
        <w:trPr>
          <w:trHeight w:val="315"/>
          <w:jc w:val="center"/>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1</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60000</w:t>
            </w:r>
          </w:p>
        </w:tc>
        <w:tc>
          <w:tcPr>
            <w:tcW w:w="253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0.935</w:t>
            </w:r>
          </w:p>
        </w:tc>
        <w:tc>
          <w:tcPr>
            <w:tcW w:w="2616"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56075</w:t>
            </w:r>
          </w:p>
        </w:tc>
      </w:tr>
      <w:tr w:rsidR="006C5022" w:rsidRPr="00B20CA7" w:rsidTr="00AA334C">
        <w:trPr>
          <w:trHeight w:val="315"/>
          <w:jc w:val="center"/>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2</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60000</w:t>
            </w:r>
          </w:p>
        </w:tc>
        <w:tc>
          <w:tcPr>
            <w:tcW w:w="253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0.873</w:t>
            </w:r>
          </w:p>
        </w:tc>
        <w:tc>
          <w:tcPr>
            <w:tcW w:w="2616"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52406</w:t>
            </w:r>
          </w:p>
        </w:tc>
      </w:tr>
      <w:tr w:rsidR="006C5022" w:rsidRPr="00B20CA7" w:rsidTr="00AA334C">
        <w:trPr>
          <w:trHeight w:val="315"/>
          <w:jc w:val="center"/>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3</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60000</w:t>
            </w:r>
          </w:p>
        </w:tc>
        <w:tc>
          <w:tcPr>
            <w:tcW w:w="253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0.816</w:t>
            </w:r>
          </w:p>
        </w:tc>
        <w:tc>
          <w:tcPr>
            <w:tcW w:w="2616"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48978</w:t>
            </w:r>
          </w:p>
        </w:tc>
      </w:tr>
      <w:tr w:rsidR="006C5022" w:rsidRPr="00B20CA7" w:rsidTr="00AA334C">
        <w:trPr>
          <w:trHeight w:val="315"/>
          <w:jc w:val="center"/>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60000</w:t>
            </w:r>
          </w:p>
        </w:tc>
        <w:tc>
          <w:tcPr>
            <w:tcW w:w="253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0.763</w:t>
            </w:r>
          </w:p>
        </w:tc>
        <w:tc>
          <w:tcPr>
            <w:tcW w:w="2616"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45774</w:t>
            </w:r>
          </w:p>
        </w:tc>
      </w:tr>
      <w:tr w:rsidR="006C5022" w:rsidRPr="00B20CA7" w:rsidTr="00AA334C">
        <w:trPr>
          <w:trHeight w:val="315"/>
          <w:jc w:val="center"/>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5</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60000</w:t>
            </w:r>
          </w:p>
        </w:tc>
        <w:tc>
          <w:tcPr>
            <w:tcW w:w="253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0.713</w:t>
            </w:r>
          </w:p>
        </w:tc>
        <w:tc>
          <w:tcPr>
            <w:tcW w:w="2616"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42779</w:t>
            </w:r>
          </w:p>
        </w:tc>
      </w:tr>
      <w:tr w:rsidR="006C5022" w:rsidRPr="00B20CA7" w:rsidTr="00AA334C">
        <w:trPr>
          <w:trHeight w:val="315"/>
          <w:jc w:val="center"/>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lastRenderedPageBreak/>
              <w:t>6</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60000</w:t>
            </w:r>
          </w:p>
        </w:tc>
        <w:tc>
          <w:tcPr>
            <w:tcW w:w="253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0.666</w:t>
            </w:r>
          </w:p>
        </w:tc>
        <w:tc>
          <w:tcPr>
            <w:tcW w:w="2616"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39981</w:t>
            </w:r>
          </w:p>
        </w:tc>
      </w:tr>
      <w:tr w:rsidR="006C5022" w:rsidRPr="00B20CA7" w:rsidTr="00AA334C">
        <w:trPr>
          <w:trHeight w:val="315"/>
          <w:jc w:val="center"/>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rPr>
                <w:rFonts w:ascii="Times New Roman" w:hAnsi="Times New Roman"/>
                <w:color w:val="000000"/>
                <w:sz w:val="24"/>
                <w:szCs w:val="24"/>
              </w:rPr>
            </w:pPr>
            <w:r w:rsidRPr="00745996">
              <w:rPr>
                <w:rFonts w:ascii="Times New Roman" w:hAnsi="Times New Roman"/>
                <w:color w:val="000000"/>
                <w:sz w:val="24"/>
                <w:szCs w:val="24"/>
              </w:rPr>
              <w:t>Residual Value</w:t>
            </w:r>
          </w:p>
        </w:tc>
        <w:tc>
          <w:tcPr>
            <w:tcW w:w="146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10000</w:t>
            </w:r>
          </w:p>
        </w:tc>
        <w:tc>
          <w:tcPr>
            <w:tcW w:w="253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0.666</w:t>
            </w:r>
          </w:p>
        </w:tc>
        <w:tc>
          <w:tcPr>
            <w:tcW w:w="2616"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6663</w:t>
            </w:r>
          </w:p>
        </w:tc>
      </w:tr>
      <w:tr w:rsidR="006C5022" w:rsidRPr="00B20CA7" w:rsidTr="00AA334C">
        <w:trPr>
          <w:trHeight w:val="315"/>
          <w:jc w:val="center"/>
        </w:trPr>
        <w:tc>
          <w:tcPr>
            <w:tcW w:w="580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Total Present Value of Cash Inflows</w:t>
            </w:r>
          </w:p>
        </w:tc>
        <w:tc>
          <w:tcPr>
            <w:tcW w:w="2616"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292656</w:t>
            </w:r>
          </w:p>
        </w:tc>
      </w:tr>
    </w:tbl>
    <w:p w:rsidR="006C5022" w:rsidRPr="00745996"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Net Present Value (NPV) = Total Present Value of Cash Inflows – Initial Investment</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292,656 – 220,000</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₤72,656</w:t>
      </w:r>
    </w:p>
    <w:p w:rsidR="006C5022" w:rsidRPr="00745996" w:rsidRDefault="006C5022" w:rsidP="006C5022">
      <w:pPr>
        <w:pStyle w:val="Heading1"/>
        <w:spacing w:before="0" w:line="480" w:lineRule="auto"/>
        <w:jc w:val="both"/>
        <w:rPr>
          <w:rFonts w:ascii="Times New Roman" w:hAnsi="Times New Roman"/>
          <w:sz w:val="24"/>
        </w:rPr>
      </w:pPr>
      <w:bookmarkStart w:id="6" w:name="_Toc513149431"/>
      <w:r w:rsidRPr="00745996">
        <w:rPr>
          <w:rFonts w:ascii="Times New Roman" w:hAnsi="Times New Roman"/>
          <w:sz w:val="24"/>
        </w:rPr>
        <w:t>(b) Determination of Accounting Rate of Return (ARR)</w:t>
      </w:r>
      <w:bookmarkEnd w:id="6"/>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Accounting rate of return or ARR can be defined as the relationship or ratio between accounting profit of an organization for a period and average investment. ARR is used by the financial analysts as a measure of profitability of a project (Needles et al., 2010). Decision criteria under ARR methodology is that a project with higher value of ARR is given preference in selection for investment. The formula of ARR is as below:</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Accounting Rate of Return (ARR) = Average Accounting Profit/ Average Investment</w:t>
      </w:r>
    </w:p>
    <w:p w:rsidR="006C5022" w:rsidRPr="00745996" w:rsidRDefault="006C5022" w:rsidP="006C5022">
      <w:pPr>
        <w:spacing w:after="0" w:line="480" w:lineRule="auto"/>
        <w:jc w:val="both"/>
        <w:rPr>
          <w:rFonts w:ascii="Times New Roman" w:hAnsi="Times New Roman"/>
          <w:b/>
          <w:sz w:val="24"/>
        </w:rPr>
      </w:pPr>
      <w:r w:rsidRPr="00745996">
        <w:rPr>
          <w:rFonts w:ascii="Times New Roman" w:hAnsi="Times New Roman"/>
          <w:b/>
          <w:sz w:val="24"/>
        </w:rPr>
        <w:t xml:space="preserve">Where: </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Average Investment = (Initial Investment + Salvage Value) / 2</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u w:val="single"/>
        </w:rPr>
        <w:t>Calculation of ARR for Project A</w:t>
      </w:r>
      <w:r w:rsidRPr="00745996">
        <w:rPr>
          <w:rFonts w:ascii="Times New Roman" w:hAnsi="Times New Roman"/>
          <w:sz w:val="24"/>
        </w:rPr>
        <w:t>:</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Calculation of Depreciation:</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Depreciation = (Initial Cost – Salvage Value)/ Life in Years</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(160,000 – 20,000)/ 6</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23,333.33</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Table showing calculation of accounting profits is as below:</w:t>
      </w:r>
    </w:p>
    <w:tbl>
      <w:tblPr>
        <w:tblW w:w="7341" w:type="dxa"/>
        <w:jc w:val="center"/>
        <w:tblInd w:w="93" w:type="dxa"/>
        <w:tblLook w:val="04A0"/>
      </w:tblPr>
      <w:tblGrid>
        <w:gridCol w:w="883"/>
        <w:gridCol w:w="943"/>
        <w:gridCol w:w="2747"/>
        <w:gridCol w:w="2768"/>
      </w:tblGrid>
      <w:tr w:rsidR="006C5022" w:rsidRPr="00B20CA7" w:rsidTr="00AA334C">
        <w:trPr>
          <w:trHeight w:val="315"/>
          <w:jc w:val="center"/>
        </w:trPr>
        <w:tc>
          <w:tcPr>
            <w:tcW w:w="7341"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Table showing calculation of accounting profits</w:t>
            </w:r>
          </w:p>
        </w:tc>
      </w:tr>
      <w:tr w:rsidR="006C5022" w:rsidRPr="00B20CA7" w:rsidTr="00AA334C">
        <w:trPr>
          <w:trHeight w:val="315"/>
          <w:jc w:val="center"/>
        </w:trPr>
        <w:tc>
          <w:tcPr>
            <w:tcW w:w="8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rPr>
                <w:rFonts w:ascii="Times New Roman" w:hAnsi="Times New Roman"/>
                <w:color w:val="000000"/>
                <w:sz w:val="24"/>
                <w:szCs w:val="24"/>
              </w:rPr>
            </w:pPr>
            <w:r w:rsidRPr="00745996">
              <w:rPr>
                <w:rFonts w:ascii="Times New Roman" w:hAnsi="Times New Roman"/>
                <w:color w:val="000000"/>
                <w:sz w:val="24"/>
                <w:szCs w:val="24"/>
              </w:rPr>
              <w:t>Years</w:t>
            </w:r>
          </w:p>
        </w:tc>
        <w:tc>
          <w:tcPr>
            <w:tcW w:w="94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rPr>
                <w:rFonts w:ascii="Times New Roman" w:hAnsi="Times New Roman"/>
                <w:color w:val="000000"/>
                <w:sz w:val="24"/>
                <w:szCs w:val="24"/>
              </w:rPr>
            </w:pPr>
            <w:r w:rsidRPr="00745996">
              <w:rPr>
                <w:rFonts w:ascii="Times New Roman" w:hAnsi="Times New Roman"/>
                <w:color w:val="000000"/>
                <w:sz w:val="24"/>
                <w:szCs w:val="24"/>
              </w:rPr>
              <w:t>NCF</w:t>
            </w:r>
          </w:p>
        </w:tc>
        <w:tc>
          <w:tcPr>
            <w:tcW w:w="274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rPr>
                <w:rFonts w:ascii="Times New Roman" w:hAnsi="Times New Roman"/>
                <w:color w:val="000000"/>
                <w:sz w:val="24"/>
                <w:szCs w:val="24"/>
              </w:rPr>
            </w:pPr>
            <w:r w:rsidRPr="00745996">
              <w:rPr>
                <w:rFonts w:ascii="Times New Roman" w:hAnsi="Times New Roman"/>
                <w:color w:val="000000"/>
                <w:sz w:val="24"/>
                <w:szCs w:val="24"/>
              </w:rPr>
              <w:t>Less: Depreciation</w:t>
            </w:r>
          </w:p>
        </w:tc>
        <w:tc>
          <w:tcPr>
            <w:tcW w:w="2768"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rPr>
                <w:rFonts w:ascii="Times New Roman" w:hAnsi="Times New Roman"/>
                <w:color w:val="000000"/>
                <w:sz w:val="24"/>
                <w:szCs w:val="24"/>
              </w:rPr>
            </w:pPr>
            <w:r w:rsidRPr="00745996">
              <w:rPr>
                <w:rFonts w:ascii="Times New Roman" w:hAnsi="Times New Roman"/>
                <w:color w:val="000000"/>
                <w:sz w:val="24"/>
                <w:szCs w:val="24"/>
              </w:rPr>
              <w:t>Accounting Profits</w:t>
            </w:r>
          </w:p>
        </w:tc>
      </w:tr>
      <w:tr w:rsidR="006C5022" w:rsidRPr="00B20CA7" w:rsidTr="00AA334C">
        <w:trPr>
          <w:trHeight w:val="315"/>
          <w:jc w:val="center"/>
        </w:trPr>
        <w:tc>
          <w:tcPr>
            <w:tcW w:w="8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1</w:t>
            </w:r>
          </w:p>
        </w:tc>
        <w:tc>
          <w:tcPr>
            <w:tcW w:w="94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45000</w:t>
            </w:r>
          </w:p>
        </w:tc>
        <w:tc>
          <w:tcPr>
            <w:tcW w:w="274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23333.33</w:t>
            </w:r>
          </w:p>
        </w:tc>
        <w:tc>
          <w:tcPr>
            <w:tcW w:w="2768"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21666.67</w:t>
            </w:r>
          </w:p>
        </w:tc>
      </w:tr>
      <w:tr w:rsidR="006C5022" w:rsidRPr="00B20CA7" w:rsidTr="00AA334C">
        <w:trPr>
          <w:trHeight w:val="315"/>
          <w:jc w:val="center"/>
        </w:trPr>
        <w:tc>
          <w:tcPr>
            <w:tcW w:w="8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w:t>
            </w:r>
          </w:p>
        </w:tc>
        <w:tc>
          <w:tcPr>
            <w:tcW w:w="94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45000</w:t>
            </w:r>
          </w:p>
        </w:tc>
        <w:tc>
          <w:tcPr>
            <w:tcW w:w="274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23333.33</w:t>
            </w:r>
          </w:p>
        </w:tc>
        <w:tc>
          <w:tcPr>
            <w:tcW w:w="2768"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21666.67</w:t>
            </w:r>
          </w:p>
        </w:tc>
      </w:tr>
      <w:tr w:rsidR="006C5022" w:rsidRPr="00B20CA7" w:rsidTr="00AA334C">
        <w:trPr>
          <w:trHeight w:val="315"/>
          <w:jc w:val="center"/>
        </w:trPr>
        <w:tc>
          <w:tcPr>
            <w:tcW w:w="8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lastRenderedPageBreak/>
              <w:t>3</w:t>
            </w:r>
          </w:p>
        </w:tc>
        <w:tc>
          <w:tcPr>
            <w:tcW w:w="94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45000</w:t>
            </w:r>
          </w:p>
        </w:tc>
        <w:tc>
          <w:tcPr>
            <w:tcW w:w="274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23333.33</w:t>
            </w:r>
          </w:p>
        </w:tc>
        <w:tc>
          <w:tcPr>
            <w:tcW w:w="2768"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21666.67</w:t>
            </w:r>
          </w:p>
        </w:tc>
      </w:tr>
      <w:tr w:rsidR="006C5022" w:rsidRPr="00B20CA7" w:rsidTr="00AA334C">
        <w:trPr>
          <w:trHeight w:val="315"/>
          <w:jc w:val="center"/>
        </w:trPr>
        <w:tc>
          <w:tcPr>
            <w:tcW w:w="8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4</w:t>
            </w:r>
          </w:p>
        </w:tc>
        <w:tc>
          <w:tcPr>
            <w:tcW w:w="94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45000</w:t>
            </w:r>
          </w:p>
        </w:tc>
        <w:tc>
          <w:tcPr>
            <w:tcW w:w="274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23333.33</w:t>
            </w:r>
          </w:p>
        </w:tc>
        <w:tc>
          <w:tcPr>
            <w:tcW w:w="2768"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21666.67</w:t>
            </w:r>
          </w:p>
        </w:tc>
      </w:tr>
      <w:tr w:rsidR="006C5022" w:rsidRPr="00B20CA7" w:rsidTr="00AA334C">
        <w:trPr>
          <w:trHeight w:val="315"/>
          <w:jc w:val="center"/>
        </w:trPr>
        <w:tc>
          <w:tcPr>
            <w:tcW w:w="8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5</w:t>
            </w:r>
          </w:p>
        </w:tc>
        <w:tc>
          <w:tcPr>
            <w:tcW w:w="94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45000</w:t>
            </w:r>
          </w:p>
        </w:tc>
        <w:tc>
          <w:tcPr>
            <w:tcW w:w="274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23333.33</w:t>
            </w:r>
          </w:p>
        </w:tc>
        <w:tc>
          <w:tcPr>
            <w:tcW w:w="2768"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21666.67</w:t>
            </w:r>
          </w:p>
        </w:tc>
      </w:tr>
      <w:tr w:rsidR="006C5022" w:rsidRPr="00B20CA7" w:rsidTr="00AA334C">
        <w:trPr>
          <w:trHeight w:val="315"/>
          <w:jc w:val="center"/>
        </w:trPr>
        <w:tc>
          <w:tcPr>
            <w:tcW w:w="8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6</w:t>
            </w:r>
          </w:p>
        </w:tc>
        <w:tc>
          <w:tcPr>
            <w:tcW w:w="94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45000</w:t>
            </w:r>
          </w:p>
        </w:tc>
        <w:tc>
          <w:tcPr>
            <w:tcW w:w="274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23333.33</w:t>
            </w:r>
          </w:p>
        </w:tc>
        <w:tc>
          <w:tcPr>
            <w:tcW w:w="2768"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21666.67</w:t>
            </w:r>
          </w:p>
        </w:tc>
      </w:tr>
      <w:tr w:rsidR="006C5022" w:rsidRPr="00B20CA7" w:rsidTr="00AA334C">
        <w:trPr>
          <w:trHeight w:val="315"/>
          <w:jc w:val="center"/>
        </w:trPr>
        <w:tc>
          <w:tcPr>
            <w:tcW w:w="4573"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Annual Average Accounting Profit</w:t>
            </w:r>
          </w:p>
        </w:tc>
        <w:tc>
          <w:tcPr>
            <w:tcW w:w="2768"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21666.67</w:t>
            </w:r>
          </w:p>
        </w:tc>
      </w:tr>
    </w:tbl>
    <w:p w:rsidR="006C5022" w:rsidRPr="00745996"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Average Investment = (Initial Investment + Salvage Value) / 2</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(160,000 + 20,000)/ 2</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90,000</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Formula of ARR = Average Accounting Profit/ Average Investment</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21,666.67/ 90,000</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0.2407 or 24.07%</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u w:val="single"/>
        </w:rPr>
        <w:t>Calculation of ARR for Project B</w:t>
      </w:r>
      <w:r w:rsidRPr="00745996">
        <w:rPr>
          <w:rFonts w:ascii="Times New Roman" w:hAnsi="Times New Roman"/>
          <w:sz w:val="24"/>
        </w:rPr>
        <w:t>:</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Calculation of Depreciation:</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Depreciation = (Initial Cost – Salvage Value)/ Life in Years</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(220,000 – 10,000)/ 6</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35,000</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Table depicting the calculation of average accounting profit for project B is as below:</w:t>
      </w:r>
    </w:p>
    <w:tbl>
      <w:tblPr>
        <w:tblW w:w="7341" w:type="dxa"/>
        <w:jc w:val="center"/>
        <w:tblInd w:w="93" w:type="dxa"/>
        <w:tblLook w:val="04A0"/>
      </w:tblPr>
      <w:tblGrid>
        <w:gridCol w:w="883"/>
        <w:gridCol w:w="943"/>
        <w:gridCol w:w="2747"/>
        <w:gridCol w:w="2768"/>
      </w:tblGrid>
      <w:tr w:rsidR="006C5022" w:rsidRPr="00B20CA7" w:rsidTr="00AA334C">
        <w:trPr>
          <w:trHeight w:val="315"/>
          <w:jc w:val="center"/>
        </w:trPr>
        <w:tc>
          <w:tcPr>
            <w:tcW w:w="7341"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Table showing calculation of accounting profits: Project B</w:t>
            </w:r>
          </w:p>
        </w:tc>
      </w:tr>
      <w:tr w:rsidR="006C5022" w:rsidRPr="00B20CA7" w:rsidTr="00AA334C">
        <w:trPr>
          <w:trHeight w:val="315"/>
          <w:jc w:val="center"/>
        </w:trPr>
        <w:tc>
          <w:tcPr>
            <w:tcW w:w="8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rPr>
                <w:rFonts w:ascii="Times New Roman" w:hAnsi="Times New Roman"/>
                <w:color w:val="000000"/>
                <w:sz w:val="24"/>
                <w:szCs w:val="24"/>
              </w:rPr>
            </w:pPr>
            <w:r w:rsidRPr="00745996">
              <w:rPr>
                <w:rFonts w:ascii="Times New Roman" w:hAnsi="Times New Roman"/>
                <w:color w:val="000000"/>
                <w:sz w:val="24"/>
                <w:szCs w:val="24"/>
              </w:rPr>
              <w:t>Years</w:t>
            </w:r>
          </w:p>
        </w:tc>
        <w:tc>
          <w:tcPr>
            <w:tcW w:w="94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rPr>
                <w:rFonts w:ascii="Times New Roman" w:hAnsi="Times New Roman"/>
                <w:color w:val="000000"/>
                <w:sz w:val="24"/>
                <w:szCs w:val="24"/>
              </w:rPr>
            </w:pPr>
            <w:r w:rsidRPr="00745996">
              <w:rPr>
                <w:rFonts w:ascii="Times New Roman" w:hAnsi="Times New Roman"/>
                <w:color w:val="000000"/>
                <w:sz w:val="24"/>
                <w:szCs w:val="24"/>
              </w:rPr>
              <w:t>NCF</w:t>
            </w:r>
          </w:p>
        </w:tc>
        <w:tc>
          <w:tcPr>
            <w:tcW w:w="274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rPr>
                <w:rFonts w:ascii="Times New Roman" w:hAnsi="Times New Roman"/>
                <w:color w:val="000000"/>
                <w:sz w:val="24"/>
                <w:szCs w:val="24"/>
              </w:rPr>
            </w:pPr>
            <w:r w:rsidRPr="00745996">
              <w:rPr>
                <w:rFonts w:ascii="Times New Roman" w:hAnsi="Times New Roman"/>
                <w:color w:val="000000"/>
                <w:sz w:val="24"/>
                <w:szCs w:val="24"/>
              </w:rPr>
              <w:t>Less: Depreciation</w:t>
            </w:r>
          </w:p>
        </w:tc>
        <w:tc>
          <w:tcPr>
            <w:tcW w:w="2768"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rPr>
                <w:rFonts w:ascii="Times New Roman" w:hAnsi="Times New Roman"/>
                <w:color w:val="000000"/>
                <w:sz w:val="24"/>
                <w:szCs w:val="24"/>
              </w:rPr>
            </w:pPr>
            <w:r w:rsidRPr="00745996">
              <w:rPr>
                <w:rFonts w:ascii="Times New Roman" w:hAnsi="Times New Roman"/>
                <w:color w:val="000000"/>
                <w:sz w:val="24"/>
                <w:szCs w:val="24"/>
              </w:rPr>
              <w:t>Accounting Profits</w:t>
            </w:r>
          </w:p>
        </w:tc>
      </w:tr>
      <w:tr w:rsidR="006C5022" w:rsidRPr="00B20CA7" w:rsidTr="00AA334C">
        <w:trPr>
          <w:trHeight w:val="315"/>
          <w:jc w:val="center"/>
        </w:trPr>
        <w:tc>
          <w:tcPr>
            <w:tcW w:w="8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1</w:t>
            </w:r>
          </w:p>
        </w:tc>
        <w:tc>
          <w:tcPr>
            <w:tcW w:w="94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60000</w:t>
            </w:r>
          </w:p>
        </w:tc>
        <w:tc>
          <w:tcPr>
            <w:tcW w:w="274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35000</w:t>
            </w:r>
          </w:p>
        </w:tc>
        <w:tc>
          <w:tcPr>
            <w:tcW w:w="2768"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25000</w:t>
            </w:r>
          </w:p>
        </w:tc>
      </w:tr>
      <w:tr w:rsidR="006C5022" w:rsidRPr="00B20CA7" w:rsidTr="00AA334C">
        <w:trPr>
          <w:trHeight w:val="315"/>
          <w:jc w:val="center"/>
        </w:trPr>
        <w:tc>
          <w:tcPr>
            <w:tcW w:w="8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w:t>
            </w:r>
          </w:p>
        </w:tc>
        <w:tc>
          <w:tcPr>
            <w:tcW w:w="94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60000</w:t>
            </w:r>
          </w:p>
        </w:tc>
        <w:tc>
          <w:tcPr>
            <w:tcW w:w="274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35000</w:t>
            </w:r>
          </w:p>
        </w:tc>
        <w:tc>
          <w:tcPr>
            <w:tcW w:w="2768"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25000</w:t>
            </w:r>
          </w:p>
        </w:tc>
      </w:tr>
      <w:tr w:rsidR="006C5022" w:rsidRPr="00B20CA7" w:rsidTr="00AA334C">
        <w:trPr>
          <w:trHeight w:val="315"/>
          <w:jc w:val="center"/>
        </w:trPr>
        <w:tc>
          <w:tcPr>
            <w:tcW w:w="8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3</w:t>
            </w:r>
          </w:p>
        </w:tc>
        <w:tc>
          <w:tcPr>
            <w:tcW w:w="94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60000</w:t>
            </w:r>
          </w:p>
        </w:tc>
        <w:tc>
          <w:tcPr>
            <w:tcW w:w="274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35000</w:t>
            </w:r>
          </w:p>
        </w:tc>
        <w:tc>
          <w:tcPr>
            <w:tcW w:w="2768"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25000</w:t>
            </w:r>
          </w:p>
        </w:tc>
      </w:tr>
      <w:tr w:rsidR="006C5022" w:rsidRPr="00B20CA7" w:rsidTr="00AA334C">
        <w:trPr>
          <w:trHeight w:val="315"/>
          <w:jc w:val="center"/>
        </w:trPr>
        <w:tc>
          <w:tcPr>
            <w:tcW w:w="8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4</w:t>
            </w:r>
          </w:p>
        </w:tc>
        <w:tc>
          <w:tcPr>
            <w:tcW w:w="94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60000</w:t>
            </w:r>
          </w:p>
        </w:tc>
        <w:tc>
          <w:tcPr>
            <w:tcW w:w="274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35000</w:t>
            </w:r>
          </w:p>
        </w:tc>
        <w:tc>
          <w:tcPr>
            <w:tcW w:w="2768"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25000</w:t>
            </w:r>
          </w:p>
        </w:tc>
      </w:tr>
      <w:tr w:rsidR="006C5022" w:rsidRPr="00B20CA7" w:rsidTr="00AA334C">
        <w:trPr>
          <w:trHeight w:val="315"/>
          <w:jc w:val="center"/>
        </w:trPr>
        <w:tc>
          <w:tcPr>
            <w:tcW w:w="8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5</w:t>
            </w:r>
          </w:p>
        </w:tc>
        <w:tc>
          <w:tcPr>
            <w:tcW w:w="94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60000</w:t>
            </w:r>
          </w:p>
        </w:tc>
        <w:tc>
          <w:tcPr>
            <w:tcW w:w="274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35000</w:t>
            </w:r>
          </w:p>
        </w:tc>
        <w:tc>
          <w:tcPr>
            <w:tcW w:w="2768"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25000</w:t>
            </w:r>
          </w:p>
        </w:tc>
      </w:tr>
      <w:tr w:rsidR="006C5022" w:rsidRPr="00B20CA7" w:rsidTr="00AA334C">
        <w:trPr>
          <w:trHeight w:val="315"/>
          <w:jc w:val="center"/>
        </w:trPr>
        <w:tc>
          <w:tcPr>
            <w:tcW w:w="883" w:type="dxa"/>
            <w:tcBorders>
              <w:top w:val="nil"/>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6</w:t>
            </w:r>
          </w:p>
        </w:tc>
        <w:tc>
          <w:tcPr>
            <w:tcW w:w="943"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60000</w:t>
            </w:r>
          </w:p>
        </w:tc>
        <w:tc>
          <w:tcPr>
            <w:tcW w:w="2747"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35000</w:t>
            </w:r>
          </w:p>
        </w:tc>
        <w:tc>
          <w:tcPr>
            <w:tcW w:w="2768"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25000</w:t>
            </w:r>
          </w:p>
        </w:tc>
      </w:tr>
      <w:tr w:rsidR="006C5022" w:rsidRPr="00B20CA7" w:rsidTr="00AA334C">
        <w:trPr>
          <w:trHeight w:val="315"/>
          <w:jc w:val="center"/>
        </w:trPr>
        <w:tc>
          <w:tcPr>
            <w:tcW w:w="4573"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5022" w:rsidRPr="00745996" w:rsidRDefault="006C5022" w:rsidP="00AA334C">
            <w:pPr>
              <w:spacing w:after="0"/>
              <w:jc w:val="center"/>
              <w:rPr>
                <w:rFonts w:ascii="Times New Roman" w:hAnsi="Times New Roman"/>
                <w:color w:val="000000"/>
                <w:sz w:val="24"/>
                <w:szCs w:val="24"/>
              </w:rPr>
            </w:pPr>
            <w:r w:rsidRPr="00745996">
              <w:rPr>
                <w:rFonts w:ascii="Times New Roman" w:hAnsi="Times New Roman"/>
                <w:color w:val="000000"/>
                <w:sz w:val="24"/>
                <w:szCs w:val="24"/>
              </w:rPr>
              <w:t>Annual Average Accounting Profit</w:t>
            </w:r>
          </w:p>
        </w:tc>
        <w:tc>
          <w:tcPr>
            <w:tcW w:w="2768" w:type="dxa"/>
            <w:tcBorders>
              <w:top w:val="nil"/>
              <w:left w:val="nil"/>
              <w:bottom w:val="single" w:sz="4" w:space="0" w:color="auto"/>
              <w:right w:val="single" w:sz="4" w:space="0" w:color="auto"/>
            </w:tcBorders>
            <w:shd w:val="clear" w:color="auto" w:fill="auto"/>
            <w:noWrap/>
            <w:vAlign w:val="bottom"/>
            <w:hideMark/>
          </w:tcPr>
          <w:p w:rsidR="006C5022" w:rsidRPr="00745996" w:rsidRDefault="006C5022" w:rsidP="00AA334C">
            <w:pPr>
              <w:spacing w:after="0"/>
              <w:jc w:val="right"/>
              <w:rPr>
                <w:rFonts w:ascii="Times New Roman" w:hAnsi="Times New Roman"/>
                <w:color w:val="000000"/>
                <w:sz w:val="24"/>
                <w:szCs w:val="24"/>
              </w:rPr>
            </w:pPr>
            <w:r w:rsidRPr="00745996">
              <w:rPr>
                <w:rFonts w:ascii="Times New Roman" w:hAnsi="Times New Roman"/>
                <w:color w:val="000000"/>
                <w:sz w:val="24"/>
                <w:szCs w:val="24"/>
              </w:rPr>
              <w:t>25000</w:t>
            </w:r>
          </w:p>
        </w:tc>
      </w:tr>
    </w:tbl>
    <w:p w:rsidR="006C5022" w:rsidRDefault="006C5022" w:rsidP="006C5022">
      <w:pPr>
        <w:spacing w:after="0" w:line="480" w:lineRule="auto"/>
        <w:jc w:val="both"/>
        <w:rPr>
          <w:rFonts w:ascii="Times New Roman" w:hAnsi="Times New Roman"/>
          <w:sz w:val="24"/>
        </w:rPr>
      </w:pPr>
    </w:p>
    <w:p w:rsidR="006C5022"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lastRenderedPageBreak/>
        <w:t>Average Investment = (Initial Investment + Salvage Value) / 2</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(220,000 + 10,000) / 2</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115,000</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Formula of ARR = Average Accounting Profit/ Average Investment</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25,000/ 115,000</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0.2174 or 21.74%</w:t>
      </w:r>
    </w:p>
    <w:p w:rsidR="006C5022" w:rsidRPr="00745996" w:rsidRDefault="006C5022" w:rsidP="006C5022">
      <w:pPr>
        <w:pStyle w:val="Heading1"/>
        <w:spacing w:before="0" w:line="480" w:lineRule="auto"/>
        <w:jc w:val="both"/>
        <w:rPr>
          <w:rFonts w:ascii="Times New Roman" w:hAnsi="Times New Roman"/>
          <w:sz w:val="24"/>
        </w:rPr>
      </w:pPr>
      <w:bookmarkStart w:id="7" w:name="_Toc513149432"/>
      <w:r w:rsidRPr="00745996">
        <w:rPr>
          <w:rFonts w:ascii="Times New Roman" w:hAnsi="Times New Roman"/>
          <w:sz w:val="24"/>
        </w:rPr>
        <w:t>(c) Evaluation of Results (result of part a and part b) and Recommendations</w:t>
      </w:r>
      <w:bookmarkEnd w:id="7"/>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On the basis of above results, it can be analyzed that payback period of project A is obtained as 4 years and 6.7 months. At the same time, value of payback period Project B is obtained as 4 years and 8 months. So, based on the criteria of payback period, project A is better as compared to project B due to lower value of payback period. The value of NPV of project A is obtained as ₤67,821, which is lower as compared to NPV of project B (i.e. ₤72,656). So, on basis of NPV criteria, project B will be more profitable. From the analysis of results of ARR of project A and B, it can be observed that ARR of project A is obtained as 24.07%. At the same time, value of ARR is obtained as 21.74% for project B (Klonowski, 2014). It signifies that project A is more profitable as compared to project B. It means based on the ARR criteria, project A will be selected for investment. So, from the analysis of overall results of Payback Period, NPV and ARR of project A and B, project A should be selected for investment. Selection of project B can maximize the profitability of the company.</w:t>
      </w:r>
    </w:p>
    <w:p w:rsidR="006C5022" w:rsidRPr="00745996" w:rsidRDefault="006C5022" w:rsidP="006C5022">
      <w:pPr>
        <w:pStyle w:val="Heading1"/>
        <w:spacing w:before="0" w:line="480" w:lineRule="auto"/>
        <w:jc w:val="both"/>
        <w:rPr>
          <w:rFonts w:ascii="Times New Roman" w:hAnsi="Times New Roman"/>
          <w:sz w:val="24"/>
        </w:rPr>
      </w:pPr>
      <w:bookmarkStart w:id="8" w:name="_Toc513149433"/>
      <w:r w:rsidRPr="00745996">
        <w:rPr>
          <w:rFonts w:ascii="Times New Roman" w:hAnsi="Times New Roman"/>
          <w:sz w:val="24"/>
        </w:rPr>
        <w:t>(d) Advantages and Short-comings of Payback Period and NPV Techniques</w:t>
      </w:r>
      <w:bookmarkEnd w:id="8"/>
    </w:p>
    <w:p w:rsidR="006C5022" w:rsidRPr="00745996" w:rsidRDefault="006C5022" w:rsidP="006C5022">
      <w:pPr>
        <w:spacing w:after="0" w:line="480" w:lineRule="auto"/>
        <w:jc w:val="both"/>
        <w:rPr>
          <w:rFonts w:ascii="Times New Roman" w:hAnsi="Times New Roman"/>
          <w:b/>
          <w:sz w:val="24"/>
        </w:rPr>
      </w:pPr>
      <w:r w:rsidRPr="00745996">
        <w:rPr>
          <w:rFonts w:ascii="Times New Roman" w:hAnsi="Times New Roman"/>
          <w:b/>
          <w:sz w:val="24"/>
        </w:rPr>
        <w:t>Payback Period Technique:</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xml:space="preserve">One of the advantages of payback period technique is simplicity of the calculation of analysis. It is quite easy to calculate payback period of a project. If there are two or more projects are </w:t>
      </w:r>
      <w:r w:rsidRPr="00745996">
        <w:rPr>
          <w:rFonts w:ascii="Times New Roman" w:hAnsi="Times New Roman"/>
          <w:sz w:val="24"/>
        </w:rPr>
        <w:lastRenderedPageBreak/>
        <w:t>available with us with similar investment requirement and life period, then a project having shorter value of payback period is preferred and chosen for investment. It is also a positive aspect of payback period technique that it gives weight to liquidity of the project (Brigham and Houston, 2012). The payback period method is suitable in industries that are exposed to high level of uncertainty. It is so because the uncertainty of external environment does not allow business firms to make projection of business for longer tenure. The payback period technique also deals in limited period projection of the cash flows for a project. So, a project with minimum possible value of the payback period is preferred and chosen for investment in such industries.</w:t>
      </w:r>
    </w:p>
    <w:p w:rsidR="006C5022" w:rsidRDefault="006C5022" w:rsidP="006C5022">
      <w:pPr>
        <w:spacing w:after="0" w:line="480" w:lineRule="auto"/>
        <w:jc w:val="both"/>
        <w:rPr>
          <w:rFonts w:ascii="Times New Roman" w:hAnsi="Times New Roman"/>
          <w:sz w:val="24"/>
        </w:rPr>
      </w:pPr>
      <w:r w:rsidRPr="00745996">
        <w:rPr>
          <w:rFonts w:ascii="Times New Roman" w:hAnsi="Times New Roman"/>
          <w:sz w:val="24"/>
        </w:rPr>
        <w:t>There are different disadvantages or shortcomings of Payback period technique. One of the short comings is lack of consideration of the time value of money. In reality, the value of money depreciates with the passage of time. In this context, it becomes important to consider time value of money while conducting investment appraisal process (Wiggins, 2014). So, the capital decision based on payback period cannot said to be optimal in nature for future profitability of project. It is also a shortcoming of payback technique that it ignores the cash flows after payback period. In this context, a project with higher cash flows can be rejected under this technique due to preference to shorter span of payback period (Klonowski, 2014). In other words, it can be said that the payback period ignores the profitability of projects. Apart from this, the payback period does not take into account the return n investment of the projects. Many companies have the criteria of hurdle rate for selection of a project. In this context, the project can only be accepted if the rate of return of project is higher than the hurdle rate. But, the payback period ignore rate of return on investment of the project</w:t>
      </w:r>
    </w:p>
    <w:p w:rsidR="006C5022"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lastRenderedPageBreak/>
        <w:t>.</w:t>
      </w:r>
    </w:p>
    <w:p w:rsidR="006C5022" w:rsidRPr="00745996" w:rsidRDefault="006C5022" w:rsidP="006C5022">
      <w:pPr>
        <w:spacing w:after="0" w:line="480" w:lineRule="auto"/>
        <w:jc w:val="both"/>
        <w:rPr>
          <w:rFonts w:ascii="Times New Roman" w:hAnsi="Times New Roman"/>
          <w:b/>
          <w:sz w:val="24"/>
        </w:rPr>
      </w:pPr>
      <w:r w:rsidRPr="00745996">
        <w:rPr>
          <w:rFonts w:ascii="Times New Roman" w:hAnsi="Times New Roman"/>
          <w:b/>
          <w:sz w:val="24"/>
        </w:rPr>
        <w:t>NPV Technique:</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One of the advantages of NPV method is that it takes into account risk factor of depreciation in the value of money. The time value of money is given importance under this technique. In other words, this method evaluates the present value of future cash flows, so it can provide better judgment regarding future profitability of a project. So, the decisions taken on basis of NPV methodology are more worth full and productive than other techniques like ARR, payback period etc. Along with this, the NPV technique is easy to understand and calculate (Ngwira and Manase, 2016). It is also an advantage of the NPV technique that it takes into account both before cash flow and after cash flow in context of total life of project for the calculation of NPV. At the same time, ranking for selection of project is given according to higher ranking to the projects with higher value of NPV. So, the selection of project through usage of NPV method can maximize the profitability of a company.</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One of the shortcomings of NPV technique is that there is need to take rate of cost of capital of company on basis of guesses or assumption. This rate is used for calculation of present value of the future cash flows. So, if the cost of capital is taken very high, then it may lead to rejection of so many fruitful investment projects in company (Coker, 2011). It is also difficult to adopt NPV technique for comparison of two projects that have different life span (or unequal life). It is also difficult to get accurate results through use of NPV method, if there are two mutually exclusive projects and the amount of investment of these projects is not equal.</w:t>
      </w:r>
    </w:p>
    <w:p w:rsidR="006C5022" w:rsidRPr="00745996" w:rsidRDefault="006C5022" w:rsidP="006C5022">
      <w:pPr>
        <w:pStyle w:val="Heading1"/>
        <w:spacing w:before="0" w:line="480" w:lineRule="auto"/>
        <w:jc w:val="both"/>
        <w:rPr>
          <w:rFonts w:ascii="Times New Roman" w:hAnsi="Times New Roman"/>
          <w:sz w:val="24"/>
        </w:rPr>
      </w:pPr>
      <w:bookmarkStart w:id="9" w:name="_Toc513149434"/>
      <w:r w:rsidRPr="00745996">
        <w:rPr>
          <w:rFonts w:ascii="Times New Roman" w:hAnsi="Times New Roman"/>
          <w:sz w:val="24"/>
        </w:rPr>
        <w:lastRenderedPageBreak/>
        <w:t>(e) Non-financial Factors required to be considered in Investment Appraisal Process</w:t>
      </w:r>
      <w:bookmarkEnd w:id="9"/>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Current and Future Legislation: It is important to evaluate that a proposed investment project is meeting the current and future legislation requirements or not (Bamber and Parry, 2017). Only these projects can be accepted for investment, which comply with the legislation of nation.</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Industry Standards: An investment project can only be accepted by an organization, only if it is effective to meet the industry standards. Industry standards may be related to quality of products or services, and carbon emission criteria etc.</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Protection of Intellectual Property Rights: A company does not select or invest in a project, which may lead to intellectual property rights of any company (Quinn and Strauss, 2017). In other words, only those projects are accepted for investment, which comply with intellectual property laws.</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Business Capabilities: In the selection of a project, the management of companies evaluates the future contribution of a project in future and current business capabilities and productivity of company.</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Employee Morale and Motivation: It is also very important to evaluate future impact of investment in a project over motivation and morale of employees (Bamber and Parry, 2017). A project can lead in decline in motivation and morale of existing staff of organization should be rejected by the organization.</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Business Reputation in Local Community and Industry: The management of companies selects projects for investment that can enhance the business reputation of company in the industry (Quinn and Strauss, 2017). One of the examples of such projects is CSR oriented project, extra ordinary service quality project, staff welfare projects, community involvement project or a project specifically related to the industry.</w:t>
      </w:r>
    </w:p>
    <w:p w:rsidR="006C5022" w:rsidRPr="00745996"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rPr>
          <w:rFonts w:ascii="Times New Roman" w:hAnsi="Times New Roman"/>
          <w:sz w:val="24"/>
        </w:rPr>
      </w:pPr>
      <w:r w:rsidRPr="00745996">
        <w:rPr>
          <w:rFonts w:ascii="Times New Roman" w:hAnsi="Times New Roman"/>
          <w:sz w:val="24"/>
        </w:rPr>
        <w:br w:type="page"/>
      </w:r>
    </w:p>
    <w:p w:rsidR="006C5022" w:rsidRPr="00745996" w:rsidRDefault="006C5022" w:rsidP="006C5022">
      <w:pPr>
        <w:pStyle w:val="Heading1"/>
        <w:spacing w:before="0" w:line="480" w:lineRule="auto"/>
        <w:jc w:val="center"/>
        <w:rPr>
          <w:rFonts w:ascii="Times New Roman" w:hAnsi="Times New Roman"/>
          <w:sz w:val="24"/>
        </w:rPr>
      </w:pPr>
      <w:bookmarkStart w:id="10" w:name="_Toc513149435"/>
      <w:r w:rsidRPr="00745996">
        <w:rPr>
          <w:rFonts w:ascii="Times New Roman" w:hAnsi="Times New Roman"/>
          <w:sz w:val="24"/>
        </w:rPr>
        <w:lastRenderedPageBreak/>
        <w:t>Conclusion</w:t>
      </w:r>
      <w:bookmarkEnd w:id="10"/>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On the basis of above analysis, it can be concluded that payback period can be defined as the time period, which is taken by a project for recovery of total amount of investment. At the same time, NPV can be defined or calculated by subtraction of total investment from the total present value of cash inflows of a project. Both the NPV and payback period techniques are effective for taking investment appraisal decisions. After calculation and analysis of NPV, payback period and ARR, it can be said that project A is better for investment for the company. It is so because value of both NPV is greater for project B as compared to project A. The ARR of project A is higher and the payback period of project A is lower. Still, project B is appropriate for investment, because NPV takes into account time value of money. It means NPV provides real worth of the future cash flows and profitability of a project. So, it would be better for company to make investment in project B for maximization of profitability. It can also be concluded from the analysis of above report that there are different non-financial factors that are considered by management of companies for conducting investment appraisal process such as current and future legislation, industry standards, protection of IP rights, business capabilities, and the business reputation.</w:t>
      </w:r>
    </w:p>
    <w:p w:rsidR="006C5022" w:rsidRPr="00745996" w:rsidRDefault="006C5022" w:rsidP="006C5022">
      <w:pPr>
        <w:spacing w:after="0" w:line="480" w:lineRule="auto"/>
        <w:jc w:val="both"/>
        <w:rPr>
          <w:rFonts w:ascii="Times New Roman" w:hAnsi="Times New Roman"/>
          <w:sz w:val="24"/>
        </w:rPr>
      </w:pPr>
    </w:p>
    <w:p w:rsidR="006C5022" w:rsidRPr="00745996" w:rsidRDefault="006C5022" w:rsidP="006C5022">
      <w:pPr>
        <w:spacing w:after="0" w:line="480" w:lineRule="auto"/>
        <w:rPr>
          <w:rFonts w:ascii="Times New Roman" w:hAnsi="Times New Roman"/>
          <w:sz w:val="24"/>
        </w:rPr>
      </w:pPr>
      <w:r w:rsidRPr="00745996">
        <w:rPr>
          <w:rFonts w:ascii="Times New Roman" w:hAnsi="Times New Roman"/>
          <w:sz w:val="24"/>
        </w:rPr>
        <w:br w:type="page"/>
      </w:r>
    </w:p>
    <w:p w:rsidR="006C5022" w:rsidRPr="00745996" w:rsidRDefault="006C5022" w:rsidP="006C5022">
      <w:pPr>
        <w:pStyle w:val="Heading1"/>
        <w:spacing w:before="0" w:line="480" w:lineRule="auto"/>
        <w:jc w:val="center"/>
        <w:rPr>
          <w:rFonts w:ascii="Times New Roman" w:hAnsi="Times New Roman"/>
          <w:sz w:val="24"/>
        </w:rPr>
      </w:pPr>
      <w:bookmarkStart w:id="11" w:name="_Toc513149436"/>
      <w:r w:rsidRPr="00745996">
        <w:rPr>
          <w:rFonts w:ascii="Times New Roman" w:hAnsi="Times New Roman"/>
          <w:sz w:val="24"/>
        </w:rPr>
        <w:lastRenderedPageBreak/>
        <w:t>References</w:t>
      </w:r>
      <w:bookmarkEnd w:id="11"/>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xml:space="preserve">Bamber, M. and Parry, S. (2017) </w:t>
      </w:r>
      <w:r w:rsidRPr="00745996">
        <w:rPr>
          <w:rFonts w:ascii="Times New Roman" w:hAnsi="Times New Roman"/>
          <w:i/>
          <w:sz w:val="24"/>
        </w:rPr>
        <w:t>Accounting and Finance for Managers: A Decision-Making Approach.</w:t>
      </w:r>
      <w:r w:rsidRPr="00745996">
        <w:rPr>
          <w:rFonts w:ascii="Times New Roman" w:hAnsi="Times New Roman"/>
          <w:sz w:val="24"/>
        </w:rPr>
        <w:t xml:space="preserve"> UK: Kogan Page Publishers.</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xml:space="preserve">Brigham, E.F. and Houston, J.F. (2012) </w:t>
      </w:r>
      <w:r w:rsidRPr="00745996">
        <w:rPr>
          <w:rFonts w:ascii="Times New Roman" w:hAnsi="Times New Roman"/>
          <w:i/>
          <w:sz w:val="24"/>
        </w:rPr>
        <w:t>Fundamentals of Financial Management.</w:t>
      </w:r>
      <w:r w:rsidRPr="00745996">
        <w:rPr>
          <w:rFonts w:ascii="Times New Roman" w:hAnsi="Times New Roman"/>
          <w:sz w:val="24"/>
        </w:rPr>
        <w:t xml:space="preserve"> USA: Cengage Learning.</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xml:space="preserve">Coker, A.K. (2011) </w:t>
      </w:r>
      <w:r w:rsidRPr="00745996">
        <w:rPr>
          <w:rFonts w:ascii="Times New Roman" w:hAnsi="Times New Roman"/>
          <w:i/>
          <w:sz w:val="24"/>
        </w:rPr>
        <w:t>Ludwig's Applied Process Design for Chemical and Petrochemical Plants, Volume 1.</w:t>
      </w:r>
      <w:r w:rsidRPr="00745996">
        <w:rPr>
          <w:rFonts w:ascii="Times New Roman" w:hAnsi="Times New Roman"/>
          <w:sz w:val="24"/>
        </w:rPr>
        <w:t xml:space="preserve"> UK: Elsevier.</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xml:space="preserve">Klonowski, D. (2014) </w:t>
      </w:r>
      <w:r w:rsidRPr="00745996">
        <w:rPr>
          <w:rFonts w:ascii="Times New Roman" w:hAnsi="Times New Roman"/>
          <w:i/>
          <w:sz w:val="24"/>
        </w:rPr>
        <w:t>Strategic Entrepreneurial Finance: From Value Creation to Realization.</w:t>
      </w:r>
      <w:r w:rsidRPr="00745996">
        <w:rPr>
          <w:rFonts w:ascii="Times New Roman" w:hAnsi="Times New Roman"/>
          <w:sz w:val="24"/>
        </w:rPr>
        <w:t xml:space="preserve"> UK: Routledge.</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xml:space="preserve">McAllister, E.W. (2015) </w:t>
      </w:r>
      <w:r w:rsidRPr="00745996">
        <w:rPr>
          <w:rFonts w:ascii="Times New Roman" w:hAnsi="Times New Roman"/>
          <w:i/>
          <w:sz w:val="24"/>
        </w:rPr>
        <w:t>Pipeline Rules of Thumb Handbook: A Manual of Quick, Accurate Solutions to Everyday Pipeline Engineering Problems.</w:t>
      </w:r>
      <w:r w:rsidRPr="00745996">
        <w:rPr>
          <w:rFonts w:ascii="Times New Roman" w:hAnsi="Times New Roman"/>
          <w:sz w:val="24"/>
        </w:rPr>
        <w:t xml:space="preserve"> USA: Gulf Professional Publishing.</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xml:space="preserve">Needles, B.E., Powers, M. and Crosson, S.V. (2010) </w:t>
      </w:r>
      <w:r w:rsidRPr="00745996">
        <w:rPr>
          <w:rFonts w:ascii="Times New Roman" w:hAnsi="Times New Roman"/>
          <w:i/>
          <w:sz w:val="24"/>
        </w:rPr>
        <w:t>Financial and Managerial Accounting.</w:t>
      </w:r>
      <w:r w:rsidRPr="00745996">
        <w:rPr>
          <w:rFonts w:ascii="Times New Roman" w:hAnsi="Times New Roman"/>
          <w:sz w:val="24"/>
        </w:rPr>
        <w:t xml:space="preserve"> USA: Cengage Learning.</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xml:space="preserve">Ngwira, M. and Manase, D. (2016) </w:t>
      </w:r>
      <w:r w:rsidRPr="00745996">
        <w:rPr>
          <w:rFonts w:ascii="Times New Roman" w:hAnsi="Times New Roman"/>
          <w:i/>
          <w:sz w:val="24"/>
        </w:rPr>
        <w:t>Public Sector Property Asset Management.</w:t>
      </w:r>
      <w:r w:rsidRPr="00745996">
        <w:rPr>
          <w:rFonts w:ascii="Times New Roman" w:hAnsi="Times New Roman"/>
          <w:sz w:val="24"/>
        </w:rPr>
        <w:t xml:space="preserve"> USA: John Wiley &amp; Sons.</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xml:space="preserve">Quinn, M. and Strauss, E. (2017) </w:t>
      </w:r>
      <w:r w:rsidRPr="00745996">
        <w:rPr>
          <w:rFonts w:ascii="Times New Roman" w:hAnsi="Times New Roman"/>
          <w:i/>
          <w:sz w:val="24"/>
        </w:rPr>
        <w:t>The Routledge Companion to Accounting Information Systems.</w:t>
      </w:r>
      <w:r w:rsidRPr="00745996">
        <w:rPr>
          <w:rFonts w:ascii="Times New Roman" w:hAnsi="Times New Roman"/>
          <w:sz w:val="24"/>
        </w:rPr>
        <w:t xml:space="preserve"> UK: Routledge.</w:t>
      </w:r>
    </w:p>
    <w:p w:rsidR="006C5022" w:rsidRPr="00745996" w:rsidRDefault="006C5022" w:rsidP="006C5022">
      <w:pPr>
        <w:spacing w:after="0" w:line="480" w:lineRule="auto"/>
        <w:jc w:val="both"/>
        <w:rPr>
          <w:rFonts w:ascii="Times New Roman" w:hAnsi="Times New Roman"/>
          <w:sz w:val="24"/>
        </w:rPr>
      </w:pPr>
      <w:r w:rsidRPr="00745996">
        <w:rPr>
          <w:rFonts w:ascii="Times New Roman" w:hAnsi="Times New Roman"/>
          <w:sz w:val="24"/>
        </w:rPr>
        <w:t xml:space="preserve">Wiggins, J.M. (2014) </w:t>
      </w:r>
      <w:r w:rsidRPr="00745996">
        <w:rPr>
          <w:rFonts w:ascii="Times New Roman" w:hAnsi="Times New Roman"/>
          <w:i/>
          <w:sz w:val="24"/>
        </w:rPr>
        <w:t>Facilities Manager's Desk Reference.</w:t>
      </w:r>
      <w:r w:rsidRPr="00745996">
        <w:rPr>
          <w:rFonts w:ascii="Times New Roman" w:hAnsi="Times New Roman"/>
          <w:sz w:val="24"/>
        </w:rPr>
        <w:t xml:space="preserve"> USA: John Wiley &amp; Sons.</w:t>
      </w:r>
    </w:p>
    <w:tbl>
      <w:tblPr>
        <w:tblW w:w="12163" w:type="dxa"/>
        <w:tblInd w:w="93" w:type="dxa"/>
        <w:tblLook w:val="04A0"/>
      </w:tblPr>
      <w:tblGrid>
        <w:gridCol w:w="960"/>
        <w:gridCol w:w="960"/>
        <w:gridCol w:w="1503"/>
        <w:gridCol w:w="1630"/>
        <w:gridCol w:w="2360"/>
        <w:gridCol w:w="2320"/>
        <w:gridCol w:w="960"/>
        <w:gridCol w:w="960"/>
        <w:gridCol w:w="960"/>
      </w:tblGrid>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180" w:type="dxa"/>
            <w:tcBorders>
              <w:top w:val="nil"/>
              <w:left w:val="nil"/>
              <w:bottom w:val="nil"/>
              <w:right w:val="nil"/>
            </w:tcBorders>
            <w:shd w:val="clear" w:color="auto" w:fill="auto"/>
            <w:noWrap/>
            <w:vAlign w:val="bottom"/>
            <w:hideMark/>
          </w:tcPr>
          <w:p w:rsidR="006C5022" w:rsidRDefault="006C5022" w:rsidP="006C5022">
            <w:pPr>
              <w:spacing w:after="0" w:line="240" w:lineRule="auto"/>
              <w:rPr>
                <w:rFonts w:ascii="Times New Roman" w:eastAsia="Times New Roman" w:hAnsi="Times New Roman" w:cs="Times New Roman"/>
                <w:color w:val="000000"/>
                <w:sz w:val="24"/>
                <w:szCs w:val="24"/>
                <w:lang w:bidi="gu-IN"/>
              </w:rPr>
            </w:pPr>
          </w:p>
          <w:p w:rsidR="006C5022" w:rsidRDefault="006C5022" w:rsidP="006C5022">
            <w:pPr>
              <w:spacing w:after="0" w:line="240" w:lineRule="auto"/>
              <w:rPr>
                <w:rFonts w:ascii="Times New Roman" w:eastAsia="Times New Roman" w:hAnsi="Times New Roman" w:cs="Times New Roman"/>
                <w:color w:val="000000"/>
                <w:sz w:val="24"/>
                <w:szCs w:val="24"/>
                <w:lang w:bidi="gu-IN"/>
              </w:rPr>
            </w:pPr>
          </w:p>
          <w:p w:rsidR="006C5022" w:rsidRDefault="006C5022" w:rsidP="006C5022">
            <w:pPr>
              <w:spacing w:after="0" w:line="240" w:lineRule="auto"/>
              <w:rPr>
                <w:rFonts w:ascii="Times New Roman" w:eastAsia="Times New Roman" w:hAnsi="Times New Roman" w:cs="Times New Roman"/>
                <w:color w:val="000000"/>
                <w:sz w:val="24"/>
                <w:szCs w:val="24"/>
                <w:lang w:bidi="gu-IN"/>
              </w:rPr>
            </w:pPr>
          </w:p>
          <w:p w:rsidR="006C5022" w:rsidRDefault="006C5022" w:rsidP="006C5022">
            <w:pPr>
              <w:spacing w:after="0" w:line="240" w:lineRule="auto"/>
              <w:rPr>
                <w:rFonts w:ascii="Times New Roman" w:eastAsia="Times New Roman" w:hAnsi="Times New Roman" w:cs="Times New Roman"/>
                <w:color w:val="000000"/>
                <w:sz w:val="24"/>
                <w:szCs w:val="24"/>
                <w:lang w:bidi="gu-IN"/>
              </w:rPr>
            </w:pPr>
          </w:p>
          <w:p w:rsidR="006C5022" w:rsidRDefault="006C5022" w:rsidP="00E00A5D">
            <w:pPr>
              <w:pStyle w:val="Heading1"/>
              <w:rPr>
                <w:rFonts w:ascii="Times New Roman" w:eastAsia="Times New Roman" w:hAnsi="Times New Roman" w:cs="Times New Roman"/>
                <w:b w:val="0"/>
                <w:bCs w:val="0"/>
                <w:color w:val="000000"/>
                <w:sz w:val="24"/>
                <w:szCs w:val="24"/>
                <w:lang w:bidi="gu-IN"/>
              </w:rPr>
            </w:pPr>
          </w:p>
          <w:p w:rsidR="00E00A5D" w:rsidRDefault="00E00A5D" w:rsidP="00E00A5D">
            <w:pPr>
              <w:rPr>
                <w:lang w:bidi="gu-IN"/>
              </w:rPr>
            </w:pPr>
          </w:p>
          <w:p w:rsidR="00E00A5D" w:rsidRPr="00E00A5D" w:rsidRDefault="00E00A5D" w:rsidP="00E00A5D">
            <w:pPr>
              <w:rPr>
                <w:lang w:bidi="gu-IN"/>
              </w:rPr>
            </w:pPr>
          </w:p>
          <w:p w:rsidR="006C5022" w:rsidRDefault="00E00A5D" w:rsidP="00E00A5D">
            <w:pPr>
              <w:pStyle w:val="Heading1"/>
              <w:rPr>
                <w:rFonts w:eastAsia="Times New Roman"/>
                <w:sz w:val="32"/>
                <w:szCs w:val="32"/>
                <w:lang w:bidi="gu-IN"/>
              </w:rPr>
            </w:pPr>
            <w:r w:rsidRPr="00E00A5D">
              <w:rPr>
                <w:rFonts w:eastAsia="Times New Roman"/>
                <w:sz w:val="32"/>
                <w:szCs w:val="32"/>
                <w:lang w:bidi="gu-IN"/>
              </w:rPr>
              <w:lastRenderedPageBreak/>
              <w:t>Appendix</w:t>
            </w:r>
          </w:p>
          <w:p w:rsidR="00E00A5D" w:rsidRPr="00E00A5D" w:rsidRDefault="00E00A5D" w:rsidP="00E00A5D">
            <w:pPr>
              <w:rPr>
                <w:lang w:bidi="gu-IN"/>
              </w:rPr>
            </w:pPr>
          </w:p>
        </w:tc>
        <w:tc>
          <w:tcPr>
            <w:tcW w:w="23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12163" w:type="dxa"/>
            <w:gridSpan w:val="9"/>
            <w:tcBorders>
              <w:top w:val="single" w:sz="4" w:space="0" w:color="auto"/>
              <w:left w:val="single" w:sz="4" w:space="0" w:color="auto"/>
              <w:bottom w:val="single" w:sz="4" w:space="0" w:color="auto"/>
              <w:right w:val="single" w:sz="4" w:space="0" w:color="000000"/>
            </w:tcBorders>
            <w:shd w:val="clear" w:color="000000" w:fill="D8D8D8"/>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lastRenderedPageBreak/>
              <w:t>Part B: question (a)</w:t>
            </w: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18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5043"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Table for Payback Period for Project A</w:t>
            </w: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Year</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Cash Flows</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Cumulative Cash Flows</w:t>
            </w: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0</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-160000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-160000</w:t>
            </w: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1</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45000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-115000</w:t>
            </w: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45000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-70000</w:t>
            </w: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3</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45000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-25000</w:t>
            </w: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45000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20000</w:t>
            </w: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5</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45000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65000</w:t>
            </w: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45000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110000</w:t>
            </w: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18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18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5043"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Table for Payback Period for Project B</w:t>
            </w: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Year</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Cash Flows</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Cumulative Cash Flows</w:t>
            </w: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0</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-220000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-220000</w:t>
            </w: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1</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-160000</w:t>
            </w: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-100000</w:t>
            </w: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3</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-40000</w:t>
            </w: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20000</w:t>
            </w: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5</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80000</w:t>
            </w: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140000</w:t>
            </w: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18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18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7363" w:type="dxa"/>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Table Showing calculation of discounted cash flows for Project A</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Year</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Cash Flows</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Discount Factor @ 7%</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Discounted Cash Flows</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1</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45000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0.935</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42056</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45000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0.873</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39305</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3</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45000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0.816</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36733</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45000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0.763</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34330</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5</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45000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0.713</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32084</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45000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0.666</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29985</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Residual Value</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0.666</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13327</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5043"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Total Present Value of Cash Inflows</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227821</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18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18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7363" w:type="dxa"/>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Table Showing calculation of discounted cash flows for Project B</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Year</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Cash Flows</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Discount Factor @ 7%</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Discounted Cash Flows</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1</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0.935</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56075</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0.873</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52406</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3</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0.816</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48978</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0.763</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45774</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5</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0.713</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42779</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0.666</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39981</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Residual Value</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10000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0.666</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6663</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5043"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Total Present Value of Cash Inflows</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292656</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18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12163" w:type="dxa"/>
            <w:gridSpan w:val="9"/>
            <w:tcBorders>
              <w:top w:val="single" w:sz="4" w:space="0" w:color="auto"/>
              <w:left w:val="single" w:sz="4" w:space="0" w:color="auto"/>
              <w:bottom w:val="single" w:sz="4" w:space="0" w:color="auto"/>
              <w:right w:val="single" w:sz="4" w:space="0" w:color="000000"/>
            </w:tcBorders>
            <w:shd w:val="clear" w:color="000000" w:fill="D8D8D8"/>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Part B: question (b)</w:t>
            </w: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18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736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Table showing calculation of accounting profits: Project A</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Years</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NCF</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Less: Depreciation</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Accounting Profits</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1</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45000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23333.33</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21666.67</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45000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23333.33</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21666.67</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3</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45000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23333.33</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21666.67</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45000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23333.33</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21666.67</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5</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45000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23333.33</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21666.67</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45000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23333.33</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21666.67</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5043"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Annual Average Accounting Profit</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21666.67</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18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18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736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Table showing calculation of accounting profits: Project B</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Years</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NCF</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Less: Depreciation</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Accounting Profits</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1</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35000</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25000</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35000</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25000</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3</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35000</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25000</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4</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35000</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25000</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5</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35000</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25000</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w:t>
            </w:r>
          </w:p>
        </w:tc>
        <w:tc>
          <w:tcPr>
            <w:tcW w:w="118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60000</w:t>
            </w:r>
          </w:p>
        </w:tc>
        <w:tc>
          <w:tcPr>
            <w:tcW w:w="236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35000</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25000</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5043"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center"/>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Annual Average Accounting Profit</w:t>
            </w:r>
          </w:p>
        </w:tc>
        <w:tc>
          <w:tcPr>
            <w:tcW w:w="2320" w:type="dxa"/>
            <w:tcBorders>
              <w:top w:val="nil"/>
              <w:left w:val="nil"/>
              <w:bottom w:val="single" w:sz="4" w:space="0" w:color="auto"/>
              <w:right w:val="single" w:sz="4" w:space="0" w:color="auto"/>
            </w:tcBorders>
            <w:shd w:val="clear" w:color="auto" w:fill="auto"/>
            <w:noWrap/>
            <w:vAlign w:val="bottom"/>
            <w:hideMark/>
          </w:tcPr>
          <w:p w:rsidR="006C5022" w:rsidRPr="006C5022" w:rsidRDefault="006C5022" w:rsidP="006C5022">
            <w:pPr>
              <w:spacing w:after="0" w:line="240" w:lineRule="auto"/>
              <w:jc w:val="right"/>
              <w:rPr>
                <w:rFonts w:ascii="Times New Roman" w:eastAsia="Times New Roman" w:hAnsi="Times New Roman" w:cs="Times New Roman"/>
                <w:color w:val="000000"/>
                <w:sz w:val="24"/>
                <w:szCs w:val="24"/>
                <w:lang w:bidi="gu-IN"/>
              </w:rPr>
            </w:pPr>
            <w:r w:rsidRPr="006C5022">
              <w:rPr>
                <w:rFonts w:ascii="Times New Roman" w:eastAsia="Times New Roman" w:hAnsi="Times New Roman" w:cs="Times New Roman"/>
                <w:color w:val="000000"/>
                <w:sz w:val="24"/>
                <w:szCs w:val="24"/>
                <w:lang w:bidi="gu-IN"/>
              </w:rPr>
              <w:t>25000</w:t>
            </w: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r w:rsidR="006C5022" w:rsidRPr="006C5022" w:rsidTr="006C5022">
        <w:trPr>
          <w:trHeight w:val="315"/>
        </w:trPr>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503"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118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232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c>
          <w:tcPr>
            <w:tcW w:w="960" w:type="dxa"/>
            <w:tcBorders>
              <w:top w:val="nil"/>
              <w:left w:val="nil"/>
              <w:bottom w:val="nil"/>
              <w:right w:val="nil"/>
            </w:tcBorders>
            <w:shd w:val="clear" w:color="auto" w:fill="auto"/>
            <w:noWrap/>
            <w:vAlign w:val="bottom"/>
            <w:hideMark/>
          </w:tcPr>
          <w:p w:rsidR="006C5022" w:rsidRPr="006C5022" w:rsidRDefault="006C5022" w:rsidP="006C5022">
            <w:pPr>
              <w:spacing w:after="0" w:line="240" w:lineRule="auto"/>
              <w:rPr>
                <w:rFonts w:ascii="Times New Roman" w:eastAsia="Times New Roman" w:hAnsi="Times New Roman" w:cs="Times New Roman"/>
                <w:color w:val="000000"/>
                <w:sz w:val="24"/>
                <w:szCs w:val="24"/>
                <w:lang w:bidi="gu-IN"/>
              </w:rPr>
            </w:pPr>
          </w:p>
        </w:tc>
      </w:tr>
    </w:tbl>
    <w:p w:rsidR="007C15A8" w:rsidRPr="007C15A8" w:rsidRDefault="007C15A8" w:rsidP="007C15A8">
      <w:pPr>
        <w:spacing w:after="0" w:line="480" w:lineRule="auto"/>
        <w:jc w:val="both"/>
      </w:pPr>
    </w:p>
    <w:sectPr w:rsidR="007C15A8" w:rsidRPr="007C15A8" w:rsidSect="00B35434">
      <w:head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92DBF" w:rsidRDefault="00292DBF" w:rsidP="00217146">
      <w:pPr>
        <w:spacing w:after="0" w:line="240" w:lineRule="auto"/>
      </w:pPr>
      <w:r>
        <w:separator/>
      </w:r>
    </w:p>
  </w:endnote>
  <w:endnote w:type="continuationSeparator" w:id="1">
    <w:p w:rsidR="00292DBF" w:rsidRDefault="00292DBF" w:rsidP="0021714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A00002EF" w:usb1="420020E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92DBF" w:rsidRDefault="00292DBF" w:rsidP="00217146">
      <w:pPr>
        <w:spacing w:after="0" w:line="240" w:lineRule="auto"/>
      </w:pPr>
      <w:r>
        <w:separator/>
      </w:r>
    </w:p>
  </w:footnote>
  <w:footnote w:type="continuationSeparator" w:id="1">
    <w:p w:rsidR="00292DBF" w:rsidRDefault="00292DBF" w:rsidP="0021714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3845" w:rsidRDefault="00993845">
    <w:pPr>
      <w:pStyle w:val="Header"/>
      <w:jc w:val="right"/>
    </w:pPr>
    <w:r w:rsidRPr="00E942FA">
      <w:rPr>
        <w:rFonts w:ascii="Times New Roman" w:hAnsi="Times New Roman" w:cs="Times New Roman"/>
      </w:rPr>
      <w:t xml:space="preserve">Financial Management     </w:t>
    </w:r>
    <w:sdt>
      <w:sdtPr>
        <w:rPr>
          <w:rFonts w:ascii="Times New Roman" w:hAnsi="Times New Roman" w:cs="Times New Roman"/>
        </w:rPr>
        <w:id w:val="29528563"/>
        <w:docPartObj>
          <w:docPartGallery w:val="Page Numbers (Top of Page)"/>
          <w:docPartUnique/>
        </w:docPartObj>
      </w:sdtPr>
      <w:sdtEndPr>
        <w:rPr>
          <w:rFonts w:asciiTheme="minorHAnsi" w:hAnsiTheme="minorHAnsi" w:cstheme="minorBidi"/>
        </w:rPr>
      </w:sdtEndPr>
      <w:sdtContent>
        <w:r w:rsidR="00685D7F" w:rsidRPr="00E942FA">
          <w:rPr>
            <w:rFonts w:ascii="Times New Roman" w:hAnsi="Times New Roman" w:cs="Times New Roman"/>
          </w:rPr>
          <w:fldChar w:fldCharType="begin"/>
        </w:r>
        <w:r w:rsidRPr="00E942FA">
          <w:rPr>
            <w:rFonts w:ascii="Times New Roman" w:hAnsi="Times New Roman" w:cs="Times New Roman"/>
          </w:rPr>
          <w:instrText xml:space="preserve"> PAGE   \* MERGEFORMAT </w:instrText>
        </w:r>
        <w:r w:rsidR="00685D7F" w:rsidRPr="00E942FA">
          <w:rPr>
            <w:rFonts w:ascii="Times New Roman" w:hAnsi="Times New Roman" w:cs="Times New Roman"/>
          </w:rPr>
          <w:fldChar w:fldCharType="separate"/>
        </w:r>
        <w:r w:rsidR="00E00A5D">
          <w:rPr>
            <w:rFonts w:ascii="Times New Roman" w:hAnsi="Times New Roman" w:cs="Times New Roman"/>
            <w:noProof/>
          </w:rPr>
          <w:t>40</w:t>
        </w:r>
        <w:r w:rsidR="00685D7F" w:rsidRPr="00E942FA">
          <w:rPr>
            <w:rFonts w:ascii="Times New Roman" w:hAnsi="Times New Roman" w:cs="Times New Roman"/>
          </w:rPr>
          <w:fldChar w:fldCharType="end"/>
        </w:r>
      </w:sdtContent>
    </w:sdt>
  </w:p>
  <w:p w:rsidR="00993845" w:rsidRDefault="0099384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AA1332"/>
    <w:multiLevelType w:val="hybridMultilevel"/>
    <w:tmpl w:val="02DE6268"/>
    <w:lvl w:ilvl="0" w:tplc="2538617A">
      <w:start w:val="1"/>
      <w:numFmt w:val="upp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67C07DF1"/>
    <w:multiLevelType w:val="hybridMultilevel"/>
    <w:tmpl w:val="2396AECA"/>
    <w:lvl w:ilvl="0" w:tplc="04090017">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643A4"/>
    <w:rsid w:val="000314AE"/>
    <w:rsid w:val="00056972"/>
    <w:rsid w:val="000E66DA"/>
    <w:rsid w:val="00111AB6"/>
    <w:rsid w:val="00124A69"/>
    <w:rsid w:val="00134578"/>
    <w:rsid w:val="00146522"/>
    <w:rsid w:val="001F5D96"/>
    <w:rsid w:val="0020053C"/>
    <w:rsid w:val="00217146"/>
    <w:rsid w:val="00272498"/>
    <w:rsid w:val="00291B9A"/>
    <w:rsid w:val="00292DBF"/>
    <w:rsid w:val="002A3402"/>
    <w:rsid w:val="002A6FED"/>
    <w:rsid w:val="002C6ED8"/>
    <w:rsid w:val="002C7A2E"/>
    <w:rsid w:val="003255CB"/>
    <w:rsid w:val="00367C69"/>
    <w:rsid w:val="003E1458"/>
    <w:rsid w:val="003E6D67"/>
    <w:rsid w:val="00407017"/>
    <w:rsid w:val="0043461C"/>
    <w:rsid w:val="004B6E58"/>
    <w:rsid w:val="004D1333"/>
    <w:rsid w:val="00534786"/>
    <w:rsid w:val="005C5040"/>
    <w:rsid w:val="005D7F2C"/>
    <w:rsid w:val="00674E73"/>
    <w:rsid w:val="00685D7F"/>
    <w:rsid w:val="00696702"/>
    <w:rsid w:val="006C5022"/>
    <w:rsid w:val="006C5153"/>
    <w:rsid w:val="00704DB9"/>
    <w:rsid w:val="007373DA"/>
    <w:rsid w:val="00743861"/>
    <w:rsid w:val="007C134F"/>
    <w:rsid w:val="007C15A8"/>
    <w:rsid w:val="0081574E"/>
    <w:rsid w:val="008640B2"/>
    <w:rsid w:val="00881006"/>
    <w:rsid w:val="008F31B1"/>
    <w:rsid w:val="00911552"/>
    <w:rsid w:val="00993845"/>
    <w:rsid w:val="00A41389"/>
    <w:rsid w:val="00A4458E"/>
    <w:rsid w:val="00A643A4"/>
    <w:rsid w:val="00A77EE3"/>
    <w:rsid w:val="00AE0CC0"/>
    <w:rsid w:val="00B118BE"/>
    <w:rsid w:val="00B35434"/>
    <w:rsid w:val="00B97CC9"/>
    <w:rsid w:val="00BD0251"/>
    <w:rsid w:val="00BE2A71"/>
    <w:rsid w:val="00BF356F"/>
    <w:rsid w:val="00C059A7"/>
    <w:rsid w:val="00C13C0C"/>
    <w:rsid w:val="00C32D37"/>
    <w:rsid w:val="00C6200C"/>
    <w:rsid w:val="00D124AF"/>
    <w:rsid w:val="00D829FE"/>
    <w:rsid w:val="00E00A5D"/>
    <w:rsid w:val="00E81DDF"/>
    <w:rsid w:val="00E942FA"/>
    <w:rsid w:val="00E97E74"/>
    <w:rsid w:val="00EF25AC"/>
    <w:rsid w:val="00EF551E"/>
    <w:rsid w:val="00EF56E8"/>
    <w:rsid w:val="00F02615"/>
    <w:rsid w:val="00F1085F"/>
    <w:rsid w:val="00FA107A"/>
    <w:rsid w:val="00FC1B79"/>
    <w:rsid w:val="00FE6B29"/>
    <w:rsid w:val="00FF11E9"/>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1B79"/>
  </w:style>
  <w:style w:type="paragraph" w:styleId="Heading1">
    <w:name w:val="heading 1"/>
    <w:basedOn w:val="Normal"/>
    <w:next w:val="Normal"/>
    <w:link w:val="Heading1Char"/>
    <w:uiPriority w:val="9"/>
    <w:qFormat/>
    <w:rsid w:val="00FC1B7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B79"/>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2171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7146"/>
  </w:style>
  <w:style w:type="paragraph" w:styleId="Footer">
    <w:name w:val="footer"/>
    <w:basedOn w:val="Normal"/>
    <w:link w:val="FooterChar"/>
    <w:uiPriority w:val="99"/>
    <w:semiHidden/>
    <w:unhideWhenUsed/>
    <w:rsid w:val="0021714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217146"/>
  </w:style>
  <w:style w:type="paragraph" w:styleId="BalloonText">
    <w:name w:val="Balloon Text"/>
    <w:basedOn w:val="Normal"/>
    <w:link w:val="BalloonTextChar"/>
    <w:uiPriority w:val="99"/>
    <w:semiHidden/>
    <w:unhideWhenUsed/>
    <w:rsid w:val="008157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574E"/>
    <w:rPr>
      <w:rFonts w:ascii="Tahoma" w:hAnsi="Tahoma" w:cs="Tahoma"/>
      <w:sz w:val="16"/>
      <w:szCs w:val="16"/>
    </w:rPr>
  </w:style>
  <w:style w:type="character" w:styleId="PlaceholderText">
    <w:name w:val="Placeholder Text"/>
    <w:basedOn w:val="DefaultParagraphFont"/>
    <w:uiPriority w:val="99"/>
    <w:semiHidden/>
    <w:rsid w:val="004D1333"/>
    <w:rPr>
      <w:color w:val="808080"/>
    </w:rPr>
  </w:style>
  <w:style w:type="paragraph" w:styleId="ListParagraph">
    <w:name w:val="List Paragraph"/>
    <w:basedOn w:val="Normal"/>
    <w:uiPriority w:val="34"/>
    <w:qFormat/>
    <w:rsid w:val="00E942FA"/>
    <w:pPr>
      <w:ind w:left="720"/>
      <w:contextualSpacing/>
    </w:pPr>
  </w:style>
  <w:style w:type="paragraph" w:styleId="TOCHeading">
    <w:name w:val="TOC Heading"/>
    <w:basedOn w:val="Heading1"/>
    <w:next w:val="Normal"/>
    <w:uiPriority w:val="39"/>
    <w:semiHidden/>
    <w:unhideWhenUsed/>
    <w:qFormat/>
    <w:rsid w:val="006C5022"/>
    <w:pPr>
      <w:outlineLvl w:val="9"/>
    </w:pPr>
    <w:rPr>
      <w:rFonts w:ascii="Cambria" w:eastAsia="Times New Roman" w:hAnsi="Cambria" w:cs="Times New Roman"/>
      <w:color w:val="365F91"/>
    </w:rPr>
  </w:style>
  <w:style w:type="paragraph" w:styleId="TOC1">
    <w:name w:val="toc 1"/>
    <w:basedOn w:val="Normal"/>
    <w:next w:val="Normal"/>
    <w:autoRedefine/>
    <w:uiPriority w:val="39"/>
    <w:unhideWhenUsed/>
    <w:rsid w:val="006C5022"/>
    <w:pPr>
      <w:spacing w:after="100"/>
    </w:pPr>
    <w:rPr>
      <w:rFonts w:ascii="Calibri" w:eastAsia="Times New Roman" w:hAnsi="Calibri" w:cs="Times New Roman"/>
    </w:rPr>
  </w:style>
  <w:style w:type="character" w:styleId="Hyperlink">
    <w:name w:val="Hyperlink"/>
    <w:basedOn w:val="DefaultParagraphFont"/>
    <w:uiPriority w:val="99"/>
    <w:unhideWhenUsed/>
    <w:rsid w:val="006C5022"/>
    <w:rPr>
      <w:color w:val="0000FF"/>
      <w:u w:val="single"/>
    </w:rPr>
  </w:style>
</w:styles>
</file>

<file path=word/webSettings.xml><?xml version="1.0" encoding="utf-8"?>
<w:webSettings xmlns:r="http://schemas.openxmlformats.org/officeDocument/2006/relationships" xmlns:w="http://schemas.openxmlformats.org/wordprocessingml/2006/main">
  <w:divs>
    <w:div w:id="177164962">
      <w:bodyDiv w:val="1"/>
      <w:marLeft w:val="0"/>
      <w:marRight w:val="0"/>
      <w:marTop w:val="0"/>
      <w:marBottom w:val="0"/>
      <w:divBdr>
        <w:top w:val="none" w:sz="0" w:space="0" w:color="auto"/>
        <w:left w:val="none" w:sz="0" w:space="0" w:color="auto"/>
        <w:bottom w:val="none" w:sz="0" w:space="0" w:color="auto"/>
        <w:right w:val="none" w:sz="0" w:space="0" w:color="auto"/>
      </w:divBdr>
    </w:div>
    <w:div w:id="564266820">
      <w:bodyDiv w:val="1"/>
      <w:marLeft w:val="0"/>
      <w:marRight w:val="0"/>
      <w:marTop w:val="0"/>
      <w:marBottom w:val="0"/>
      <w:divBdr>
        <w:top w:val="none" w:sz="0" w:space="0" w:color="auto"/>
        <w:left w:val="none" w:sz="0" w:space="0" w:color="auto"/>
        <w:bottom w:val="none" w:sz="0" w:space="0" w:color="auto"/>
        <w:right w:val="none" w:sz="0" w:space="0" w:color="auto"/>
      </w:divBdr>
    </w:div>
    <w:div w:id="650445678">
      <w:bodyDiv w:val="1"/>
      <w:marLeft w:val="0"/>
      <w:marRight w:val="0"/>
      <w:marTop w:val="0"/>
      <w:marBottom w:val="0"/>
      <w:divBdr>
        <w:top w:val="none" w:sz="0" w:space="0" w:color="auto"/>
        <w:left w:val="none" w:sz="0" w:space="0" w:color="auto"/>
        <w:bottom w:val="none" w:sz="0" w:space="0" w:color="auto"/>
        <w:right w:val="none" w:sz="0" w:space="0" w:color="auto"/>
      </w:divBdr>
    </w:div>
    <w:div w:id="703748197">
      <w:bodyDiv w:val="1"/>
      <w:marLeft w:val="0"/>
      <w:marRight w:val="0"/>
      <w:marTop w:val="0"/>
      <w:marBottom w:val="0"/>
      <w:divBdr>
        <w:top w:val="none" w:sz="0" w:space="0" w:color="auto"/>
        <w:left w:val="none" w:sz="0" w:space="0" w:color="auto"/>
        <w:bottom w:val="none" w:sz="0" w:space="0" w:color="auto"/>
        <w:right w:val="none" w:sz="0" w:space="0" w:color="auto"/>
      </w:divBdr>
    </w:div>
    <w:div w:id="1792086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40</Pages>
  <Words>6529</Words>
  <Characters>37217</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Akshay</dc:creator>
  <cp:lastModifiedBy>Harshil</cp:lastModifiedBy>
  <cp:revision>2</cp:revision>
  <dcterms:created xsi:type="dcterms:W3CDTF">2018-05-03T18:10:00Z</dcterms:created>
  <dcterms:modified xsi:type="dcterms:W3CDTF">2018-05-03T18:10:00Z</dcterms:modified>
</cp:coreProperties>
</file>