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B4865A" w14:textId="77777777" w:rsidR="002717C1" w:rsidRDefault="002717C1" w:rsidP="002717C1"/>
    <w:p w14:paraId="0292FF71" w14:textId="77777777" w:rsidR="002717C1" w:rsidRDefault="002717C1" w:rsidP="002717C1">
      <w:pPr>
        <w:jc w:val="center"/>
      </w:pPr>
      <w:r>
        <w:rPr>
          <w:noProof/>
          <w:lang w:val="en-GB" w:eastAsia="en-GB"/>
        </w:rPr>
        <w:drawing>
          <wp:inline distT="0" distB="0" distL="0" distR="0" wp14:anchorId="50308B2C" wp14:editId="7157ECB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C5E563C" w14:textId="77777777" w:rsidR="002717C1" w:rsidRDefault="002717C1" w:rsidP="002717C1">
      <w:pPr>
        <w:jc w:val="center"/>
      </w:pPr>
    </w:p>
    <w:p w14:paraId="2A1F20E1" w14:textId="77777777" w:rsidR="002717C1" w:rsidRDefault="002717C1" w:rsidP="002717C1"/>
    <w:p w14:paraId="073D237F" w14:textId="695543C9" w:rsidR="002717C1" w:rsidRDefault="002717C1" w:rsidP="002717C1">
      <w:pPr>
        <w:jc w:val="center"/>
        <w:rPr>
          <w:rFonts w:cs="Arial"/>
          <w:b/>
          <w:bCs/>
        </w:rPr>
      </w:pPr>
      <w:r w:rsidRPr="00646406">
        <w:rPr>
          <w:rFonts w:cs="Arial"/>
          <w:b/>
          <w:bCs/>
        </w:rPr>
        <w:t>Student Name:</w:t>
      </w:r>
      <w:r w:rsidR="00CA5678">
        <w:rPr>
          <w:rFonts w:cs="Arial"/>
          <w:b/>
          <w:bCs/>
        </w:rPr>
        <w:t xml:space="preserve"> Hamza Khan</w:t>
      </w:r>
    </w:p>
    <w:p w14:paraId="4F8764C0" w14:textId="77777777" w:rsidR="002717C1" w:rsidRPr="00646406" w:rsidRDefault="002717C1" w:rsidP="002717C1">
      <w:pPr>
        <w:jc w:val="center"/>
        <w:rPr>
          <w:rFonts w:cs="Arial"/>
          <w:b/>
          <w:bCs/>
        </w:rPr>
      </w:pPr>
    </w:p>
    <w:p w14:paraId="1830FAA3" w14:textId="2566D4CC" w:rsidR="002717C1" w:rsidRPr="00646406" w:rsidRDefault="002717C1" w:rsidP="002717C1">
      <w:pPr>
        <w:jc w:val="center"/>
        <w:rPr>
          <w:rFonts w:cs="Arial"/>
          <w:b/>
          <w:bCs/>
        </w:rPr>
      </w:pPr>
      <w:r w:rsidRPr="00646406">
        <w:rPr>
          <w:rFonts w:cs="Arial"/>
          <w:b/>
          <w:bCs/>
        </w:rPr>
        <w:t>Student ID:</w:t>
      </w:r>
      <w:r w:rsidR="00CA5678">
        <w:rPr>
          <w:rFonts w:cs="Arial"/>
          <w:b/>
          <w:bCs/>
        </w:rPr>
        <w:t xml:space="preserve"> </w:t>
      </w:r>
      <w:r w:rsidR="00CA5678" w:rsidRPr="00CA5678">
        <w:rPr>
          <w:rFonts w:cs="Arial"/>
          <w:b/>
          <w:bCs/>
        </w:rPr>
        <w:t>2504521</w:t>
      </w:r>
      <w:bookmarkStart w:id="0" w:name="_GoBack"/>
      <w:bookmarkEnd w:id="0"/>
    </w:p>
    <w:p w14:paraId="2A0BED5F" w14:textId="77777777" w:rsidR="002717C1" w:rsidRPr="00646406" w:rsidRDefault="002717C1" w:rsidP="002717C1">
      <w:pPr>
        <w:jc w:val="center"/>
        <w:rPr>
          <w:rFonts w:cs="Arial"/>
        </w:rPr>
      </w:pPr>
    </w:p>
    <w:p w14:paraId="269E2B28" w14:textId="377A4FED" w:rsidR="002717C1" w:rsidRPr="00646406" w:rsidRDefault="002717C1" w:rsidP="002717C1">
      <w:pPr>
        <w:jc w:val="center"/>
        <w:rPr>
          <w:rFonts w:cs="Arial"/>
          <w:b/>
          <w:bCs/>
        </w:rPr>
      </w:pPr>
      <w:r w:rsidRPr="00646406">
        <w:rPr>
          <w:rFonts w:cs="Arial"/>
          <w:b/>
          <w:bCs/>
        </w:rPr>
        <w:t xml:space="preserve">Module Name: </w:t>
      </w:r>
      <w:r>
        <w:rPr>
          <w:rFonts w:cs="Arial"/>
          <w:b/>
          <w:bCs/>
        </w:rPr>
        <w:t>Financial Management</w:t>
      </w:r>
    </w:p>
    <w:p w14:paraId="1CEA689D" w14:textId="77777777" w:rsidR="002717C1" w:rsidRPr="00646406" w:rsidRDefault="002717C1" w:rsidP="002717C1">
      <w:pPr>
        <w:jc w:val="center"/>
        <w:rPr>
          <w:rFonts w:cs="Arial"/>
          <w:b/>
          <w:bCs/>
        </w:rPr>
      </w:pPr>
    </w:p>
    <w:p w14:paraId="67BC02A9" w14:textId="2297D7A1" w:rsidR="002717C1" w:rsidRPr="00646406" w:rsidRDefault="002717C1" w:rsidP="002717C1">
      <w:pPr>
        <w:jc w:val="center"/>
        <w:rPr>
          <w:rFonts w:cs="Arial"/>
          <w:b/>
          <w:bCs/>
        </w:rPr>
      </w:pPr>
      <w:r w:rsidRPr="00646406">
        <w:rPr>
          <w:rFonts w:cs="Arial"/>
          <w:b/>
          <w:bCs/>
        </w:rPr>
        <w:t xml:space="preserve">Module Code: </w:t>
      </w:r>
      <w:r w:rsidRPr="002B4F97">
        <w:rPr>
          <w:rFonts w:cs="Arial"/>
          <w:b/>
          <w:bCs/>
        </w:rPr>
        <w:t>LCMB70</w:t>
      </w:r>
      <w:r>
        <w:rPr>
          <w:rFonts w:cs="Arial"/>
          <w:b/>
          <w:bCs/>
        </w:rPr>
        <w:t>02</w:t>
      </w:r>
    </w:p>
    <w:p w14:paraId="32BEED01" w14:textId="77777777" w:rsidR="002717C1" w:rsidRPr="00646406" w:rsidRDefault="002717C1" w:rsidP="002717C1">
      <w:pPr>
        <w:rPr>
          <w:rFonts w:cs="Arial"/>
          <w:b/>
          <w:bCs/>
        </w:rPr>
      </w:pPr>
    </w:p>
    <w:p w14:paraId="61971082" w14:textId="77777777" w:rsidR="002717C1" w:rsidRPr="00646406" w:rsidRDefault="002717C1" w:rsidP="002717C1">
      <w:pPr>
        <w:jc w:val="center"/>
        <w:rPr>
          <w:rFonts w:cs="Arial"/>
          <w:b/>
          <w:bCs/>
        </w:rPr>
      </w:pPr>
      <w:r w:rsidRPr="00646406">
        <w:rPr>
          <w:rFonts w:cs="Arial"/>
          <w:b/>
          <w:bCs/>
        </w:rPr>
        <w:t>Lecturer’s Name:</w:t>
      </w:r>
    </w:p>
    <w:p w14:paraId="7B614090" w14:textId="2079EA47" w:rsidR="002717C1" w:rsidRPr="00646406" w:rsidRDefault="002717C1" w:rsidP="002717C1">
      <w:pPr>
        <w:jc w:val="center"/>
        <w:rPr>
          <w:rFonts w:cs="Arial"/>
          <w:b/>
          <w:bCs/>
        </w:rPr>
      </w:pPr>
      <w:proofErr w:type="spellStart"/>
      <w:r>
        <w:rPr>
          <w:rFonts w:cs="Arial"/>
          <w:b/>
          <w:bCs/>
        </w:rPr>
        <w:t>Shengfeng</w:t>
      </w:r>
      <w:proofErr w:type="spellEnd"/>
      <w:r>
        <w:rPr>
          <w:rFonts w:cs="Arial"/>
          <w:b/>
          <w:bCs/>
        </w:rPr>
        <w:t xml:space="preserve"> Mei </w:t>
      </w:r>
      <w:r w:rsidRPr="002B4F97">
        <w:rPr>
          <w:rFonts w:cs="Arial"/>
          <w:b/>
          <w:bCs/>
        </w:rPr>
        <w:t>(London)</w:t>
      </w:r>
    </w:p>
    <w:p w14:paraId="5CF6BF62" w14:textId="77777777" w:rsidR="002717C1" w:rsidRPr="00646406" w:rsidRDefault="002717C1" w:rsidP="002717C1">
      <w:pPr>
        <w:rPr>
          <w:rFonts w:cs="Arial"/>
          <w:b/>
          <w:bCs/>
        </w:rPr>
      </w:pPr>
    </w:p>
    <w:p w14:paraId="0119022D" w14:textId="77777777" w:rsidR="002717C1" w:rsidRPr="00646406" w:rsidRDefault="002717C1" w:rsidP="002717C1">
      <w:pPr>
        <w:jc w:val="center"/>
        <w:rPr>
          <w:rFonts w:cs="Arial"/>
          <w:b/>
          <w:bCs/>
        </w:rPr>
      </w:pPr>
      <w:r w:rsidRPr="00646406">
        <w:rPr>
          <w:rFonts w:cs="Arial"/>
          <w:b/>
          <w:bCs/>
        </w:rPr>
        <w:t>Work Count:</w:t>
      </w:r>
    </w:p>
    <w:p w14:paraId="37751738" w14:textId="09B264D4" w:rsidR="002717C1" w:rsidRPr="00646406" w:rsidRDefault="00C53529" w:rsidP="002717C1">
      <w:pPr>
        <w:jc w:val="center"/>
        <w:rPr>
          <w:rFonts w:cs="Arial"/>
          <w:b/>
          <w:bCs/>
        </w:rPr>
      </w:pPr>
      <w:r w:rsidRPr="00C53529">
        <w:rPr>
          <w:rFonts w:cs="Arial"/>
          <w:b/>
          <w:bCs/>
          <w:highlight w:val="yellow"/>
        </w:rPr>
        <w:t>5062</w:t>
      </w:r>
    </w:p>
    <w:p w14:paraId="220892E4" w14:textId="77777777" w:rsidR="002717C1" w:rsidRDefault="002717C1" w:rsidP="002717C1">
      <w:pPr>
        <w:rPr>
          <w:rFonts w:cs="Arial"/>
          <w:b/>
          <w:bCs/>
        </w:rPr>
      </w:pPr>
    </w:p>
    <w:p w14:paraId="6F5A932C" w14:textId="77777777" w:rsidR="002717C1" w:rsidRDefault="002717C1" w:rsidP="002717C1">
      <w:pPr>
        <w:rPr>
          <w:rFonts w:cs="Arial"/>
          <w:b/>
          <w:bCs/>
        </w:rPr>
      </w:pPr>
    </w:p>
    <w:p w14:paraId="0318A52C" w14:textId="77777777" w:rsidR="002717C1" w:rsidRDefault="002717C1" w:rsidP="002717C1">
      <w:pPr>
        <w:rPr>
          <w:rFonts w:cs="Arial"/>
          <w:b/>
          <w:bCs/>
        </w:rPr>
      </w:pPr>
    </w:p>
    <w:p w14:paraId="070076DA" w14:textId="77777777" w:rsidR="002717C1" w:rsidRDefault="002717C1" w:rsidP="002717C1">
      <w:pPr>
        <w:rPr>
          <w:rFonts w:cs="Arial"/>
          <w:b/>
          <w:bCs/>
        </w:rPr>
      </w:pPr>
    </w:p>
    <w:p w14:paraId="7576C514" w14:textId="03F87EF1" w:rsidR="00166403" w:rsidRDefault="00166403" w:rsidP="00E63602">
      <w:pPr>
        <w:rPr>
          <w:b/>
          <w:bCs/>
        </w:rPr>
      </w:pPr>
    </w:p>
    <w:sdt>
      <w:sdtPr>
        <w:rPr>
          <w:rFonts w:ascii="Arial" w:eastAsiaTheme="minorHAnsi" w:hAnsi="Arial" w:cstheme="minorBidi"/>
          <w:color w:val="auto"/>
          <w:kern w:val="2"/>
          <w:sz w:val="24"/>
          <w:szCs w:val="24"/>
          <w14:ligatures w14:val="standardContextual"/>
        </w:rPr>
        <w:id w:val="74254048"/>
        <w:docPartObj>
          <w:docPartGallery w:val="Table of Contents"/>
          <w:docPartUnique/>
        </w:docPartObj>
      </w:sdtPr>
      <w:sdtEndPr>
        <w:rPr>
          <w:b/>
          <w:bCs/>
          <w:noProof/>
        </w:rPr>
      </w:sdtEndPr>
      <w:sdtContent>
        <w:p w14:paraId="687390C4" w14:textId="6D2A8FD1" w:rsidR="00166403" w:rsidRDefault="00166403">
          <w:pPr>
            <w:pStyle w:val="TOCHeading"/>
          </w:pPr>
          <w:r>
            <w:t>Table of Contents</w:t>
          </w:r>
        </w:p>
        <w:p w14:paraId="438490DF" w14:textId="2FEBC9A8" w:rsidR="00C53529" w:rsidRDefault="00166403">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7249683" w:history="1">
            <w:r w:rsidR="00C53529" w:rsidRPr="0083274A">
              <w:rPr>
                <w:rStyle w:val="Hyperlink"/>
                <w:noProof/>
              </w:rPr>
              <w:t>1. Introduction</w:t>
            </w:r>
            <w:r w:rsidR="00C53529">
              <w:rPr>
                <w:noProof/>
                <w:webHidden/>
              </w:rPr>
              <w:tab/>
            </w:r>
            <w:r w:rsidR="00C53529">
              <w:rPr>
                <w:noProof/>
                <w:webHidden/>
              </w:rPr>
              <w:fldChar w:fldCharType="begin"/>
            </w:r>
            <w:r w:rsidR="00C53529">
              <w:rPr>
                <w:noProof/>
                <w:webHidden/>
              </w:rPr>
              <w:instrText xml:space="preserve"> PAGEREF _Toc217249683 \h </w:instrText>
            </w:r>
            <w:r w:rsidR="00C53529">
              <w:rPr>
                <w:noProof/>
                <w:webHidden/>
              </w:rPr>
            </w:r>
            <w:r w:rsidR="00C53529">
              <w:rPr>
                <w:noProof/>
                <w:webHidden/>
              </w:rPr>
              <w:fldChar w:fldCharType="separate"/>
            </w:r>
            <w:r w:rsidR="00C53529">
              <w:rPr>
                <w:noProof/>
                <w:webHidden/>
              </w:rPr>
              <w:t>3</w:t>
            </w:r>
            <w:r w:rsidR="00C53529">
              <w:rPr>
                <w:noProof/>
                <w:webHidden/>
              </w:rPr>
              <w:fldChar w:fldCharType="end"/>
            </w:r>
          </w:hyperlink>
        </w:p>
        <w:p w14:paraId="4FB6A57C" w14:textId="301378A7" w:rsidR="00C53529" w:rsidRDefault="008E4184">
          <w:pPr>
            <w:pStyle w:val="TOC1"/>
            <w:tabs>
              <w:tab w:val="right" w:leader="dot" w:pos="9350"/>
            </w:tabs>
            <w:rPr>
              <w:rFonts w:asciiTheme="minorHAnsi" w:eastAsiaTheme="minorEastAsia" w:hAnsiTheme="minorHAnsi"/>
              <w:noProof/>
            </w:rPr>
          </w:pPr>
          <w:hyperlink w:anchor="_Toc217249684" w:history="1">
            <w:r w:rsidR="00C53529" w:rsidRPr="0083274A">
              <w:rPr>
                <w:rStyle w:val="Hyperlink"/>
                <w:noProof/>
              </w:rPr>
              <w:t>2. Financial Health Check</w:t>
            </w:r>
            <w:r w:rsidR="00C53529">
              <w:rPr>
                <w:noProof/>
                <w:webHidden/>
              </w:rPr>
              <w:tab/>
            </w:r>
            <w:r w:rsidR="00C53529">
              <w:rPr>
                <w:noProof/>
                <w:webHidden/>
              </w:rPr>
              <w:fldChar w:fldCharType="begin"/>
            </w:r>
            <w:r w:rsidR="00C53529">
              <w:rPr>
                <w:noProof/>
                <w:webHidden/>
              </w:rPr>
              <w:instrText xml:space="preserve"> PAGEREF _Toc217249684 \h </w:instrText>
            </w:r>
            <w:r w:rsidR="00C53529">
              <w:rPr>
                <w:noProof/>
                <w:webHidden/>
              </w:rPr>
            </w:r>
            <w:r w:rsidR="00C53529">
              <w:rPr>
                <w:noProof/>
                <w:webHidden/>
              </w:rPr>
              <w:fldChar w:fldCharType="separate"/>
            </w:r>
            <w:r w:rsidR="00C53529">
              <w:rPr>
                <w:noProof/>
                <w:webHidden/>
              </w:rPr>
              <w:t>4</w:t>
            </w:r>
            <w:r w:rsidR="00C53529">
              <w:rPr>
                <w:noProof/>
                <w:webHidden/>
              </w:rPr>
              <w:fldChar w:fldCharType="end"/>
            </w:r>
          </w:hyperlink>
        </w:p>
        <w:p w14:paraId="2CF76F9F" w14:textId="4A4FD968" w:rsidR="00C53529" w:rsidRDefault="008E4184">
          <w:pPr>
            <w:pStyle w:val="TOC2"/>
            <w:tabs>
              <w:tab w:val="right" w:leader="dot" w:pos="9350"/>
            </w:tabs>
            <w:rPr>
              <w:rFonts w:asciiTheme="minorHAnsi" w:eastAsiaTheme="minorEastAsia" w:hAnsiTheme="minorHAnsi"/>
              <w:noProof/>
            </w:rPr>
          </w:pPr>
          <w:hyperlink w:anchor="_Toc217249685" w:history="1">
            <w:r w:rsidR="00C53529" w:rsidRPr="0083274A">
              <w:rPr>
                <w:rStyle w:val="Hyperlink"/>
                <w:noProof/>
              </w:rPr>
              <w:t>2.1 Revenue, Cost Structure and Profitability Analysis</w:t>
            </w:r>
            <w:r w:rsidR="00C53529">
              <w:rPr>
                <w:noProof/>
                <w:webHidden/>
              </w:rPr>
              <w:tab/>
            </w:r>
            <w:r w:rsidR="00C53529">
              <w:rPr>
                <w:noProof/>
                <w:webHidden/>
              </w:rPr>
              <w:fldChar w:fldCharType="begin"/>
            </w:r>
            <w:r w:rsidR="00C53529">
              <w:rPr>
                <w:noProof/>
                <w:webHidden/>
              </w:rPr>
              <w:instrText xml:space="preserve"> PAGEREF _Toc217249685 \h </w:instrText>
            </w:r>
            <w:r w:rsidR="00C53529">
              <w:rPr>
                <w:noProof/>
                <w:webHidden/>
              </w:rPr>
            </w:r>
            <w:r w:rsidR="00C53529">
              <w:rPr>
                <w:noProof/>
                <w:webHidden/>
              </w:rPr>
              <w:fldChar w:fldCharType="separate"/>
            </w:r>
            <w:r w:rsidR="00C53529">
              <w:rPr>
                <w:noProof/>
                <w:webHidden/>
              </w:rPr>
              <w:t>4</w:t>
            </w:r>
            <w:r w:rsidR="00C53529">
              <w:rPr>
                <w:noProof/>
                <w:webHidden/>
              </w:rPr>
              <w:fldChar w:fldCharType="end"/>
            </w:r>
          </w:hyperlink>
        </w:p>
        <w:p w14:paraId="2B81FDFB" w14:textId="6B687985" w:rsidR="00C53529" w:rsidRDefault="008E4184">
          <w:pPr>
            <w:pStyle w:val="TOC2"/>
            <w:tabs>
              <w:tab w:val="right" w:leader="dot" w:pos="9350"/>
            </w:tabs>
            <w:rPr>
              <w:rFonts w:asciiTheme="minorHAnsi" w:eastAsiaTheme="minorEastAsia" w:hAnsiTheme="minorHAnsi"/>
              <w:noProof/>
            </w:rPr>
          </w:pPr>
          <w:hyperlink w:anchor="_Toc217249686" w:history="1">
            <w:r w:rsidR="00C53529" w:rsidRPr="0083274A">
              <w:rPr>
                <w:rStyle w:val="Hyperlink"/>
                <w:noProof/>
              </w:rPr>
              <w:t>2.2 Liquidity and Short-Term Solvency</w:t>
            </w:r>
            <w:r w:rsidR="00C53529">
              <w:rPr>
                <w:noProof/>
                <w:webHidden/>
              </w:rPr>
              <w:tab/>
            </w:r>
            <w:r w:rsidR="00C53529">
              <w:rPr>
                <w:noProof/>
                <w:webHidden/>
              </w:rPr>
              <w:fldChar w:fldCharType="begin"/>
            </w:r>
            <w:r w:rsidR="00C53529">
              <w:rPr>
                <w:noProof/>
                <w:webHidden/>
              </w:rPr>
              <w:instrText xml:space="preserve"> PAGEREF _Toc217249686 \h </w:instrText>
            </w:r>
            <w:r w:rsidR="00C53529">
              <w:rPr>
                <w:noProof/>
                <w:webHidden/>
              </w:rPr>
            </w:r>
            <w:r w:rsidR="00C53529">
              <w:rPr>
                <w:noProof/>
                <w:webHidden/>
              </w:rPr>
              <w:fldChar w:fldCharType="separate"/>
            </w:r>
            <w:r w:rsidR="00C53529">
              <w:rPr>
                <w:noProof/>
                <w:webHidden/>
              </w:rPr>
              <w:t>5</w:t>
            </w:r>
            <w:r w:rsidR="00C53529">
              <w:rPr>
                <w:noProof/>
                <w:webHidden/>
              </w:rPr>
              <w:fldChar w:fldCharType="end"/>
            </w:r>
          </w:hyperlink>
        </w:p>
        <w:p w14:paraId="34F94A25" w14:textId="662607BE" w:rsidR="00C53529" w:rsidRDefault="008E4184">
          <w:pPr>
            <w:pStyle w:val="TOC2"/>
            <w:tabs>
              <w:tab w:val="right" w:leader="dot" w:pos="9350"/>
            </w:tabs>
            <w:rPr>
              <w:rFonts w:asciiTheme="minorHAnsi" w:eastAsiaTheme="minorEastAsia" w:hAnsiTheme="minorHAnsi"/>
              <w:noProof/>
            </w:rPr>
          </w:pPr>
          <w:hyperlink w:anchor="_Toc217249687" w:history="1">
            <w:r w:rsidR="00C53529" w:rsidRPr="0083274A">
              <w:rPr>
                <w:rStyle w:val="Hyperlink"/>
                <w:noProof/>
              </w:rPr>
              <w:t>2.3 Efficiency and Asset Utilisation</w:t>
            </w:r>
            <w:r w:rsidR="00C53529">
              <w:rPr>
                <w:noProof/>
                <w:webHidden/>
              </w:rPr>
              <w:tab/>
            </w:r>
            <w:r w:rsidR="00C53529">
              <w:rPr>
                <w:noProof/>
                <w:webHidden/>
              </w:rPr>
              <w:fldChar w:fldCharType="begin"/>
            </w:r>
            <w:r w:rsidR="00C53529">
              <w:rPr>
                <w:noProof/>
                <w:webHidden/>
              </w:rPr>
              <w:instrText xml:space="preserve"> PAGEREF _Toc217249687 \h </w:instrText>
            </w:r>
            <w:r w:rsidR="00C53529">
              <w:rPr>
                <w:noProof/>
                <w:webHidden/>
              </w:rPr>
            </w:r>
            <w:r w:rsidR="00C53529">
              <w:rPr>
                <w:noProof/>
                <w:webHidden/>
              </w:rPr>
              <w:fldChar w:fldCharType="separate"/>
            </w:r>
            <w:r w:rsidR="00C53529">
              <w:rPr>
                <w:noProof/>
                <w:webHidden/>
              </w:rPr>
              <w:t>6</w:t>
            </w:r>
            <w:r w:rsidR="00C53529">
              <w:rPr>
                <w:noProof/>
                <w:webHidden/>
              </w:rPr>
              <w:fldChar w:fldCharType="end"/>
            </w:r>
          </w:hyperlink>
        </w:p>
        <w:p w14:paraId="5A9E3D9D" w14:textId="673963A1" w:rsidR="00C53529" w:rsidRDefault="008E4184">
          <w:pPr>
            <w:pStyle w:val="TOC2"/>
            <w:tabs>
              <w:tab w:val="right" w:leader="dot" w:pos="9350"/>
            </w:tabs>
            <w:rPr>
              <w:rFonts w:asciiTheme="minorHAnsi" w:eastAsiaTheme="minorEastAsia" w:hAnsiTheme="minorHAnsi"/>
              <w:noProof/>
            </w:rPr>
          </w:pPr>
          <w:hyperlink w:anchor="_Toc217249688" w:history="1">
            <w:r w:rsidR="00C53529" w:rsidRPr="0083274A">
              <w:rPr>
                <w:rStyle w:val="Hyperlink"/>
                <w:noProof/>
              </w:rPr>
              <w:t>2.4 Capital Structure and Gearing</w:t>
            </w:r>
            <w:r w:rsidR="00C53529">
              <w:rPr>
                <w:noProof/>
                <w:webHidden/>
              </w:rPr>
              <w:tab/>
            </w:r>
            <w:r w:rsidR="00C53529">
              <w:rPr>
                <w:noProof/>
                <w:webHidden/>
              </w:rPr>
              <w:fldChar w:fldCharType="begin"/>
            </w:r>
            <w:r w:rsidR="00C53529">
              <w:rPr>
                <w:noProof/>
                <w:webHidden/>
              </w:rPr>
              <w:instrText xml:space="preserve"> PAGEREF _Toc217249688 \h </w:instrText>
            </w:r>
            <w:r w:rsidR="00C53529">
              <w:rPr>
                <w:noProof/>
                <w:webHidden/>
              </w:rPr>
            </w:r>
            <w:r w:rsidR="00C53529">
              <w:rPr>
                <w:noProof/>
                <w:webHidden/>
              </w:rPr>
              <w:fldChar w:fldCharType="separate"/>
            </w:r>
            <w:r w:rsidR="00C53529">
              <w:rPr>
                <w:noProof/>
                <w:webHidden/>
              </w:rPr>
              <w:t>7</w:t>
            </w:r>
            <w:r w:rsidR="00C53529">
              <w:rPr>
                <w:noProof/>
                <w:webHidden/>
              </w:rPr>
              <w:fldChar w:fldCharType="end"/>
            </w:r>
          </w:hyperlink>
        </w:p>
        <w:p w14:paraId="03AE9784" w14:textId="6F3D36DF" w:rsidR="00C53529" w:rsidRDefault="008E4184">
          <w:pPr>
            <w:pStyle w:val="TOC2"/>
            <w:tabs>
              <w:tab w:val="right" w:leader="dot" w:pos="9350"/>
            </w:tabs>
            <w:rPr>
              <w:rFonts w:asciiTheme="minorHAnsi" w:eastAsiaTheme="minorEastAsia" w:hAnsiTheme="minorHAnsi"/>
              <w:noProof/>
            </w:rPr>
          </w:pPr>
          <w:hyperlink w:anchor="_Toc217249689" w:history="1">
            <w:r w:rsidR="00C53529" w:rsidRPr="0083274A">
              <w:rPr>
                <w:rStyle w:val="Hyperlink"/>
                <w:noProof/>
              </w:rPr>
              <w:t>2.5 Cash Flow Quality and Sustainability</w:t>
            </w:r>
            <w:r w:rsidR="00C53529">
              <w:rPr>
                <w:noProof/>
                <w:webHidden/>
              </w:rPr>
              <w:tab/>
            </w:r>
            <w:r w:rsidR="00C53529">
              <w:rPr>
                <w:noProof/>
                <w:webHidden/>
              </w:rPr>
              <w:fldChar w:fldCharType="begin"/>
            </w:r>
            <w:r w:rsidR="00C53529">
              <w:rPr>
                <w:noProof/>
                <w:webHidden/>
              </w:rPr>
              <w:instrText xml:space="preserve"> PAGEREF _Toc217249689 \h </w:instrText>
            </w:r>
            <w:r w:rsidR="00C53529">
              <w:rPr>
                <w:noProof/>
                <w:webHidden/>
              </w:rPr>
            </w:r>
            <w:r w:rsidR="00C53529">
              <w:rPr>
                <w:noProof/>
                <w:webHidden/>
              </w:rPr>
              <w:fldChar w:fldCharType="separate"/>
            </w:r>
            <w:r w:rsidR="00C53529">
              <w:rPr>
                <w:noProof/>
                <w:webHidden/>
              </w:rPr>
              <w:t>7</w:t>
            </w:r>
            <w:r w:rsidR="00C53529">
              <w:rPr>
                <w:noProof/>
                <w:webHidden/>
              </w:rPr>
              <w:fldChar w:fldCharType="end"/>
            </w:r>
          </w:hyperlink>
        </w:p>
        <w:p w14:paraId="5BF75082" w14:textId="665BFE1D" w:rsidR="00C53529" w:rsidRDefault="008E4184">
          <w:pPr>
            <w:pStyle w:val="TOC2"/>
            <w:tabs>
              <w:tab w:val="right" w:leader="dot" w:pos="9350"/>
            </w:tabs>
            <w:rPr>
              <w:rFonts w:asciiTheme="minorHAnsi" w:eastAsiaTheme="minorEastAsia" w:hAnsiTheme="minorHAnsi"/>
              <w:noProof/>
            </w:rPr>
          </w:pPr>
          <w:hyperlink w:anchor="_Toc217249690" w:history="1">
            <w:r w:rsidR="00C53529" w:rsidRPr="0083274A">
              <w:rPr>
                <w:rStyle w:val="Hyperlink"/>
                <w:noProof/>
              </w:rPr>
              <w:t>2.6 Corporate Failure Prediction: Altman Z-Score</w:t>
            </w:r>
            <w:r w:rsidR="00C53529">
              <w:rPr>
                <w:noProof/>
                <w:webHidden/>
              </w:rPr>
              <w:tab/>
            </w:r>
            <w:r w:rsidR="00C53529">
              <w:rPr>
                <w:noProof/>
                <w:webHidden/>
              </w:rPr>
              <w:fldChar w:fldCharType="begin"/>
            </w:r>
            <w:r w:rsidR="00C53529">
              <w:rPr>
                <w:noProof/>
                <w:webHidden/>
              </w:rPr>
              <w:instrText xml:space="preserve"> PAGEREF _Toc217249690 \h </w:instrText>
            </w:r>
            <w:r w:rsidR="00C53529">
              <w:rPr>
                <w:noProof/>
                <w:webHidden/>
              </w:rPr>
            </w:r>
            <w:r w:rsidR="00C53529">
              <w:rPr>
                <w:noProof/>
                <w:webHidden/>
              </w:rPr>
              <w:fldChar w:fldCharType="separate"/>
            </w:r>
            <w:r w:rsidR="00C53529">
              <w:rPr>
                <w:noProof/>
                <w:webHidden/>
              </w:rPr>
              <w:t>8</w:t>
            </w:r>
            <w:r w:rsidR="00C53529">
              <w:rPr>
                <w:noProof/>
                <w:webHidden/>
              </w:rPr>
              <w:fldChar w:fldCharType="end"/>
            </w:r>
          </w:hyperlink>
        </w:p>
        <w:p w14:paraId="39D875DA" w14:textId="79F17E29" w:rsidR="00C53529" w:rsidRDefault="008E4184">
          <w:pPr>
            <w:pStyle w:val="TOC1"/>
            <w:tabs>
              <w:tab w:val="right" w:leader="dot" w:pos="9350"/>
            </w:tabs>
            <w:rPr>
              <w:rFonts w:asciiTheme="minorHAnsi" w:eastAsiaTheme="minorEastAsia" w:hAnsiTheme="minorHAnsi"/>
              <w:noProof/>
            </w:rPr>
          </w:pPr>
          <w:hyperlink w:anchor="_Toc217249691" w:history="1">
            <w:r w:rsidR="00C53529" w:rsidRPr="0083274A">
              <w:rPr>
                <w:rStyle w:val="Hyperlink"/>
                <w:noProof/>
              </w:rPr>
              <w:t>3. Working Capital Management Analysis</w:t>
            </w:r>
            <w:r w:rsidR="00C53529">
              <w:rPr>
                <w:noProof/>
                <w:webHidden/>
              </w:rPr>
              <w:tab/>
            </w:r>
            <w:r w:rsidR="00C53529">
              <w:rPr>
                <w:noProof/>
                <w:webHidden/>
              </w:rPr>
              <w:fldChar w:fldCharType="begin"/>
            </w:r>
            <w:r w:rsidR="00C53529">
              <w:rPr>
                <w:noProof/>
                <w:webHidden/>
              </w:rPr>
              <w:instrText xml:space="preserve"> PAGEREF _Toc217249691 \h </w:instrText>
            </w:r>
            <w:r w:rsidR="00C53529">
              <w:rPr>
                <w:noProof/>
                <w:webHidden/>
              </w:rPr>
            </w:r>
            <w:r w:rsidR="00C53529">
              <w:rPr>
                <w:noProof/>
                <w:webHidden/>
              </w:rPr>
              <w:fldChar w:fldCharType="separate"/>
            </w:r>
            <w:r w:rsidR="00C53529">
              <w:rPr>
                <w:noProof/>
                <w:webHidden/>
              </w:rPr>
              <w:t>8</w:t>
            </w:r>
            <w:r w:rsidR="00C53529">
              <w:rPr>
                <w:noProof/>
                <w:webHidden/>
              </w:rPr>
              <w:fldChar w:fldCharType="end"/>
            </w:r>
          </w:hyperlink>
        </w:p>
        <w:p w14:paraId="402DF1E1" w14:textId="7E9870B8" w:rsidR="00C53529" w:rsidRDefault="008E4184">
          <w:pPr>
            <w:pStyle w:val="TOC2"/>
            <w:tabs>
              <w:tab w:val="right" w:leader="dot" w:pos="9350"/>
            </w:tabs>
            <w:rPr>
              <w:rFonts w:asciiTheme="minorHAnsi" w:eastAsiaTheme="minorEastAsia" w:hAnsiTheme="minorHAnsi"/>
              <w:noProof/>
            </w:rPr>
          </w:pPr>
          <w:hyperlink w:anchor="_Toc217249692" w:history="1">
            <w:r w:rsidR="00C53529" w:rsidRPr="0083274A">
              <w:rPr>
                <w:rStyle w:val="Hyperlink"/>
                <w:noProof/>
              </w:rPr>
              <w:t>3.1 Cash Operating Cycle Diagnosis</w:t>
            </w:r>
            <w:r w:rsidR="00C53529">
              <w:rPr>
                <w:noProof/>
                <w:webHidden/>
              </w:rPr>
              <w:tab/>
            </w:r>
            <w:r w:rsidR="00C53529">
              <w:rPr>
                <w:noProof/>
                <w:webHidden/>
              </w:rPr>
              <w:fldChar w:fldCharType="begin"/>
            </w:r>
            <w:r w:rsidR="00C53529">
              <w:rPr>
                <w:noProof/>
                <w:webHidden/>
              </w:rPr>
              <w:instrText xml:space="preserve"> PAGEREF _Toc217249692 \h </w:instrText>
            </w:r>
            <w:r w:rsidR="00C53529">
              <w:rPr>
                <w:noProof/>
                <w:webHidden/>
              </w:rPr>
            </w:r>
            <w:r w:rsidR="00C53529">
              <w:rPr>
                <w:noProof/>
                <w:webHidden/>
              </w:rPr>
              <w:fldChar w:fldCharType="separate"/>
            </w:r>
            <w:r w:rsidR="00C53529">
              <w:rPr>
                <w:noProof/>
                <w:webHidden/>
              </w:rPr>
              <w:t>8</w:t>
            </w:r>
            <w:r w:rsidR="00C53529">
              <w:rPr>
                <w:noProof/>
                <w:webHidden/>
              </w:rPr>
              <w:fldChar w:fldCharType="end"/>
            </w:r>
          </w:hyperlink>
        </w:p>
        <w:p w14:paraId="3DA51BBB" w14:textId="64095A91" w:rsidR="00C53529" w:rsidRDefault="008E4184">
          <w:pPr>
            <w:pStyle w:val="TOC2"/>
            <w:tabs>
              <w:tab w:val="right" w:leader="dot" w:pos="9350"/>
            </w:tabs>
            <w:rPr>
              <w:rFonts w:asciiTheme="minorHAnsi" w:eastAsiaTheme="minorEastAsia" w:hAnsiTheme="minorHAnsi"/>
              <w:noProof/>
            </w:rPr>
          </w:pPr>
          <w:hyperlink w:anchor="_Toc217249693" w:history="1">
            <w:r w:rsidR="00C53529" w:rsidRPr="0083274A">
              <w:rPr>
                <w:rStyle w:val="Hyperlink"/>
                <w:noProof/>
              </w:rPr>
              <w:t>3.2 Working Capital Reform Strategies</w:t>
            </w:r>
            <w:r w:rsidR="00C53529">
              <w:rPr>
                <w:noProof/>
                <w:webHidden/>
              </w:rPr>
              <w:tab/>
            </w:r>
            <w:r w:rsidR="00C53529">
              <w:rPr>
                <w:noProof/>
                <w:webHidden/>
              </w:rPr>
              <w:fldChar w:fldCharType="begin"/>
            </w:r>
            <w:r w:rsidR="00C53529">
              <w:rPr>
                <w:noProof/>
                <w:webHidden/>
              </w:rPr>
              <w:instrText xml:space="preserve"> PAGEREF _Toc217249693 \h </w:instrText>
            </w:r>
            <w:r w:rsidR="00C53529">
              <w:rPr>
                <w:noProof/>
                <w:webHidden/>
              </w:rPr>
            </w:r>
            <w:r w:rsidR="00C53529">
              <w:rPr>
                <w:noProof/>
                <w:webHidden/>
              </w:rPr>
              <w:fldChar w:fldCharType="separate"/>
            </w:r>
            <w:r w:rsidR="00C53529">
              <w:rPr>
                <w:noProof/>
                <w:webHidden/>
              </w:rPr>
              <w:t>9</w:t>
            </w:r>
            <w:r w:rsidR="00C53529">
              <w:rPr>
                <w:noProof/>
                <w:webHidden/>
              </w:rPr>
              <w:fldChar w:fldCharType="end"/>
            </w:r>
          </w:hyperlink>
        </w:p>
        <w:p w14:paraId="0225AA5B" w14:textId="683A3487" w:rsidR="00C53529" w:rsidRDefault="008E4184">
          <w:pPr>
            <w:pStyle w:val="TOC2"/>
            <w:tabs>
              <w:tab w:val="right" w:leader="dot" w:pos="9350"/>
            </w:tabs>
            <w:rPr>
              <w:rFonts w:asciiTheme="minorHAnsi" w:eastAsiaTheme="minorEastAsia" w:hAnsiTheme="minorHAnsi"/>
              <w:noProof/>
            </w:rPr>
          </w:pPr>
          <w:hyperlink w:anchor="_Toc217249694" w:history="1">
            <w:r w:rsidR="00C53529" w:rsidRPr="0083274A">
              <w:rPr>
                <w:rStyle w:val="Hyperlink"/>
                <w:noProof/>
              </w:rPr>
              <w:t>3.3 Short-Term versus Long-Term Financing</w:t>
            </w:r>
            <w:r w:rsidR="00C53529">
              <w:rPr>
                <w:noProof/>
                <w:webHidden/>
              </w:rPr>
              <w:tab/>
            </w:r>
            <w:r w:rsidR="00C53529">
              <w:rPr>
                <w:noProof/>
                <w:webHidden/>
              </w:rPr>
              <w:fldChar w:fldCharType="begin"/>
            </w:r>
            <w:r w:rsidR="00C53529">
              <w:rPr>
                <w:noProof/>
                <w:webHidden/>
              </w:rPr>
              <w:instrText xml:space="preserve"> PAGEREF _Toc217249694 \h </w:instrText>
            </w:r>
            <w:r w:rsidR="00C53529">
              <w:rPr>
                <w:noProof/>
                <w:webHidden/>
              </w:rPr>
            </w:r>
            <w:r w:rsidR="00C53529">
              <w:rPr>
                <w:noProof/>
                <w:webHidden/>
              </w:rPr>
              <w:fldChar w:fldCharType="separate"/>
            </w:r>
            <w:r w:rsidR="00C53529">
              <w:rPr>
                <w:noProof/>
                <w:webHidden/>
              </w:rPr>
              <w:t>10</w:t>
            </w:r>
            <w:r w:rsidR="00C53529">
              <w:rPr>
                <w:noProof/>
                <w:webHidden/>
              </w:rPr>
              <w:fldChar w:fldCharType="end"/>
            </w:r>
          </w:hyperlink>
        </w:p>
        <w:p w14:paraId="7A051B3B" w14:textId="10968949" w:rsidR="00C53529" w:rsidRDefault="008E4184">
          <w:pPr>
            <w:pStyle w:val="TOC1"/>
            <w:tabs>
              <w:tab w:val="right" w:leader="dot" w:pos="9350"/>
            </w:tabs>
            <w:rPr>
              <w:rFonts w:asciiTheme="minorHAnsi" w:eastAsiaTheme="minorEastAsia" w:hAnsiTheme="minorHAnsi"/>
              <w:noProof/>
            </w:rPr>
          </w:pPr>
          <w:hyperlink w:anchor="_Toc217249695" w:history="1">
            <w:r w:rsidR="00C53529" w:rsidRPr="0083274A">
              <w:rPr>
                <w:rStyle w:val="Hyperlink"/>
                <w:noProof/>
              </w:rPr>
              <w:t>4. Strategic Financial Restructuring Plan</w:t>
            </w:r>
            <w:r w:rsidR="00C53529">
              <w:rPr>
                <w:noProof/>
                <w:webHidden/>
              </w:rPr>
              <w:tab/>
            </w:r>
            <w:r w:rsidR="00C53529">
              <w:rPr>
                <w:noProof/>
                <w:webHidden/>
              </w:rPr>
              <w:fldChar w:fldCharType="begin"/>
            </w:r>
            <w:r w:rsidR="00C53529">
              <w:rPr>
                <w:noProof/>
                <w:webHidden/>
              </w:rPr>
              <w:instrText xml:space="preserve"> PAGEREF _Toc217249695 \h </w:instrText>
            </w:r>
            <w:r w:rsidR="00C53529">
              <w:rPr>
                <w:noProof/>
                <w:webHidden/>
              </w:rPr>
            </w:r>
            <w:r w:rsidR="00C53529">
              <w:rPr>
                <w:noProof/>
                <w:webHidden/>
              </w:rPr>
              <w:fldChar w:fldCharType="separate"/>
            </w:r>
            <w:r w:rsidR="00C53529">
              <w:rPr>
                <w:noProof/>
                <w:webHidden/>
              </w:rPr>
              <w:t>11</w:t>
            </w:r>
            <w:r w:rsidR="00C53529">
              <w:rPr>
                <w:noProof/>
                <w:webHidden/>
              </w:rPr>
              <w:fldChar w:fldCharType="end"/>
            </w:r>
          </w:hyperlink>
        </w:p>
        <w:p w14:paraId="30F28CCA" w14:textId="75E403BC" w:rsidR="00C53529" w:rsidRDefault="008E4184">
          <w:pPr>
            <w:pStyle w:val="TOC2"/>
            <w:tabs>
              <w:tab w:val="right" w:leader="dot" w:pos="9350"/>
            </w:tabs>
            <w:rPr>
              <w:rFonts w:asciiTheme="minorHAnsi" w:eastAsiaTheme="minorEastAsia" w:hAnsiTheme="minorHAnsi"/>
              <w:noProof/>
            </w:rPr>
          </w:pPr>
          <w:hyperlink w:anchor="_Toc217249696" w:history="1">
            <w:r w:rsidR="00C53529" w:rsidRPr="0083274A">
              <w:rPr>
                <w:rStyle w:val="Hyperlink"/>
                <w:noProof/>
              </w:rPr>
              <w:t>4.1 Rationale for Restructuring</w:t>
            </w:r>
            <w:r w:rsidR="00C53529">
              <w:rPr>
                <w:noProof/>
                <w:webHidden/>
              </w:rPr>
              <w:tab/>
            </w:r>
            <w:r w:rsidR="00C53529">
              <w:rPr>
                <w:noProof/>
                <w:webHidden/>
              </w:rPr>
              <w:fldChar w:fldCharType="begin"/>
            </w:r>
            <w:r w:rsidR="00C53529">
              <w:rPr>
                <w:noProof/>
                <w:webHidden/>
              </w:rPr>
              <w:instrText xml:space="preserve"> PAGEREF _Toc217249696 \h </w:instrText>
            </w:r>
            <w:r w:rsidR="00C53529">
              <w:rPr>
                <w:noProof/>
                <w:webHidden/>
              </w:rPr>
            </w:r>
            <w:r w:rsidR="00C53529">
              <w:rPr>
                <w:noProof/>
                <w:webHidden/>
              </w:rPr>
              <w:fldChar w:fldCharType="separate"/>
            </w:r>
            <w:r w:rsidR="00C53529">
              <w:rPr>
                <w:noProof/>
                <w:webHidden/>
              </w:rPr>
              <w:t>11</w:t>
            </w:r>
            <w:r w:rsidR="00C53529">
              <w:rPr>
                <w:noProof/>
                <w:webHidden/>
              </w:rPr>
              <w:fldChar w:fldCharType="end"/>
            </w:r>
          </w:hyperlink>
        </w:p>
        <w:p w14:paraId="640FF095" w14:textId="19D97039" w:rsidR="00C53529" w:rsidRDefault="008E4184">
          <w:pPr>
            <w:pStyle w:val="TOC2"/>
            <w:tabs>
              <w:tab w:val="right" w:leader="dot" w:pos="9350"/>
            </w:tabs>
            <w:rPr>
              <w:rFonts w:asciiTheme="minorHAnsi" w:eastAsiaTheme="minorEastAsia" w:hAnsiTheme="minorHAnsi"/>
              <w:noProof/>
            </w:rPr>
          </w:pPr>
          <w:hyperlink w:anchor="_Toc217249697" w:history="1">
            <w:r w:rsidR="00C53529" w:rsidRPr="0083274A">
              <w:rPr>
                <w:rStyle w:val="Hyperlink"/>
                <w:noProof/>
              </w:rPr>
              <w:t>4.2 Restructuring Options Evaluation</w:t>
            </w:r>
            <w:r w:rsidR="00C53529">
              <w:rPr>
                <w:noProof/>
                <w:webHidden/>
              </w:rPr>
              <w:tab/>
            </w:r>
            <w:r w:rsidR="00C53529">
              <w:rPr>
                <w:noProof/>
                <w:webHidden/>
              </w:rPr>
              <w:fldChar w:fldCharType="begin"/>
            </w:r>
            <w:r w:rsidR="00C53529">
              <w:rPr>
                <w:noProof/>
                <w:webHidden/>
              </w:rPr>
              <w:instrText xml:space="preserve"> PAGEREF _Toc217249697 \h </w:instrText>
            </w:r>
            <w:r w:rsidR="00C53529">
              <w:rPr>
                <w:noProof/>
                <w:webHidden/>
              </w:rPr>
            </w:r>
            <w:r w:rsidR="00C53529">
              <w:rPr>
                <w:noProof/>
                <w:webHidden/>
              </w:rPr>
              <w:fldChar w:fldCharType="separate"/>
            </w:r>
            <w:r w:rsidR="00C53529">
              <w:rPr>
                <w:noProof/>
                <w:webHidden/>
              </w:rPr>
              <w:t>12</w:t>
            </w:r>
            <w:r w:rsidR="00C53529">
              <w:rPr>
                <w:noProof/>
                <w:webHidden/>
              </w:rPr>
              <w:fldChar w:fldCharType="end"/>
            </w:r>
          </w:hyperlink>
        </w:p>
        <w:p w14:paraId="528D5DBE" w14:textId="64966A4F" w:rsidR="00C53529" w:rsidRDefault="008E4184">
          <w:pPr>
            <w:pStyle w:val="TOC2"/>
            <w:tabs>
              <w:tab w:val="right" w:leader="dot" w:pos="9350"/>
            </w:tabs>
            <w:rPr>
              <w:rFonts w:asciiTheme="minorHAnsi" w:eastAsiaTheme="minorEastAsia" w:hAnsiTheme="minorHAnsi"/>
              <w:noProof/>
            </w:rPr>
          </w:pPr>
          <w:hyperlink w:anchor="_Toc217249698" w:history="1">
            <w:r w:rsidR="00C53529" w:rsidRPr="0083274A">
              <w:rPr>
                <w:rStyle w:val="Hyperlink"/>
                <w:noProof/>
              </w:rPr>
              <w:t>4.3 International and Ethical Considerations</w:t>
            </w:r>
            <w:r w:rsidR="00C53529">
              <w:rPr>
                <w:noProof/>
                <w:webHidden/>
              </w:rPr>
              <w:tab/>
            </w:r>
            <w:r w:rsidR="00C53529">
              <w:rPr>
                <w:noProof/>
                <w:webHidden/>
              </w:rPr>
              <w:fldChar w:fldCharType="begin"/>
            </w:r>
            <w:r w:rsidR="00C53529">
              <w:rPr>
                <w:noProof/>
                <w:webHidden/>
              </w:rPr>
              <w:instrText xml:space="preserve"> PAGEREF _Toc217249698 \h </w:instrText>
            </w:r>
            <w:r w:rsidR="00C53529">
              <w:rPr>
                <w:noProof/>
                <w:webHidden/>
              </w:rPr>
            </w:r>
            <w:r w:rsidR="00C53529">
              <w:rPr>
                <w:noProof/>
                <w:webHidden/>
              </w:rPr>
              <w:fldChar w:fldCharType="separate"/>
            </w:r>
            <w:r w:rsidR="00C53529">
              <w:rPr>
                <w:noProof/>
                <w:webHidden/>
              </w:rPr>
              <w:t>13</w:t>
            </w:r>
            <w:r w:rsidR="00C53529">
              <w:rPr>
                <w:noProof/>
                <w:webHidden/>
              </w:rPr>
              <w:fldChar w:fldCharType="end"/>
            </w:r>
          </w:hyperlink>
        </w:p>
        <w:p w14:paraId="14522528" w14:textId="49AF2FE4" w:rsidR="00C53529" w:rsidRDefault="008E4184">
          <w:pPr>
            <w:pStyle w:val="TOC1"/>
            <w:tabs>
              <w:tab w:val="right" w:leader="dot" w:pos="9350"/>
            </w:tabs>
            <w:rPr>
              <w:rFonts w:asciiTheme="minorHAnsi" w:eastAsiaTheme="minorEastAsia" w:hAnsiTheme="minorHAnsi"/>
              <w:noProof/>
            </w:rPr>
          </w:pPr>
          <w:hyperlink w:anchor="_Toc217249699" w:history="1">
            <w:r w:rsidR="00C53529" w:rsidRPr="0083274A">
              <w:rPr>
                <w:rStyle w:val="Hyperlink"/>
                <w:noProof/>
              </w:rPr>
              <w:t>5. Investment Appraisal and Capital Budgeting</w:t>
            </w:r>
            <w:r w:rsidR="00C53529">
              <w:rPr>
                <w:noProof/>
                <w:webHidden/>
              </w:rPr>
              <w:tab/>
            </w:r>
            <w:r w:rsidR="00C53529">
              <w:rPr>
                <w:noProof/>
                <w:webHidden/>
              </w:rPr>
              <w:fldChar w:fldCharType="begin"/>
            </w:r>
            <w:r w:rsidR="00C53529">
              <w:rPr>
                <w:noProof/>
                <w:webHidden/>
              </w:rPr>
              <w:instrText xml:space="preserve"> PAGEREF _Toc217249699 \h </w:instrText>
            </w:r>
            <w:r w:rsidR="00C53529">
              <w:rPr>
                <w:noProof/>
                <w:webHidden/>
              </w:rPr>
            </w:r>
            <w:r w:rsidR="00C53529">
              <w:rPr>
                <w:noProof/>
                <w:webHidden/>
              </w:rPr>
              <w:fldChar w:fldCharType="separate"/>
            </w:r>
            <w:r w:rsidR="00C53529">
              <w:rPr>
                <w:noProof/>
                <w:webHidden/>
              </w:rPr>
              <w:t>14</w:t>
            </w:r>
            <w:r w:rsidR="00C53529">
              <w:rPr>
                <w:noProof/>
                <w:webHidden/>
              </w:rPr>
              <w:fldChar w:fldCharType="end"/>
            </w:r>
          </w:hyperlink>
        </w:p>
        <w:p w14:paraId="2E682EEC" w14:textId="643E703F" w:rsidR="00C53529" w:rsidRDefault="008E4184">
          <w:pPr>
            <w:pStyle w:val="TOC2"/>
            <w:tabs>
              <w:tab w:val="right" w:leader="dot" w:pos="9350"/>
            </w:tabs>
            <w:rPr>
              <w:rFonts w:asciiTheme="minorHAnsi" w:eastAsiaTheme="minorEastAsia" w:hAnsiTheme="minorHAnsi"/>
              <w:noProof/>
            </w:rPr>
          </w:pPr>
          <w:hyperlink w:anchor="_Toc217249700" w:history="1">
            <w:r w:rsidR="00C53529" w:rsidRPr="0083274A">
              <w:rPr>
                <w:rStyle w:val="Hyperlink"/>
                <w:noProof/>
              </w:rPr>
              <w:t>5.1 Methodological Framework</w:t>
            </w:r>
            <w:r w:rsidR="00C53529">
              <w:rPr>
                <w:noProof/>
                <w:webHidden/>
              </w:rPr>
              <w:tab/>
            </w:r>
            <w:r w:rsidR="00C53529">
              <w:rPr>
                <w:noProof/>
                <w:webHidden/>
              </w:rPr>
              <w:fldChar w:fldCharType="begin"/>
            </w:r>
            <w:r w:rsidR="00C53529">
              <w:rPr>
                <w:noProof/>
                <w:webHidden/>
              </w:rPr>
              <w:instrText xml:space="preserve"> PAGEREF _Toc217249700 \h </w:instrText>
            </w:r>
            <w:r w:rsidR="00C53529">
              <w:rPr>
                <w:noProof/>
                <w:webHidden/>
              </w:rPr>
            </w:r>
            <w:r w:rsidR="00C53529">
              <w:rPr>
                <w:noProof/>
                <w:webHidden/>
              </w:rPr>
              <w:fldChar w:fldCharType="separate"/>
            </w:r>
            <w:r w:rsidR="00C53529">
              <w:rPr>
                <w:noProof/>
                <w:webHidden/>
              </w:rPr>
              <w:t>14</w:t>
            </w:r>
            <w:r w:rsidR="00C53529">
              <w:rPr>
                <w:noProof/>
                <w:webHidden/>
              </w:rPr>
              <w:fldChar w:fldCharType="end"/>
            </w:r>
          </w:hyperlink>
        </w:p>
        <w:p w14:paraId="6DDCE0D5" w14:textId="6B00E96B" w:rsidR="00C53529" w:rsidRDefault="008E4184">
          <w:pPr>
            <w:pStyle w:val="TOC2"/>
            <w:tabs>
              <w:tab w:val="right" w:leader="dot" w:pos="9350"/>
            </w:tabs>
            <w:rPr>
              <w:rFonts w:asciiTheme="minorHAnsi" w:eastAsiaTheme="minorEastAsia" w:hAnsiTheme="minorHAnsi"/>
              <w:noProof/>
            </w:rPr>
          </w:pPr>
          <w:hyperlink w:anchor="_Toc217249701" w:history="1">
            <w:r w:rsidR="00C53529" w:rsidRPr="0083274A">
              <w:rPr>
                <w:rStyle w:val="Hyperlink"/>
                <w:noProof/>
              </w:rPr>
              <w:t>5.2 Project Evaluation</w:t>
            </w:r>
            <w:r w:rsidR="00C53529">
              <w:rPr>
                <w:noProof/>
                <w:webHidden/>
              </w:rPr>
              <w:tab/>
            </w:r>
            <w:r w:rsidR="00C53529">
              <w:rPr>
                <w:noProof/>
                <w:webHidden/>
              </w:rPr>
              <w:fldChar w:fldCharType="begin"/>
            </w:r>
            <w:r w:rsidR="00C53529">
              <w:rPr>
                <w:noProof/>
                <w:webHidden/>
              </w:rPr>
              <w:instrText xml:space="preserve"> PAGEREF _Toc217249701 \h </w:instrText>
            </w:r>
            <w:r w:rsidR="00C53529">
              <w:rPr>
                <w:noProof/>
                <w:webHidden/>
              </w:rPr>
            </w:r>
            <w:r w:rsidR="00C53529">
              <w:rPr>
                <w:noProof/>
                <w:webHidden/>
              </w:rPr>
              <w:fldChar w:fldCharType="separate"/>
            </w:r>
            <w:r w:rsidR="00C53529">
              <w:rPr>
                <w:noProof/>
                <w:webHidden/>
              </w:rPr>
              <w:t>15</w:t>
            </w:r>
            <w:r w:rsidR="00C53529">
              <w:rPr>
                <w:noProof/>
                <w:webHidden/>
              </w:rPr>
              <w:fldChar w:fldCharType="end"/>
            </w:r>
          </w:hyperlink>
        </w:p>
        <w:p w14:paraId="4DAA480F" w14:textId="494E7C3B" w:rsidR="00C53529" w:rsidRDefault="008E4184">
          <w:pPr>
            <w:pStyle w:val="TOC2"/>
            <w:tabs>
              <w:tab w:val="right" w:leader="dot" w:pos="9350"/>
            </w:tabs>
            <w:rPr>
              <w:rFonts w:asciiTheme="minorHAnsi" w:eastAsiaTheme="minorEastAsia" w:hAnsiTheme="minorHAnsi"/>
              <w:noProof/>
            </w:rPr>
          </w:pPr>
          <w:hyperlink w:anchor="_Toc217249702" w:history="1">
            <w:r w:rsidR="00C53529" w:rsidRPr="0083274A">
              <w:rPr>
                <w:rStyle w:val="Hyperlink"/>
                <w:noProof/>
              </w:rPr>
              <w:t>5.3 Capital Rationing Decision (£60 Million Limit)</w:t>
            </w:r>
            <w:r w:rsidR="00C53529">
              <w:rPr>
                <w:noProof/>
                <w:webHidden/>
              </w:rPr>
              <w:tab/>
            </w:r>
            <w:r w:rsidR="00C53529">
              <w:rPr>
                <w:noProof/>
                <w:webHidden/>
              </w:rPr>
              <w:fldChar w:fldCharType="begin"/>
            </w:r>
            <w:r w:rsidR="00C53529">
              <w:rPr>
                <w:noProof/>
                <w:webHidden/>
              </w:rPr>
              <w:instrText xml:space="preserve"> PAGEREF _Toc217249702 \h </w:instrText>
            </w:r>
            <w:r w:rsidR="00C53529">
              <w:rPr>
                <w:noProof/>
                <w:webHidden/>
              </w:rPr>
            </w:r>
            <w:r w:rsidR="00C53529">
              <w:rPr>
                <w:noProof/>
                <w:webHidden/>
              </w:rPr>
              <w:fldChar w:fldCharType="separate"/>
            </w:r>
            <w:r w:rsidR="00C53529">
              <w:rPr>
                <w:noProof/>
                <w:webHidden/>
              </w:rPr>
              <w:t>16</w:t>
            </w:r>
            <w:r w:rsidR="00C53529">
              <w:rPr>
                <w:noProof/>
                <w:webHidden/>
              </w:rPr>
              <w:fldChar w:fldCharType="end"/>
            </w:r>
          </w:hyperlink>
        </w:p>
        <w:p w14:paraId="189B4AE2" w14:textId="55D3030D" w:rsidR="00C53529" w:rsidRDefault="008E4184">
          <w:pPr>
            <w:pStyle w:val="TOC2"/>
            <w:tabs>
              <w:tab w:val="right" w:leader="dot" w:pos="9350"/>
            </w:tabs>
            <w:rPr>
              <w:rFonts w:asciiTheme="minorHAnsi" w:eastAsiaTheme="minorEastAsia" w:hAnsiTheme="minorHAnsi"/>
              <w:noProof/>
            </w:rPr>
          </w:pPr>
          <w:hyperlink w:anchor="_Toc217249703" w:history="1">
            <w:r w:rsidR="00C53529" w:rsidRPr="0083274A">
              <w:rPr>
                <w:rStyle w:val="Hyperlink"/>
                <w:noProof/>
              </w:rPr>
              <w:t>5.4 Strategic Fit and Risk Assessment</w:t>
            </w:r>
            <w:r w:rsidR="00C53529">
              <w:rPr>
                <w:noProof/>
                <w:webHidden/>
              </w:rPr>
              <w:tab/>
            </w:r>
            <w:r w:rsidR="00C53529">
              <w:rPr>
                <w:noProof/>
                <w:webHidden/>
              </w:rPr>
              <w:fldChar w:fldCharType="begin"/>
            </w:r>
            <w:r w:rsidR="00C53529">
              <w:rPr>
                <w:noProof/>
                <w:webHidden/>
              </w:rPr>
              <w:instrText xml:space="preserve"> PAGEREF _Toc217249703 \h </w:instrText>
            </w:r>
            <w:r w:rsidR="00C53529">
              <w:rPr>
                <w:noProof/>
                <w:webHidden/>
              </w:rPr>
            </w:r>
            <w:r w:rsidR="00C53529">
              <w:rPr>
                <w:noProof/>
                <w:webHidden/>
              </w:rPr>
              <w:fldChar w:fldCharType="separate"/>
            </w:r>
            <w:r w:rsidR="00C53529">
              <w:rPr>
                <w:noProof/>
                <w:webHidden/>
              </w:rPr>
              <w:t>17</w:t>
            </w:r>
            <w:r w:rsidR="00C53529">
              <w:rPr>
                <w:noProof/>
                <w:webHidden/>
              </w:rPr>
              <w:fldChar w:fldCharType="end"/>
            </w:r>
          </w:hyperlink>
        </w:p>
        <w:p w14:paraId="18947501" w14:textId="6AD210FF" w:rsidR="00C53529" w:rsidRDefault="008E4184">
          <w:pPr>
            <w:pStyle w:val="TOC1"/>
            <w:tabs>
              <w:tab w:val="right" w:leader="dot" w:pos="9350"/>
            </w:tabs>
            <w:rPr>
              <w:rFonts w:asciiTheme="minorHAnsi" w:eastAsiaTheme="minorEastAsia" w:hAnsiTheme="minorHAnsi"/>
              <w:noProof/>
            </w:rPr>
          </w:pPr>
          <w:hyperlink w:anchor="_Toc217249704" w:history="1">
            <w:r w:rsidR="00C53529" w:rsidRPr="0083274A">
              <w:rPr>
                <w:rStyle w:val="Hyperlink"/>
                <w:noProof/>
              </w:rPr>
              <w:t>6. Conclusion</w:t>
            </w:r>
            <w:r w:rsidR="00C53529">
              <w:rPr>
                <w:noProof/>
                <w:webHidden/>
              </w:rPr>
              <w:tab/>
            </w:r>
            <w:r w:rsidR="00C53529">
              <w:rPr>
                <w:noProof/>
                <w:webHidden/>
              </w:rPr>
              <w:fldChar w:fldCharType="begin"/>
            </w:r>
            <w:r w:rsidR="00C53529">
              <w:rPr>
                <w:noProof/>
                <w:webHidden/>
              </w:rPr>
              <w:instrText xml:space="preserve"> PAGEREF _Toc217249704 \h </w:instrText>
            </w:r>
            <w:r w:rsidR="00C53529">
              <w:rPr>
                <w:noProof/>
                <w:webHidden/>
              </w:rPr>
            </w:r>
            <w:r w:rsidR="00C53529">
              <w:rPr>
                <w:noProof/>
                <w:webHidden/>
              </w:rPr>
              <w:fldChar w:fldCharType="separate"/>
            </w:r>
            <w:r w:rsidR="00C53529">
              <w:rPr>
                <w:noProof/>
                <w:webHidden/>
              </w:rPr>
              <w:t>17</w:t>
            </w:r>
            <w:r w:rsidR="00C53529">
              <w:rPr>
                <w:noProof/>
                <w:webHidden/>
              </w:rPr>
              <w:fldChar w:fldCharType="end"/>
            </w:r>
          </w:hyperlink>
        </w:p>
        <w:p w14:paraId="125963FC" w14:textId="67D3F1B8" w:rsidR="00C53529" w:rsidRDefault="008E4184">
          <w:pPr>
            <w:pStyle w:val="TOC1"/>
            <w:tabs>
              <w:tab w:val="right" w:leader="dot" w:pos="9350"/>
            </w:tabs>
            <w:rPr>
              <w:rFonts w:asciiTheme="minorHAnsi" w:eastAsiaTheme="minorEastAsia" w:hAnsiTheme="minorHAnsi"/>
              <w:noProof/>
            </w:rPr>
          </w:pPr>
          <w:hyperlink w:anchor="_Toc217249705" w:history="1">
            <w:r w:rsidR="00C53529" w:rsidRPr="0083274A">
              <w:rPr>
                <w:rStyle w:val="Hyperlink"/>
                <w:noProof/>
              </w:rPr>
              <w:t>7. References</w:t>
            </w:r>
            <w:r w:rsidR="00C53529">
              <w:rPr>
                <w:noProof/>
                <w:webHidden/>
              </w:rPr>
              <w:tab/>
            </w:r>
            <w:r w:rsidR="00C53529">
              <w:rPr>
                <w:noProof/>
                <w:webHidden/>
              </w:rPr>
              <w:fldChar w:fldCharType="begin"/>
            </w:r>
            <w:r w:rsidR="00C53529">
              <w:rPr>
                <w:noProof/>
                <w:webHidden/>
              </w:rPr>
              <w:instrText xml:space="preserve"> PAGEREF _Toc217249705 \h </w:instrText>
            </w:r>
            <w:r w:rsidR="00C53529">
              <w:rPr>
                <w:noProof/>
                <w:webHidden/>
              </w:rPr>
            </w:r>
            <w:r w:rsidR="00C53529">
              <w:rPr>
                <w:noProof/>
                <w:webHidden/>
              </w:rPr>
              <w:fldChar w:fldCharType="separate"/>
            </w:r>
            <w:r w:rsidR="00C53529">
              <w:rPr>
                <w:noProof/>
                <w:webHidden/>
              </w:rPr>
              <w:t>18</w:t>
            </w:r>
            <w:r w:rsidR="00C53529">
              <w:rPr>
                <w:noProof/>
                <w:webHidden/>
              </w:rPr>
              <w:fldChar w:fldCharType="end"/>
            </w:r>
          </w:hyperlink>
        </w:p>
        <w:p w14:paraId="0A5D6C01" w14:textId="78EC88FB" w:rsidR="00C53529" w:rsidRDefault="008E4184">
          <w:pPr>
            <w:pStyle w:val="TOC1"/>
            <w:tabs>
              <w:tab w:val="right" w:leader="dot" w:pos="9350"/>
            </w:tabs>
            <w:rPr>
              <w:rFonts w:asciiTheme="minorHAnsi" w:eastAsiaTheme="minorEastAsia" w:hAnsiTheme="minorHAnsi"/>
              <w:noProof/>
            </w:rPr>
          </w:pPr>
          <w:hyperlink w:anchor="_Toc217249706" w:history="1">
            <w:r w:rsidR="00C53529" w:rsidRPr="0083274A">
              <w:rPr>
                <w:rStyle w:val="Hyperlink"/>
                <w:noProof/>
              </w:rPr>
              <w:t>8. Appendix</w:t>
            </w:r>
            <w:r w:rsidR="00C53529">
              <w:rPr>
                <w:noProof/>
                <w:webHidden/>
              </w:rPr>
              <w:tab/>
            </w:r>
            <w:r w:rsidR="00C53529">
              <w:rPr>
                <w:noProof/>
                <w:webHidden/>
              </w:rPr>
              <w:fldChar w:fldCharType="begin"/>
            </w:r>
            <w:r w:rsidR="00C53529">
              <w:rPr>
                <w:noProof/>
                <w:webHidden/>
              </w:rPr>
              <w:instrText xml:space="preserve"> PAGEREF _Toc217249706 \h </w:instrText>
            </w:r>
            <w:r w:rsidR="00C53529">
              <w:rPr>
                <w:noProof/>
                <w:webHidden/>
              </w:rPr>
            </w:r>
            <w:r w:rsidR="00C53529">
              <w:rPr>
                <w:noProof/>
                <w:webHidden/>
              </w:rPr>
              <w:fldChar w:fldCharType="separate"/>
            </w:r>
            <w:r w:rsidR="00C53529">
              <w:rPr>
                <w:noProof/>
                <w:webHidden/>
              </w:rPr>
              <w:t>31</w:t>
            </w:r>
            <w:r w:rsidR="00C53529">
              <w:rPr>
                <w:noProof/>
                <w:webHidden/>
              </w:rPr>
              <w:fldChar w:fldCharType="end"/>
            </w:r>
          </w:hyperlink>
        </w:p>
        <w:p w14:paraId="3D051158" w14:textId="3D5E92FE" w:rsidR="00C53529" w:rsidRDefault="008E4184">
          <w:pPr>
            <w:pStyle w:val="TOC2"/>
            <w:tabs>
              <w:tab w:val="right" w:leader="dot" w:pos="9350"/>
            </w:tabs>
            <w:rPr>
              <w:rFonts w:asciiTheme="minorHAnsi" w:eastAsiaTheme="minorEastAsia" w:hAnsiTheme="minorHAnsi"/>
              <w:noProof/>
            </w:rPr>
          </w:pPr>
          <w:hyperlink w:anchor="_Toc217249707" w:history="1">
            <w:r w:rsidR="00C53529" w:rsidRPr="0083274A">
              <w:rPr>
                <w:rStyle w:val="Hyperlink"/>
                <w:noProof/>
              </w:rPr>
              <w:t>APPENDIX A – FINANCIAL PERFORMANCE TABLES</w:t>
            </w:r>
            <w:r w:rsidR="00C53529">
              <w:rPr>
                <w:noProof/>
                <w:webHidden/>
              </w:rPr>
              <w:tab/>
            </w:r>
            <w:r w:rsidR="00C53529">
              <w:rPr>
                <w:noProof/>
                <w:webHidden/>
              </w:rPr>
              <w:fldChar w:fldCharType="begin"/>
            </w:r>
            <w:r w:rsidR="00C53529">
              <w:rPr>
                <w:noProof/>
                <w:webHidden/>
              </w:rPr>
              <w:instrText xml:space="preserve"> PAGEREF _Toc217249707 \h </w:instrText>
            </w:r>
            <w:r w:rsidR="00C53529">
              <w:rPr>
                <w:noProof/>
                <w:webHidden/>
              </w:rPr>
            </w:r>
            <w:r w:rsidR="00C53529">
              <w:rPr>
                <w:noProof/>
                <w:webHidden/>
              </w:rPr>
              <w:fldChar w:fldCharType="separate"/>
            </w:r>
            <w:r w:rsidR="00C53529">
              <w:rPr>
                <w:noProof/>
                <w:webHidden/>
              </w:rPr>
              <w:t>31</w:t>
            </w:r>
            <w:r w:rsidR="00C53529">
              <w:rPr>
                <w:noProof/>
                <w:webHidden/>
              </w:rPr>
              <w:fldChar w:fldCharType="end"/>
            </w:r>
          </w:hyperlink>
        </w:p>
        <w:p w14:paraId="0677328A" w14:textId="1ABCD18C" w:rsidR="00C53529" w:rsidRDefault="008E4184">
          <w:pPr>
            <w:pStyle w:val="TOC2"/>
            <w:tabs>
              <w:tab w:val="right" w:leader="dot" w:pos="9350"/>
            </w:tabs>
            <w:rPr>
              <w:rFonts w:asciiTheme="minorHAnsi" w:eastAsiaTheme="minorEastAsia" w:hAnsiTheme="minorHAnsi"/>
              <w:noProof/>
            </w:rPr>
          </w:pPr>
          <w:hyperlink w:anchor="_Toc217249708" w:history="1">
            <w:r w:rsidR="00C53529" w:rsidRPr="0083274A">
              <w:rPr>
                <w:rStyle w:val="Hyperlink"/>
                <w:noProof/>
              </w:rPr>
              <w:t>APPENDIX B – FINANCIAL DISTRESS MODEL</w:t>
            </w:r>
            <w:r w:rsidR="00C53529">
              <w:rPr>
                <w:noProof/>
                <w:webHidden/>
              </w:rPr>
              <w:tab/>
            </w:r>
            <w:r w:rsidR="00C53529">
              <w:rPr>
                <w:noProof/>
                <w:webHidden/>
              </w:rPr>
              <w:fldChar w:fldCharType="begin"/>
            </w:r>
            <w:r w:rsidR="00C53529">
              <w:rPr>
                <w:noProof/>
                <w:webHidden/>
              </w:rPr>
              <w:instrText xml:space="preserve"> PAGEREF _Toc217249708 \h </w:instrText>
            </w:r>
            <w:r w:rsidR="00C53529">
              <w:rPr>
                <w:noProof/>
                <w:webHidden/>
              </w:rPr>
            </w:r>
            <w:r w:rsidR="00C53529">
              <w:rPr>
                <w:noProof/>
                <w:webHidden/>
              </w:rPr>
              <w:fldChar w:fldCharType="separate"/>
            </w:r>
            <w:r w:rsidR="00C53529">
              <w:rPr>
                <w:noProof/>
                <w:webHidden/>
              </w:rPr>
              <w:t>33</w:t>
            </w:r>
            <w:r w:rsidR="00C53529">
              <w:rPr>
                <w:noProof/>
                <w:webHidden/>
              </w:rPr>
              <w:fldChar w:fldCharType="end"/>
            </w:r>
          </w:hyperlink>
        </w:p>
        <w:p w14:paraId="25DA9C3F" w14:textId="2A21D2C9" w:rsidR="00C53529" w:rsidRDefault="008E4184">
          <w:pPr>
            <w:pStyle w:val="TOC2"/>
            <w:tabs>
              <w:tab w:val="right" w:leader="dot" w:pos="9350"/>
            </w:tabs>
            <w:rPr>
              <w:rFonts w:asciiTheme="minorHAnsi" w:eastAsiaTheme="minorEastAsia" w:hAnsiTheme="minorHAnsi"/>
              <w:noProof/>
            </w:rPr>
          </w:pPr>
          <w:hyperlink w:anchor="_Toc217249709" w:history="1">
            <w:r w:rsidR="00C53529" w:rsidRPr="0083274A">
              <w:rPr>
                <w:rStyle w:val="Hyperlink"/>
                <w:noProof/>
              </w:rPr>
              <w:t>APPENDIX C – WORKING CAPITAL ANALYSIS</w:t>
            </w:r>
            <w:r w:rsidR="00C53529">
              <w:rPr>
                <w:noProof/>
                <w:webHidden/>
              </w:rPr>
              <w:tab/>
            </w:r>
            <w:r w:rsidR="00C53529">
              <w:rPr>
                <w:noProof/>
                <w:webHidden/>
              </w:rPr>
              <w:fldChar w:fldCharType="begin"/>
            </w:r>
            <w:r w:rsidR="00C53529">
              <w:rPr>
                <w:noProof/>
                <w:webHidden/>
              </w:rPr>
              <w:instrText xml:space="preserve"> PAGEREF _Toc217249709 \h </w:instrText>
            </w:r>
            <w:r w:rsidR="00C53529">
              <w:rPr>
                <w:noProof/>
                <w:webHidden/>
              </w:rPr>
            </w:r>
            <w:r w:rsidR="00C53529">
              <w:rPr>
                <w:noProof/>
                <w:webHidden/>
              </w:rPr>
              <w:fldChar w:fldCharType="separate"/>
            </w:r>
            <w:r w:rsidR="00C53529">
              <w:rPr>
                <w:noProof/>
                <w:webHidden/>
              </w:rPr>
              <w:t>33</w:t>
            </w:r>
            <w:r w:rsidR="00C53529">
              <w:rPr>
                <w:noProof/>
                <w:webHidden/>
              </w:rPr>
              <w:fldChar w:fldCharType="end"/>
            </w:r>
          </w:hyperlink>
        </w:p>
        <w:p w14:paraId="4EA8D4A2" w14:textId="571F1980" w:rsidR="00C53529" w:rsidRDefault="008E4184">
          <w:pPr>
            <w:pStyle w:val="TOC2"/>
            <w:tabs>
              <w:tab w:val="right" w:leader="dot" w:pos="9350"/>
            </w:tabs>
            <w:rPr>
              <w:rFonts w:asciiTheme="minorHAnsi" w:eastAsiaTheme="minorEastAsia" w:hAnsiTheme="minorHAnsi"/>
              <w:noProof/>
            </w:rPr>
          </w:pPr>
          <w:hyperlink w:anchor="_Toc217249710" w:history="1">
            <w:r w:rsidR="00C53529" w:rsidRPr="0083274A">
              <w:rPr>
                <w:rStyle w:val="Hyperlink"/>
                <w:noProof/>
              </w:rPr>
              <w:t>APPENDIX D – CAPITAL BUDGETING</w:t>
            </w:r>
            <w:r w:rsidR="00C53529">
              <w:rPr>
                <w:noProof/>
                <w:webHidden/>
              </w:rPr>
              <w:tab/>
            </w:r>
            <w:r w:rsidR="00C53529">
              <w:rPr>
                <w:noProof/>
                <w:webHidden/>
              </w:rPr>
              <w:fldChar w:fldCharType="begin"/>
            </w:r>
            <w:r w:rsidR="00C53529">
              <w:rPr>
                <w:noProof/>
                <w:webHidden/>
              </w:rPr>
              <w:instrText xml:space="preserve"> PAGEREF _Toc217249710 \h </w:instrText>
            </w:r>
            <w:r w:rsidR="00C53529">
              <w:rPr>
                <w:noProof/>
                <w:webHidden/>
              </w:rPr>
            </w:r>
            <w:r w:rsidR="00C53529">
              <w:rPr>
                <w:noProof/>
                <w:webHidden/>
              </w:rPr>
              <w:fldChar w:fldCharType="separate"/>
            </w:r>
            <w:r w:rsidR="00C53529">
              <w:rPr>
                <w:noProof/>
                <w:webHidden/>
              </w:rPr>
              <w:t>34</w:t>
            </w:r>
            <w:r w:rsidR="00C53529">
              <w:rPr>
                <w:noProof/>
                <w:webHidden/>
              </w:rPr>
              <w:fldChar w:fldCharType="end"/>
            </w:r>
          </w:hyperlink>
        </w:p>
        <w:p w14:paraId="34859CD3" w14:textId="3DF22A16" w:rsidR="00166403" w:rsidRDefault="00166403">
          <w:r>
            <w:rPr>
              <w:b/>
              <w:bCs/>
              <w:noProof/>
            </w:rPr>
            <w:fldChar w:fldCharType="end"/>
          </w:r>
        </w:p>
      </w:sdtContent>
    </w:sdt>
    <w:p w14:paraId="39700E4D" w14:textId="77777777" w:rsidR="00166403" w:rsidRDefault="00166403" w:rsidP="00E63602">
      <w:pPr>
        <w:rPr>
          <w:b/>
          <w:bCs/>
        </w:rPr>
      </w:pPr>
    </w:p>
    <w:p w14:paraId="65E6FFC9" w14:textId="461275D8" w:rsidR="00E63602" w:rsidRPr="00E63602" w:rsidRDefault="00E63602" w:rsidP="00C53529">
      <w:pPr>
        <w:pStyle w:val="Heading1"/>
        <w:spacing w:line="360" w:lineRule="auto"/>
        <w:jc w:val="both"/>
      </w:pPr>
      <w:bookmarkStart w:id="1" w:name="_Toc217249683"/>
      <w:r w:rsidRPr="00E63602">
        <w:lastRenderedPageBreak/>
        <w:t>1. Introduction</w:t>
      </w:r>
      <w:bookmarkEnd w:id="1"/>
    </w:p>
    <w:p w14:paraId="45E851C5" w14:textId="2AA2C78F" w:rsidR="0080661B" w:rsidRDefault="00921E04" w:rsidP="00C53529">
      <w:pPr>
        <w:spacing w:line="360" w:lineRule="auto"/>
        <w:jc w:val="both"/>
      </w:pPr>
      <w:r w:rsidRPr="00921E04">
        <w:t>General Electronics is a multinational company that is involved in the consumer electronics business in the global industry that is highly competitive. The company has a negative trend in its financial performance that has been prolonged throughout the period of the five-year period of 2020-2024, as it has been marked by the deteriorating revenues, decreasing profitability, and building the pressure on liquidity</w:t>
      </w:r>
      <w:r w:rsidR="00CF0401">
        <w:t xml:space="preserve"> </w:t>
      </w:r>
      <w:r w:rsidR="00CF0401" w:rsidRPr="00CF0401">
        <w:t>(</w:t>
      </w:r>
      <w:proofErr w:type="spellStart"/>
      <w:r w:rsidR="00CF0401" w:rsidRPr="00CF0401">
        <w:t>Hundal</w:t>
      </w:r>
      <w:proofErr w:type="spellEnd"/>
      <w:r w:rsidR="00CF0401" w:rsidRPr="00CF0401">
        <w:t xml:space="preserve"> &amp; </w:t>
      </w:r>
      <w:proofErr w:type="spellStart"/>
      <w:r w:rsidR="00CF0401" w:rsidRPr="00CF0401">
        <w:t>Eskola</w:t>
      </w:r>
      <w:proofErr w:type="spellEnd"/>
      <w:r w:rsidR="00CF0401" w:rsidRPr="00CF0401">
        <w:t>, 2021)</w:t>
      </w:r>
      <w:r w:rsidRPr="00921E04">
        <w:t>. Since the net sales were as high as £614,680 million in 2020 and now are 394,879 million, the company is no longer associated with profitability but is experiencing significant net losses in the last two years. This trend is not only an indication of a cyclical poor performance, but more of structural and financial frailty that endangers the long-term sustainability of the firm</w:t>
      </w:r>
      <w:r w:rsidR="00CF0401">
        <w:t xml:space="preserve"> </w:t>
      </w:r>
      <w:r w:rsidR="00CF0401" w:rsidRPr="00CF0401">
        <w:t>(</w:t>
      </w:r>
      <w:proofErr w:type="spellStart"/>
      <w:r w:rsidR="00CF0401" w:rsidRPr="00CF0401">
        <w:t>Enumah</w:t>
      </w:r>
      <w:proofErr w:type="spellEnd"/>
      <w:r w:rsidR="00CF0401" w:rsidRPr="00CF0401">
        <w:t xml:space="preserve"> et al., 2022)</w:t>
      </w:r>
      <w:r w:rsidR="00CF0401">
        <w:t>.</w:t>
      </w:r>
      <w:r w:rsidR="00CF0401" w:rsidRPr="00CF0401">
        <w:t xml:space="preserve"> </w:t>
      </w:r>
      <w:r w:rsidRPr="00921E04">
        <w:t xml:space="preserve">To address this scenario, the report has been prepared as a Chief Financial Officer who has been appointed by the Board with the mandate to diagnose on the level of financial distress and the underlying causes of the distress, </w:t>
      </w:r>
      <w:proofErr w:type="spellStart"/>
      <w:r w:rsidRPr="00921E04">
        <w:t>stabilise</w:t>
      </w:r>
      <w:proofErr w:type="spellEnd"/>
      <w:r w:rsidRPr="00921E04">
        <w:t xml:space="preserve"> the </w:t>
      </w:r>
      <w:r w:rsidR="00166403" w:rsidRPr="00921E04">
        <w:t>short-term</w:t>
      </w:r>
      <w:r w:rsidRPr="00921E04">
        <w:t xml:space="preserve"> liquidity, restore long term profitability and use the limited capital in a value </w:t>
      </w:r>
      <w:proofErr w:type="spellStart"/>
      <w:r w:rsidRPr="00921E04">
        <w:t>maximising</w:t>
      </w:r>
      <w:proofErr w:type="spellEnd"/>
      <w:r w:rsidRPr="00921E04">
        <w:t xml:space="preserve"> way</w:t>
      </w:r>
      <w:r w:rsidR="0080661B">
        <w:t xml:space="preserve"> </w:t>
      </w:r>
      <w:r w:rsidR="0080661B" w:rsidRPr="00CF0401">
        <w:t>(</w:t>
      </w:r>
      <w:proofErr w:type="spellStart"/>
      <w:r w:rsidR="0080661B" w:rsidRPr="00CF0401">
        <w:t>Hashim</w:t>
      </w:r>
      <w:proofErr w:type="spellEnd"/>
      <w:r w:rsidR="0080661B" w:rsidRPr="00CF0401">
        <w:t xml:space="preserve"> &amp; Strong, 2018)</w:t>
      </w:r>
      <w:r w:rsidR="0080661B">
        <w:t xml:space="preserve">. </w:t>
      </w:r>
    </w:p>
    <w:p w14:paraId="4FFE9500" w14:textId="59683544" w:rsidR="00E63602" w:rsidRPr="00E63602" w:rsidRDefault="00921E04" w:rsidP="00C53529">
      <w:pPr>
        <w:spacing w:line="360" w:lineRule="auto"/>
        <w:jc w:val="both"/>
      </w:pPr>
      <w:r w:rsidRPr="00921E04">
        <w:t>Of concern especially is the continuous operating loss, the reduction in shareholder equity by retained losses, and the increasing likelihood of financial breakdown as evidenced by the worsening of the solvency ratios</w:t>
      </w:r>
      <w:r w:rsidR="0080661B">
        <w:t xml:space="preserve"> </w:t>
      </w:r>
      <w:r w:rsidR="0080661B" w:rsidRPr="0080661B">
        <w:t>(</w:t>
      </w:r>
      <w:proofErr w:type="spellStart"/>
      <w:r w:rsidR="0080661B" w:rsidRPr="0080661B">
        <w:t>Hemati</w:t>
      </w:r>
      <w:proofErr w:type="spellEnd"/>
      <w:r w:rsidR="0080661B" w:rsidRPr="0080661B">
        <w:t xml:space="preserve"> &amp; </w:t>
      </w:r>
      <w:proofErr w:type="spellStart"/>
      <w:r w:rsidR="0080661B" w:rsidRPr="0080661B">
        <w:t>Javid</w:t>
      </w:r>
      <w:proofErr w:type="spellEnd"/>
      <w:r w:rsidR="0080661B" w:rsidRPr="0080661B">
        <w:t>, 2017)</w:t>
      </w:r>
      <w:r w:rsidRPr="00921E04">
        <w:t>. The report to these challenges takes a stringent analytical approach that is based on set financial management methods</w:t>
      </w:r>
      <w:r w:rsidR="0080661B">
        <w:t xml:space="preserve">. </w:t>
      </w:r>
      <w:r w:rsidRPr="00921E04">
        <w:t>This covers five years of ratio analysis which entails profitability, liquidity, efficiency, gearing, and cash flow performance which is supplemented by use of the Altman Z-Score to determine the risk of default</w:t>
      </w:r>
      <w:r w:rsidR="00FC2094">
        <w:t xml:space="preserve"> (</w:t>
      </w:r>
      <w:proofErr w:type="spellStart"/>
      <w:r w:rsidR="00FC2094" w:rsidRPr="00FC2094">
        <w:t>Rahmadyanti</w:t>
      </w:r>
      <w:proofErr w:type="spellEnd"/>
      <w:r w:rsidR="00FC2094" w:rsidRPr="00FC2094">
        <w:t xml:space="preserve"> &amp; </w:t>
      </w:r>
      <w:proofErr w:type="spellStart"/>
      <w:r w:rsidR="00FC2094" w:rsidRPr="00FC2094">
        <w:t>Sylviana</w:t>
      </w:r>
      <w:proofErr w:type="spellEnd"/>
      <w:r w:rsidR="00FC2094" w:rsidRPr="00FC2094">
        <w:t>, 2022)</w:t>
      </w:r>
      <w:r w:rsidRPr="00921E04">
        <w:t>. Moreover, cash operating cycle of the company is also considered to determine working capital inefficiency and capital budgeting tools, that is, NPV, IRR, PI, ARR, Payback Period are used to make investment decisions under capital rationing constraints</w:t>
      </w:r>
      <w:r w:rsidR="0080661B">
        <w:t xml:space="preserve"> (</w:t>
      </w:r>
      <w:proofErr w:type="spellStart"/>
      <w:r w:rsidR="0080661B" w:rsidRPr="00CF0401">
        <w:t>Husein</w:t>
      </w:r>
      <w:proofErr w:type="spellEnd"/>
      <w:r w:rsidR="0080661B" w:rsidRPr="00CF0401">
        <w:t xml:space="preserve"> &amp; </w:t>
      </w:r>
      <w:proofErr w:type="spellStart"/>
      <w:r w:rsidR="0080661B" w:rsidRPr="00CF0401">
        <w:t>Pambekti</w:t>
      </w:r>
      <w:proofErr w:type="spellEnd"/>
      <w:r w:rsidR="0080661B" w:rsidRPr="00CF0401">
        <w:t>, 2015)</w:t>
      </w:r>
      <w:r w:rsidR="0080661B">
        <w:t xml:space="preserve"> </w:t>
      </w:r>
      <w:r w:rsidRPr="00921E04">
        <w:t>. The analysis would lead to the integration of financial restructuring and investment recommendations which would ensure financial recovery and sustainability of General Electronics in the long run</w:t>
      </w:r>
      <w:r w:rsidR="0080661B">
        <w:t>.</w:t>
      </w:r>
    </w:p>
    <w:p w14:paraId="0AC7EE9C" w14:textId="77777777" w:rsidR="00E63602" w:rsidRPr="00E63602" w:rsidRDefault="00E63602" w:rsidP="00C53529">
      <w:pPr>
        <w:pStyle w:val="Heading1"/>
        <w:spacing w:line="360" w:lineRule="auto"/>
        <w:jc w:val="both"/>
      </w:pPr>
      <w:bookmarkStart w:id="2" w:name="_Toc217249684"/>
      <w:r w:rsidRPr="00E63602">
        <w:lastRenderedPageBreak/>
        <w:t>2. Financial Health Check</w:t>
      </w:r>
      <w:bookmarkEnd w:id="2"/>
    </w:p>
    <w:p w14:paraId="33198C2C" w14:textId="77777777" w:rsidR="00E63602" w:rsidRPr="00E63602" w:rsidRDefault="00E63602" w:rsidP="00C53529">
      <w:pPr>
        <w:pStyle w:val="Heading2"/>
        <w:spacing w:line="360" w:lineRule="auto"/>
        <w:jc w:val="both"/>
      </w:pPr>
      <w:bookmarkStart w:id="3" w:name="_Toc217249685"/>
      <w:r w:rsidRPr="00E63602">
        <w:t>2.1 Revenue, Cost Structure and Profitability Analysis</w:t>
      </w:r>
      <w:bookmarkEnd w:id="3"/>
    </w:p>
    <w:p w14:paraId="01484D12" w14:textId="17D5488C" w:rsidR="00CB14DB" w:rsidRDefault="00945753" w:rsidP="00C53529">
      <w:pPr>
        <w:spacing w:line="360" w:lineRule="auto"/>
        <w:jc w:val="both"/>
      </w:pPr>
      <w:r w:rsidRPr="00945753">
        <w:t>A review of the income statements of General Electronics in 20202024 shows that the trend of the company weakens in terms of revenue and profitability, which is not cyclical shock but weakness in its structure</w:t>
      </w:r>
      <w:r w:rsidR="0080661B">
        <w:t xml:space="preserve"> </w:t>
      </w:r>
      <w:r w:rsidR="0080661B" w:rsidRPr="0080661B">
        <w:t>(Banker et al., 2016)</w:t>
      </w:r>
      <w:r w:rsidRPr="00945753">
        <w:t>. The net sales decreased between 2020 and 2024 by a cumulative of about 36 percent as net sales were reduced to 394,879 million in 2021 weighed down by 614,680 million in 2020, which indicated prolonged failure to maintain competitiveness in the global consumer electronics market (Hoe et al., 2018). The extent and length of this fall indicate a drop in the product relevancy, increased price rivalry, and poor strategic differentiation instead of short-lived demand fluctuations</w:t>
      </w:r>
      <w:r w:rsidR="00FC2094">
        <w:t xml:space="preserve"> </w:t>
      </w:r>
      <w:r w:rsidR="00FC2094" w:rsidRPr="00FC2094">
        <w:t>(Leland &amp; Toft, 1996)</w:t>
      </w:r>
      <w:r w:rsidRPr="00945753">
        <w:t>. This is supported by profitability ratios</w:t>
      </w:r>
      <w:r w:rsidR="00CB14DB" w:rsidRPr="00CB14DB">
        <w:t>:</w:t>
      </w:r>
    </w:p>
    <w:p w14:paraId="36673D11" w14:textId="336FC361" w:rsidR="00CB14DB" w:rsidRPr="00CB14DB" w:rsidRDefault="00CB14DB" w:rsidP="00C53529">
      <w:pPr>
        <w:spacing w:line="360" w:lineRule="auto"/>
        <w:jc w:val="both"/>
        <w:rPr>
          <w:rFonts w:cs="Arial"/>
          <w:b/>
          <w:bCs/>
        </w:rPr>
      </w:pPr>
      <m:oMathPara>
        <m:oMath>
          <m:r>
            <m:rPr>
              <m:sty m:val="bi"/>
            </m:rPr>
            <w:rPr>
              <w:rFonts w:ascii="Cambria Math" w:hAnsi="Cambria Math" w:cs="Arial"/>
            </w:rPr>
            <m:t xml:space="preserve">Gross Margin= </m:t>
          </m:r>
          <m:f>
            <m:fPr>
              <m:ctrlPr>
                <w:rPr>
                  <w:rFonts w:ascii="Cambria Math" w:hAnsi="Cambria Math" w:cs="Arial"/>
                  <w:b/>
                  <w:bCs/>
                  <w:i/>
                </w:rPr>
              </m:ctrlPr>
            </m:fPr>
            <m:num>
              <m:r>
                <m:rPr>
                  <m:sty m:val="bi"/>
                </m:rPr>
                <w:rPr>
                  <w:rFonts w:ascii="Cambria Math" w:hAnsi="Cambria Math" w:cs="Arial"/>
                </w:rPr>
                <m:t>Gross Profit</m:t>
              </m:r>
            </m:num>
            <m:den>
              <m:r>
                <m:rPr>
                  <m:sty m:val="bi"/>
                </m:rPr>
                <w:rPr>
                  <w:rFonts w:ascii="Cambria Math" w:hAnsi="Cambria Math" w:cs="Arial"/>
                </w:rPr>
                <m:t>Revenue</m:t>
              </m:r>
            </m:den>
          </m:f>
          <m:r>
            <m:rPr>
              <m:sty m:val="bi"/>
            </m:rPr>
            <w:rPr>
              <w:rFonts w:ascii="Cambria Math" w:hAnsi="Cambria Math" w:cs="Arial"/>
            </w:rPr>
            <m:t xml:space="preserve"> x 100</m:t>
          </m:r>
        </m:oMath>
      </m:oMathPara>
    </w:p>
    <w:p w14:paraId="1C11D0A9" w14:textId="4EE08E6E" w:rsidR="00E63602" w:rsidRPr="00E63602" w:rsidRDefault="00945753" w:rsidP="00C53529">
      <w:pPr>
        <w:spacing w:line="360" w:lineRule="auto"/>
        <w:jc w:val="both"/>
      </w:pPr>
      <w:r>
        <w:t>S</w:t>
      </w:r>
      <w:r w:rsidRPr="00945753">
        <w:t>hown volatility during the period. Although margins have not changed much between 2020 and 2022, the shrinkage of revenue after post-2022 coupled with a rigid cost of sales has made margins become much tighter, which reduces the capacity of the firm to absorb operation costs (Lee, 2015). More importantly, the costs of operation did not reduce in proportion to the shrinking revenues. The highest operating cost at 2023 of 182,861 million in the face of declining sales is indicative of cost stickiness and operational inflexibility. Due to this, operating margins became structurally negative starting as of 2023, with operating losses of £85,301 million in 2023 and loss of 15,297million in 2024</w:t>
      </w:r>
      <w:r>
        <w:t xml:space="preserve"> </w:t>
      </w:r>
      <w:r w:rsidRPr="00945753">
        <w:t>(Martini et al., 2023). The continued losses are indicative of the fact that the main business could not be sustained in the current expense base and strategic make-up (</w:t>
      </w:r>
      <w:proofErr w:type="spellStart"/>
      <w:r w:rsidRPr="00945753">
        <w:t>Melasari</w:t>
      </w:r>
      <w:proofErr w:type="spellEnd"/>
      <w:r w:rsidRPr="00945753">
        <w:t xml:space="preserve"> et al., 2024). This loss of profitability is reflected in earnings per share that went negative, to -£1.85 in 2024, and is an indicator of a massive shareholder value destruction and poorer investor confidence</w:t>
      </w:r>
      <w:r w:rsidR="0080661B">
        <w:t xml:space="preserve"> </w:t>
      </w:r>
      <w:r w:rsidR="0080661B" w:rsidRPr="0080661B">
        <w:t>(</w:t>
      </w:r>
      <w:proofErr w:type="spellStart"/>
      <w:r w:rsidR="0080661B" w:rsidRPr="0080661B">
        <w:t>Warrad</w:t>
      </w:r>
      <w:proofErr w:type="spellEnd"/>
      <w:r w:rsidR="0080661B" w:rsidRPr="0080661B">
        <w:t xml:space="preserve"> &amp; Omari, 2015)</w:t>
      </w:r>
      <w:r>
        <w:t xml:space="preserve">. </w:t>
      </w:r>
      <w:r w:rsidRPr="00945753">
        <w:t>In general, the decline in profitability is not caused by the external shocks per se, but is mainly triggered by internal inefficiencies, strategies mismatch, which means that the process of recovery should involve structural intervention, but not incremental adjustment (</w:t>
      </w:r>
      <w:proofErr w:type="spellStart"/>
      <w:r w:rsidRPr="00945753">
        <w:t>Sitinjak</w:t>
      </w:r>
      <w:proofErr w:type="spellEnd"/>
      <w:r w:rsidRPr="00945753">
        <w:t xml:space="preserve"> et al., 2025</w:t>
      </w:r>
      <w:r w:rsidR="00CF0401" w:rsidRPr="00CF0401">
        <w:t>)</w:t>
      </w:r>
      <w:r w:rsidR="00CF0401">
        <w:t>.</w:t>
      </w:r>
    </w:p>
    <w:p w14:paraId="727EAA20" w14:textId="77777777" w:rsidR="00E63602" w:rsidRPr="00E63602" w:rsidRDefault="00E63602" w:rsidP="00C53529">
      <w:pPr>
        <w:pStyle w:val="Heading2"/>
        <w:spacing w:line="360" w:lineRule="auto"/>
        <w:jc w:val="both"/>
      </w:pPr>
      <w:bookmarkStart w:id="4" w:name="_Toc217249686"/>
      <w:r w:rsidRPr="00E63602">
        <w:lastRenderedPageBreak/>
        <w:t>2.2 Liquidity and Short-Term Solvency</w:t>
      </w:r>
      <w:bookmarkEnd w:id="4"/>
    </w:p>
    <w:p w14:paraId="0B0E1051" w14:textId="296F489C" w:rsidR="00CB14DB" w:rsidRDefault="00945753" w:rsidP="00C53529">
      <w:pPr>
        <w:spacing w:line="360" w:lineRule="auto"/>
        <w:jc w:val="both"/>
      </w:pPr>
      <w:r w:rsidRPr="00945753">
        <w:t>Liquidity analysis shows that there is a slow yet steady deterioration of a short-term financial strength. Though the current asset is still high in the absolute values, the asset quality has been affected because of the high concentrations in the inventories and receivables that are less liquid in times of stress</w:t>
      </w:r>
      <w:r w:rsidR="005B58ED">
        <w:t xml:space="preserve"> (</w:t>
      </w:r>
      <w:proofErr w:type="spellStart"/>
      <w:r w:rsidR="005B58ED" w:rsidRPr="005B58ED">
        <w:t>Muttia</w:t>
      </w:r>
      <w:proofErr w:type="spellEnd"/>
      <w:r w:rsidR="005B58ED" w:rsidRPr="005B58ED">
        <w:t xml:space="preserve"> and </w:t>
      </w:r>
      <w:proofErr w:type="spellStart"/>
      <w:r w:rsidR="005B58ED" w:rsidRPr="005B58ED">
        <w:t>Sutrisno</w:t>
      </w:r>
      <w:proofErr w:type="spellEnd"/>
      <w:r w:rsidR="005B58ED" w:rsidRPr="005B58ED">
        <w:t>, 2022</w:t>
      </w:r>
      <w:r w:rsidR="005B58ED" w:rsidRPr="00CB14DB">
        <w:t>)</w:t>
      </w:r>
      <w:r w:rsidRPr="00945753">
        <w:t xml:space="preserve">. The major liquidity ratios are determined </w:t>
      </w:r>
      <w:r w:rsidR="00CB14DB" w:rsidRPr="00CB14DB">
        <w:t>as:</w:t>
      </w:r>
    </w:p>
    <w:p w14:paraId="06FAAE33" w14:textId="436B65DD" w:rsidR="00CB14DB" w:rsidRPr="00CB14DB" w:rsidRDefault="00CB14DB" w:rsidP="00C53529">
      <w:pPr>
        <w:spacing w:line="360" w:lineRule="auto"/>
        <w:jc w:val="both"/>
        <w:rPr>
          <w:rFonts w:cs="Arial"/>
          <w:b/>
          <w:bCs/>
        </w:rPr>
      </w:pPr>
      <m:oMathPara>
        <m:oMath>
          <m:r>
            <m:rPr>
              <m:sty m:val="bi"/>
            </m:rPr>
            <w:rPr>
              <w:rFonts w:ascii="Cambria Math" w:hAnsi="Cambria Math" w:cs="Arial"/>
            </w:rPr>
            <m:t xml:space="preserve">Current Ratio= </m:t>
          </m:r>
          <m:f>
            <m:fPr>
              <m:ctrlPr>
                <w:rPr>
                  <w:rFonts w:ascii="Cambria Math" w:hAnsi="Cambria Math" w:cs="Arial"/>
                  <w:b/>
                  <w:bCs/>
                  <w:i/>
                </w:rPr>
              </m:ctrlPr>
            </m:fPr>
            <m:num>
              <m:r>
                <m:rPr>
                  <m:sty m:val="bi"/>
                </m:rPr>
                <w:rPr>
                  <w:rFonts w:ascii="Cambria Math" w:hAnsi="Cambria Math" w:cs="Arial"/>
                </w:rPr>
                <m:t>Current Assests</m:t>
              </m:r>
            </m:num>
            <m:den>
              <m:r>
                <m:rPr>
                  <m:sty m:val="bi"/>
                </m:rPr>
                <w:rPr>
                  <w:rFonts w:ascii="Cambria Math" w:hAnsi="Cambria Math" w:cs="Arial"/>
                </w:rPr>
                <m:t xml:space="preserve">Current liabilities </m:t>
              </m:r>
            </m:den>
          </m:f>
          <m:r>
            <m:rPr>
              <m:sty m:val="bi"/>
            </m:rPr>
            <w:rPr>
              <w:rFonts w:ascii="Cambria Math" w:hAnsi="Cambria Math" w:cs="Arial"/>
            </w:rPr>
            <m:t xml:space="preserve"> </m:t>
          </m:r>
        </m:oMath>
      </m:oMathPara>
    </w:p>
    <w:p w14:paraId="7368138C" w14:textId="35E6EA8F" w:rsidR="00CB14DB" w:rsidRPr="00CB14DB" w:rsidRDefault="00DF42D1" w:rsidP="00C53529">
      <w:pPr>
        <w:spacing w:line="360" w:lineRule="auto"/>
        <w:jc w:val="both"/>
      </w:pPr>
      <m:oMathPara>
        <m:oMath>
          <m:r>
            <m:rPr>
              <m:sty m:val="bi"/>
            </m:rPr>
            <w:rPr>
              <w:rFonts w:ascii="Cambria Math" w:hAnsi="Cambria Math" w:cs="Arial"/>
            </w:rPr>
            <m:t xml:space="preserve">Quick Ratio= </m:t>
          </m:r>
          <m:f>
            <m:fPr>
              <m:ctrlPr>
                <w:rPr>
                  <w:rFonts w:ascii="Cambria Math" w:hAnsi="Cambria Math" w:cs="Arial"/>
                  <w:b/>
                  <w:bCs/>
                  <w:i/>
                </w:rPr>
              </m:ctrlPr>
            </m:fPr>
            <m:num>
              <m:r>
                <m:rPr>
                  <m:sty m:val="bi"/>
                </m:rPr>
                <w:rPr>
                  <w:rFonts w:ascii="Cambria Math" w:hAnsi="Cambria Math" w:cs="Arial"/>
                </w:rPr>
                <m:t>Current Assests-Inventory</m:t>
              </m:r>
            </m:num>
            <m:den>
              <m:r>
                <m:rPr>
                  <m:sty m:val="bi"/>
                </m:rPr>
                <w:rPr>
                  <w:rFonts w:ascii="Cambria Math" w:hAnsi="Cambria Math" w:cs="Arial"/>
                </w:rPr>
                <m:t xml:space="preserve">Current liabilities </m:t>
              </m:r>
            </m:den>
          </m:f>
        </m:oMath>
      </m:oMathPara>
    </w:p>
    <w:p w14:paraId="2FBFCBED" w14:textId="43B546F7" w:rsidR="00CB14DB" w:rsidRDefault="005B58ED" w:rsidP="00C53529">
      <w:pPr>
        <w:spacing w:line="360" w:lineRule="auto"/>
        <w:jc w:val="both"/>
      </w:pPr>
      <w:r w:rsidRPr="005B58ED">
        <w:t>Both ratios indicate that the trend was decreasing throughout the period, indicating wearing down of the liquidity buffer of the firm. Although General Electric is yet to reach the level of acute illiquidity, it has gradually grown dependent on external short-term funding to cover the current obligations</w:t>
      </w:r>
      <w:r w:rsidR="0080661B">
        <w:t xml:space="preserve"> </w:t>
      </w:r>
      <w:r w:rsidR="0080661B" w:rsidRPr="0080661B">
        <w:t>(</w:t>
      </w:r>
      <w:proofErr w:type="spellStart"/>
      <w:r w:rsidR="0080661B" w:rsidRPr="0080661B">
        <w:t>Kovalchuk</w:t>
      </w:r>
      <w:proofErr w:type="spellEnd"/>
      <w:r w:rsidR="0080661B" w:rsidRPr="0080661B">
        <w:t xml:space="preserve"> &amp; </w:t>
      </w:r>
      <w:proofErr w:type="spellStart"/>
      <w:r w:rsidR="0080661B" w:rsidRPr="0080661B">
        <w:t>Verhun</w:t>
      </w:r>
      <w:proofErr w:type="spellEnd"/>
      <w:r w:rsidR="0080661B" w:rsidRPr="0080661B">
        <w:t>, 2020)</w:t>
      </w:r>
      <w:r w:rsidRPr="005B58ED">
        <w:t>. This reliance is observed in the growth of short-term credit facilities, which reached its maximum in 2022 at the level of £88,000 million and in 2024 at the level of £36,960 million (Maulana, 2024). Cash flow operation also indicates liquidity weaknesses. The net cash generated by operations decreased significantly in 2024 to 14,822 million as compared to 73,392 million in 2020; however, the two companies have significant non-cash charges (depreciation and impairment) (Savery et al., 2024). Liquidity sustainability may be determined based on</w:t>
      </w:r>
      <w:r w:rsidR="00CB14DB" w:rsidRPr="00CB14DB">
        <w:t>:</w:t>
      </w:r>
    </w:p>
    <w:p w14:paraId="6ECB8C7A" w14:textId="5D58D556" w:rsidR="00DF42D1" w:rsidRPr="00CB14DB" w:rsidRDefault="00DF42D1" w:rsidP="00C53529">
      <w:pPr>
        <w:spacing w:line="360" w:lineRule="auto"/>
        <w:jc w:val="both"/>
        <w:rPr>
          <w:rFonts w:cs="Arial"/>
        </w:rPr>
      </w:pPr>
      <m:oMathPara>
        <m:oMath>
          <m:r>
            <m:rPr>
              <m:sty m:val="bi"/>
            </m:rPr>
            <w:rPr>
              <w:rFonts w:ascii="Cambria Math" w:hAnsi="Cambria Math" w:cs="Arial"/>
            </w:rPr>
            <m:t xml:space="preserve">Operating Cash Flow Ratio= </m:t>
          </m:r>
          <m:f>
            <m:fPr>
              <m:ctrlPr>
                <w:rPr>
                  <w:rFonts w:ascii="Cambria Math" w:hAnsi="Cambria Math" w:cs="Arial"/>
                  <w:b/>
                  <w:bCs/>
                  <w:i/>
                </w:rPr>
              </m:ctrlPr>
            </m:fPr>
            <m:num>
              <m:r>
                <m:rPr>
                  <m:sty m:val="bi"/>
                </m:rPr>
                <w:rPr>
                  <w:rFonts w:ascii="Cambria Math" w:hAnsi="Cambria Math" w:cs="Arial"/>
                </w:rPr>
                <m:t xml:space="preserve">Operationg Cash Flow </m:t>
              </m:r>
            </m:num>
            <m:den>
              <m:r>
                <m:rPr>
                  <m:sty m:val="bi"/>
                </m:rPr>
                <w:rPr>
                  <w:rFonts w:ascii="Cambria Math" w:hAnsi="Cambria Math" w:cs="Arial"/>
                </w:rPr>
                <m:t xml:space="preserve">Current liabilities </m:t>
              </m:r>
            </m:den>
          </m:f>
        </m:oMath>
      </m:oMathPara>
    </w:p>
    <w:p w14:paraId="3208C7C8" w14:textId="317BA1E0" w:rsidR="00E63602" w:rsidRPr="00E63602" w:rsidRDefault="005B58ED" w:rsidP="00C53529">
      <w:pPr>
        <w:spacing w:line="360" w:lineRule="auto"/>
        <w:jc w:val="both"/>
      </w:pPr>
      <w:r w:rsidRPr="005B58ED">
        <w:t>This decreasing ratio means that internally generated cash is becoming less and less sufficient to finance short-term liabilities without refinancing. Notably, this liquidity stress is more structural in nature, and is caused by the continued lock-up of working capital and increased reliance on short-term debt</w:t>
      </w:r>
      <w:r w:rsidR="0080661B">
        <w:t xml:space="preserve"> </w:t>
      </w:r>
      <w:r w:rsidR="0080661B" w:rsidRPr="0080661B">
        <w:t>(</w:t>
      </w:r>
      <w:proofErr w:type="spellStart"/>
      <w:r w:rsidR="0080661B" w:rsidRPr="0080661B">
        <w:t>Ciftci</w:t>
      </w:r>
      <w:proofErr w:type="spellEnd"/>
      <w:r w:rsidR="0080661B" w:rsidRPr="0080661B">
        <w:t xml:space="preserve"> et al., 2015)</w:t>
      </w:r>
      <w:r w:rsidRPr="005B58ED">
        <w:t>. Therefore, the General Electronics company is under high refinancing risk, especially in contracting credit markets (Qiu et al., 2020</w:t>
      </w:r>
      <w:r>
        <w:t>).</w:t>
      </w:r>
    </w:p>
    <w:p w14:paraId="15E51E19" w14:textId="77777777" w:rsidR="00E63602" w:rsidRPr="00E63602" w:rsidRDefault="00E63602" w:rsidP="00C53529">
      <w:pPr>
        <w:pStyle w:val="Heading2"/>
        <w:spacing w:line="360" w:lineRule="auto"/>
        <w:jc w:val="both"/>
      </w:pPr>
      <w:bookmarkStart w:id="5" w:name="_Toc217249687"/>
      <w:r w:rsidRPr="00E63602">
        <w:lastRenderedPageBreak/>
        <w:t>2.3 Efficiency and Asset Utilisation</w:t>
      </w:r>
      <w:bookmarkEnd w:id="5"/>
    </w:p>
    <w:p w14:paraId="262450E6" w14:textId="5C957E12" w:rsidR="00CB14DB" w:rsidRPr="00CB14DB" w:rsidRDefault="005B58ED" w:rsidP="00C53529">
      <w:pPr>
        <w:spacing w:line="360" w:lineRule="auto"/>
        <w:jc w:val="both"/>
      </w:pPr>
      <w:r w:rsidRPr="005B58ED">
        <w:t>Efficiency ratios indicate that there is a significant decrease in the efficiency of the firm to utilize its assets effectively. Inventory levels also rose notably in the period between 2020 and 2022 to reach their highest point of £140,181 million and later started reducing</w:t>
      </w:r>
      <w:r>
        <w:t xml:space="preserve"> (</w:t>
      </w:r>
      <w:r w:rsidRPr="005B58ED">
        <w:t>Susilowati et al., 2021</w:t>
      </w:r>
      <w:r w:rsidRPr="006968E8">
        <w:t>)</w:t>
      </w:r>
      <w:r w:rsidRPr="005B58ED">
        <w:t>. The inventory efficiency is measured using</w:t>
      </w:r>
      <w:r w:rsidR="00CB14DB" w:rsidRPr="00CB14DB">
        <w:t>:</w:t>
      </w:r>
    </w:p>
    <w:p w14:paraId="5A4050AF" w14:textId="57B4B18C" w:rsidR="00CB14DB" w:rsidRPr="00CB14DB" w:rsidRDefault="00DF42D1" w:rsidP="00C53529">
      <w:pPr>
        <w:spacing w:line="360" w:lineRule="auto"/>
        <w:jc w:val="both"/>
        <w:rPr>
          <w:rFonts w:cs="Arial"/>
        </w:rPr>
      </w:pPr>
      <m:oMathPara>
        <m:oMath>
          <m:r>
            <m:rPr>
              <m:sty m:val="bi"/>
            </m:rPr>
            <w:rPr>
              <w:rFonts w:ascii="Cambria Math" w:hAnsi="Cambria Math" w:cs="Arial"/>
            </w:rPr>
            <m:t xml:space="preserve">Inventory Turnover= </m:t>
          </m:r>
          <m:f>
            <m:fPr>
              <m:ctrlPr>
                <w:rPr>
                  <w:rFonts w:ascii="Cambria Math" w:hAnsi="Cambria Math" w:cs="Arial"/>
                  <w:b/>
                  <w:bCs/>
                  <w:i/>
                </w:rPr>
              </m:ctrlPr>
            </m:fPr>
            <m:num>
              <m:r>
                <m:rPr>
                  <m:sty m:val="bi"/>
                </m:rPr>
                <w:rPr>
                  <w:rFonts w:ascii="Cambria Math" w:hAnsi="Cambria Math" w:cs="Arial"/>
                </w:rPr>
                <m:t xml:space="preserve">Cost of Sales </m:t>
              </m:r>
            </m:num>
            <m:den>
              <m:r>
                <m:rPr>
                  <m:sty m:val="bi"/>
                </m:rPr>
                <w:rPr>
                  <w:rFonts w:ascii="Cambria Math" w:hAnsi="Cambria Math" w:cs="Arial"/>
                </w:rPr>
                <m:t xml:space="preserve">Avenage Inventory  </m:t>
              </m:r>
            </m:den>
          </m:f>
        </m:oMath>
      </m:oMathPara>
    </w:p>
    <w:p w14:paraId="4E4D588E" w14:textId="348FB1C3" w:rsidR="00CB14DB" w:rsidRPr="00CB14DB" w:rsidRDefault="005B58ED" w:rsidP="00C53529">
      <w:pPr>
        <w:spacing w:line="360" w:lineRule="auto"/>
        <w:jc w:val="both"/>
      </w:pPr>
      <w:r>
        <w:t>A</w:t>
      </w:r>
      <w:r w:rsidRPr="005B58ED">
        <w:t>nd its complement, Days Inventory Outstanding (DIO). High inventory levels indicate poor demand projections and poor inventory management leading to a locking up of capital in slow moving stock and increase in obsolescence risk</w:t>
      </w:r>
      <w:r w:rsidR="0080661B">
        <w:t xml:space="preserve"> </w:t>
      </w:r>
      <w:r w:rsidR="0080661B" w:rsidRPr="0080661B">
        <w:t>(</w:t>
      </w:r>
      <w:proofErr w:type="spellStart"/>
      <w:r w:rsidR="0080661B" w:rsidRPr="0080661B">
        <w:t>Rozycki</w:t>
      </w:r>
      <w:proofErr w:type="spellEnd"/>
      <w:r w:rsidR="0080661B" w:rsidRPr="0080661B">
        <w:t xml:space="preserve"> et al., 2020)</w:t>
      </w:r>
      <w:r w:rsidRPr="005B58ED">
        <w:t>. Despite the decrease in inventory levels by 2024, the adjustment does not seem to be planned, which means that the managerial response to it is delayed (Shan et al., 2023). Liquidity is also limited by receivables efficiency. The accounts receivable of the past three years were above the mark of over 110,000 million which means long periods of collection. This is captured by</w:t>
      </w:r>
      <w:r w:rsidR="00CB14DB" w:rsidRPr="00CB14DB">
        <w:t>:</w:t>
      </w:r>
    </w:p>
    <w:p w14:paraId="084B2D82" w14:textId="71DDCD24" w:rsidR="00CB14DB" w:rsidRPr="00CB14DB" w:rsidRDefault="00DF42D1" w:rsidP="00C53529">
      <w:pPr>
        <w:spacing w:line="360" w:lineRule="auto"/>
        <w:jc w:val="both"/>
        <w:rPr>
          <w:rFonts w:cs="Arial"/>
        </w:rPr>
      </w:pPr>
      <m:oMathPara>
        <m:oMath>
          <m:r>
            <m:rPr>
              <m:sty m:val="bi"/>
            </m:rPr>
            <w:rPr>
              <w:rFonts w:ascii="Cambria Math" w:hAnsi="Cambria Math" w:cs="Arial"/>
            </w:rPr>
            <m:t xml:space="preserve">DSO= </m:t>
          </m:r>
          <m:f>
            <m:fPr>
              <m:ctrlPr>
                <w:rPr>
                  <w:rFonts w:ascii="Cambria Math" w:hAnsi="Cambria Math" w:cs="Arial"/>
                  <w:b/>
                  <w:bCs/>
                  <w:i/>
                </w:rPr>
              </m:ctrlPr>
            </m:fPr>
            <m:num>
              <m:r>
                <m:rPr>
                  <m:sty m:val="bi"/>
                </m:rPr>
                <w:rPr>
                  <w:rFonts w:ascii="Cambria Math" w:hAnsi="Cambria Math" w:cs="Arial"/>
                </w:rPr>
                <m:t xml:space="preserve">Account Recievable </m:t>
              </m:r>
            </m:num>
            <m:den>
              <m:r>
                <m:rPr>
                  <m:sty m:val="bi"/>
                </m:rPr>
                <w:rPr>
                  <w:rFonts w:ascii="Cambria Math" w:hAnsi="Cambria Math" w:cs="Arial"/>
                </w:rPr>
                <m:t xml:space="preserve">Revenue  </m:t>
              </m:r>
            </m:den>
          </m:f>
          <m:r>
            <m:rPr>
              <m:sty m:val="bi"/>
            </m:rPr>
            <w:rPr>
              <w:rFonts w:ascii="Cambria Math" w:hAnsi="Cambria Math" w:cs="Arial"/>
            </w:rPr>
            <m:t xml:space="preserve"> x 365 </m:t>
          </m:r>
        </m:oMath>
      </m:oMathPara>
    </w:p>
    <w:p w14:paraId="471D999C" w14:textId="744AFCF8" w:rsidR="00CB14DB" w:rsidRPr="00CB14DB" w:rsidRDefault="005B58ED" w:rsidP="00C53529">
      <w:pPr>
        <w:spacing w:line="360" w:lineRule="auto"/>
        <w:jc w:val="both"/>
      </w:pPr>
      <w:r w:rsidRPr="005B58ED">
        <w:t>The increase in DSO limits the cash flow and exposes it to the credit risk of the customers at a time when decline in revenues is being experienced. In the meantime, total asset turnover which is defined as</w:t>
      </w:r>
      <w:r w:rsidR="00CB14DB" w:rsidRPr="00CB14DB">
        <w:t>:</w:t>
      </w:r>
    </w:p>
    <w:p w14:paraId="02F24E1A" w14:textId="113A2686" w:rsidR="00DF42D1" w:rsidRPr="00CB14DB" w:rsidRDefault="00DF42D1" w:rsidP="00C53529">
      <w:pPr>
        <w:spacing w:line="360" w:lineRule="auto"/>
        <w:jc w:val="both"/>
        <w:rPr>
          <w:rFonts w:cs="Arial"/>
        </w:rPr>
      </w:pPr>
      <m:oMathPara>
        <m:oMath>
          <m:r>
            <m:rPr>
              <m:sty m:val="bi"/>
            </m:rPr>
            <w:rPr>
              <w:rFonts w:ascii="Cambria Math" w:hAnsi="Cambria Math" w:cs="Arial"/>
            </w:rPr>
            <m:t xml:space="preserve">Assest Turnover= </m:t>
          </m:r>
          <m:f>
            <m:fPr>
              <m:ctrlPr>
                <w:rPr>
                  <w:rFonts w:ascii="Cambria Math" w:hAnsi="Cambria Math" w:cs="Arial"/>
                  <w:b/>
                  <w:bCs/>
                  <w:i/>
                </w:rPr>
              </m:ctrlPr>
            </m:fPr>
            <m:num>
              <m:r>
                <m:rPr>
                  <m:sty m:val="bi"/>
                </m:rPr>
                <w:rPr>
                  <w:rFonts w:ascii="Cambria Math" w:hAnsi="Cambria Math" w:cs="Arial"/>
                </w:rPr>
                <m:t xml:space="preserve">Revenue </m:t>
              </m:r>
            </m:num>
            <m:den>
              <m:r>
                <m:rPr>
                  <m:sty m:val="bi"/>
                </m:rPr>
                <w:rPr>
                  <w:rFonts w:ascii="Cambria Math" w:hAnsi="Cambria Math" w:cs="Arial"/>
                </w:rPr>
                <m:t xml:space="preserve">Total Assests  </m:t>
              </m:r>
            </m:den>
          </m:f>
        </m:oMath>
      </m:oMathPara>
    </w:p>
    <w:p w14:paraId="72A59ED4" w14:textId="07B987EA" w:rsidR="00E63602" w:rsidRPr="00E63602" w:rsidRDefault="005B58ED" w:rsidP="00C53529">
      <w:pPr>
        <w:spacing w:line="360" w:lineRule="auto"/>
        <w:jc w:val="both"/>
      </w:pPr>
      <w:r w:rsidRPr="005B58ED">
        <w:t xml:space="preserve">This has continued to reduce, and it represents a falling revenue collection due to a comparatively rigid asset base. Even though property, plant and equipment has been decreasing, the reduction of asset has been lower than the decrease in sales, which has created </w:t>
      </w:r>
      <w:proofErr w:type="spellStart"/>
      <w:r w:rsidRPr="005B58ED">
        <w:t>unutilisated</w:t>
      </w:r>
      <w:proofErr w:type="spellEnd"/>
      <w:r w:rsidRPr="005B58ED">
        <w:t xml:space="preserve"> capacity and poor returns (</w:t>
      </w:r>
      <w:proofErr w:type="spellStart"/>
      <w:r w:rsidRPr="005B58ED">
        <w:t>Chiaramonte</w:t>
      </w:r>
      <w:proofErr w:type="spellEnd"/>
      <w:r w:rsidRPr="005B58ED">
        <w:t xml:space="preserve"> and </w:t>
      </w:r>
      <w:proofErr w:type="spellStart"/>
      <w:r w:rsidRPr="005B58ED">
        <w:t>Casu</w:t>
      </w:r>
      <w:proofErr w:type="spellEnd"/>
      <w:r w:rsidRPr="005B58ED">
        <w:t>, 2017</w:t>
      </w:r>
      <w:r>
        <w:t>).</w:t>
      </w:r>
    </w:p>
    <w:p w14:paraId="56CB1AE2" w14:textId="77777777" w:rsidR="00E63602" w:rsidRPr="00E63602" w:rsidRDefault="00E63602" w:rsidP="00C53529">
      <w:pPr>
        <w:pStyle w:val="Heading2"/>
        <w:spacing w:line="360" w:lineRule="auto"/>
        <w:jc w:val="both"/>
      </w:pPr>
      <w:bookmarkStart w:id="6" w:name="_Toc217249688"/>
      <w:r w:rsidRPr="00E63602">
        <w:t>2.4 Capital Structure and Gearing</w:t>
      </w:r>
      <w:bookmarkEnd w:id="6"/>
    </w:p>
    <w:p w14:paraId="1379C682" w14:textId="2EE5DCB0" w:rsidR="00CB14DB" w:rsidRDefault="005B58ED" w:rsidP="00C53529">
      <w:pPr>
        <w:spacing w:line="360" w:lineRule="auto"/>
        <w:jc w:val="both"/>
      </w:pPr>
      <w:r w:rsidRPr="005B58ED">
        <w:t xml:space="preserve">The capital structure of General Electronics has worsened significantly within the </w:t>
      </w:r>
      <w:r w:rsidR="0080661B" w:rsidRPr="005B58ED">
        <w:t>five-year</w:t>
      </w:r>
      <w:r w:rsidRPr="005B58ED">
        <w:t xml:space="preserve"> period. The decrease in equity of shareholders was about 153,105 million in 2020-</w:t>
      </w:r>
      <w:r w:rsidRPr="005B58ED">
        <w:lastRenderedPageBreak/>
        <w:t>24, mostly as a result of cumulative operating losses and erosion of retained earnings</w:t>
      </w:r>
      <w:r w:rsidR="0080661B">
        <w:t xml:space="preserve"> </w:t>
      </w:r>
      <w:r w:rsidR="0080661B" w:rsidRPr="0080661B">
        <w:t>(Balakrishnan et al., 2014)</w:t>
      </w:r>
      <w:r w:rsidRPr="005B58ED">
        <w:t>. The financial leverage calculated as</w:t>
      </w:r>
      <w:r w:rsidR="00CB14DB" w:rsidRPr="00CB14DB">
        <w:t>:</w:t>
      </w:r>
    </w:p>
    <w:p w14:paraId="55DA60F0" w14:textId="6B1BC52C" w:rsidR="00DF42D1" w:rsidRPr="00CB14DB" w:rsidRDefault="00DF42D1" w:rsidP="00C53529">
      <w:pPr>
        <w:spacing w:line="360" w:lineRule="auto"/>
        <w:jc w:val="both"/>
        <w:rPr>
          <w:rFonts w:cs="Arial"/>
        </w:rPr>
      </w:pPr>
      <m:oMathPara>
        <m:oMath>
          <m:r>
            <m:rPr>
              <m:sty m:val="bi"/>
            </m:rPr>
            <w:rPr>
              <w:rFonts w:ascii="Cambria Math" w:hAnsi="Cambria Math" w:cs="Arial"/>
            </w:rPr>
            <m:t xml:space="preserve">Debt to Equity Ratio= </m:t>
          </m:r>
          <m:f>
            <m:fPr>
              <m:ctrlPr>
                <w:rPr>
                  <w:rFonts w:ascii="Cambria Math" w:hAnsi="Cambria Math" w:cs="Arial"/>
                  <w:b/>
                  <w:bCs/>
                  <w:i/>
                </w:rPr>
              </m:ctrlPr>
            </m:fPr>
            <m:num>
              <m:r>
                <m:rPr>
                  <m:sty m:val="bi"/>
                </m:rPr>
                <w:rPr>
                  <w:rFonts w:ascii="Cambria Math" w:hAnsi="Cambria Math" w:cs="Arial"/>
                </w:rPr>
                <m:t xml:space="preserve">Total Liabilities </m:t>
              </m:r>
            </m:num>
            <m:den>
              <m:r>
                <m:rPr>
                  <m:sty m:val="bi"/>
                </m:rPr>
                <w:rPr>
                  <w:rFonts w:ascii="Cambria Math" w:hAnsi="Cambria Math" w:cs="Arial"/>
                </w:rPr>
                <m:t>Shareholder</m:t>
              </m:r>
              <m:sSup>
                <m:sSupPr>
                  <m:ctrlPr>
                    <w:rPr>
                      <w:rFonts w:ascii="Cambria Math" w:hAnsi="Cambria Math" w:cs="Arial"/>
                      <w:b/>
                      <w:bCs/>
                      <w:i/>
                    </w:rPr>
                  </m:ctrlPr>
                </m:sSupPr>
                <m:e>
                  <m:r>
                    <m:rPr>
                      <m:sty m:val="bi"/>
                    </m:rPr>
                    <w:rPr>
                      <w:rFonts w:ascii="Cambria Math" w:hAnsi="Cambria Math" w:cs="Arial"/>
                    </w:rPr>
                    <m:t>s</m:t>
                  </m:r>
                </m:e>
                <m:sup>
                  <m:r>
                    <m:rPr>
                      <m:sty m:val="bi"/>
                    </m:rPr>
                    <w:rPr>
                      <w:rFonts w:ascii="Cambria Math" w:hAnsi="Cambria Math" w:cs="Arial"/>
                    </w:rPr>
                    <m:t>'</m:t>
                  </m:r>
                </m:sup>
              </m:sSup>
              <m:r>
                <m:rPr>
                  <m:sty m:val="bi"/>
                </m:rPr>
                <w:rPr>
                  <w:rFonts w:ascii="Cambria Math" w:hAnsi="Cambria Math" w:cs="Arial"/>
                </w:rPr>
                <m:t xml:space="preserve">Equity  </m:t>
              </m:r>
            </m:den>
          </m:f>
        </m:oMath>
      </m:oMathPara>
    </w:p>
    <w:p w14:paraId="4EF55737" w14:textId="6EE32A66" w:rsidR="00CB14DB" w:rsidRDefault="005B58ED" w:rsidP="00C53529">
      <w:pPr>
        <w:spacing w:line="360" w:lineRule="auto"/>
        <w:jc w:val="both"/>
      </w:pPr>
      <w:r w:rsidRPr="005B58ED">
        <w:t>Thus, the growth in the long-term debt was limited but increased (</w:t>
      </w:r>
      <w:proofErr w:type="spellStart"/>
      <w:r w:rsidRPr="005B58ED">
        <w:t>Kazemian</w:t>
      </w:r>
      <w:proofErr w:type="spellEnd"/>
      <w:r w:rsidRPr="005B58ED">
        <w:t xml:space="preserve"> et al., 2017). Increase in leverage will lower financial strength and limit the flexibility in strategy. Capacity to service the debts has declined drastically. Interest coverage, which is computed as</w:t>
      </w:r>
      <w:r w:rsidR="00CB14DB" w:rsidRPr="00CB14DB">
        <w:t>:</w:t>
      </w:r>
    </w:p>
    <w:p w14:paraId="5800326D" w14:textId="12F09C0D" w:rsidR="00DF42D1" w:rsidRPr="00CB14DB" w:rsidRDefault="00DF42D1" w:rsidP="00C53529">
      <w:pPr>
        <w:spacing w:line="360" w:lineRule="auto"/>
        <w:jc w:val="both"/>
        <w:rPr>
          <w:rFonts w:cs="Arial"/>
        </w:rPr>
      </w:pPr>
      <m:oMathPara>
        <m:oMath>
          <m:r>
            <m:rPr>
              <m:sty m:val="bi"/>
            </m:rPr>
            <w:rPr>
              <w:rFonts w:ascii="Cambria Math" w:hAnsi="Cambria Math" w:cs="Arial"/>
            </w:rPr>
            <m:t xml:space="preserve">Interest Coverage= </m:t>
          </m:r>
          <m:f>
            <m:fPr>
              <m:ctrlPr>
                <w:rPr>
                  <w:rFonts w:ascii="Cambria Math" w:hAnsi="Cambria Math" w:cs="Arial"/>
                  <w:b/>
                  <w:bCs/>
                  <w:i/>
                </w:rPr>
              </m:ctrlPr>
            </m:fPr>
            <m:num>
              <m:r>
                <m:rPr>
                  <m:sty m:val="bi"/>
                </m:rPr>
                <w:rPr>
                  <w:rFonts w:ascii="Cambria Math" w:hAnsi="Cambria Math" w:cs="Arial"/>
                </w:rPr>
                <m:t>EBIT</m:t>
              </m:r>
            </m:num>
            <m:den>
              <m:r>
                <m:rPr>
                  <m:sty m:val="bi"/>
                </m:rPr>
                <w:rPr>
                  <w:rFonts w:ascii="Cambria Math" w:hAnsi="Cambria Math" w:cs="Arial"/>
                </w:rPr>
                <m:t xml:space="preserve">Interest Expense  </m:t>
              </m:r>
            </m:den>
          </m:f>
        </m:oMath>
      </m:oMathPara>
    </w:p>
    <w:p w14:paraId="5BEB092D" w14:textId="431758CF" w:rsidR="00E63602" w:rsidRPr="00E63602" w:rsidRDefault="005B58ED" w:rsidP="00C53529">
      <w:pPr>
        <w:spacing w:line="360" w:lineRule="auto"/>
        <w:jc w:val="both"/>
      </w:pPr>
      <w:r w:rsidRPr="005B58ED">
        <w:t xml:space="preserve">Worsened greatly when operating profits have decreased and were negative during years of making losses. Negative coverage means that cash flows are relying on non-operating cash flows or extra borrowing to pay off debt, and the solvency risk is increased. In the absence of </w:t>
      </w:r>
      <w:proofErr w:type="spellStart"/>
      <w:r w:rsidRPr="005B58ED">
        <w:t>recapitalisation</w:t>
      </w:r>
      <w:proofErr w:type="spellEnd"/>
      <w:r w:rsidRPr="005B58ED">
        <w:t xml:space="preserve"> or deleverage, the company will be very sensitive to interest rate changes and unfavorable financing terms (Mazlan and Leman, 2023</w:t>
      </w:r>
      <w:r w:rsidR="006968E8" w:rsidRPr="006968E8">
        <w:t>).</w:t>
      </w:r>
    </w:p>
    <w:p w14:paraId="62CBF59D" w14:textId="77777777" w:rsidR="00E63602" w:rsidRPr="00E63602" w:rsidRDefault="00E63602" w:rsidP="00C53529">
      <w:pPr>
        <w:pStyle w:val="Heading2"/>
        <w:spacing w:line="360" w:lineRule="auto"/>
        <w:jc w:val="both"/>
      </w:pPr>
      <w:bookmarkStart w:id="7" w:name="_Toc217249689"/>
      <w:r w:rsidRPr="00E63602">
        <w:t>2.5 Cash Flow Quality and Sustainability</w:t>
      </w:r>
      <w:bookmarkEnd w:id="7"/>
    </w:p>
    <w:p w14:paraId="4AB42FA4" w14:textId="468DAF81" w:rsidR="00E63602" w:rsidRPr="00E63602" w:rsidRDefault="005B58ED" w:rsidP="00C53529">
      <w:pPr>
        <w:spacing w:line="360" w:lineRule="auto"/>
        <w:jc w:val="both"/>
      </w:pPr>
      <w:r w:rsidRPr="005B58ED">
        <w:t>An analysis of the quality of the cash flow reveals that there are growing concerns regarding sustainability</w:t>
      </w:r>
      <w:r w:rsidR="0080661B">
        <w:t xml:space="preserve"> (</w:t>
      </w:r>
      <w:r w:rsidR="0080661B" w:rsidRPr="0080661B">
        <w:t>Kalash &amp; Bilen, 2021)</w:t>
      </w:r>
      <w:r w:rsidRPr="005B58ED">
        <w:t xml:space="preserve">. These have been strengthening the company on an operating cash flow, but on a negative trend in the years and has been compensating the weaknesses in operations through non-cash adjustments, such as depreciation, </w:t>
      </w:r>
      <w:proofErr w:type="spellStart"/>
      <w:r w:rsidRPr="005B58ED">
        <w:t>amortisation</w:t>
      </w:r>
      <w:proofErr w:type="spellEnd"/>
      <w:r w:rsidRPr="005B58ED">
        <w:t xml:space="preserve"> and impairment costs. The impairment loss particularly the goodwill impairment in 2023 is massive which is a pointer of historical overinvestment and over-pricing of assets (</w:t>
      </w:r>
      <w:proofErr w:type="spellStart"/>
      <w:r w:rsidRPr="005B58ED">
        <w:t>Inggamal</w:t>
      </w:r>
      <w:proofErr w:type="spellEnd"/>
      <w:r w:rsidRPr="005B58ED">
        <w:t xml:space="preserve">, 2022). The financing cash flows through borrowing have in part been used to compensate poor performance by the companies by way of liquidity. This kind of dependence would not last long and is </w:t>
      </w:r>
      <w:r w:rsidR="0080661B" w:rsidRPr="005B58ED">
        <w:t>riskier</w:t>
      </w:r>
      <w:r w:rsidRPr="005B58ED">
        <w:t xml:space="preserve"> to the finances</w:t>
      </w:r>
      <w:r>
        <w:t xml:space="preserve"> </w:t>
      </w:r>
      <w:r w:rsidR="00BE0595" w:rsidRPr="00BE0595">
        <w:t>(Arshad et al., 2015)</w:t>
      </w:r>
      <w:r w:rsidR="00BE0595">
        <w:t>.</w:t>
      </w:r>
    </w:p>
    <w:p w14:paraId="7D94752D" w14:textId="77777777" w:rsidR="00E63602" w:rsidRPr="00E63602" w:rsidRDefault="00E63602" w:rsidP="00C53529">
      <w:pPr>
        <w:pStyle w:val="Heading2"/>
        <w:spacing w:line="360" w:lineRule="auto"/>
        <w:jc w:val="both"/>
      </w:pPr>
      <w:bookmarkStart w:id="8" w:name="_Toc217249690"/>
      <w:r w:rsidRPr="00E63602">
        <w:t>2.6 Corporate Failure Prediction: Altman Z-Score</w:t>
      </w:r>
      <w:bookmarkEnd w:id="8"/>
    </w:p>
    <w:p w14:paraId="7596EE6B" w14:textId="2F6081F7" w:rsidR="00CB14DB" w:rsidRPr="00CB14DB" w:rsidRDefault="005B58ED" w:rsidP="00C53529">
      <w:pPr>
        <w:spacing w:line="360" w:lineRule="auto"/>
        <w:jc w:val="both"/>
      </w:pPr>
      <w:r w:rsidRPr="005B58ED">
        <w:t>In order to evaluate the risk of bankruptcy formally, the Altman Z-Score model is used</w:t>
      </w:r>
      <w:r w:rsidR="00CB14DB" w:rsidRPr="00CB14DB">
        <w:t>:</w:t>
      </w:r>
    </w:p>
    <w:p w14:paraId="53A832C0" w14:textId="4012654C" w:rsidR="00DF42D1" w:rsidRPr="00D06EAE" w:rsidRDefault="00D06EAE" w:rsidP="00C53529">
      <w:pPr>
        <w:spacing w:line="360" w:lineRule="auto"/>
        <w:jc w:val="both"/>
        <w:rPr>
          <w:b/>
          <w:bCs/>
        </w:rPr>
      </w:pPr>
      <m:oMathPara>
        <m:oMath>
          <m:r>
            <m:rPr>
              <m:sty m:val="bi"/>
            </m:rPr>
            <w:rPr>
              <w:rFonts w:ascii="Cambria Math" w:hAnsi="Cambria Math"/>
            </w:rPr>
            <w:lastRenderedPageBreak/>
            <m:t>Z=1.2</m:t>
          </m:r>
          <m:r>
            <m:rPr>
              <m:sty m:val="bi"/>
            </m:rPr>
            <w:rPr>
              <w:rFonts w:ascii="Cambria Math" w:hAnsi="Cambria Math"/>
            </w:rPr>
            <m:t>X</m:t>
          </m:r>
          <m:r>
            <m:rPr>
              <m:sty m:val="bi"/>
            </m:rPr>
            <w:rPr>
              <w:rFonts w:ascii="Cambria Math" w:hAnsi="Cambria Math"/>
            </w:rPr>
            <m:t>1​+1.4</m:t>
          </m:r>
          <m:r>
            <m:rPr>
              <m:sty m:val="bi"/>
            </m:rPr>
            <w:rPr>
              <w:rFonts w:ascii="Cambria Math" w:hAnsi="Cambria Math"/>
            </w:rPr>
            <m:t>X</m:t>
          </m:r>
          <m:r>
            <m:rPr>
              <m:sty m:val="bi"/>
            </m:rPr>
            <w:rPr>
              <w:rFonts w:ascii="Cambria Math" w:hAnsi="Cambria Math"/>
            </w:rPr>
            <m:t>2​+3.3</m:t>
          </m:r>
          <m:r>
            <m:rPr>
              <m:sty m:val="bi"/>
            </m:rPr>
            <w:rPr>
              <w:rFonts w:ascii="Cambria Math" w:hAnsi="Cambria Math"/>
            </w:rPr>
            <m:t>X</m:t>
          </m:r>
          <m:r>
            <m:rPr>
              <m:sty m:val="bi"/>
            </m:rPr>
            <w:rPr>
              <w:rFonts w:ascii="Cambria Math" w:hAnsi="Cambria Math"/>
            </w:rPr>
            <m:t>3​+0.6</m:t>
          </m:r>
          <m:r>
            <m:rPr>
              <m:sty m:val="bi"/>
            </m:rPr>
            <w:rPr>
              <w:rFonts w:ascii="Cambria Math" w:hAnsi="Cambria Math"/>
            </w:rPr>
            <m:t>X</m:t>
          </m:r>
          <m:r>
            <m:rPr>
              <m:sty m:val="bi"/>
            </m:rPr>
            <w:rPr>
              <w:rFonts w:ascii="Cambria Math" w:hAnsi="Cambria Math"/>
            </w:rPr>
            <m:t>4​+1.0</m:t>
          </m:r>
          <m:r>
            <m:rPr>
              <m:sty m:val="bi"/>
            </m:rPr>
            <w:rPr>
              <w:rFonts w:ascii="Cambria Math" w:hAnsi="Cambria Math"/>
            </w:rPr>
            <m:t>X</m:t>
          </m:r>
          <m:r>
            <m:rPr>
              <m:sty m:val="bi"/>
            </m:rPr>
            <w:rPr>
              <w:rFonts w:ascii="Cambria Math" w:hAnsi="Cambria Math"/>
            </w:rPr>
            <m:t>5​</m:t>
          </m:r>
        </m:oMath>
      </m:oMathPara>
    </w:p>
    <w:p w14:paraId="43602DF1" w14:textId="6ED7DFBB" w:rsidR="00E63602" w:rsidRPr="00E63602" w:rsidRDefault="005B58ED" w:rsidP="00C53529">
      <w:pPr>
        <w:spacing w:line="360" w:lineRule="auto"/>
        <w:jc w:val="both"/>
      </w:pPr>
      <w:r w:rsidRPr="005B58ED">
        <w:t>According to the deteriorating profitability of General Electronics, the liquidity is decreased, and the equity base is eroded, the resulting Z-Score places the company clearly in the distress category, which is strongly indicative of failure of the business entity without urgent measures</w:t>
      </w:r>
      <w:r w:rsidR="0080661B">
        <w:t xml:space="preserve"> </w:t>
      </w:r>
      <w:r w:rsidR="0080661B" w:rsidRPr="0080661B">
        <w:t>(Mandelker &amp; Rhee, 1984)</w:t>
      </w:r>
      <w:r w:rsidRPr="005B58ED">
        <w:t>. This quantitative evaluation supports the ratio and cash flow analysis and highlights the need to do drastic financial reorganization (</w:t>
      </w:r>
      <w:proofErr w:type="spellStart"/>
      <w:r w:rsidRPr="005B58ED">
        <w:t>Sibanda</w:t>
      </w:r>
      <w:proofErr w:type="spellEnd"/>
      <w:r w:rsidRPr="005B58ED">
        <w:t xml:space="preserve"> &amp; </w:t>
      </w:r>
      <w:proofErr w:type="spellStart"/>
      <w:r w:rsidRPr="005B58ED">
        <w:t>Tapera</w:t>
      </w:r>
      <w:proofErr w:type="spellEnd"/>
      <w:r w:rsidRPr="005B58ED">
        <w:t>, 2025</w:t>
      </w:r>
      <w:r w:rsidR="00BE0595">
        <w:t>).</w:t>
      </w:r>
    </w:p>
    <w:p w14:paraId="461BBD63" w14:textId="77777777" w:rsidR="002717C1" w:rsidRPr="002717C1" w:rsidRDefault="002717C1" w:rsidP="00C53529">
      <w:pPr>
        <w:pStyle w:val="Heading1"/>
        <w:spacing w:line="360" w:lineRule="auto"/>
        <w:jc w:val="both"/>
      </w:pPr>
      <w:bookmarkStart w:id="9" w:name="_Toc217249691"/>
      <w:r w:rsidRPr="002717C1">
        <w:t>3. Working Capital Management Analysis</w:t>
      </w:r>
      <w:bookmarkEnd w:id="9"/>
    </w:p>
    <w:p w14:paraId="313D54E9" w14:textId="77777777" w:rsidR="002717C1" w:rsidRPr="002717C1" w:rsidRDefault="002717C1" w:rsidP="00C53529">
      <w:pPr>
        <w:pStyle w:val="Heading2"/>
        <w:spacing w:line="360" w:lineRule="auto"/>
        <w:jc w:val="both"/>
      </w:pPr>
      <w:bookmarkStart w:id="10" w:name="_Toc217249692"/>
      <w:r w:rsidRPr="002717C1">
        <w:t>3.1 Cash Operating Cycle Diagnosis</w:t>
      </w:r>
      <w:bookmarkEnd w:id="10"/>
    </w:p>
    <w:p w14:paraId="2FE25FBF" w14:textId="33031BBC" w:rsidR="00CB14DB" w:rsidRDefault="005B58ED" w:rsidP="00C53529">
      <w:pPr>
        <w:spacing w:line="360" w:lineRule="auto"/>
        <w:jc w:val="both"/>
      </w:pPr>
      <w:r w:rsidRPr="005B58ED">
        <w:t>The cash operating cycle (also known as the cash conversion cycle or CCC) is a succinct evaluation of the financial efficiency and liquidity position of the General Electronics in short-term based on the duration it takes the company in terms of cash outflows to manufacture its products and in terms of cash inflows to obtain payment by customers</w:t>
      </w:r>
      <w:r w:rsidR="0080661B">
        <w:t xml:space="preserve"> </w:t>
      </w:r>
      <w:r w:rsidR="0080661B" w:rsidRPr="0080661B">
        <w:t>(Reynoso et al., 2021)</w:t>
      </w:r>
      <w:r w:rsidRPr="005B58ED">
        <w:t>. This cycle is calculated based on three fundamentals: Days Inventory Outstanding (DIO), Days Sales Outstanding (DSO), and Days Payable Outstanding (DPO) (Nan et al., 2020), and can be put in the following form</w:t>
      </w:r>
      <w:r w:rsidR="00B44E8F" w:rsidRPr="00B44E8F">
        <w:t>:</w:t>
      </w:r>
    </w:p>
    <w:p w14:paraId="2E9B89F1" w14:textId="21B37FDC" w:rsidR="0080661B" w:rsidRPr="0080661B" w:rsidRDefault="0080661B" w:rsidP="00C53529">
      <w:pPr>
        <w:spacing w:line="360" w:lineRule="auto"/>
        <w:jc w:val="both"/>
        <w:rPr>
          <w:rFonts w:eastAsiaTheme="minorEastAsia"/>
        </w:rPr>
      </w:pPr>
      <m:oMathPara>
        <m:oMath>
          <m:r>
            <m:rPr>
              <m:sty m:val="bi"/>
            </m:rPr>
            <w:rPr>
              <w:rFonts w:ascii="Cambria Math" w:hAnsi="Cambria Math"/>
            </w:rPr>
            <m:t>CCC=DIO+DSO-DPO</m:t>
          </m:r>
        </m:oMath>
      </m:oMathPara>
    </w:p>
    <w:p w14:paraId="38BD289C" w14:textId="77777777" w:rsidR="00CB14DB" w:rsidRDefault="00CB14DB" w:rsidP="00C53529">
      <w:pPr>
        <w:spacing w:line="360" w:lineRule="auto"/>
        <w:jc w:val="both"/>
      </w:pPr>
      <w:r w:rsidRPr="00CB14DB">
        <w:t>where:</w:t>
      </w:r>
    </w:p>
    <w:p w14:paraId="51339D57" w14:textId="59C881CF" w:rsidR="00D06EAE" w:rsidRPr="00D06EAE" w:rsidRDefault="00D06EAE" w:rsidP="00C53529">
      <w:pPr>
        <w:spacing w:line="360" w:lineRule="auto"/>
        <w:jc w:val="both"/>
        <w:rPr>
          <w:rFonts w:ascii="Arial Black" w:eastAsiaTheme="minorEastAsia" w:hAnsi="Arial Black" w:cs="Arial"/>
          <w:b/>
          <w:bCs/>
        </w:rPr>
      </w:pPr>
      <m:oMathPara>
        <m:oMath>
          <m:r>
            <m:rPr>
              <m:sty m:val="bi"/>
            </m:rPr>
            <w:rPr>
              <w:rFonts w:ascii="Cambria Math" w:hAnsi="Cambria Math" w:cs="Arial"/>
            </w:rPr>
            <m:t xml:space="preserve">DIO= </m:t>
          </m:r>
          <m:f>
            <m:fPr>
              <m:ctrlPr>
                <w:rPr>
                  <w:rFonts w:ascii="Cambria Math" w:hAnsi="Cambria Math" w:cs="Arial"/>
                  <w:b/>
                  <w:bCs/>
                  <w:i/>
                </w:rPr>
              </m:ctrlPr>
            </m:fPr>
            <m:num>
              <m:r>
                <m:rPr>
                  <m:sty m:val="bi"/>
                </m:rPr>
                <w:rPr>
                  <w:rFonts w:ascii="Cambria Math" w:hAnsi="Cambria Math" w:cs="Arial"/>
                </w:rPr>
                <m:t>Inventory</m:t>
              </m:r>
            </m:num>
            <m:den>
              <m:r>
                <m:rPr>
                  <m:sty m:val="bi"/>
                </m:rPr>
                <w:rPr>
                  <w:rFonts w:ascii="Cambria Math" w:hAnsi="Cambria Math" w:cs="Arial"/>
                </w:rPr>
                <m:t xml:space="preserve">Cost of Sales   </m:t>
              </m:r>
            </m:den>
          </m:f>
          <m:r>
            <m:rPr>
              <m:sty m:val="bi"/>
            </m:rPr>
            <w:rPr>
              <w:rFonts w:ascii="Cambria Math" w:hAnsi="Cambria Math" w:cs="Arial"/>
            </w:rPr>
            <m:t xml:space="preserve"> x 365 </m:t>
          </m:r>
        </m:oMath>
      </m:oMathPara>
    </w:p>
    <w:p w14:paraId="557D5D82" w14:textId="1EE124CD" w:rsidR="00D06EAE" w:rsidRPr="00D06EAE" w:rsidRDefault="00D06EAE" w:rsidP="00C53529">
      <w:pPr>
        <w:spacing w:line="360" w:lineRule="auto"/>
        <w:jc w:val="both"/>
        <w:rPr>
          <w:rFonts w:ascii="Arial Black" w:eastAsiaTheme="minorEastAsia" w:hAnsi="Arial Black" w:cs="Arial"/>
          <w:b/>
          <w:bCs/>
        </w:rPr>
      </w:pPr>
      <m:oMathPara>
        <m:oMath>
          <m:r>
            <m:rPr>
              <m:sty m:val="bi"/>
            </m:rPr>
            <w:rPr>
              <w:rFonts w:ascii="Cambria Math" w:hAnsi="Cambria Math" w:cs="Arial"/>
            </w:rPr>
            <m:t xml:space="preserve">DSO= </m:t>
          </m:r>
          <m:f>
            <m:fPr>
              <m:ctrlPr>
                <w:rPr>
                  <w:rFonts w:ascii="Cambria Math" w:hAnsi="Cambria Math" w:cs="Arial"/>
                  <w:b/>
                  <w:bCs/>
                  <w:i/>
                </w:rPr>
              </m:ctrlPr>
            </m:fPr>
            <m:num>
              <m:r>
                <m:rPr>
                  <m:sty m:val="bi"/>
                </m:rPr>
                <w:rPr>
                  <w:rFonts w:ascii="Cambria Math" w:hAnsi="Cambria Math" w:cs="Arial"/>
                </w:rPr>
                <m:t>Accounts Recievable</m:t>
              </m:r>
            </m:num>
            <m:den>
              <m:r>
                <m:rPr>
                  <m:sty m:val="bi"/>
                </m:rPr>
                <w:rPr>
                  <w:rFonts w:ascii="Cambria Math" w:hAnsi="Cambria Math" w:cs="Arial"/>
                </w:rPr>
                <m:t xml:space="preserve">Revenue   </m:t>
              </m:r>
            </m:den>
          </m:f>
          <m:r>
            <m:rPr>
              <m:sty m:val="bi"/>
            </m:rPr>
            <w:rPr>
              <w:rFonts w:ascii="Cambria Math" w:hAnsi="Cambria Math" w:cs="Arial"/>
            </w:rPr>
            <m:t xml:space="preserve"> x 365</m:t>
          </m:r>
        </m:oMath>
      </m:oMathPara>
    </w:p>
    <w:p w14:paraId="621E9668" w14:textId="795F59AC" w:rsidR="00D06EAE" w:rsidRPr="00D06EAE" w:rsidRDefault="00D06EAE" w:rsidP="00C53529">
      <w:pPr>
        <w:spacing w:line="360" w:lineRule="auto"/>
        <w:jc w:val="both"/>
        <w:rPr>
          <w:rFonts w:ascii="Arial Black" w:hAnsi="Arial Black" w:cs="Arial"/>
        </w:rPr>
      </w:pPr>
      <m:oMathPara>
        <m:oMath>
          <m:r>
            <m:rPr>
              <m:sty m:val="bi"/>
            </m:rPr>
            <w:rPr>
              <w:rFonts w:ascii="Cambria Math" w:hAnsi="Cambria Math" w:cs="Arial"/>
            </w:rPr>
            <m:t xml:space="preserve">DPO= </m:t>
          </m:r>
          <m:f>
            <m:fPr>
              <m:ctrlPr>
                <w:rPr>
                  <w:rFonts w:ascii="Cambria Math" w:hAnsi="Cambria Math" w:cs="Arial"/>
                  <w:b/>
                  <w:bCs/>
                  <w:i/>
                </w:rPr>
              </m:ctrlPr>
            </m:fPr>
            <m:num>
              <m:r>
                <m:rPr>
                  <m:sty m:val="bi"/>
                </m:rPr>
                <w:rPr>
                  <w:rFonts w:ascii="Cambria Math" w:hAnsi="Cambria Math" w:cs="Arial"/>
                </w:rPr>
                <m:t>Account Payables</m:t>
              </m:r>
            </m:num>
            <m:den>
              <m:r>
                <m:rPr>
                  <m:sty m:val="bi"/>
                </m:rPr>
                <w:rPr>
                  <w:rFonts w:ascii="Cambria Math" w:hAnsi="Cambria Math" w:cs="Arial"/>
                </w:rPr>
                <m:t xml:space="preserve">Cost of Sales   </m:t>
              </m:r>
            </m:den>
          </m:f>
          <m:r>
            <m:rPr>
              <m:sty m:val="bi"/>
            </m:rPr>
            <w:rPr>
              <w:rFonts w:ascii="Cambria Math" w:hAnsi="Cambria Math" w:cs="Arial"/>
            </w:rPr>
            <m:t xml:space="preserve"> x 365 </m:t>
          </m:r>
        </m:oMath>
      </m:oMathPara>
    </w:p>
    <w:p w14:paraId="443D26D9" w14:textId="7CF9F9DD" w:rsidR="005B58ED" w:rsidRDefault="005B58ED" w:rsidP="00C53529">
      <w:pPr>
        <w:spacing w:line="360" w:lineRule="auto"/>
        <w:jc w:val="both"/>
      </w:pPr>
      <w:r w:rsidRPr="005B58ED">
        <w:t xml:space="preserve">These elements of the financial ratios show that the General Electronics company is governed with a long cash conversion cycle that can be attributed mainly to excessive stocks and sluggish collection of receivables. Historically, the proportion of current assets </w:t>
      </w:r>
      <w:r w:rsidRPr="005B58ED">
        <w:lastRenderedPageBreak/>
        <w:t>represented by inventory has been quite high and the highest level was reached in 2022 (140,181 million)</w:t>
      </w:r>
      <w:r w:rsidR="0080661B">
        <w:t xml:space="preserve"> </w:t>
      </w:r>
      <w:r w:rsidR="0080661B" w:rsidRPr="0080661B">
        <w:t>(Tao et al., 2020)</w:t>
      </w:r>
      <w:r w:rsidRPr="005B58ED">
        <w:t>. Despite a subsequent decrease in inventory, this was accompanied by a drop in sales, implying reactive destocking and not structural inventory optimisation. High DIO indicates high production, low demand prediction, and lack of supply chain planning, which slows the cash recovery of investments in operations (</w:t>
      </w:r>
      <w:proofErr w:type="spellStart"/>
      <w:r w:rsidRPr="005B58ED">
        <w:t>Onsay</w:t>
      </w:r>
      <w:proofErr w:type="spellEnd"/>
      <w:r w:rsidRPr="005B58ED">
        <w:t>, 2021). Liquidity pressure is also further aggravated by receivables efficiency. The accounts receivables have also been high with a value of more than 110,000 million in the last three years, which is a sign of long DSO</w:t>
      </w:r>
      <w:r w:rsidR="0080661B">
        <w:t xml:space="preserve"> </w:t>
      </w:r>
      <w:r w:rsidR="0080661B" w:rsidRPr="0080661B">
        <w:t>(Lambert et al., 2023).</w:t>
      </w:r>
    </w:p>
    <w:p w14:paraId="759CDC94" w14:textId="5B650C74" w:rsidR="002717C1" w:rsidRPr="002717C1" w:rsidRDefault="005B58ED" w:rsidP="00C53529">
      <w:pPr>
        <w:spacing w:line="360" w:lineRule="auto"/>
        <w:jc w:val="both"/>
      </w:pPr>
      <w:r w:rsidRPr="005B58ED">
        <w:t>This is associated with lax credit policies or lax in terms of collection. Within the framework of revenue loss and reduced liquidity, low conversion rates of receivables foul considerably reduce the cash flow and activate the risk of default of customers (</w:t>
      </w:r>
      <w:proofErr w:type="spellStart"/>
      <w:r w:rsidRPr="005B58ED">
        <w:t>Sakız</w:t>
      </w:r>
      <w:proofErr w:type="spellEnd"/>
      <w:r w:rsidRPr="005B58ED">
        <w:t xml:space="preserve"> &amp; </w:t>
      </w:r>
      <w:proofErr w:type="spellStart"/>
      <w:r w:rsidRPr="005B58ED">
        <w:t>Dursun</w:t>
      </w:r>
      <w:proofErr w:type="spellEnd"/>
      <w:r w:rsidRPr="005B58ED">
        <w:t>, 2019). Although the accounts payable is financing short term, DPO has not been growing at an appropriate rate to compensate the cash consumed by inventories and receivables. As such, the working capital structure of the firm is still cash-absorptive and not cash-generative, which drains liquidity even with the large size of assets</w:t>
      </w:r>
      <w:r w:rsidR="0080661B">
        <w:t xml:space="preserve"> </w:t>
      </w:r>
      <w:r w:rsidR="0080661B" w:rsidRPr="0080661B">
        <w:t>(Kim &amp; Prather</w:t>
      </w:r>
      <w:r w:rsidR="0080661B" w:rsidRPr="0080661B">
        <w:rPr>
          <w:rFonts w:ascii="Cambria Math" w:hAnsi="Cambria Math" w:cs="Cambria Math"/>
        </w:rPr>
        <w:t>‐</w:t>
      </w:r>
      <w:r w:rsidR="0080661B" w:rsidRPr="0080661B">
        <w:t>Kinsey, 2010)</w:t>
      </w:r>
      <w:r w:rsidRPr="005B58ED">
        <w:t>. This instability compels the use of the short-term borrowing as a financing method to meet the daily operations and highlights the immediate necessity of the working capital redesign as a key component of the turnaround plan of the firm (</w:t>
      </w:r>
      <w:proofErr w:type="spellStart"/>
      <w:r w:rsidRPr="005B58ED">
        <w:t>Caniato</w:t>
      </w:r>
      <w:proofErr w:type="spellEnd"/>
      <w:r w:rsidRPr="005B58ED">
        <w:t xml:space="preserve"> et al., 2019</w:t>
      </w:r>
      <w:r w:rsidR="00BE0595" w:rsidRPr="00BE0595">
        <w:t>)</w:t>
      </w:r>
      <w:r w:rsidR="00BE0595">
        <w:t>.</w:t>
      </w:r>
    </w:p>
    <w:p w14:paraId="1DC70C7C" w14:textId="77777777" w:rsidR="002717C1" w:rsidRPr="002717C1" w:rsidRDefault="002717C1" w:rsidP="00C53529">
      <w:pPr>
        <w:pStyle w:val="Heading2"/>
        <w:spacing w:line="360" w:lineRule="auto"/>
        <w:jc w:val="both"/>
      </w:pPr>
      <w:bookmarkStart w:id="11" w:name="_Toc217249693"/>
      <w:r w:rsidRPr="002717C1">
        <w:t>3.2 Working Capital Reform Strategies</w:t>
      </w:r>
      <w:bookmarkEnd w:id="11"/>
    </w:p>
    <w:p w14:paraId="20AE7A2A" w14:textId="7B5B01B7" w:rsidR="00BE0595" w:rsidRDefault="00921E04" w:rsidP="00C53529">
      <w:pPr>
        <w:spacing w:line="360" w:lineRule="auto"/>
        <w:jc w:val="both"/>
      </w:pPr>
      <w:r w:rsidRPr="00921E04">
        <w:t xml:space="preserve">In order to reestablish liquidity and limit reliance on external financing, General Electronics needs to institute a coordinated grouping of working capital reforms that concern a range of inventories, receivables, and payables. Inventory wise it can be said that SKU </w:t>
      </w:r>
      <w:proofErr w:type="spellStart"/>
      <w:r w:rsidRPr="00921E04">
        <w:t>rationalisation</w:t>
      </w:r>
      <w:proofErr w:type="spellEnd"/>
      <w:r w:rsidRPr="00921E04">
        <w:t xml:space="preserve"> is necessary to remove low-margins as well as slow-moving products that are using disproportionate working capital. With the shrinking sales base of the firm, the excess inventory and risk of obsolescence is compounded by the excessive product range</w:t>
      </w:r>
      <w:r w:rsidR="00BE0595">
        <w:t xml:space="preserve"> (</w:t>
      </w:r>
      <w:proofErr w:type="spellStart"/>
      <w:r w:rsidR="00BE0595" w:rsidRPr="00BE0595">
        <w:t>Rissanen</w:t>
      </w:r>
      <w:proofErr w:type="spellEnd"/>
      <w:r w:rsidR="00BE0595" w:rsidRPr="00BE0595">
        <w:t xml:space="preserve"> et al., 2020)</w:t>
      </w:r>
      <w:r w:rsidRPr="00921E04">
        <w:t xml:space="preserve">. This ought to be supplemented with the implementation of lean inventory principles such as the principles of just-in-time and stricter production planning in order to adjust the inventory to the real demand. Moreover, a transition to demand-based replenishment with the assistance of real-time sales figures </w:t>
      </w:r>
      <w:r w:rsidRPr="00921E04">
        <w:lastRenderedPageBreak/>
        <w:t>and better forecasting would decrease DIO and free up cash on unsold inventory. There is also immediate need to look at receivables management</w:t>
      </w:r>
      <w:r w:rsidR="0080661B">
        <w:t xml:space="preserve"> (</w:t>
      </w:r>
      <w:proofErr w:type="spellStart"/>
      <w:r w:rsidR="0080661B" w:rsidRPr="0080661B">
        <w:t>Faello</w:t>
      </w:r>
      <w:proofErr w:type="spellEnd"/>
      <w:r w:rsidR="0080661B" w:rsidRPr="0080661B">
        <w:t xml:space="preserve"> &amp; Qu, 2023)</w:t>
      </w:r>
      <w:r w:rsidR="0080661B">
        <w:t>.</w:t>
      </w:r>
      <w:r w:rsidRPr="00921E04">
        <w:t xml:space="preserve"> The increase in lending policies especially to the customers in the risky areas or segments would also minimize exposure to bad debts and lower the collection period. Simultaneously, the incentives of early payment, like small discounts on timely payment, would help to speed up cash flows without significantly reducing margins</w:t>
      </w:r>
      <w:r w:rsidR="00BE0595">
        <w:t xml:space="preserve"> </w:t>
      </w:r>
      <w:r w:rsidR="00BE0595" w:rsidRPr="00BE0595">
        <w:t>(</w:t>
      </w:r>
      <w:proofErr w:type="spellStart"/>
      <w:r w:rsidR="00BE0595" w:rsidRPr="00BE0595">
        <w:t>Lekkakos</w:t>
      </w:r>
      <w:proofErr w:type="spellEnd"/>
      <w:r w:rsidR="00BE0595" w:rsidRPr="00BE0595">
        <w:t xml:space="preserve"> &amp; Serrano, 2016</w:t>
      </w:r>
      <w:r w:rsidR="00BE0595">
        <w:t>).</w:t>
      </w:r>
    </w:p>
    <w:p w14:paraId="3B9DD8F9" w14:textId="277EFF22" w:rsidR="002717C1" w:rsidRPr="002717C1" w:rsidRDefault="00921E04" w:rsidP="00C53529">
      <w:pPr>
        <w:spacing w:line="360" w:lineRule="auto"/>
        <w:jc w:val="both"/>
      </w:pPr>
      <w:r w:rsidRPr="00921E04">
        <w:t>It is noteworthy that the company ought to embrace regional credit risk differentiation as it acknowledges that customers behave differently when it comes to paying and differences in macroeconomic conditions in international markets. This type of segmentation enables the control of the receivables to be more effective and focused</w:t>
      </w:r>
      <w:r w:rsidR="0080661B">
        <w:t xml:space="preserve"> </w:t>
      </w:r>
      <w:r w:rsidR="0080661B" w:rsidRPr="0080661B">
        <w:t>(</w:t>
      </w:r>
      <w:proofErr w:type="spellStart"/>
      <w:r w:rsidR="0080661B" w:rsidRPr="0080661B">
        <w:t>Madhani</w:t>
      </w:r>
      <w:proofErr w:type="spellEnd"/>
      <w:r w:rsidR="0080661B" w:rsidRPr="0080661B">
        <w:t>, 2011)</w:t>
      </w:r>
      <w:r w:rsidRPr="00921E04">
        <w:t>. General Electronics should also attempt to renegotiate terms with the suppliers on the payables side by using its size as a multinational buyer to extend payment terms wherever possible without spoiling relationships with the suppliers</w:t>
      </w:r>
      <w:r w:rsidR="00BE0595">
        <w:t xml:space="preserve"> </w:t>
      </w:r>
      <w:r w:rsidR="00BE0595" w:rsidRPr="00BE0595">
        <w:t>(Zhan et al., 2024</w:t>
      </w:r>
      <w:r w:rsidR="00BE0595">
        <w:t>)</w:t>
      </w:r>
      <w:r w:rsidRPr="00921E04">
        <w:t>. Furthermore, strategic supplier financing schemes, like supply chain finance programmes, will be effective to extend DPO and at the same time maintain a schedule payment of suppliers, who will be paid by third-party financiers</w:t>
      </w:r>
      <w:r w:rsidR="0080661B">
        <w:t xml:space="preserve"> </w:t>
      </w:r>
      <w:r w:rsidR="0080661B" w:rsidRPr="0080661B">
        <w:t>(Anderson et al., 2003).</w:t>
      </w:r>
      <w:r w:rsidRPr="00921E04">
        <w:t xml:space="preserve"> All of these reforms would decrease the cash conversion cycle, quicken the speed at which cash is released in the operations, and decrease the dependence on short-term borrowing significantly. More to the point, the working capital efficiency would be improved, which would provide greater financial flexibility in the restructuring process</w:t>
      </w:r>
      <w:r w:rsidR="00BE0595">
        <w:t xml:space="preserve"> </w:t>
      </w:r>
      <w:r w:rsidR="00BE0595" w:rsidRPr="00BE0595">
        <w:t>(</w:t>
      </w:r>
      <w:proofErr w:type="spellStart"/>
      <w:r w:rsidR="00BE0595" w:rsidRPr="00BE0595">
        <w:t>Adekola</w:t>
      </w:r>
      <w:proofErr w:type="spellEnd"/>
      <w:r w:rsidR="00BE0595" w:rsidRPr="00BE0595">
        <w:t xml:space="preserve"> &amp; Dada, 2024</w:t>
      </w:r>
      <w:r w:rsidR="00BE0595">
        <w:t>).</w:t>
      </w:r>
    </w:p>
    <w:p w14:paraId="3199AF7C" w14:textId="77777777" w:rsidR="002717C1" w:rsidRPr="002717C1" w:rsidRDefault="002717C1" w:rsidP="00C53529">
      <w:pPr>
        <w:pStyle w:val="Heading2"/>
        <w:spacing w:line="360" w:lineRule="auto"/>
        <w:jc w:val="both"/>
      </w:pPr>
      <w:bookmarkStart w:id="12" w:name="_Toc217249694"/>
      <w:r w:rsidRPr="002717C1">
        <w:t>3.3 Short-Term versus Long-Term Financing</w:t>
      </w:r>
      <w:bookmarkEnd w:id="12"/>
    </w:p>
    <w:p w14:paraId="6E13EAD8" w14:textId="0900BB3D" w:rsidR="002717C1" w:rsidRPr="002717C1" w:rsidRDefault="00921E04" w:rsidP="00C53529">
      <w:pPr>
        <w:spacing w:line="360" w:lineRule="auto"/>
        <w:jc w:val="both"/>
      </w:pPr>
      <w:r w:rsidRPr="00921E04">
        <w:t>Success of the reforms of a working capital is strongly connected with the financing system of the firm. General Electric has traditionally been dependent on short-term credit facilities to finance liquidity gaps as it is indicated that it has had huge borrowings under lines of credit</w:t>
      </w:r>
      <w:r w:rsidR="0080661B">
        <w:t xml:space="preserve"> (</w:t>
      </w:r>
      <w:proofErr w:type="spellStart"/>
      <w:r w:rsidR="0080661B" w:rsidRPr="0080661B">
        <w:t>Sukhina</w:t>
      </w:r>
      <w:proofErr w:type="spellEnd"/>
      <w:r w:rsidR="0080661B" w:rsidRPr="0080661B">
        <w:t xml:space="preserve"> et al., 2021)</w:t>
      </w:r>
      <w:r w:rsidRPr="00921E04">
        <w:t>. Although short-term financing is more flexible and generally less expensive in the early stages, the financing option puts the firm at high risk of rollover and refinancing risk mainly during periods of financial distress or when credit is tightening</w:t>
      </w:r>
      <w:r w:rsidR="00BE0595">
        <w:t xml:space="preserve"> (</w:t>
      </w:r>
      <w:r w:rsidR="00BE0595" w:rsidRPr="00BE0595">
        <w:t>Altman &amp; Branch, 2015)</w:t>
      </w:r>
      <w:r w:rsidRPr="00921E04">
        <w:t xml:space="preserve">. Long-term financing is more stable and more </w:t>
      </w:r>
      <w:r w:rsidRPr="00921E04">
        <w:lastRenderedPageBreak/>
        <w:t xml:space="preserve">consistent with underlying asset life, in contrast. Nevertheless, it is more expensive and may demand better creditworthiness which is limited at present by the weakened financial state of the firm. Total dependence on one or the other type of financing would be suboptimal. Based on this, the progressive change to balanced maturity structure is suggested. When the efficiency of working capital increases and the cash flows </w:t>
      </w:r>
      <w:proofErr w:type="spellStart"/>
      <w:r w:rsidRPr="00921E04">
        <w:t>stabilise</w:t>
      </w:r>
      <w:proofErr w:type="spellEnd"/>
      <w:r w:rsidRPr="00921E04">
        <w:t>, the firm should become less dependent on the short-term credit and re-finance the part of working capital financing with the long-term debt</w:t>
      </w:r>
      <w:r w:rsidR="00BE0595">
        <w:t xml:space="preserve"> </w:t>
      </w:r>
      <w:r w:rsidR="00BE0595" w:rsidRPr="00BE0595">
        <w:t>(</w:t>
      </w:r>
      <w:proofErr w:type="spellStart"/>
      <w:r w:rsidR="00BE0595" w:rsidRPr="00BE0595">
        <w:t>Mulyaningsih</w:t>
      </w:r>
      <w:proofErr w:type="spellEnd"/>
      <w:r w:rsidR="00BE0595" w:rsidRPr="00BE0595">
        <w:t xml:space="preserve"> et al., 2023)</w:t>
      </w:r>
      <w:r w:rsidRPr="00921E04">
        <w:t>. This would reduce rollover risk, enhance predictability of liquidity and enhance the match between financing tenor and asset utilisation. This way, General Electronics will be able to develop a more stable financial framework that can sustain the short-term stability and long-term recovery</w:t>
      </w:r>
      <w:r w:rsidR="00BE0595">
        <w:t xml:space="preserve"> </w:t>
      </w:r>
      <w:r w:rsidR="00BE0595" w:rsidRPr="00BE0595">
        <w:t>(GÜLAL et al., 2023</w:t>
      </w:r>
      <w:r w:rsidR="00BE0595">
        <w:t>).</w:t>
      </w:r>
    </w:p>
    <w:p w14:paraId="061A7E8C" w14:textId="77777777" w:rsidR="002717C1" w:rsidRPr="002717C1" w:rsidRDefault="002717C1" w:rsidP="00C53529">
      <w:pPr>
        <w:pStyle w:val="Heading1"/>
        <w:spacing w:line="360" w:lineRule="auto"/>
        <w:jc w:val="both"/>
      </w:pPr>
      <w:bookmarkStart w:id="13" w:name="_Toc217249695"/>
      <w:r w:rsidRPr="002717C1">
        <w:t>4. Strategic Financial Restructuring Plan</w:t>
      </w:r>
      <w:bookmarkEnd w:id="13"/>
    </w:p>
    <w:p w14:paraId="4175650D" w14:textId="77777777" w:rsidR="002717C1" w:rsidRPr="002717C1" w:rsidRDefault="002717C1" w:rsidP="00C53529">
      <w:pPr>
        <w:pStyle w:val="Heading2"/>
        <w:spacing w:line="360" w:lineRule="auto"/>
        <w:jc w:val="both"/>
      </w:pPr>
      <w:bookmarkStart w:id="14" w:name="_Toc217249696"/>
      <w:r w:rsidRPr="002717C1">
        <w:t>4.1 Rationale for Restructuring</w:t>
      </w:r>
      <w:bookmarkEnd w:id="14"/>
    </w:p>
    <w:p w14:paraId="63CE17EC" w14:textId="4F15B0ED" w:rsidR="0080661B" w:rsidRDefault="00921E04" w:rsidP="00C53529">
      <w:pPr>
        <w:spacing w:line="360" w:lineRule="auto"/>
        <w:jc w:val="both"/>
      </w:pPr>
      <w:r w:rsidRPr="00921E04">
        <w:t>The financial analysis in the previous sections shows that the financial distress that General Electronics is having cannot be solved by only a few small operational accommodations. Related to the current state of operation, persistent operating loss since the year 2023, dwindling revenues, and the loss of shareholders equity are all indicators of a structurally unsustainable business model</w:t>
      </w:r>
      <w:r w:rsidR="00BE0595">
        <w:t xml:space="preserve"> </w:t>
      </w:r>
      <w:r w:rsidR="00BE0595" w:rsidRPr="00BE0595">
        <w:t>(</w:t>
      </w:r>
      <w:proofErr w:type="spellStart"/>
      <w:r w:rsidR="00BE0595" w:rsidRPr="00BE0595">
        <w:t>Lins</w:t>
      </w:r>
      <w:proofErr w:type="spellEnd"/>
      <w:r w:rsidR="00BE0595" w:rsidRPr="00BE0595">
        <w:t xml:space="preserve"> et al., 2016</w:t>
      </w:r>
      <w:r w:rsidR="00BE0595">
        <w:t>)</w:t>
      </w:r>
      <w:r w:rsidRPr="00921E04">
        <w:t>. The company has not been able to regain profitability despite its periodic cost cuts and write-downs on assets, which hints at the fact that some fundamental weaknesses in strategy and financial decisions have not been resolved</w:t>
      </w:r>
      <w:r w:rsidR="00FC2094">
        <w:t xml:space="preserve"> </w:t>
      </w:r>
      <w:r w:rsidR="00FC2094" w:rsidRPr="00FC2094">
        <w:t>(Yang, 2023)</w:t>
      </w:r>
      <w:r w:rsidRPr="00921E04">
        <w:t>. The liquidity strains also support the necessity to implement radical restructuring. Cash balances have reduced drastically, operating cash flows have deteriorated significantly and the company is increasingly becoming dependent on short term credit facilities to finance the daily operations of the firm. Such reliance subjects General Electronics to the risk of refinancing and increases exposure to negative credit market factors</w:t>
      </w:r>
      <w:r w:rsidR="00BE0595">
        <w:t xml:space="preserve"> (</w:t>
      </w:r>
      <w:r w:rsidR="00BE0595" w:rsidRPr="00BE0595">
        <w:t>Fazila, 2024)</w:t>
      </w:r>
      <w:r w:rsidRPr="00921E04">
        <w:t xml:space="preserve">. </w:t>
      </w:r>
    </w:p>
    <w:p w14:paraId="6F7E7FB5" w14:textId="2DB6D61D" w:rsidR="002717C1" w:rsidRPr="002717C1" w:rsidRDefault="00921E04" w:rsidP="00C53529">
      <w:pPr>
        <w:spacing w:line="360" w:lineRule="auto"/>
        <w:jc w:val="both"/>
      </w:pPr>
      <w:r w:rsidRPr="00921E04">
        <w:t>Notably, even when the asset base is substantial, the situation of liquidity strains remains, meaning that it is an ineffective allocation of economic resources and not a shortage of cash</w:t>
      </w:r>
      <w:r w:rsidR="00FC2094">
        <w:t xml:space="preserve"> </w:t>
      </w:r>
      <w:r w:rsidR="00FC2094" w:rsidRPr="00FC2094">
        <w:t>(Guo et al., 2023)</w:t>
      </w:r>
      <w:r w:rsidRPr="00921E04">
        <w:t xml:space="preserve">. This distress is quantitatively confirmed by the use of the Altman </w:t>
      </w:r>
      <w:r w:rsidRPr="00921E04">
        <w:lastRenderedPageBreak/>
        <w:t>Z-Score</w:t>
      </w:r>
      <w:r w:rsidR="00023CF8">
        <w:t xml:space="preserve"> </w:t>
      </w:r>
      <w:r w:rsidR="00023CF8" w:rsidRPr="00023CF8">
        <w:t>(Susilowati et al., 2021)</w:t>
      </w:r>
      <w:r w:rsidR="00023CF8">
        <w:t>.</w:t>
      </w:r>
      <w:r w:rsidRPr="00921E04">
        <w:t xml:space="preserve"> Declining profitability, decreased equity buffers, and declining liquidity measures all drag the Z-Score of the firm, and probably move it on the list to the distress segment. This is an indicator that there is a likelihood of the financial failure in the event of nonintervention. A combination of these signals indicates that more modest actions, like the reduction of marginal costs, or temporary liquidity assistance, is not enough</w:t>
      </w:r>
      <w:r w:rsidR="00FC2094">
        <w:t xml:space="preserve"> (</w:t>
      </w:r>
      <w:r w:rsidR="00FC2094" w:rsidRPr="00FC2094">
        <w:t>Bolívar et al., 2018)</w:t>
      </w:r>
      <w:r w:rsidRPr="00921E04">
        <w:t xml:space="preserve">. What is needed in its place is a wholesale financial restructuring that seeks to deal with weaknesses in the balance sheet and strategic misfit. It is thus necessary to </w:t>
      </w:r>
      <w:proofErr w:type="spellStart"/>
      <w:r w:rsidRPr="00921E04">
        <w:t>stabilise</w:t>
      </w:r>
      <w:proofErr w:type="spellEnd"/>
      <w:r w:rsidRPr="00921E04">
        <w:t xml:space="preserve"> the firm in a structural intervention to ensure that investor confidence is through, and a sustainable platform is created to ensure recovery in the long run</w:t>
      </w:r>
      <w:r w:rsidR="00BE0595">
        <w:t xml:space="preserve"> (</w:t>
      </w:r>
      <w:r w:rsidR="00BE0595" w:rsidRPr="00BE0595">
        <w:t>Ahmad et al., 2018)</w:t>
      </w:r>
      <w:r w:rsidR="00BE0595">
        <w:t>.</w:t>
      </w:r>
    </w:p>
    <w:p w14:paraId="62F62522" w14:textId="77777777" w:rsidR="002717C1" w:rsidRPr="002717C1" w:rsidRDefault="002717C1" w:rsidP="00C53529">
      <w:pPr>
        <w:pStyle w:val="Heading2"/>
        <w:spacing w:line="360" w:lineRule="auto"/>
        <w:jc w:val="both"/>
      </w:pPr>
      <w:bookmarkStart w:id="15" w:name="_Toc217249697"/>
      <w:r w:rsidRPr="002717C1">
        <w:t>4.2 Restructuring Options Evaluation</w:t>
      </w:r>
      <w:bookmarkEnd w:id="15"/>
    </w:p>
    <w:p w14:paraId="44859A43" w14:textId="77777777" w:rsidR="00FC2094" w:rsidRDefault="00921E04" w:rsidP="00C53529">
      <w:pPr>
        <w:spacing w:line="360" w:lineRule="auto"/>
        <w:jc w:val="both"/>
      </w:pPr>
      <w:r w:rsidRPr="00921E04">
        <w:t xml:space="preserve">General Electronics has a variety of restructuring alternative at its disposal, each having a different liquidity, solvency, and shareholder-value implication. Divestment of </w:t>
      </w:r>
      <w:r w:rsidR="00BE0595" w:rsidRPr="00921E04">
        <w:t>non-core</w:t>
      </w:r>
      <w:r w:rsidRPr="00921E04">
        <w:t xml:space="preserve"> assets, equity injection and strategic alliances or partial mergers are the most viable ones. Divestment is a fairly short-term way of enhancing liquidity and concentration of operations. Through the sale of business units that are not core or have been making poor performances, General Electronics will be able to raise cash inflows to finance working capital expenses and debt</w:t>
      </w:r>
      <w:r w:rsidR="00BE0595">
        <w:t xml:space="preserve"> (</w:t>
      </w:r>
      <w:proofErr w:type="spellStart"/>
      <w:r w:rsidR="00BE0595" w:rsidRPr="00BE0595">
        <w:t>Kanoujiya</w:t>
      </w:r>
      <w:proofErr w:type="spellEnd"/>
      <w:r w:rsidR="00BE0595" w:rsidRPr="00BE0595">
        <w:t xml:space="preserve"> et al., 2023)</w:t>
      </w:r>
      <w:r w:rsidR="00BE0595">
        <w:t xml:space="preserve">. </w:t>
      </w:r>
      <w:r w:rsidRPr="00921E04">
        <w:t>Divestment also gives the management an opportunity to focus on other product lines that have a better chance of competing in the market. Nonetheless, the sale of the assets can be conducted in a distressed situation, which could lead to the suboptimal valuation. What is more, the over-divestment may run the risk of reducing the capacity to generate revenue in the future in the event that strategic resources are compromised to obtain short-term liquidity. Divestment, in this case, must be discriminatory, and must be informed by a clear evaluation of long term strategic fit</w:t>
      </w:r>
      <w:r w:rsidR="00AF6E0B">
        <w:t xml:space="preserve"> (</w:t>
      </w:r>
      <w:r w:rsidR="00AF6E0B" w:rsidRPr="00BE0595">
        <w:t>Mahmood et al., 2018</w:t>
      </w:r>
      <w:r w:rsidR="00AF6E0B">
        <w:t>)</w:t>
      </w:r>
      <w:r w:rsidRPr="00921E04">
        <w:t xml:space="preserve">. </w:t>
      </w:r>
    </w:p>
    <w:p w14:paraId="22DCAB94" w14:textId="44D0A012" w:rsidR="002717C1" w:rsidRPr="002717C1" w:rsidRDefault="00921E04" w:rsidP="00C53529">
      <w:pPr>
        <w:spacing w:line="360" w:lineRule="auto"/>
        <w:jc w:val="both"/>
      </w:pPr>
      <w:r w:rsidRPr="00921E04">
        <w:t xml:space="preserve">They are a direct path of restoring solvency and strengthening the balance sheet, which is provided by an equity injection. The capital raised by new equity would restore equity eroded by shareholders, and decrease the leverage, and credit profile by the firm and, therefore, access to financing at more </w:t>
      </w:r>
      <w:proofErr w:type="spellStart"/>
      <w:r w:rsidRPr="00921E04">
        <w:t>favourable</w:t>
      </w:r>
      <w:proofErr w:type="spellEnd"/>
      <w:r w:rsidRPr="00921E04">
        <w:t xml:space="preserve"> terms</w:t>
      </w:r>
      <w:r w:rsidR="00FC2094">
        <w:t xml:space="preserve"> </w:t>
      </w:r>
      <w:r w:rsidR="00FC2094" w:rsidRPr="00FC2094">
        <w:t>(Choi et al., 2020)</w:t>
      </w:r>
      <w:r w:rsidRPr="00921E04">
        <w:t xml:space="preserve">. Equity injection is quite appealing as far as financial stability is concerned due to the diluted </w:t>
      </w:r>
      <w:r w:rsidRPr="00921E04">
        <w:lastRenderedPageBreak/>
        <w:t>capital structure of the firm</w:t>
      </w:r>
      <w:r w:rsidR="00FC2094">
        <w:t xml:space="preserve"> </w:t>
      </w:r>
      <w:r w:rsidR="00FC2094" w:rsidRPr="00FC2094">
        <w:t>(</w:t>
      </w:r>
      <w:proofErr w:type="spellStart"/>
      <w:r w:rsidR="00FC2094" w:rsidRPr="00FC2094">
        <w:t>Abughazaleh</w:t>
      </w:r>
      <w:proofErr w:type="spellEnd"/>
      <w:r w:rsidR="00FC2094" w:rsidRPr="00FC2094">
        <w:t>, 2018)</w:t>
      </w:r>
      <w:r w:rsidRPr="00921E04">
        <w:t>. The main disadvantage, though, is that of shareholder dilution. There is the likelihood of a dilution of existing shareholders to new shareholders, in particular by the raise of equity at low valuations. However, in a distress environment, the dilution can be a reasonable trade off so as to maintain firm value and prevent insolvency</w:t>
      </w:r>
      <w:r w:rsidR="00AF6E0B">
        <w:t xml:space="preserve"> </w:t>
      </w:r>
      <w:r w:rsidR="00AF6E0B" w:rsidRPr="00AF6E0B">
        <w:t>(</w:t>
      </w:r>
      <w:proofErr w:type="spellStart"/>
      <w:r w:rsidR="00AF6E0B" w:rsidRPr="00AF6E0B">
        <w:t>Halteh</w:t>
      </w:r>
      <w:proofErr w:type="spellEnd"/>
      <w:r w:rsidR="00AF6E0B" w:rsidRPr="00AF6E0B">
        <w:t xml:space="preserve"> et al., 2018</w:t>
      </w:r>
      <w:r w:rsidR="00AF6E0B">
        <w:t xml:space="preserve">). </w:t>
      </w:r>
    </w:p>
    <w:p w14:paraId="06AF0710" w14:textId="74EACCFF" w:rsidR="002717C1" w:rsidRPr="002717C1" w:rsidRDefault="00921E04" w:rsidP="00C53529">
      <w:pPr>
        <w:spacing w:line="360" w:lineRule="auto"/>
        <w:jc w:val="both"/>
      </w:pPr>
      <w:r w:rsidRPr="00921E04">
        <w:t>A third option is a strategic alliance or partial merger where the risks are shared, new technologies are accessible and market is wider without the complete control. According to it, the collaboration with a financially more powerful company might help General Electronics use complementary strengths, economies of scale, and hasten innovation</w:t>
      </w:r>
      <w:r w:rsidR="00AF6E0B">
        <w:t xml:space="preserve"> (</w:t>
      </w:r>
      <w:proofErr w:type="spellStart"/>
      <w:r w:rsidR="00AF6E0B" w:rsidRPr="00AF6E0B">
        <w:t>Kanoujiya</w:t>
      </w:r>
      <w:proofErr w:type="spellEnd"/>
      <w:r w:rsidR="00AF6E0B" w:rsidRPr="00AF6E0B">
        <w:t xml:space="preserve"> et al., 2023)</w:t>
      </w:r>
      <w:r w:rsidRPr="00921E04">
        <w:t>. This kind of arrangement will be of special importance in the capital-intensive consumer electronics business, where worldwide distribution and technological applicability are paramount. Nonetheless, alliances and partial mergers have complicated negotiations, possible cultural integration difficulties, and joint control over the strategic decision making</w:t>
      </w:r>
      <w:r w:rsidR="00AF6E0B">
        <w:t xml:space="preserve"> </w:t>
      </w:r>
      <w:r w:rsidR="00AF6E0B" w:rsidRPr="00AF6E0B">
        <w:t>(</w:t>
      </w:r>
      <w:proofErr w:type="spellStart"/>
      <w:r w:rsidR="00AF6E0B" w:rsidRPr="00AF6E0B">
        <w:t>Hundal</w:t>
      </w:r>
      <w:proofErr w:type="spellEnd"/>
      <w:r w:rsidR="00AF6E0B" w:rsidRPr="00AF6E0B">
        <w:t xml:space="preserve"> &amp; </w:t>
      </w:r>
      <w:proofErr w:type="spellStart"/>
      <w:r w:rsidR="00AF6E0B" w:rsidRPr="00AF6E0B">
        <w:t>Eskola</w:t>
      </w:r>
      <w:proofErr w:type="spellEnd"/>
      <w:r w:rsidR="00AF6E0B" w:rsidRPr="00AF6E0B">
        <w:t>, 2021</w:t>
      </w:r>
      <w:r w:rsidR="00AF6E0B">
        <w:t>).</w:t>
      </w:r>
    </w:p>
    <w:p w14:paraId="77032F43" w14:textId="77777777" w:rsidR="002717C1" w:rsidRPr="002717C1" w:rsidRDefault="002717C1" w:rsidP="00C53529">
      <w:pPr>
        <w:pStyle w:val="Heading2"/>
        <w:spacing w:line="360" w:lineRule="auto"/>
        <w:jc w:val="both"/>
      </w:pPr>
      <w:bookmarkStart w:id="16" w:name="_Toc217249698"/>
      <w:r w:rsidRPr="002717C1">
        <w:t>4.3 International and Ethical Considerations</w:t>
      </w:r>
      <w:bookmarkEnd w:id="16"/>
    </w:p>
    <w:p w14:paraId="6DCDAA5A" w14:textId="61B9978C" w:rsidR="00AF6E0B" w:rsidRDefault="00921E04" w:rsidP="00C53529">
      <w:pPr>
        <w:spacing w:line="360" w:lineRule="auto"/>
        <w:jc w:val="both"/>
      </w:pPr>
      <w:r w:rsidRPr="00921E04">
        <w:t>The findings indicate that women who consume alcohol face an increased risk of developing LLD compared to men. General Electronics being a multinational company should consider various international and ethical factors in implementing financial restructuring</w:t>
      </w:r>
      <w:r w:rsidR="00FC2094">
        <w:t xml:space="preserve"> </w:t>
      </w:r>
      <w:r w:rsidR="00FC2094" w:rsidRPr="00FC2094">
        <w:t xml:space="preserve">(Courtois &amp; </w:t>
      </w:r>
      <w:proofErr w:type="spellStart"/>
      <w:r w:rsidR="00FC2094" w:rsidRPr="00FC2094">
        <w:t>Quittard</w:t>
      </w:r>
      <w:proofErr w:type="spellEnd"/>
      <w:r w:rsidR="00FC2094" w:rsidRPr="00FC2094">
        <w:rPr>
          <w:rFonts w:ascii="Cambria Math" w:hAnsi="Cambria Math" w:cs="Cambria Math"/>
        </w:rPr>
        <w:t>‐</w:t>
      </w:r>
      <w:r w:rsidR="00FC2094" w:rsidRPr="00FC2094">
        <w:t>Pinon, 2008)</w:t>
      </w:r>
      <w:r w:rsidR="00FC2094">
        <w:t>.</w:t>
      </w:r>
      <w:r w:rsidRPr="00921E04">
        <w:t xml:space="preserve"> International business exposes the company to currency fluctuations that could have a significant impact on cash flows, asset values and interest payments</w:t>
      </w:r>
      <w:r w:rsidR="00AF6E0B">
        <w:t xml:space="preserve"> (</w:t>
      </w:r>
      <w:r w:rsidR="00AF6E0B" w:rsidRPr="00AF6E0B">
        <w:t>Liu et al., 2020)</w:t>
      </w:r>
      <w:r w:rsidRPr="00921E04">
        <w:t>. The restructuring decisions should thus be made with the consideration of foreign exchange risk management strategy more so where divestments or financing activities will require more than one currency. Also, inflation in some markets can undermine margins and make it harder to restructure costs, as it will require local reactions and not global ones</w:t>
      </w:r>
      <w:r w:rsidR="00023CF8">
        <w:t xml:space="preserve"> (</w:t>
      </w:r>
      <w:proofErr w:type="spellStart"/>
      <w:r w:rsidR="00023CF8" w:rsidRPr="00023CF8">
        <w:t>DeBoeuf</w:t>
      </w:r>
      <w:proofErr w:type="spellEnd"/>
      <w:r w:rsidR="00023CF8" w:rsidRPr="00023CF8">
        <w:t xml:space="preserve"> et al., 2018)</w:t>
      </w:r>
      <w:r w:rsidRPr="00921E04">
        <w:t>. Restructuring is also complicated by the complexity of tax jurisdictions. The impact of asset disposals, equity issues, and intercountry partnerships may have major tax implications on net proceeds and long-term profitability. It follows that a well-planned taxation is the only way to make restructuring improve shareholder value, but not deter it</w:t>
      </w:r>
      <w:r w:rsidR="00AF6E0B">
        <w:t xml:space="preserve"> </w:t>
      </w:r>
      <w:r w:rsidR="00AF6E0B" w:rsidRPr="00AF6E0B">
        <w:t>(Kim et al., 2024)</w:t>
      </w:r>
      <w:r w:rsidR="00AF6E0B">
        <w:t>.</w:t>
      </w:r>
    </w:p>
    <w:p w14:paraId="7F7DA046" w14:textId="4731648C" w:rsidR="002717C1" w:rsidRPr="002717C1" w:rsidRDefault="00921E04" w:rsidP="00C53529">
      <w:pPr>
        <w:spacing w:line="360" w:lineRule="auto"/>
        <w:jc w:val="both"/>
      </w:pPr>
      <w:r w:rsidRPr="00921E04">
        <w:lastRenderedPageBreak/>
        <w:t>Morality is also very important. Restructuring of financial assets may involve reduction of workforce, closing of sites or alternation of terms of employment and these have massive social impacts</w:t>
      </w:r>
      <w:r w:rsidR="00FC2094">
        <w:t xml:space="preserve"> </w:t>
      </w:r>
      <w:r w:rsidR="00FC2094" w:rsidRPr="00FC2094">
        <w:t>(Bulow &amp; Shoven, 1978)</w:t>
      </w:r>
      <w:r w:rsidR="00FC2094">
        <w:t xml:space="preserve"> </w:t>
      </w:r>
      <w:r w:rsidRPr="00921E04">
        <w:t>. Such measures should be done in a transparent and reasonable manner and in a way that considers the welfare of the employees and the effects on the local people, which is a responsibility of the management. It is essential to ensure corporate social responsibility (CSR) through restructuring so as to retain corporate reputation and trust with the stakeholders</w:t>
      </w:r>
      <w:r w:rsidR="00AF6E0B">
        <w:t xml:space="preserve"> (</w:t>
      </w:r>
      <w:r w:rsidR="00AF6E0B" w:rsidRPr="00AF6E0B">
        <w:t>Chen, 2023)</w:t>
      </w:r>
      <w:r w:rsidRPr="00921E04">
        <w:t>. Lastly, cost reduction efforts should be taken in a responsible manner. The overcuts of areas like product quality, safety or environmental compliance can provide financial relief in the short term, and reputation and regulatory risks in the long term. An effective restructuring process must then be able to balance financial need with moral obligation so that the process of recovery becomes cost-effective and the role of recovery can be sustainable to the community</w:t>
      </w:r>
      <w:r w:rsidR="00AF6E0B">
        <w:t xml:space="preserve"> </w:t>
      </w:r>
      <w:r w:rsidR="00AF6E0B" w:rsidRPr="00AF6E0B">
        <w:t>(Palma-Álvarez et al., 2019)</w:t>
      </w:r>
      <w:r w:rsidR="00AF6E0B">
        <w:t>.</w:t>
      </w:r>
    </w:p>
    <w:p w14:paraId="71652C2C" w14:textId="77777777" w:rsidR="002717C1" w:rsidRPr="002717C1" w:rsidRDefault="002717C1" w:rsidP="00C53529">
      <w:pPr>
        <w:pStyle w:val="Heading1"/>
        <w:spacing w:line="360" w:lineRule="auto"/>
        <w:jc w:val="both"/>
      </w:pPr>
      <w:bookmarkStart w:id="17" w:name="_Toc217249699"/>
      <w:r w:rsidRPr="002717C1">
        <w:t>5. Investment Appraisal and Capital Budgeting</w:t>
      </w:r>
      <w:bookmarkEnd w:id="17"/>
    </w:p>
    <w:p w14:paraId="515C90F7" w14:textId="77777777" w:rsidR="002717C1" w:rsidRPr="002717C1" w:rsidRDefault="002717C1" w:rsidP="00C53529">
      <w:pPr>
        <w:pStyle w:val="Heading2"/>
        <w:spacing w:line="360" w:lineRule="auto"/>
        <w:jc w:val="both"/>
      </w:pPr>
      <w:bookmarkStart w:id="18" w:name="_Toc217249700"/>
      <w:r w:rsidRPr="002717C1">
        <w:t>5.1 Methodological Framework</w:t>
      </w:r>
      <w:bookmarkEnd w:id="18"/>
    </w:p>
    <w:p w14:paraId="5FD82E6B" w14:textId="10D44A38" w:rsidR="00CB14DB" w:rsidRDefault="005B58ED" w:rsidP="00C53529">
      <w:pPr>
        <w:spacing w:line="360" w:lineRule="auto"/>
        <w:jc w:val="both"/>
      </w:pPr>
      <w:r w:rsidRPr="005B58ED">
        <w:t>Since General Electronics has a weakened liquidity position and limited capital, investment appraisal should focus on value preservation as well as selective growth. In this regard, a mixture of discounted cash flow (DCF) and additional methods of appraisal is utilized with the aim of having strong decision-making during periods of financial distress</w:t>
      </w:r>
      <w:r w:rsidR="00FC2094">
        <w:t xml:space="preserve"> </w:t>
      </w:r>
      <w:r w:rsidR="00FC2094" w:rsidRPr="00FC2094">
        <w:t>(</w:t>
      </w:r>
      <w:proofErr w:type="spellStart"/>
      <w:r w:rsidR="00FC2094" w:rsidRPr="00FC2094">
        <w:t>DeMarzo</w:t>
      </w:r>
      <w:proofErr w:type="spellEnd"/>
      <w:r w:rsidR="00FC2094" w:rsidRPr="00FC2094">
        <w:t xml:space="preserve"> &amp; He, 2021)</w:t>
      </w:r>
      <w:r w:rsidRPr="005B58ED">
        <w:t xml:space="preserve">. The adoption of Net Present Value is explained by its close connection to </w:t>
      </w:r>
      <w:proofErr w:type="spellStart"/>
      <w:r w:rsidRPr="005B58ED">
        <w:t>maximisation</w:t>
      </w:r>
      <w:proofErr w:type="spellEnd"/>
      <w:r w:rsidRPr="005B58ED">
        <w:t xml:space="preserve"> of shareholder value (</w:t>
      </w:r>
      <w:proofErr w:type="spellStart"/>
      <w:r w:rsidRPr="005B58ED">
        <w:t>Laitinen</w:t>
      </w:r>
      <w:proofErr w:type="spellEnd"/>
      <w:r w:rsidRPr="005B58ED">
        <w:t>, 2019). NPV takes into consideration the time value of money and risk associated with the project by discounting the future cash flows by the cost of capital of the firm</w:t>
      </w:r>
      <w:r w:rsidR="00CB14DB" w:rsidRPr="00CB14DB">
        <w:t>:</w:t>
      </w:r>
    </w:p>
    <w:p w14:paraId="4612D8A9" w14:textId="11DF5DD9" w:rsidR="001B5561" w:rsidRPr="00CB14DB" w:rsidRDefault="001B5561" w:rsidP="00C53529">
      <w:pPr>
        <w:spacing w:line="360" w:lineRule="auto"/>
        <w:jc w:val="both"/>
      </w:pPr>
      <m:oMathPara>
        <m:oMath>
          <m:r>
            <w:rPr>
              <w:rFonts w:ascii="Cambria Math" w:eastAsiaTheme="minorEastAsia" w:hAnsi="Cambria Math"/>
            </w:rPr>
            <m:t>NPV</m:t>
          </m:r>
          <m:r>
            <w:rPr>
              <w:rFonts w:ascii="Cambria Math" w:hAnsi="Cambria Math"/>
            </w:rPr>
            <m:t>=</m:t>
          </m:r>
          <m:nary>
            <m:naryPr>
              <m:chr m:val="∑"/>
              <m:ctrlPr>
                <w:rPr>
                  <w:rFonts w:ascii="Cambria Math" w:hAnsi="Cambria Math"/>
                  <w:i/>
                </w:rPr>
              </m:ctrlPr>
            </m:naryPr>
            <m:sub>
              <m:r>
                <w:rPr>
                  <w:rFonts w:ascii="Cambria Math" w:hAnsi="Cambria Math"/>
                </w:rPr>
                <m:t>T=0</m:t>
              </m:r>
            </m:sub>
            <m:sup>
              <m:r>
                <w:rPr>
                  <w:rFonts w:ascii="Cambria Math" w:hAnsi="Cambria Math"/>
                </w:rPr>
                <m:t>n</m:t>
              </m:r>
            </m:sup>
            <m:e>
              <m:f>
                <m:fPr>
                  <m:ctrlPr>
                    <w:rPr>
                      <w:rFonts w:ascii="Cambria Math" w:hAnsi="Cambria Math"/>
                      <w:i/>
                    </w:rPr>
                  </m:ctrlPr>
                </m:fPr>
                <m:num>
                  <m:r>
                    <w:rPr>
                      <w:rFonts w:ascii="Cambria Math" w:hAnsi="Cambria Math"/>
                    </w:rPr>
                    <m:t>C</m:t>
                  </m:r>
                  <m:sSub>
                    <m:sSubPr>
                      <m:ctrlPr>
                        <w:rPr>
                          <w:rFonts w:ascii="Cambria Math" w:hAnsi="Cambria Math"/>
                          <w:i/>
                        </w:rPr>
                      </m:ctrlPr>
                    </m:sSubPr>
                    <m:e>
                      <m:r>
                        <w:rPr>
                          <w:rFonts w:ascii="Cambria Math" w:hAnsi="Cambria Math"/>
                        </w:rPr>
                        <m:t>F</m:t>
                      </m:r>
                    </m:e>
                    <m:sub>
                      <m:r>
                        <w:rPr>
                          <w:rFonts w:ascii="Cambria Math" w:hAnsi="Cambria Math"/>
                        </w:rPr>
                        <m:t>t</m:t>
                      </m:r>
                    </m:sub>
                  </m:sSub>
                </m:num>
                <m:den>
                  <m:sSup>
                    <m:sSupPr>
                      <m:ctrlPr>
                        <w:rPr>
                          <w:rFonts w:ascii="Cambria Math" w:hAnsi="Cambria Math"/>
                          <w:i/>
                        </w:rPr>
                      </m:ctrlPr>
                    </m:sSupPr>
                    <m:e>
                      <m:r>
                        <w:rPr>
                          <w:rFonts w:ascii="Cambria Math" w:hAnsi="Cambria Math"/>
                        </w:rPr>
                        <m:t>(1+r)</m:t>
                      </m:r>
                    </m:e>
                    <m:sup>
                      <m:r>
                        <w:rPr>
                          <w:rFonts w:ascii="Cambria Math" w:hAnsi="Cambria Math"/>
                        </w:rPr>
                        <m:t>t</m:t>
                      </m:r>
                    </m:sup>
                  </m:sSup>
                </m:den>
              </m:f>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0</m:t>
                  </m:r>
                </m:sub>
              </m:sSub>
            </m:e>
          </m:nary>
        </m:oMath>
      </m:oMathPara>
    </w:p>
    <w:p w14:paraId="6F67DBCC" w14:textId="26C43FD0" w:rsidR="00CB14DB" w:rsidRPr="00CB14DB" w:rsidRDefault="00CB14DB" w:rsidP="00C53529">
      <w:pPr>
        <w:spacing w:line="360" w:lineRule="auto"/>
        <w:jc w:val="both"/>
      </w:pPr>
      <w:r w:rsidRPr="00CB14DB">
        <w:t xml:space="preserve">where </w:t>
      </w:r>
      <m:oMath>
        <m:sSub>
          <m:sSubPr>
            <m:ctrlPr>
              <w:rPr>
                <w:rFonts w:ascii="Cambria Math" w:hAnsi="Cambria Math"/>
                <w:i/>
              </w:rPr>
            </m:ctrlPr>
          </m:sSubPr>
          <m:e>
            <m:r>
              <w:rPr>
                <w:rFonts w:ascii="Cambria Math" w:hAnsi="Cambria Math"/>
              </w:rPr>
              <m:t>CF</m:t>
            </m:r>
          </m:e>
          <m:sub>
            <m:r>
              <w:rPr>
                <w:rFonts w:ascii="Cambria Math" w:hAnsi="Cambria Math"/>
              </w:rPr>
              <m:t>t</m:t>
            </m:r>
          </m:sub>
        </m:sSub>
      </m:oMath>
      <w:r w:rsidR="00B44E8F">
        <w:t xml:space="preserve"> </w:t>
      </w:r>
      <w:r w:rsidRPr="00CB14DB">
        <w:t xml:space="preserve">represents cash flows in period </w:t>
      </w:r>
      <w:proofErr w:type="spellStart"/>
      <w:r w:rsidRPr="00CB14DB">
        <w:t>ttt</w:t>
      </w:r>
      <w:proofErr w:type="spellEnd"/>
      <w:r w:rsidRPr="00CB14DB">
        <w:t xml:space="preserve">, </w:t>
      </w:r>
      <w:proofErr w:type="spellStart"/>
      <w:r w:rsidRPr="00CB14DB">
        <w:t>rrr</w:t>
      </w:r>
      <w:proofErr w:type="spellEnd"/>
      <w:r w:rsidRPr="00CB14DB">
        <w:t xml:space="preserve"> is the discount rate, and </w:t>
      </w:r>
      <m:oMath>
        <m:sSub>
          <m:sSubPr>
            <m:ctrlPr>
              <w:rPr>
                <w:rFonts w:ascii="Cambria Math" w:hAnsi="Cambria Math"/>
                <w:i/>
              </w:rPr>
            </m:ctrlPr>
          </m:sSubPr>
          <m:e>
            <m:r>
              <w:rPr>
                <w:rFonts w:ascii="Cambria Math" w:hAnsi="Cambria Math"/>
              </w:rPr>
              <m:t>I</m:t>
            </m:r>
          </m:e>
          <m:sub>
            <m:r>
              <w:rPr>
                <w:rFonts w:ascii="Cambria Math" w:hAnsi="Cambria Math"/>
              </w:rPr>
              <m:t>0</m:t>
            </m:r>
          </m:sub>
        </m:sSub>
      </m:oMath>
      <w:r w:rsidRPr="00CB14DB">
        <w:t xml:space="preserve"> is the initial investment.</w:t>
      </w:r>
    </w:p>
    <w:p w14:paraId="7E6819D1" w14:textId="7152CF02" w:rsidR="00CB14DB" w:rsidRDefault="005B58ED" w:rsidP="00C53529">
      <w:pPr>
        <w:spacing w:line="360" w:lineRule="auto"/>
        <w:jc w:val="both"/>
      </w:pPr>
      <w:r w:rsidRPr="005B58ED">
        <w:lastRenderedPageBreak/>
        <w:t>Internal Rate of Return (IRR) has been adopted as the additional measure to determine relative efficiency and comparability of projects of various magnitudes</w:t>
      </w:r>
      <w:r w:rsidR="00FC2094">
        <w:t xml:space="preserve"> </w:t>
      </w:r>
      <w:r w:rsidR="00FC2094" w:rsidRPr="00FC2094">
        <w:t>(</w:t>
      </w:r>
      <w:proofErr w:type="spellStart"/>
      <w:r w:rsidR="00FC2094" w:rsidRPr="00FC2094">
        <w:t>Ramadona</w:t>
      </w:r>
      <w:proofErr w:type="spellEnd"/>
      <w:r w:rsidR="00FC2094" w:rsidRPr="00FC2094">
        <w:t xml:space="preserve"> et al., 2025)</w:t>
      </w:r>
      <w:r w:rsidRPr="005B58ED">
        <w:t>. Nevertheless, its shortcomings are known especially where there exist non-conventional or back-loaded cash flows. In order to overcome inelasticity of capital, Profitability Index (PI) is used</w:t>
      </w:r>
      <w:r w:rsidR="00CB14DB" w:rsidRPr="00CB14DB">
        <w:t>:</w:t>
      </w:r>
    </w:p>
    <w:p w14:paraId="664065BB" w14:textId="69614609" w:rsidR="00B44E8F" w:rsidRPr="00D06EAE" w:rsidRDefault="00B44E8F" w:rsidP="00C53529">
      <w:pPr>
        <w:spacing w:line="360" w:lineRule="auto"/>
        <w:jc w:val="both"/>
        <w:rPr>
          <w:rFonts w:ascii="Arial Black" w:eastAsiaTheme="minorEastAsia" w:hAnsi="Arial Black" w:cs="Arial"/>
          <w:b/>
          <w:bCs/>
        </w:rPr>
      </w:pPr>
      <m:oMathPara>
        <m:oMath>
          <m:r>
            <m:rPr>
              <m:sty m:val="bi"/>
            </m:rPr>
            <w:rPr>
              <w:rFonts w:ascii="Cambria Math" w:hAnsi="Cambria Math" w:cs="Arial"/>
            </w:rPr>
            <m:t xml:space="preserve">PI= </m:t>
          </m:r>
          <m:f>
            <m:fPr>
              <m:ctrlPr>
                <w:rPr>
                  <w:rFonts w:ascii="Cambria Math" w:hAnsi="Cambria Math" w:cs="Arial"/>
                  <w:b/>
                  <w:bCs/>
                  <w:i/>
                </w:rPr>
              </m:ctrlPr>
            </m:fPr>
            <m:num>
              <m:r>
                <m:rPr>
                  <m:sty m:val="bi"/>
                </m:rPr>
                <w:rPr>
                  <w:rFonts w:ascii="Cambria Math" w:hAnsi="Cambria Math" w:cs="Arial"/>
                </w:rPr>
                <m:t>Present Value of Future Cash Flow</m:t>
              </m:r>
            </m:num>
            <m:den>
              <m:r>
                <m:rPr>
                  <m:sty m:val="bi"/>
                </m:rPr>
                <w:rPr>
                  <w:rFonts w:ascii="Cambria Math" w:hAnsi="Cambria Math" w:cs="Arial"/>
                </w:rPr>
                <m:t xml:space="preserve">Initial Investment   </m:t>
              </m:r>
            </m:den>
          </m:f>
          <m:r>
            <m:rPr>
              <m:sty m:val="bi"/>
            </m:rPr>
            <w:rPr>
              <w:rFonts w:ascii="Cambria Math" w:hAnsi="Cambria Math" w:cs="Arial"/>
            </w:rPr>
            <m:t xml:space="preserve">  </m:t>
          </m:r>
        </m:oMath>
      </m:oMathPara>
    </w:p>
    <w:p w14:paraId="7885FCCC" w14:textId="77777777" w:rsidR="00B44E8F" w:rsidRPr="00CB14DB" w:rsidRDefault="00B44E8F" w:rsidP="00C53529">
      <w:pPr>
        <w:spacing w:line="360" w:lineRule="auto"/>
        <w:jc w:val="both"/>
      </w:pPr>
    </w:p>
    <w:p w14:paraId="01A657BA" w14:textId="46229CAE" w:rsidR="00CB14DB" w:rsidRPr="00CB14DB" w:rsidRDefault="005B58ED" w:rsidP="00C53529">
      <w:pPr>
        <w:spacing w:line="360" w:lineRule="auto"/>
        <w:jc w:val="both"/>
      </w:pPr>
      <w:r w:rsidRPr="005B58ED">
        <w:t>PI allows ranking projects by the value created per pound invested, which is crucial in capital rationing conditions (Jiang, 2016). Also, there is Payback Period (PBP) and Accounting rate of return (ARR) as a measure of insight into the recovery of liquidity and performance based on accounting</w:t>
      </w:r>
      <w:r w:rsidR="00CB14DB" w:rsidRPr="00CB14DB">
        <w:t>:</w:t>
      </w:r>
    </w:p>
    <w:p w14:paraId="2DB5E650" w14:textId="37C8489B" w:rsidR="00B44E8F" w:rsidRPr="00D06EAE" w:rsidRDefault="00B44E8F" w:rsidP="00C53529">
      <w:pPr>
        <w:spacing w:line="360" w:lineRule="auto"/>
        <w:jc w:val="both"/>
        <w:rPr>
          <w:rFonts w:ascii="Arial Black" w:eastAsiaTheme="minorEastAsia" w:hAnsi="Arial Black" w:cs="Arial"/>
          <w:b/>
          <w:bCs/>
        </w:rPr>
      </w:pPr>
      <m:oMathPara>
        <m:oMath>
          <m:r>
            <m:rPr>
              <m:sty m:val="bi"/>
            </m:rPr>
            <w:rPr>
              <w:rFonts w:ascii="Cambria Math" w:hAnsi="Cambria Math" w:cs="Arial"/>
            </w:rPr>
            <m:t xml:space="preserve">ARR= </m:t>
          </m:r>
          <m:f>
            <m:fPr>
              <m:ctrlPr>
                <w:rPr>
                  <w:rFonts w:ascii="Cambria Math" w:hAnsi="Cambria Math" w:cs="Arial"/>
                  <w:b/>
                  <w:bCs/>
                  <w:i/>
                </w:rPr>
              </m:ctrlPr>
            </m:fPr>
            <m:num>
              <m:r>
                <m:rPr>
                  <m:sty m:val="bi"/>
                </m:rPr>
                <w:rPr>
                  <w:rFonts w:ascii="Cambria Math" w:hAnsi="Cambria Math" w:cs="Arial"/>
                </w:rPr>
                <m:t>Average Annual Accounting  Profit</m:t>
              </m:r>
            </m:num>
            <m:den>
              <m:r>
                <m:rPr>
                  <m:sty m:val="bi"/>
                </m:rPr>
                <w:rPr>
                  <w:rFonts w:ascii="Cambria Math" w:hAnsi="Cambria Math" w:cs="Arial"/>
                </w:rPr>
                <m:t xml:space="preserve">Initial Investment   </m:t>
              </m:r>
            </m:den>
          </m:f>
          <m:r>
            <m:rPr>
              <m:sty m:val="bi"/>
            </m:rPr>
            <w:rPr>
              <w:rFonts w:ascii="Cambria Math" w:hAnsi="Cambria Math" w:cs="Arial"/>
            </w:rPr>
            <m:t xml:space="preserve">  </m:t>
          </m:r>
        </m:oMath>
      </m:oMathPara>
    </w:p>
    <w:p w14:paraId="4D846D05" w14:textId="0E5DBBC8" w:rsidR="002717C1" w:rsidRPr="002717C1" w:rsidRDefault="00CB14DB" w:rsidP="00C53529">
      <w:pPr>
        <w:spacing w:line="360" w:lineRule="auto"/>
        <w:jc w:val="both"/>
      </w:pPr>
      <w:r w:rsidRPr="00CB14DB">
        <w:t xml:space="preserve"> </w:t>
      </w:r>
      <w:r w:rsidR="005B58ED" w:rsidRPr="005B58ED">
        <w:t>Although the methods do not feature theoretical strength in disclosing cash flows, as they fail to discount cash flows, they are informative in the context of recovery where liquidity and reported performance, in the short-term, are critical (Silva and Pereira, 2017). The combination of these methods offers a feasible appraisal system that suits the financial capacity of a firm</w:t>
      </w:r>
      <w:r w:rsidR="00FC2094">
        <w:t xml:space="preserve"> </w:t>
      </w:r>
      <w:r w:rsidR="00FC2094" w:rsidRPr="00FC2094">
        <w:t>(</w:t>
      </w:r>
      <w:proofErr w:type="spellStart"/>
      <w:r w:rsidR="00FC2094" w:rsidRPr="00FC2094">
        <w:t>Adegoriola</w:t>
      </w:r>
      <w:proofErr w:type="spellEnd"/>
      <w:r w:rsidR="00FC2094" w:rsidRPr="00FC2094">
        <w:t xml:space="preserve"> &amp; Suleiman, 2020)</w:t>
      </w:r>
      <w:r w:rsidR="00FC2094">
        <w:t>.</w:t>
      </w:r>
    </w:p>
    <w:p w14:paraId="6C572876" w14:textId="77777777" w:rsidR="002717C1" w:rsidRPr="002717C1" w:rsidRDefault="002717C1" w:rsidP="00C53529">
      <w:pPr>
        <w:pStyle w:val="Heading2"/>
        <w:spacing w:line="360" w:lineRule="auto"/>
        <w:jc w:val="both"/>
      </w:pPr>
      <w:bookmarkStart w:id="19" w:name="_Toc217249701"/>
      <w:r w:rsidRPr="002717C1">
        <w:t>5.2 Project Evaluation</w:t>
      </w:r>
      <w:bookmarkEnd w:id="19"/>
    </w:p>
    <w:p w14:paraId="76CEEFFC" w14:textId="0EE055D1" w:rsidR="005B58ED" w:rsidRDefault="005B58ED" w:rsidP="00C53529">
      <w:pPr>
        <w:spacing w:line="360" w:lineRule="auto"/>
        <w:jc w:val="both"/>
      </w:pPr>
      <w:r w:rsidRPr="005B58ED">
        <w:t>The three projects suggested have a significantly different cash flow structures and risk profiles and require consideration that is not tied to headline returns. Table C1 (Appendix) gives a summary of the results of the investment appraisal</w:t>
      </w:r>
      <w:r w:rsidR="00FC2094">
        <w:t xml:space="preserve"> </w:t>
      </w:r>
      <w:r w:rsidR="00FC2094" w:rsidRPr="00FC2094">
        <w:t>(Hynek et al., 2015)</w:t>
      </w:r>
      <w:r w:rsidRPr="005B58ED">
        <w:t>. Project A has the initial investment amount of 40 million pounds and the cash inflows are expected to be quite consistent within a period of five years. Its average front-loaded cash flow in nature enables it to have a positive NPV at a discount rate of 10 percent, and a reasonable payback period. The reduced volatility of anticipated cash flows creates a moderate risk-return curve, which makes Project A able to fit the current financial weakness of the General Electronics (</w:t>
      </w:r>
      <w:proofErr w:type="spellStart"/>
      <w:r w:rsidRPr="005B58ED">
        <w:t>Skogsvik</w:t>
      </w:r>
      <w:proofErr w:type="spellEnd"/>
      <w:r w:rsidRPr="005B58ED">
        <w:t xml:space="preserve"> et al., 2023). Project A is the most resilient in financial </w:t>
      </w:r>
      <w:r w:rsidRPr="005B58ED">
        <w:lastRenderedPageBreak/>
        <w:t>terms, with regard to liquidity and risk management. Project B will be initially invested with a capital of £30 million and cash inflows of fixed annual earnings of £6 million. Its NPV is positive, but value creation is not high in relation to capital used, which shows low strategic potential (</w:t>
      </w:r>
      <w:proofErr w:type="spellStart"/>
      <w:r w:rsidRPr="005B58ED">
        <w:t>Pivorienė</w:t>
      </w:r>
      <w:proofErr w:type="spellEnd"/>
      <w:r w:rsidRPr="005B58ED">
        <w:t xml:space="preserve">, 2017). </w:t>
      </w:r>
    </w:p>
    <w:p w14:paraId="7505F440" w14:textId="6B8CCBD1" w:rsidR="002717C1" w:rsidRPr="002717C1" w:rsidRDefault="005B58ED" w:rsidP="00C53529">
      <w:pPr>
        <w:spacing w:line="360" w:lineRule="auto"/>
        <w:jc w:val="both"/>
      </w:pPr>
      <w:r w:rsidRPr="005B58ED">
        <w:t>Nevertheless, predictability and low volatility of cash flows will make the earnings more stable and minimize the overall portfolio risk</w:t>
      </w:r>
      <w:r w:rsidR="00FC2094">
        <w:t xml:space="preserve"> </w:t>
      </w:r>
      <w:r w:rsidR="00FC2094" w:rsidRPr="00FC2094">
        <w:t>(Safira &amp; Kitri, 2021)</w:t>
      </w:r>
      <w:r w:rsidRPr="005B58ED">
        <w:t>. Project B, thus, is rather a risk-</w:t>
      </w:r>
      <w:proofErr w:type="spellStart"/>
      <w:r w:rsidRPr="005B58ED">
        <w:t>stabilising</w:t>
      </w:r>
      <w:proofErr w:type="spellEnd"/>
      <w:r w:rsidRPr="005B58ED">
        <w:t xml:space="preserve"> investment than a growth catalyst. Project C has the worst initial investment (£50 million) and it provides cash inflows that are highly back-loaded. The structure provides the largest NPV of the three projects, which implies that the potential of creating long-term values can be significant (</w:t>
      </w:r>
      <w:proofErr w:type="spellStart"/>
      <w:r w:rsidRPr="005B58ED">
        <w:t>Shishodia</w:t>
      </w:r>
      <w:proofErr w:type="spellEnd"/>
      <w:r w:rsidRPr="005B58ED">
        <w:t xml:space="preserve"> et al., 2018). However, slow cash receipts enhance the exposure on forecast error and liquidity risk. The cash flows of Project C are a material risk to the short-term financial stability of General Electric considering that it relies on external financing and has not generated higher operating cash flows (Huang et al., 2022). The pivotal point about this comparison is that NPV supremacy is not enough in a financially ailing company. It can be a strategic inappropriateness to do projects that optimise long-term value, but increase short-term liquidity pressure even when they are theoretically appealing (</w:t>
      </w:r>
      <w:proofErr w:type="spellStart"/>
      <w:r w:rsidRPr="005B58ED">
        <w:t>Gaspars-Wieloch</w:t>
      </w:r>
      <w:proofErr w:type="spellEnd"/>
      <w:r w:rsidRPr="005B58ED">
        <w:t>, 2017</w:t>
      </w:r>
      <w:r w:rsidR="00023CF8">
        <w:t>).</w:t>
      </w:r>
    </w:p>
    <w:p w14:paraId="00783F5A" w14:textId="77777777" w:rsidR="002717C1" w:rsidRPr="002717C1" w:rsidRDefault="002717C1" w:rsidP="00C53529">
      <w:pPr>
        <w:pStyle w:val="Heading2"/>
        <w:spacing w:line="360" w:lineRule="auto"/>
        <w:jc w:val="both"/>
      </w:pPr>
      <w:bookmarkStart w:id="20" w:name="_Toc217249702"/>
      <w:r w:rsidRPr="002717C1">
        <w:t>5.3 Capital Rationing Decision (£60 Million Limit)</w:t>
      </w:r>
      <w:bookmarkEnd w:id="20"/>
    </w:p>
    <w:p w14:paraId="709B5D8A" w14:textId="3B1AF38D" w:rsidR="005B58ED" w:rsidRDefault="005B58ED" w:rsidP="00C53529">
      <w:pPr>
        <w:spacing w:line="360" w:lineRule="auto"/>
        <w:jc w:val="both"/>
      </w:pPr>
      <w:r w:rsidRPr="005B58ED">
        <w:t>General Electronics is facing a capital rationing constraint of the inflicted 60 million pounds which puts the company in a position to choose a combination of projects that would maximise value without worsening the liquidity risk</w:t>
      </w:r>
      <w:r w:rsidR="00FC2094">
        <w:t xml:space="preserve"> </w:t>
      </w:r>
      <w:r w:rsidR="00FC2094" w:rsidRPr="00FC2094">
        <w:t>(</w:t>
      </w:r>
      <w:proofErr w:type="spellStart"/>
      <w:r w:rsidR="00FC2094" w:rsidRPr="00FC2094">
        <w:t>Alaneme</w:t>
      </w:r>
      <w:proofErr w:type="spellEnd"/>
      <w:r w:rsidR="00FC2094" w:rsidRPr="00FC2094">
        <w:t xml:space="preserve"> et al., 2013)</w:t>
      </w:r>
      <w:r w:rsidRPr="005B58ED">
        <w:t>. The amount of investment in all the three projects is not viable and trade-offs between stability and growth have to be made. It would cost a total of £70 million in both Projects A and B, which is above the capital limit and would either involve scaling or delaying the project (</w:t>
      </w:r>
      <w:proofErr w:type="spellStart"/>
      <w:r w:rsidRPr="005B58ED">
        <w:t>Nurullah</w:t>
      </w:r>
      <w:proofErr w:type="spellEnd"/>
      <w:r w:rsidRPr="005B58ED">
        <w:t xml:space="preserve"> and </w:t>
      </w:r>
      <w:proofErr w:type="spellStart"/>
      <w:r w:rsidRPr="005B58ED">
        <w:t>Kengatharan</w:t>
      </w:r>
      <w:proofErr w:type="spellEnd"/>
      <w:r w:rsidRPr="005B58ED">
        <w:t xml:space="preserve">, 2015). A more feasible solution is to give Project A the first priority and use the rest of the capital by part investment in Project B or capital deployment in phases. Such a plan guarantees the instant value generation and rather quick cash recovery without becoming over-exposed to the </w:t>
      </w:r>
      <w:proofErr w:type="spellStart"/>
      <w:r w:rsidRPr="005B58ED">
        <w:t>longterm</w:t>
      </w:r>
      <w:proofErr w:type="spellEnd"/>
      <w:r w:rsidRPr="005B58ED">
        <w:t xml:space="preserve"> risk. </w:t>
      </w:r>
    </w:p>
    <w:p w14:paraId="4FCF6BEC" w14:textId="7F260504" w:rsidR="002717C1" w:rsidRPr="002717C1" w:rsidRDefault="005B58ED" w:rsidP="00C53529">
      <w:pPr>
        <w:spacing w:line="360" w:lineRule="auto"/>
        <w:jc w:val="both"/>
      </w:pPr>
      <w:r w:rsidRPr="005B58ED">
        <w:t xml:space="preserve">There are three reasons which support this recommendation. First, it maintains liquidity that is vital taking into consideration that the firm has a poor operating cash flow position. </w:t>
      </w:r>
      <w:r w:rsidRPr="005B58ED">
        <w:lastRenderedPageBreak/>
        <w:t>Second, it spreads risk without being concentrated in a single investment with a high risk and back-loaded (Lavanya et al., 2024). Third, it limits the capital allocation to the current financial weakness of the firm so that the decisions made on investment do not increase distress (Li et al., 2015). Project C, in this case, should be postponed, until the financial situation becomes more stable, and Project A is the main basis of the investment portfolio (</w:t>
      </w:r>
      <w:proofErr w:type="spellStart"/>
      <w:r w:rsidRPr="005B58ED">
        <w:t>Alayli</w:t>
      </w:r>
      <w:proofErr w:type="spellEnd"/>
      <w:r w:rsidRPr="005B58ED">
        <w:t>, 2023</w:t>
      </w:r>
      <w:r w:rsidR="00023CF8" w:rsidRPr="00023CF8">
        <w:t>)</w:t>
      </w:r>
      <w:r w:rsidR="00023CF8">
        <w:t>.</w:t>
      </w:r>
    </w:p>
    <w:p w14:paraId="636C1778" w14:textId="77777777" w:rsidR="002717C1" w:rsidRPr="002717C1" w:rsidRDefault="002717C1" w:rsidP="00C53529">
      <w:pPr>
        <w:pStyle w:val="Heading2"/>
        <w:spacing w:line="360" w:lineRule="auto"/>
        <w:jc w:val="both"/>
      </w:pPr>
      <w:bookmarkStart w:id="21" w:name="_Toc217249703"/>
      <w:r w:rsidRPr="002717C1">
        <w:t>5.4 Strategic Fit and Risk Assessment</w:t>
      </w:r>
      <w:bookmarkEnd w:id="21"/>
    </w:p>
    <w:p w14:paraId="1456C3FC" w14:textId="1709D9EE" w:rsidR="002717C1" w:rsidRPr="002717C1" w:rsidRDefault="005B58ED" w:rsidP="00C53529">
      <w:pPr>
        <w:spacing w:line="360" w:lineRule="auto"/>
        <w:jc w:val="both"/>
      </w:pPr>
      <w:r w:rsidRPr="005B58ED">
        <w:t>The suggested investment portfolio aims at creating a conscious balance between survival and growth</w:t>
      </w:r>
      <w:r w:rsidR="00FC2094">
        <w:t xml:space="preserve"> </w:t>
      </w:r>
      <w:r w:rsidR="00FC2094" w:rsidRPr="00FC2094">
        <w:t>(Acharya et al., 2010).</w:t>
      </w:r>
      <w:r w:rsidRPr="005B58ED">
        <w:t xml:space="preserve"> The existence of stable and moderately front-loaded cash flows is favorable to the recovery of liquidity and the lowering of earnings volatility, whereas investments with higher risk can be delayed until financial stability is recovered (Bhargava and Rao, 2021). This rigorous practice will commit decision making in capital budgeting to the overall restructuring goals of the firm and will also make the CFO responsible to sustainable and risk-adjusted value creation (</w:t>
      </w:r>
      <w:proofErr w:type="spellStart"/>
      <w:r w:rsidRPr="005B58ED">
        <w:t>Kimbro</w:t>
      </w:r>
      <w:proofErr w:type="spellEnd"/>
      <w:r w:rsidRPr="005B58ED">
        <w:t xml:space="preserve"> &amp; </w:t>
      </w:r>
      <w:proofErr w:type="spellStart"/>
      <w:r w:rsidRPr="005B58ED">
        <w:t>Wehrly</w:t>
      </w:r>
      <w:proofErr w:type="spellEnd"/>
      <w:r w:rsidRPr="005B58ED">
        <w:t>, 2017</w:t>
      </w:r>
      <w:r w:rsidR="00023CF8" w:rsidRPr="00023CF8">
        <w:t>)</w:t>
      </w:r>
      <w:r w:rsidR="00023CF8" w:rsidRPr="00921E04">
        <w:t>.</w:t>
      </w:r>
    </w:p>
    <w:p w14:paraId="5FA946E7" w14:textId="77777777" w:rsidR="002717C1" w:rsidRPr="002717C1" w:rsidRDefault="002717C1" w:rsidP="00C53529">
      <w:pPr>
        <w:pStyle w:val="Heading1"/>
        <w:spacing w:line="360" w:lineRule="auto"/>
        <w:jc w:val="both"/>
      </w:pPr>
      <w:bookmarkStart w:id="22" w:name="_Toc217249704"/>
      <w:r w:rsidRPr="002717C1">
        <w:t>6. Conclusion</w:t>
      </w:r>
      <w:bookmarkEnd w:id="22"/>
    </w:p>
    <w:p w14:paraId="5710AE9A" w14:textId="266EE3B2" w:rsidR="002717C1" w:rsidRPr="002717C1" w:rsidRDefault="00921E04" w:rsidP="00C53529">
      <w:pPr>
        <w:spacing w:line="360" w:lineRule="auto"/>
        <w:jc w:val="both"/>
      </w:pPr>
      <w:r w:rsidRPr="00921E04">
        <w:t xml:space="preserve">As has been shown in this report, General Electronics is in a serious and prolonged financial trouble as evidenced by the dwindling revenues and operating losses, deteriorating liquidity as well as high risk of the corporation failing. An in-depth financial diagnosis demonstrated that these problems are structural and not cyclical and require a strong intervention. A combined recovery plan has thus been suggested, including stringent financial analysis, </w:t>
      </w:r>
      <w:proofErr w:type="spellStart"/>
      <w:r w:rsidRPr="00921E04">
        <w:t>focussed</w:t>
      </w:r>
      <w:proofErr w:type="spellEnd"/>
      <w:r w:rsidRPr="00921E04">
        <w:t xml:space="preserve"> working capital mechanism and calculated restructuring of the financial structures to </w:t>
      </w:r>
      <w:proofErr w:type="spellStart"/>
      <w:r w:rsidRPr="00921E04">
        <w:t>stabilise</w:t>
      </w:r>
      <w:proofErr w:type="spellEnd"/>
      <w:r w:rsidRPr="00921E04">
        <w:t xml:space="preserve"> the balance sheet of the firm and to revive its operational sustainability. Simultaneously, disciplined capital budgeting subject to capital rationing constraints is used to make sure that limited investment funds are retained to be invested in projects that help to preserve liquidity, risk management, and long-term value-generating projects. Placed in the stance of the Chief Financial Officer, the proposed strategy is proven to be financially feasible, and globally scaled as well as being ethically accountable. This is because by striking a balance between short-term </w:t>
      </w:r>
      <w:r w:rsidRPr="00921E04">
        <w:lastRenderedPageBreak/>
        <w:t>survival and long-term development, General Electronics will regain stakeholder trust and build a reliable ground towards long-term healing</w:t>
      </w:r>
      <w:r w:rsidR="002717C1" w:rsidRPr="002717C1">
        <w:t>.</w:t>
      </w:r>
    </w:p>
    <w:p w14:paraId="184C0F09" w14:textId="3A8409E8" w:rsidR="00023CF8" w:rsidRPr="00023CF8" w:rsidRDefault="00166403" w:rsidP="00C53529">
      <w:pPr>
        <w:pStyle w:val="Heading1"/>
        <w:spacing w:line="360" w:lineRule="auto"/>
        <w:jc w:val="both"/>
      </w:pPr>
      <w:bookmarkStart w:id="23" w:name="_Toc217249705"/>
      <w:r>
        <w:t>7. References</w:t>
      </w:r>
      <w:bookmarkEnd w:id="23"/>
    </w:p>
    <w:p w14:paraId="1DDD89DB" w14:textId="77777777" w:rsidR="00FC2094" w:rsidRPr="00FC2094" w:rsidRDefault="00FC2094" w:rsidP="00C53529">
      <w:pPr>
        <w:spacing w:line="360" w:lineRule="auto"/>
        <w:jc w:val="both"/>
      </w:pPr>
      <w:proofErr w:type="spellStart"/>
      <w:r w:rsidRPr="00FC2094">
        <w:t>Abughazaleh</w:t>
      </w:r>
      <w:proofErr w:type="spellEnd"/>
      <w:r w:rsidRPr="00FC2094">
        <w:t xml:space="preserve">, W. (2018) ‘Redefining capital investment: A steady hand in an unsteady time’, </w:t>
      </w:r>
      <w:r w:rsidRPr="00FC2094">
        <w:rPr>
          <w:i/>
          <w:iCs/>
        </w:rPr>
        <w:t>Society of Petroleum Engineers</w:t>
      </w:r>
      <w:r w:rsidRPr="00FC2094">
        <w:t xml:space="preserve">. </w:t>
      </w:r>
      <w:hyperlink r:id="rId8" w:tgtFrame="_new" w:history="1">
        <w:r w:rsidRPr="00FC2094">
          <w:rPr>
            <w:rStyle w:val="Hyperlink"/>
            <w:color w:val="auto"/>
            <w:u w:val="none"/>
          </w:rPr>
          <w:t>https://doi.org/10.4043/28685-ms</w:t>
        </w:r>
      </w:hyperlink>
      <w:r>
        <w:t xml:space="preserve"> </w:t>
      </w:r>
    </w:p>
    <w:p w14:paraId="56FE490F" w14:textId="77777777" w:rsidR="00FC2094" w:rsidRPr="00023CF8" w:rsidRDefault="00FC2094" w:rsidP="00C53529">
      <w:pPr>
        <w:spacing w:line="360" w:lineRule="auto"/>
        <w:jc w:val="both"/>
      </w:pPr>
      <w:proofErr w:type="spellStart"/>
      <w:r w:rsidRPr="00023CF8">
        <w:t>Abulseoud</w:t>
      </w:r>
      <w:proofErr w:type="spellEnd"/>
      <w:r w:rsidRPr="00023CF8">
        <w:t xml:space="preserve">, O.A., </w:t>
      </w:r>
      <w:proofErr w:type="spellStart"/>
      <w:r w:rsidRPr="00023CF8">
        <w:t>Karpyak</w:t>
      </w:r>
      <w:proofErr w:type="spellEnd"/>
      <w:r w:rsidRPr="00023CF8">
        <w:t xml:space="preserve">, V.M., </w:t>
      </w:r>
      <w:proofErr w:type="spellStart"/>
      <w:r w:rsidRPr="00023CF8">
        <w:t>Schneekloth</w:t>
      </w:r>
      <w:proofErr w:type="spellEnd"/>
      <w:r w:rsidRPr="00023CF8">
        <w:t xml:space="preserve">, T., Hall-Flavin, D., </w:t>
      </w:r>
      <w:proofErr w:type="spellStart"/>
      <w:r w:rsidRPr="00023CF8">
        <w:t>Loukianova</w:t>
      </w:r>
      <w:proofErr w:type="spellEnd"/>
      <w:r w:rsidRPr="00023CF8">
        <w:t xml:space="preserve">, L., </w:t>
      </w:r>
      <w:proofErr w:type="spellStart"/>
      <w:r w:rsidRPr="00023CF8">
        <w:t>Geske</w:t>
      </w:r>
      <w:proofErr w:type="spellEnd"/>
      <w:r w:rsidRPr="00023CF8">
        <w:t xml:space="preserve">, J., </w:t>
      </w:r>
      <w:r w:rsidRPr="00023CF8">
        <w:rPr>
          <w:i/>
          <w:iCs/>
        </w:rPr>
        <w:t>et al.</w:t>
      </w:r>
      <w:r w:rsidRPr="00023CF8">
        <w:t xml:space="preserve"> (2013) ‘A retrospective study of gender differences in depressive symptoms and risk of relapse in patients with alcohol dependence’, </w:t>
      </w:r>
      <w:r w:rsidRPr="00023CF8">
        <w:rPr>
          <w:i/>
          <w:iCs/>
        </w:rPr>
        <w:t>American Journal on Addictions</w:t>
      </w:r>
      <w:r w:rsidRPr="00023CF8">
        <w:t xml:space="preserve">, 22(5), pp. 437–442. Available at: </w:t>
      </w:r>
      <w:hyperlink r:id="rId9" w:tgtFrame="_new" w:history="1">
        <w:r w:rsidRPr="00023CF8">
          <w:rPr>
            <w:rStyle w:val="Hyperlink"/>
          </w:rPr>
          <w:t>https://doi.org/10.1111/j.1521-0391.2013.12021.x</w:t>
        </w:r>
      </w:hyperlink>
    </w:p>
    <w:p w14:paraId="7445AE9F" w14:textId="77777777" w:rsidR="00FC2094" w:rsidRPr="00FC2094" w:rsidRDefault="00FC2094" w:rsidP="00C53529">
      <w:pPr>
        <w:spacing w:line="360" w:lineRule="auto"/>
        <w:jc w:val="both"/>
      </w:pPr>
      <w:r w:rsidRPr="00FC2094">
        <w:t xml:space="preserve">Acharya, V., Almeida, H. and </w:t>
      </w:r>
      <w:proofErr w:type="spellStart"/>
      <w:r w:rsidRPr="00FC2094">
        <w:t>Campello</w:t>
      </w:r>
      <w:proofErr w:type="spellEnd"/>
      <w:r w:rsidRPr="00FC2094">
        <w:t xml:space="preserve">, M. (2010) ‘Aggregate risk and the choice between cash and lines of credit’, </w:t>
      </w:r>
      <w:r w:rsidRPr="00FC2094">
        <w:rPr>
          <w:i/>
          <w:iCs/>
        </w:rPr>
        <w:t>National Bureau of Economic Research Working Paper</w:t>
      </w:r>
      <w:r w:rsidRPr="00FC2094">
        <w:t xml:space="preserve">. </w:t>
      </w:r>
      <w:hyperlink r:id="rId10" w:tgtFrame="_new" w:history="1">
        <w:r w:rsidRPr="00FC2094">
          <w:rPr>
            <w:rStyle w:val="Hyperlink"/>
            <w:color w:val="auto"/>
            <w:u w:val="none"/>
          </w:rPr>
          <w:t>https://doi.org/10.3386/w16122</w:t>
        </w:r>
      </w:hyperlink>
      <w:r>
        <w:t xml:space="preserve"> </w:t>
      </w:r>
    </w:p>
    <w:p w14:paraId="3048F25D" w14:textId="77777777" w:rsidR="00FC2094" w:rsidRPr="00FC2094" w:rsidRDefault="00FC2094" w:rsidP="00C53529">
      <w:pPr>
        <w:spacing w:line="360" w:lineRule="auto"/>
        <w:jc w:val="both"/>
      </w:pPr>
      <w:proofErr w:type="spellStart"/>
      <w:r w:rsidRPr="00FC2094">
        <w:t>Adegoriola</w:t>
      </w:r>
      <w:proofErr w:type="spellEnd"/>
      <w:r w:rsidRPr="00FC2094">
        <w:t xml:space="preserve">, A. and Suleiman, I. (2020) ‘Adopting gas automobile fuels (LPG &amp; CNG) into the Nigerian transportation system’, </w:t>
      </w:r>
      <w:r w:rsidRPr="00FC2094">
        <w:rPr>
          <w:i/>
          <w:iCs/>
        </w:rPr>
        <w:t>Journal of Environment and Sustainable Development</w:t>
      </w:r>
      <w:r w:rsidRPr="00FC2094">
        <w:t xml:space="preserve">, 10(14). </w:t>
      </w:r>
      <w:hyperlink r:id="rId11" w:tgtFrame="_new" w:history="1">
        <w:r w:rsidRPr="00FC2094">
          <w:rPr>
            <w:rStyle w:val="Hyperlink"/>
            <w:color w:val="auto"/>
            <w:u w:val="none"/>
          </w:rPr>
          <w:t>https://doi.org/10.7176/jesd/10-14-02</w:t>
        </w:r>
      </w:hyperlink>
      <w:r>
        <w:t xml:space="preserve">  </w:t>
      </w:r>
    </w:p>
    <w:p w14:paraId="7986A323" w14:textId="77777777" w:rsidR="00FC2094" w:rsidRPr="00023CF8" w:rsidRDefault="00FC2094" w:rsidP="00C53529">
      <w:pPr>
        <w:spacing w:line="360" w:lineRule="auto"/>
        <w:jc w:val="both"/>
      </w:pPr>
      <w:proofErr w:type="spellStart"/>
      <w:r w:rsidRPr="00023CF8">
        <w:t>Adekola</w:t>
      </w:r>
      <w:proofErr w:type="spellEnd"/>
      <w:r w:rsidRPr="00023CF8">
        <w:t xml:space="preserve">, A. and Dada, S. (2024) ‘Optimising pharmaceutical supply chain management through AI-driven predictive analytics: A conceptual framework’, </w:t>
      </w:r>
      <w:r w:rsidRPr="00023CF8">
        <w:rPr>
          <w:i/>
          <w:iCs/>
        </w:rPr>
        <w:t>Computer Science &amp; IT Research Journal</w:t>
      </w:r>
      <w:r w:rsidRPr="00023CF8">
        <w:t xml:space="preserve">, 5(11), pp. 2580–2593. Available at: </w:t>
      </w:r>
      <w:hyperlink r:id="rId12" w:tgtFrame="_new" w:history="1">
        <w:r w:rsidRPr="00023CF8">
          <w:rPr>
            <w:rStyle w:val="Hyperlink"/>
          </w:rPr>
          <w:t>https://doi.org/10.51594/csitrj.v5i11.1709</w:t>
        </w:r>
      </w:hyperlink>
    </w:p>
    <w:p w14:paraId="3D2D6F40" w14:textId="77777777" w:rsidR="00FC2094" w:rsidRPr="00023CF8" w:rsidRDefault="00FC2094" w:rsidP="00C53529">
      <w:pPr>
        <w:spacing w:line="360" w:lineRule="auto"/>
        <w:jc w:val="both"/>
      </w:pPr>
      <w:r w:rsidRPr="00023CF8">
        <w:t xml:space="preserve">Ahmad, I., Ali, Z. and Usman, M. (2018) ‘Predicting corporate financial distress: The case of Pakistan’, </w:t>
      </w:r>
      <w:r w:rsidRPr="00023CF8">
        <w:rPr>
          <w:i/>
          <w:iCs/>
        </w:rPr>
        <w:t>Global Social Sciences Review</w:t>
      </w:r>
      <w:r w:rsidRPr="00023CF8">
        <w:t xml:space="preserve">, 3(3), pp. 488–503. Available at: </w:t>
      </w:r>
      <w:hyperlink r:id="rId13" w:tgtFrame="_new" w:history="1">
        <w:r w:rsidRPr="00023CF8">
          <w:rPr>
            <w:rStyle w:val="Hyperlink"/>
          </w:rPr>
          <w:t>https://doi.org/10.31703/gssr.2018(iii-iii).28</w:t>
        </w:r>
      </w:hyperlink>
    </w:p>
    <w:p w14:paraId="1311B5B5" w14:textId="77777777" w:rsidR="00FC2094" w:rsidRPr="00FC2094" w:rsidRDefault="00FC2094" w:rsidP="00C53529">
      <w:pPr>
        <w:spacing w:line="360" w:lineRule="auto"/>
        <w:jc w:val="both"/>
      </w:pPr>
      <w:proofErr w:type="spellStart"/>
      <w:r w:rsidRPr="00FC2094">
        <w:t>Alaneme</w:t>
      </w:r>
      <w:proofErr w:type="spellEnd"/>
      <w:r w:rsidRPr="00FC2094">
        <w:t xml:space="preserve">, A., </w:t>
      </w:r>
      <w:proofErr w:type="spellStart"/>
      <w:r w:rsidRPr="00FC2094">
        <w:t>Ezemonye</w:t>
      </w:r>
      <w:proofErr w:type="spellEnd"/>
      <w:r w:rsidRPr="00FC2094">
        <w:t xml:space="preserve">, C., </w:t>
      </w:r>
      <w:proofErr w:type="spellStart"/>
      <w:r w:rsidRPr="00FC2094">
        <w:t>Igboanugo</w:t>
      </w:r>
      <w:proofErr w:type="spellEnd"/>
      <w:r w:rsidRPr="00FC2094">
        <w:t xml:space="preserve">, I. and Clement, A. (2013) ‘A factorial study on the inherent risks of Nigeria marginal oilfields’, </w:t>
      </w:r>
      <w:r w:rsidRPr="00FC2094">
        <w:rPr>
          <w:i/>
          <w:iCs/>
        </w:rPr>
        <w:t>Research Journal of Applied Sciences, Engineering and Technology</w:t>
      </w:r>
      <w:r w:rsidRPr="00FC2094">
        <w:t xml:space="preserve">, 6(3), pp. 468–476. </w:t>
      </w:r>
      <w:hyperlink r:id="rId14" w:tgtFrame="_new" w:history="1">
        <w:r w:rsidRPr="00FC2094">
          <w:rPr>
            <w:rStyle w:val="Hyperlink"/>
            <w:color w:val="auto"/>
            <w:u w:val="none"/>
          </w:rPr>
          <w:t>https://doi.org/10.19026/rjaset.6.4103</w:t>
        </w:r>
      </w:hyperlink>
    </w:p>
    <w:p w14:paraId="297490DC" w14:textId="77777777" w:rsidR="00FC2094" w:rsidRPr="00023CF8" w:rsidRDefault="00FC2094" w:rsidP="00C53529">
      <w:pPr>
        <w:spacing w:line="360" w:lineRule="auto"/>
        <w:jc w:val="both"/>
      </w:pPr>
      <w:proofErr w:type="spellStart"/>
      <w:r w:rsidRPr="00023CF8">
        <w:lastRenderedPageBreak/>
        <w:t>Alayli</w:t>
      </w:r>
      <w:proofErr w:type="spellEnd"/>
      <w:r w:rsidRPr="00023CF8">
        <w:t xml:space="preserve">, S. (2023) ‘The impact of capital budgeting practices on financial performance of Lebanese banks’, </w:t>
      </w:r>
      <w:r w:rsidRPr="00023CF8">
        <w:rPr>
          <w:i/>
          <w:iCs/>
        </w:rPr>
        <w:t>The Eurasian Journal on Global Socio-Economic Dynamics</w:t>
      </w:r>
      <w:r w:rsidRPr="00023CF8">
        <w:t xml:space="preserve">, 1(38), pp. 29–39. Available at: </w:t>
      </w:r>
      <w:hyperlink r:id="rId15" w:tgtFrame="_new" w:history="1">
        <w:r w:rsidRPr="00023CF8">
          <w:rPr>
            <w:rStyle w:val="Hyperlink"/>
          </w:rPr>
          <w:t>https://doi.org/10.35678/2539-5645.1(38).2023.29-39</w:t>
        </w:r>
      </w:hyperlink>
    </w:p>
    <w:p w14:paraId="77E612EC" w14:textId="77777777" w:rsidR="00FC2094" w:rsidRPr="00023CF8" w:rsidRDefault="00FC2094" w:rsidP="00C53529">
      <w:pPr>
        <w:spacing w:line="360" w:lineRule="auto"/>
        <w:jc w:val="both"/>
      </w:pPr>
      <w:r w:rsidRPr="00023CF8">
        <w:t xml:space="preserve">Altman, E.I. (2018) ‘Applications of distress prediction models: What have we learned after 50 years from the Z-score models?’, </w:t>
      </w:r>
      <w:r w:rsidRPr="00023CF8">
        <w:rPr>
          <w:i/>
          <w:iCs/>
        </w:rPr>
        <w:t>International Journal of Financial Studies</w:t>
      </w:r>
      <w:r w:rsidRPr="00023CF8">
        <w:t xml:space="preserve">, 6(3), p. 70. Available at: </w:t>
      </w:r>
      <w:hyperlink r:id="rId16" w:tgtFrame="_new" w:history="1">
        <w:r w:rsidRPr="00023CF8">
          <w:rPr>
            <w:rStyle w:val="Hyperlink"/>
          </w:rPr>
          <w:t>https://doi.org/10.3390/ijfs6030070</w:t>
        </w:r>
      </w:hyperlink>
    </w:p>
    <w:p w14:paraId="5070E11E" w14:textId="77777777" w:rsidR="00FC2094" w:rsidRPr="00023CF8" w:rsidRDefault="00FC2094" w:rsidP="00C53529">
      <w:pPr>
        <w:spacing w:line="360" w:lineRule="auto"/>
        <w:jc w:val="both"/>
      </w:pPr>
      <w:r w:rsidRPr="00023CF8">
        <w:t xml:space="preserve">Altman, E.I. (2018) ‘Applications of distress prediction models: What have we learned after 50 years from the Z-score models?’, </w:t>
      </w:r>
      <w:r w:rsidRPr="00023CF8">
        <w:rPr>
          <w:i/>
          <w:iCs/>
        </w:rPr>
        <w:t>International Journal of Financial Studies</w:t>
      </w:r>
      <w:r w:rsidRPr="00023CF8">
        <w:t xml:space="preserve">, 6(3), p. 70. Available at: </w:t>
      </w:r>
      <w:hyperlink r:id="rId17" w:tgtFrame="_new" w:history="1">
        <w:r w:rsidRPr="00023CF8">
          <w:rPr>
            <w:rStyle w:val="Hyperlink"/>
          </w:rPr>
          <w:t>https://doi.org/10.3390/ijfs6030070</w:t>
        </w:r>
      </w:hyperlink>
    </w:p>
    <w:p w14:paraId="15791FA2" w14:textId="77777777" w:rsidR="00FC2094" w:rsidRPr="00023CF8" w:rsidRDefault="00FC2094" w:rsidP="00C53529">
      <w:pPr>
        <w:spacing w:line="360" w:lineRule="auto"/>
        <w:jc w:val="both"/>
      </w:pPr>
      <w:r w:rsidRPr="00023CF8">
        <w:t xml:space="preserve">Altman, E.I. and Branch, B. (2015) ‘The bankruptcy system’s Chapter 22 recidivism problem: How serious is it?’, </w:t>
      </w:r>
      <w:r w:rsidRPr="00023CF8">
        <w:rPr>
          <w:i/>
          <w:iCs/>
        </w:rPr>
        <w:t>Financial Review</w:t>
      </w:r>
      <w:r w:rsidRPr="00023CF8">
        <w:t xml:space="preserve">, 50(1), pp. 1–26. Available at: </w:t>
      </w:r>
      <w:hyperlink r:id="rId18" w:tgtFrame="_new" w:history="1">
        <w:r w:rsidRPr="00023CF8">
          <w:rPr>
            <w:rStyle w:val="Hyperlink"/>
          </w:rPr>
          <w:t>https://doi.org/10.1111/fire.12058</w:t>
        </w:r>
      </w:hyperlink>
    </w:p>
    <w:p w14:paraId="62BF3442" w14:textId="77777777" w:rsidR="00FC2094" w:rsidRPr="00023CF8" w:rsidRDefault="00FC2094" w:rsidP="00C53529">
      <w:pPr>
        <w:spacing w:line="360" w:lineRule="auto"/>
        <w:jc w:val="both"/>
      </w:pPr>
      <w:r w:rsidRPr="00023CF8">
        <w:t xml:space="preserve">Altman, E.I., </w:t>
      </w:r>
      <w:proofErr w:type="spellStart"/>
      <w:r w:rsidRPr="00023CF8">
        <w:t>Iwanicz-Drozdowska</w:t>
      </w:r>
      <w:proofErr w:type="spellEnd"/>
      <w:r w:rsidRPr="00023CF8">
        <w:t xml:space="preserve">, M., </w:t>
      </w:r>
      <w:proofErr w:type="spellStart"/>
      <w:r w:rsidRPr="00023CF8">
        <w:t>Laitinen</w:t>
      </w:r>
      <w:proofErr w:type="spellEnd"/>
      <w:r w:rsidRPr="00023CF8">
        <w:t xml:space="preserve">, E.K. and </w:t>
      </w:r>
      <w:proofErr w:type="spellStart"/>
      <w:r w:rsidRPr="00023CF8">
        <w:t>Suvas</w:t>
      </w:r>
      <w:proofErr w:type="spellEnd"/>
      <w:r w:rsidRPr="00023CF8">
        <w:t xml:space="preserve">, A. (2016) ‘Financial distress prediction in an international context: A review and empirical analysis of Altman’s Z-score model’, </w:t>
      </w:r>
      <w:r w:rsidRPr="00023CF8">
        <w:rPr>
          <w:i/>
          <w:iCs/>
        </w:rPr>
        <w:t>Journal of International Financial Management and Accounting</w:t>
      </w:r>
      <w:r w:rsidRPr="00023CF8">
        <w:t xml:space="preserve">, 28(2), pp. 131–171. Available at: </w:t>
      </w:r>
      <w:hyperlink r:id="rId19" w:tgtFrame="_new" w:history="1">
        <w:r w:rsidRPr="00023CF8">
          <w:rPr>
            <w:rStyle w:val="Hyperlink"/>
          </w:rPr>
          <w:t>https://doi.org/10.1111/jifm.12053</w:t>
        </w:r>
      </w:hyperlink>
    </w:p>
    <w:p w14:paraId="5C44C0D6" w14:textId="77777777" w:rsidR="00FC2094" w:rsidRPr="00023CF8" w:rsidRDefault="00FC2094" w:rsidP="00C53529">
      <w:pPr>
        <w:spacing w:line="360" w:lineRule="auto"/>
        <w:jc w:val="both"/>
      </w:pPr>
      <w:r w:rsidRPr="00023CF8">
        <w:t xml:space="preserve">Amor, A., Rauf, A., </w:t>
      </w:r>
      <w:proofErr w:type="spellStart"/>
      <w:r w:rsidRPr="00023CF8">
        <w:t>Asrida</w:t>
      </w:r>
      <w:proofErr w:type="spellEnd"/>
      <w:r w:rsidRPr="00023CF8">
        <w:t xml:space="preserve">, A. and </w:t>
      </w:r>
      <w:proofErr w:type="spellStart"/>
      <w:r w:rsidRPr="00023CF8">
        <w:t>Atsarina</w:t>
      </w:r>
      <w:proofErr w:type="spellEnd"/>
      <w:r w:rsidRPr="00023CF8">
        <w:t xml:space="preserve">, A. (2024) ‘Profitability ratio analysis of financial performance at PT Kino Indonesia </w:t>
      </w:r>
      <w:proofErr w:type="spellStart"/>
      <w:r w:rsidRPr="00023CF8">
        <w:t>Tbk</w:t>
      </w:r>
      <w:proofErr w:type="spellEnd"/>
      <w:r w:rsidRPr="00023CF8">
        <w:t xml:space="preserve"> on the Indonesian Stock Exchange’, </w:t>
      </w:r>
      <w:proofErr w:type="spellStart"/>
      <w:r w:rsidRPr="00023CF8">
        <w:rPr>
          <w:i/>
          <w:iCs/>
        </w:rPr>
        <w:t>Rangkiang</w:t>
      </w:r>
      <w:proofErr w:type="spellEnd"/>
      <w:r w:rsidRPr="00023CF8">
        <w:rPr>
          <w:i/>
          <w:iCs/>
        </w:rPr>
        <w:t>: Journal of Islamic Economics and Business</w:t>
      </w:r>
      <w:r w:rsidRPr="00023CF8">
        <w:t xml:space="preserve">, 2(2), pp. 74–81. Available at: </w:t>
      </w:r>
      <w:hyperlink r:id="rId20" w:tgtFrame="_new" w:history="1">
        <w:r w:rsidRPr="00023CF8">
          <w:rPr>
            <w:rStyle w:val="Hyperlink"/>
          </w:rPr>
          <w:t>https://doi.org/10.70072/rangkiang.v2i2.35</w:t>
        </w:r>
      </w:hyperlink>
    </w:p>
    <w:p w14:paraId="54A6AB0E" w14:textId="77777777" w:rsidR="00FC2094" w:rsidRPr="00FC2094" w:rsidRDefault="00FC2094" w:rsidP="00C53529">
      <w:pPr>
        <w:spacing w:line="360" w:lineRule="auto"/>
        <w:jc w:val="both"/>
      </w:pPr>
      <w:r w:rsidRPr="00FC2094">
        <w:t xml:space="preserve">Anderson, M., Banker, R. and </w:t>
      </w:r>
      <w:proofErr w:type="spellStart"/>
      <w:r w:rsidRPr="00FC2094">
        <w:t>Janakiraman</w:t>
      </w:r>
      <w:proofErr w:type="spellEnd"/>
      <w:r w:rsidRPr="00FC2094">
        <w:t xml:space="preserve">, S. (2003) ‘Are selling, general, and administrative costs “sticky”?’, </w:t>
      </w:r>
      <w:r w:rsidRPr="00FC2094">
        <w:rPr>
          <w:i/>
          <w:iCs/>
        </w:rPr>
        <w:t>Journal of Accounting Research</w:t>
      </w:r>
      <w:r w:rsidRPr="00FC2094">
        <w:t xml:space="preserve">, 41(1), pp. 47–63. </w:t>
      </w:r>
      <w:hyperlink r:id="rId21" w:tgtFrame="_new" w:history="1">
        <w:r w:rsidRPr="00FC2094">
          <w:rPr>
            <w:rStyle w:val="Hyperlink"/>
          </w:rPr>
          <w:t>https://doi.org/10.1111/1475-679x.00095</w:t>
        </w:r>
      </w:hyperlink>
    </w:p>
    <w:p w14:paraId="18FD25B5" w14:textId="77777777" w:rsidR="00FC2094" w:rsidRPr="00023CF8" w:rsidRDefault="00FC2094" w:rsidP="00C53529">
      <w:pPr>
        <w:spacing w:line="360" w:lineRule="auto"/>
        <w:jc w:val="both"/>
      </w:pPr>
      <w:r w:rsidRPr="00023CF8">
        <w:t xml:space="preserve">Arshad, R., Iqbal, S. and Omar, N. (2015) ‘Prediction of business failure and fraudulent financial reporting: Evidence from Malaysia’, </w:t>
      </w:r>
      <w:r w:rsidRPr="00023CF8">
        <w:rPr>
          <w:i/>
          <w:iCs/>
        </w:rPr>
        <w:t>Indian Journal of Corporate Governance</w:t>
      </w:r>
      <w:r w:rsidRPr="00023CF8">
        <w:t xml:space="preserve">, 8(1), pp. 34–53. Available at: </w:t>
      </w:r>
      <w:hyperlink r:id="rId22" w:tgtFrame="_new" w:history="1">
        <w:r w:rsidRPr="00023CF8">
          <w:rPr>
            <w:rStyle w:val="Hyperlink"/>
          </w:rPr>
          <w:t>https://doi.org/10.1177/0974686215574424</w:t>
        </w:r>
      </w:hyperlink>
    </w:p>
    <w:p w14:paraId="429C60A1" w14:textId="77777777" w:rsidR="00FC2094" w:rsidRPr="00023CF8" w:rsidRDefault="00FC2094" w:rsidP="00C53529">
      <w:pPr>
        <w:spacing w:line="360" w:lineRule="auto"/>
        <w:jc w:val="both"/>
      </w:pPr>
      <w:r w:rsidRPr="00023CF8">
        <w:lastRenderedPageBreak/>
        <w:t xml:space="preserve">Ashraf, S., Félix, E. and </w:t>
      </w:r>
      <w:proofErr w:type="spellStart"/>
      <w:r w:rsidRPr="00023CF8">
        <w:t>Serrasqueiro</w:t>
      </w:r>
      <w:proofErr w:type="spellEnd"/>
      <w:r w:rsidRPr="00023CF8">
        <w:t xml:space="preserve">, Z. (2019) ‘Do traditional financial distress prediction models predict the early warning signs of financial distress?’, </w:t>
      </w:r>
      <w:r w:rsidRPr="00023CF8">
        <w:rPr>
          <w:i/>
          <w:iCs/>
        </w:rPr>
        <w:t>Journal of Risk and Financial Management</w:t>
      </w:r>
      <w:r w:rsidRPr="00023CF8">
        <w:t xml:space="preserve">, 12(2), p. 55. Available at: </w:t>
      </w:r>
      <w:hyperlink r:id="rId23" w:tgtFrame="_new" w:history="1">
        <w:r w:rsidRPr="00023CF8">
          <w:rPr>
            <w:rStyle w:val="Hyperlink"/>
          </w:rPr>
          <w:t>https://doi.org/10.3390/jrfm12020055</w:t>
        </w:r>
      </w:hyperlink>
    </w:p>
    <w:p w14:paraId="0433CC18" w14:textId="77777777" w:rsidR="00FC2094" w:rsidRPr="00FC2094" w:rsidRDefault="00FC2094" w:rsidP="00C53529">
      <w:pPr>
        <w:spacing w:line="360" w:lineRule="auto"/>
        <w:jc w:val="both"/>
      </w:pPr>
      <w:r w:rsidRPr="00FC2094">
        <w:t xml:space="preserve">Balakrishnan, R., </w:t>
      </w:r>
      <w:proofErr w:type="spellStart"/>
      <w:r w:rsidRPr="00FC2094">
        <w:t>Labro</w:t>
      </w:r>
      <w:proofErr w:type="spellEnd"/>
      <w:r w:rsidRPr="00FC2094">
        <w:t xml:space="preserve">, E. and </w:t>
      </w:r>
      <w:proofErr w:type="spellStart"/>
      <w:r w:rsidRPr="00FC2094">
        <w:t>Soderstrom</w:t>
      </w:r>
      <w:proofErr w:type="spellEnd"/>
      <w:r w:rsidRPr="00FC2094">
        <w:t xml:space="preserve">, N. (2014) ‘Cost structure and sticky costs’, </w:t>
      </w:r>
      <w:r w:rsidRPr="00FC2094">
        <w:rPr>
          <w:i/>
          <w:iCs/>
        </w:rPr>
        <w:t>Journal of Management Accounting Research</w:t>
      </w:r>
      <w:r w:rsidRPr="00FC2094">
        <w:t xml:space="preserve">, 26(2), pp. 91–116. </w:t>
      </w:r>
      <w:hyperlink r:id="rId24" w:tgtFrame="_new" w:history="1">
        <w:r w:rsidRPr="00FC2094">
          <w:rPr>
            <w:rStyle w:val="Hyperlink"/>
          </w:rPr>
          <w:t>https://doi.org/10.2308/jmar-50831</w:t>
        </w:r>
      </w:hyperlink>
    </w:p>
    <w:p w14:paraId="522972C2" w14:textId="77777777" w:rsidR="00FC2094" w:rsidRPr="00FC2094" w:rsidRDefault="00FC2094" w:rsidP="00C53529">
      <w:pPr>
        <w:spacing w:line="360" w:lineRule="auto"/>
        <w:jc w:val="both"/>
      </w:pPr>
      <w:r w:rsidRPr="00FC2094">
        <w:t xml:space="preserve">Banker, R., Basu, S., </w:t>
      </w:r>
      <w:proofErr w:type="spellStart"/>
      <w:r w:rsidRPr="00FC2094">
        <w:t>Byzalov</w:t>
      </w:r>
      <w:proofErr w:type="spellEnd"/>
      <w:r w:rsidRPr="00FC2094">
        <w:t xml:space="preserve">, D. and Chen, J. (2016) ‘The confounding effect of cost stickiness on conservatism estimates’, </w:t>
      </w:r>
      <w:r w:rsidRPr="00FC2094">
        <w:rPr>
          <w:i/>
          <w:iCs/>
        </w:rPr>
        <w:t>Journal of Accounting and Economics</w:t>
      </w:r>
      <w:r w:rsidRPr="00FC2094">
        <w:t xml:space="preserve">, 61(1), pp. 203–220. </w:t>
      </w:r>
      <w:hyperlink r:id="rId25" w:tgtFrame="_new" w:history="1">
        <w:r w:rsidRPr="00FC2094">
          <w:rPr>
            <w:rStyle w:val="Hyperlink"/>
          </w:rPr>
          <w:t>https://doi.org/10.1016/j.jacceco.2015.07.001</w:t>
        </w:r>
      </w:hyperlink>
    </w:p>
    <w:p w14:paraId="1B24659B" w14:textId="77777777" w:rsidR="00FC2094" w:rsidRPr="00023CF8" w:rsidRDefault="00FC2094" w:rsidP="00C53529">
      <w:pPr>
        <w:spacing w:line="360" w:lineRule="auto"/>
        <w:jc w:val="both"/>
      </w:pPr>
      <w:r w:rsidRPr="00023CF8">
        <w:t xml:space="preserve">Bhargava, V. and Rao, S. (2021) ‘Role of debt-to-equity ratio in project investment valuation: Assessing risk and return in capital markets’, </w:t>
      </w:r>
      <w:r w:rsidRPr="00023CF8">
        <w:rPr>
          <w:i/>
          <w:iCs/>
        </w:rPr>
        <w:t>Future Business Journal</w:t>
      </w:r>
      <w:r w:rsidRPr="00023CF8">
        <w:t xml:space="preserve">, 7(1). Available at: </w:t>
      </w:r>
      <w:hyperlink r:id="rId26" w:tgtFrame="_new" w:history="1">
        <w:r w:rsidRPr="00023CF8">
          <w:rPr>
            <w:rStyle w:val="Hyperlink"/>
          </w:rPr>
          <w:t>https://doi.org/10.1186/s43093-021-00058-9</w:t>
        </w:r>
      </w:hyperlink>
    </w:p>
    <w:p w14:paraId="5E5A98B7" w14:textId="77777777" w:rsidR="00FC2094" w:rsidRPr="00FC2094" w:rsidRDefault="00FC2094" w:rsidP="00C53529">
      <w:pPr>
        <w:spacing w:line="360" w:lineRule="auto"/>
        <w:jc w:val="both"/>
      </w:pPr>
      <w:r w:rsidRPr="00FC2094">
        <w:t xml:space="preserve">Bolívar, M., Galera, A., </w:t>
      </w:r>
      <w:proofErr w:type="spellStart"/>
      <w:r w:rsidRPr="00FC2094">
        <w:t>Subirés</w:t>
      </w:r>
      <w:proofErr w:type="spellEnd"/>
      <w:r w:rsidRPr="00FC2094">
        <w:t>, M. and Muñoz, L. (2018) ‘</w:t>
      </w:r>
      <w:proofErr w:type="spellStart"/>
      <w:r w:rsidRPr="00FC2094">
        <w:t>Analysing</w:t>
      </w:r>
      <w:proofErr w:type="spellEnd"/>
      <w:r w:rsidRPr="00FC2094">
        <w:t xml:space="preserve"> the accounting measurement of financial sustainability in local governments through political factors’, </w:t>
      </w:r>
      <w:r w:rsidRPr="00FC2094">
        <w:rPr>
          <w:i/>
          <w:iCs/>
        </w:rPr>
        <w:t>Accounting, Auditing &amp; Accountability Journal</w:t>
      </w:r>
      <w:r w:rsidRPr="00FC2094">
        <w:t xml:space="preserve">, 31(8), pp. 2135–2164. </w:t>
      </w:r>
      <w:hyperlink r:id="rId27" w:tgtFrame="_new" w:history="1">
        <w:r w:rsidRPr="00FC2094">
          <w:rPr>
            <w:rStyle w:val="Hyperlink"/>
            <w:color w:val="auto"/>
            <w:u w:val="none"/>
          </w:rPr>
          <w:t>https://doi.org/10.1108/aaaj-10-2016-2754</w:t>
        </w:r>
      </w:hyperlink>
    </w:p>
    <w:p w14:paraId="54A1812A" w14:textId="77777777" w:rsidR="00FC2094" w:rsidRPr="00FC2094" w:rsidRDefault="00FC2094" w:rsidP="00C53529">
      <w:pPr>
        <w:spacing w:line="360" w:lineRule="auto"/>
        <w:jc w:val="both"/>
      </w:pPr>
      <w:r w:rsidRPr="00FC2094">
        <w:t xml:space="preserve">Bolton, P., Chen, H. and Wang, N. (2011) ‘Market timing, investment, and risk management’, </w:t>
      </w:r>
      <w:r w:rsidRPr="00FC2094">
        <w:rPr>
          <w:i/>
          <w:iCs/>
        </w:rPr>
        <w:t>National Bureau of Economic Research Working Paper</w:t>
      </w:r>
      <w:r w:rsidRPr="00FC2094">
        <w:t xml:space="preserve">. </w:t>
      </w:r>
      <w:hyperlink r:id="rId28" w:tgtFrame="_new" w:history="1">
        <w:r w:rsidRPr="00FC2094">
          <w:rPr>
            <w:rStyle w:val="Hyperlink"/>
            <w:color w:val="auto"/>
            <w:u w:val="none"/>
          </w:rPr>
          <w:t>https://doi.org/10.3386/w16808</w:t>
        </w:r>
      </w:hyperlink>
    </w:p>
    <w:p w14:paraId="52E51C8C" w14:textId="77777777" w:rsidR="00FC2094" w:rsidRPr="00FC2094" w:rsidRDefault="00FC2094" w:rsidP="00C53529">
      <w:pPr>
        <w:spacing w:line="360" w:lineRule="auto"/>
        <w:jc w:val="both"/>
      </w:pPr>
      <w:r w:rsidRPr="00FC2094">
        <w:t xml:space="preserve">Bulow, J. and Shoven, J. (1978) ‘The bankruptcy decision’, </w:t>
      </w:r>
      <w:r w:rsidRPr="00FC2094">
        <w:rPr>
          <w:i/>
          <w:iCs/>
        </w:rPr>
        <w:t>The Bell Journal of Economics</w:t>
      </w:r>
      <w:r w:rsidRPr="00FC2094">
        <w:t xml:space="preserve">, 9(2), pp. 437–456. </w:t>
      </w:r>
      <w:hyperlink r:id="rId29" w:tgtFrame="_new" w:history="1">
        <w:r w:rsidRPr="00FC2094">
          <w:rPr>
            <w:rStyle w:val="Hyperlink"/>
            <w:color w:val="auto"/>
            <w:u w:val="none"/>
          </w:rPr>
          <w:t>https://doi.org/10.2307/3003592</w:t>
        </w:r>
      </w:hyperlink>
    </w:p>
    <w:p w14:paraId="3A84FD1A" w14:textId="77777777" w:rsidR="00FC2094" w:rsidRPr="00023CF8" w:rsidRDefault="00FC2094" w:rsidP="00C53529">
      <w:pPr>
        <w:spacing w:line="360" w:lineRule="auto"/>
        <w:jc w:val="both"/>
      </w:pPr>
      <w:proofErr w:type="spellStart"/>
      <w:r w:rsidRPr="00023CF8">
        <w:t>Caniato</w:t>
      </w:r>
      <w:proofErr w:type="spellEnd"/>
      <w:r w:rsidRPr="00023CF8">
        <w:t xml:space="preserve">, F., Henke, M. and </w:t>
      </w:r>
      <w:proofErr w:type="spellStart"/>
      <w:r w:rsidRPr="00023CF8">
        <w:t>Zsidisin</w:t>
      </w:r>
      <w:proofErr w:type="spellEnd"/>
      <w:r w:rsidRPr="00023CF8">
        <w:t xml:space="preserve">, G.A. (2019) ‘Supply chain finance: Historical foundations, current research, future developments’, </w:t>
      </w:r>
      <w:r w:rsidRPr="00023CF8">
        <w:rPr>
          <w:i/>
          <w:iCs/>
        </w:rPr>
        <w:t>Journal of Purchasing and Supply Management</w:t>
      </w:r>
      <w:r w:rsidRPr="00023CF8">
        <w:t xml:space="preserve">, 25(2), pp. 99–104. Available at: </w:t>
      </w:r>
      <w:hyperlink r:id="rId30" w:tgtFrame="_new" w:history="1">
        <w:r w:rsidRPr="00023CF8">
          <w:rPr>
            <w:rStyle w:val="Hyperlink"/>
          </w:rPr>
          <w:t>https://doi.org/10.1016/j.pursup.2019.02.002</w:t>
        </w:r>
      </w:hyperlink>
    </w:p>
    <w:p w14:paraId="1AEEAAE9" w14:textId="77777777" w:rsidR="00FC2094" w:rsidRPr="00FC2094" w:rsidRDefault="00FC2094" w:rsidP="00C53529">
      <w:pPr>
        <w:spacing w:line="360" w:lineRule="auto"/>
        <w:jc w:val="both"/>
      </w:pPr>
      <w:r w:rsidRPr="00FC2094">
        <w:t xml:space="preserve">Chen, H., Xu, Y. and Yang, J. (2012) ‘Systematic risk, debt maturity, and the term structure of credit spreads’, </w:t>
      </w:r>
      <w:r w:rsidRPr="00FC2094">
        <w:rPr>
          <w:i/>
          <w:iCs/>
        </w:rPr>
        <w:t>SSRN Electronic Journal</w:t>
      </w:r>
      <w:r w:rsidRPr="00FC2094">
        <w:t xml:space="preserve">. </w:t>
      </w:r>
      <w:hyperlink r:id="rId31" w:tgtFrame="_new" w:history="1">
        <w:r w:rsidRPr="00FC2094">
          <w:rPr>
            <w:rStyle w:val="Hyperlink"/>
            <w:color w:val="auto"/>
            <w:u w:val="none"/>
          </w:rPr>
          <w:t>https://doi.org/10.2139/ssrn.2024329</w:t>
        </w:r>
      </w:hyperlink>
    </w:p>
    <w:p w14:paraId="511F65AA" w14:textId="77777777" w:rsidR="00FC2094" w:rsidRPr="00023CF8" w:rsidRDefault="00FC2094" w:rsidP="00C53529">
      <w:pPr>
        <w:spacing w:line="360" w:lineRule="auto"/>
        <w:jc w:val="both"/>
      </w:pPr>
      <w:r w:rsidRPr="00023CF8">
        <w:lastRenderedPageBreak/>
        <w:t xml:space="preserve">Chen, Z. (2023) ‘Alcohol intake and depression in women aged ≥21 years: NHANES 2013–2016’, </w:t>
      </w:r>
      <w:r w:rsidRPr="00023CF8">
        <w:rPr>
          <w:i/>
          <w:iCs/>
        </w:rPr>
        <w:t>Proceedings of SPIE</w:t>
      </w:r>
      <w:r w:rsidRPr="00023CF8">
        <w:t xml:space="preserve">. Available at: </w:t>
      </w:r>
      <w:hyperlink r:id="rId32" w:tgtFrame="_new" w:history="1">
        <w:r w:rsidRPr="00023CF8">
          <w:rPr>
            <w:rStyle w:val="Hyperlink"/>
          </w:rPr>
          <w:t>https://doi.org/10.1117/12.2669975</w:t>
        </w:r>
      </w:hyperlink>
    </w:p>
    <w:p w14:paraId="3C8C0D5D" w14:textId="77777777" w:rsidR="00FC2094" w:rsidRPr="00023CF8" w:rsidRDefault="00FC2094" w:rsidP="00C53529">
      <w:pPr>
        <w:spacing w:line="360" w:lineRule="auto"/>
        <w:jc w:val="both"/>
      </w:pPr>
      <w:r w:rsidRPr="00023CF8">
        <w:t xml:space="preserve">Chiaramonte, L. and </w:t>
      </w:r>
      <w:proofErr w:type="spellStart"/>
      <w:r w:rsidRPr="00023CF8">
        <w:t>Casu</w:t>
      </w:r>
      <w:proofErr w:type="spellEnd"/>
      <w:r w:rsidRPr="00023CF8">
        <w:t xml:space="preserve">, B. (2017) ‘Capital and liquidity ratios and financial distress: Evidence from the European banking industry’, </w:t>
      </w:r>
      <w:r w:rsidRPr="00023CF8">
        <w:rPr>
          <w:i/>
          <w:iCs/>
        </w:rPr>
        <w:t>The British Accounting Review</w:t>
      </w:r>
      <w:r w:rsidRPr="00023CF8">
        <w:t xml:space="preserve">, 49(2), pp. 138–161. Available at: </w:t>
      </w:r>
      <w:hyperlink r:id="rId33" w:tgtFrame="_new" w:history="1">
        <w:r w:rsidRPr="00023CF8">
          <w:rPr>
            <w:rStyle w:val="Hyperlink"/>
          </w:rPr>
          <w:t>https://doi.org/10.1016/j.bar.2016.04.001</w:t>
        </w:r>
      </w:hyperlink>
    </w:p>
    <w:p w14:paraId="63E9841F" w14:textId="77777777" w:rsidR="00FC2094" w:rsidRPr="00FC2094" w:rsidRDefault="00FC2094" w:rsidP="00C53529">
      <w:pPr>
        <w:spacing w:line="360" w:lineRule="auto"/>
        <w:jc w:val="both"/>
      </w:pPr>
      <w:r w:rsidRPr="00FC2094">
        <w:t xml:space="preserve">Choi, J., </w:t>
      </w:r>
      <w:proofErr w:type="spellStart"/>
      <w:r w:rsidRPr="00FC2094">
        <w:t>Hackbarth</w:t>
      </w:r>
      <w:proofErr w:type="spellEnd"/>
      <w:r w:rsidRPr="00FC2094">
        <w:t xml:space="preserve">, D. and </w:t>
      </w:r>
      <w:proofErr w:type="spellStart"/>
      <w:r w:rsidRPr="00FC2094">
        <w:t>Zechner</w:t>
      </w:r>
      <w:proofErr w:type="spellEnd"/>
      <w:r w:rsidRPr="00FC2094">
        <w:t xml:space="preserve">, J. (2020) ‘Granularity of corporate debt’, </w:t>
      </w:r>
      <w:r w:rsidRPr="00FC2094">
        <w:rPr>
          <w:i/>
          <w:iCs/>
        </w:rPr>
        <w:t>Journal of Financial and Quantitative Analysis</w:t>
      </w:r>
      <w:r w:rsidRPr="00FC2094">
        <w:t xml:space="preserve">, 56(4), pp. 1127–1162. </w:t>
      </w:r>
      <w:hyperlink r:id="rId34" w:tgtFrame="_new" w:history="1">
        <w:r w:rsidRPr="00FC2094">
          <w:rPr>
            <w:rStyle w:val="Hyperlink"/>
            <w:color w:val="auto"/>
            <w:u w:val="none"/>
          </w:rPr>
          <w:t>https://doi.org/10.1017/s0022109020000149</w:t>
        </w:r>
      </w:hyperlink>
    </w:p>
    <w:p w14:paraId="107E8337" w14:textId="77777777" w:rsidR="00FC2094" w:rsidRPr="00FC2094" w:rsidRDefault="00FC2094" w:rsidP="00C53529">
      <w:pPr>
        <w:spacing w:line="360" w:lineRule="auto"/>
        <w:jc w:val="both"/>
      </w:pPr>
      <w:proofErr w:type="spellStart"/>
      <w:r w:rsidRPr="00FC2094">
        <w:t>Ciftci</w:t>
      </w:r>
      <w:proofErr w:type="spellEnd"/>
      <w:r w:rsidRPr="00FC2094">
        <w:t xml:space="preserve">, M., </w:t>
      </w:r>
      <w:proofErr w:type="spellStart"/>
      <w:r w:rsidRPr="00FC2094">
        <w:t>Mashruwala</w:t>
      </w:r>
      <w:proofErr w:type="spellEnd"/>
      <w:r w:rsidRPr="00FC2094">
        <w:t xml:space="preserve">, R. and Weiss, D. (2015) ‘Implications of cost behavior for analysts’ earnings forecasts’, </w:t>
      </w:r>
      <w:r w:rsidRPr="00FC2094">
        <w:rPr>
          <w:i/>
          <w:iCs/>
        </w:rPr>
        <w:t>Journal of Management Accounting Research</w:t>
      </w:r>
      <w:r w:rsidRPr="00FC2094">
        <w:t xml:space="preserve">, 28(1), pp. 57–80. </w:t>
      </w:r>
      <w:hyperlink r:id="rId35" w:tgtFrame="_new" w:history="1">
        <w:r w:rsidRPr="00FC2094">
          <w:rPr>
            <w:rStyle w:val="Hyperlink"/>
          </w:rPr>
          <w:t>https://doi.org/10.2308/jmar-51073</w:t>
        </w:r>
      </w:hyperlink>
    </w:p>
    <w:p w14:paraId="607C824F" w14:textId="77777777" w:rsidR="00FC2094" w:rsidRPr="00FC2094" w:rsidRDefault="00FC2094" w:rsidP="00C53529">
      <w:pPr>
        <w:spacing w:line="360" w:lineRule="auto"/>
        <w:jc w:val="both"/>
      </w:pPr>
      <w:r w:rsidRPr="00FC2094">
        <w:t xml:space="preserve">Courtois, O. and </w:t>
      </w:r>
      <w:proofErr w:type="spellStart"/>
      <w:r w:rsidRPr="00FC2094">
        <w:t>Quittard</w:t>
      </w:r>
      <w:proofErr w:type="spellEnd"/>
      <w:r w:rsidRPr="00FC2094">
        <w:t xml:space="preserve">-Pinon, F. (2008) ‘The optimal capital structure of the firm with stable Lévy assets returns’, </w:t>
      </w:r>
      <w:r w:rsidRPr="00FC2094">
        <w:rPr>
          <w:i/>
          <w:iCs/>
        </w:rPr>
        <w:t>Decisions in Economics and Finance</w:t>
      </w:r>
      <w:r w:rsidRPr="00FC2094">
        <w:t xml:space="preserve">, 31(1), pp. 51–72. </w:t>
      </w:r>
      <w:hyperlink r:id="rId36" w:tgtFrame="_new" w:history="1">
        <w:r w:rsidRPr="00FC2094">
          <w:rPr>
            <w:rStyle w:val="Hyperlink"/>
            <w:color w:val="auto"/>
            <w:u w:val="none"/>
          </w:rPr>
          <w:t>https://doi.org/10.1007/s10203-007-0079-3</w:t>
        </w:r>
      </w:hyperlink>
    </w:p>
    <w:p w14:paraId="23A00CC8" w14:textId="77777777" w:rsidR="00FC2094" w:rsidRPr="00023CF8" w:rsidRDefault="00FC2094" w:rsidP="00C53529">
      <w:pPr>
        <w:spacing w:line="360" w:lineRule="auto"/>
        <w:jc w:val="both"/>
      </w:pPr>
      <w:proofErr w:type="spellStart"/>
      <w:r w:rsidRPr="00023CF8">
        <w:t>DeBoeuf</w:t>
      </w:r>
      <w:proofErr w:type="spellEnd"/>
      <w:r w:rsidRPr="00023CF8">
        <w:t xml:space="preserve">, D., Lee, H., Johnson, D. and </w:t>
      </w:r>
      <w:proofErr w:type="spellStart"/>
      <w:r w:rsidRPr="00023CF8">
        <w:t>Masharuev</w:t>
      </w:r>
      <w:proofErr w:type="spellEnd"/>
      <w:r w:rsidRPr="00023CF8">
        <w:t xml:space="preserve">, M. (2018) ‘Purchasing power return: A new paradigm of capital investment appraisal’, </w:t>
      </w:r>
      <w:r w:rsidRPr="00023CF8">
        <w:rPr>
          <w:i/>
          <w:iCs/>
        </w:rPr>
        <w:t>Managerial Finance</w:t>
      </w:r>
      <w:r w:rsidRPr="00023CF8">
        <w:t xml:space="preserve">, 44(2), pp. 241–256. Available at: </w:t>
      </w:r>
      <w:hyperlink r:id="rId37" w:tgtFrame="_new" w:history="1">
        <w:r w:rsidRPr="00023CF8">
          <w:rPr>
            <w:rStyle w:val="Hyperlink"/>
          </w:rPr>
          <w:t>https://doi.org/10.1108/MF-07-2017-0265</w:t>
        </w:r>
      </w:hyperlink>
    </w:p>
    <w:p w14:paraId="4E1726B4" w14:textId="77777777" w:rsidR="00FC2094" w:rsidRPr="00FC2094" w:rsidRDefault="00FC2094" w:rsidP="00C53529">
      <w:pPr>
        <w:spacing w:line="360" w:lineRule="auto"/>
        <w:jc w:val="both"/>
      </w:pPr>
      <w:proofErr w:type="spellStart"/>
      <w:r w:rsidRPr="00FC2094">
        <w:t>DeMarzo</w:t>
      </w:r>
      <w:proofErr w:type="spellEnd"/>
      <w:r w:rsidRPr="00FC2094">
        <w:t xml:space="preserve">, P. and He, Z. (2021) ‘Leverage dynamics without commitment’, </w:t>
      </w:r>
      <w:r w:rsidRPr="00FC2094">
        <w:rPr>
          <w:i/>
          <w:iCs/>
        </w:rPr>
        <w:t>The Journal of Finance</w:t>
      </w:r>
      <w:r w:rsidRPr="00FC2094">
        <w:t xml:space="preserve">, 76(3), pp. 1195–1250. </w:t>
      </w:r>
      <w:hyperlink r:id="rId38" w:tgtFrame="_new" w:history="1">
        <w:r w:rsidRPr="00FC2094">
          <w:rPr>
            <w:rStyle w:val="Hyperlink"/>
            <w:color w:val="auto"/>
            <w:u w:val="none"/>
          </w:rPr>
          <w:t>https://doi.org/10.1111/jofi.13001</w:t>
        </w:r>
      </w:hyperlink>
    </w:p>
    <w:p w14:paraId="69349D42" w14:textId="77777777" w:rsidR="00FC2094" w:rsidRPr="00FC2094" w:rsidRDefault="00FC2094" w:rsidP="00C53529">
      <w:pPr>
        <w:spacing w:line="360" w:lineRule="auto"/>
        <w:jc w:val="both"/>
      </w:pPr>
      <w:r w:rsidRPr="00FC2094">
        <w:t xml:space="preserve">Diamond, D. (1991) ‘Debt maturity structure and liquidity risk’, </w:t>
      </w:r>
      <w:r w:rsidRPr="00FC2094">
        <w:rPr>
          <w:i/>
          <w:iCs/>
        </w:rPr>
        <w:t>The Quarterly Journal of Economics</w:t>
      </w:r>
      <w:r w:rsidRPr="00FC2094">
        <w:t xml:space="preserve">, 106(3), pp. 709–737. </w:t>
      </w:r>
      <w:hyperlink r:id="rId39" w:tgtFrame="_new" w:history="1">
        <w:r w:rsidRPr="00FC2094">
          <w:rPr>
            <w:rStyle w:val="Hyperlink"/>
            <w:color w:val="auto"/>
            <w:u w:val="none"/>
          </w:rPr>
          <w:t>https://doi.org/10.2307/2937924</w:t>
        </w:r>
      </w:hyperlink>
    </w:p>
    <w:p w14:paraId="2281CCF6" w14:textId="77777777" w:rsidR="00FC2094" w:rsidRPr="00023CF8" w:rsidRDefault="00FC2094" w:rsidP="00C53529">
      <w:pPr>
        <w:spacing w:line="360" w:lineRule="auto"/>
        <w:jc w:val="both"/>
      </w:pPr>
      <w:proofErr w:type="spellStart"/>
      <w:r w:rsidRPr="00023CF8">
        <w:t>Enumah</w:t>
      </w:r>
      <w:proofErr w:type="spellEnd"/>
      <w:r w:rsidRPr="00023CF8">
        <w:t xml:space="preserve">, S., Resnick, A. and Chang, D. (2022) ‘Association of measured quality with financial health among U.S. hospitals’, </w:t>
      </w:r>
      <w:r w:rsidRPr="00023CF8">
        <w:rPr>
          <w:i/>
          <w:iCs/>
        </w:rPr>
        <w:t>PLOS ONE</w:t>
      </w:r>
      <w:r w:rsidRPr="00023CF8">
        <w:t xml:space="preserve">, 17(4), e0266696. Available at: </w:t>
      </w:r>
      <w:hyperlink r:id="rId40" w:tgtFrame="_new" w:history="1">
        <w:r w:rsidRPr="00023CF8">
          <w:rPr>
            <w:rStyle w:val="Hyperlink"/>
          </w:rPr>
          <w:t>https://doi.org/10.1371/journal.pone.0266696</w:t>
        </w:r>
      </w:hyperlink>
    </w:p>
    <w:p w14:paraId="68A0C6FE" w14:textId="77777777" w:rsidR="00FC2094" w:rsidRPr="00FC2094" w:rsidRDefault="00FC2094" w:rsidP="00C53529">
      <w:pPr>
        <w:spacing w:line="360" w:lineRule="auto"/>
        <w:jc w:val="both"/>
      </w:pPr>
      <w:proofErr w:type="spellStart"/>
      <w:r w:rsidRPr="00FC2094">
        <w:t>Faello</w:t>
      </w:r>
      <w:proofErr w:type="spellEnd"/>
      <w:r w:rsidRPr="00FC2094">
        <w:t xml:space="preserve">, J. and Qu, Y. (2023) ‘Do zombie firms display the sticky costs phenomenon?’, </w:t>
      </w:r>
      <w:r w:rsidRPr="00FC2094">
        <w:rPr>
          <w:i/>
          <w:iCs/>
        </w:rPr>
        <w:t>Journal of Accounting and Finance</w:t>
      </w:r>
      <w:r w:rsidRPr="00FC2094">
        <w:t xml:space="preserve">, 23(1). </w:t>
      </w:r>
      <w:hyperlink r:id="rId41" w:tgtFrame="_new" w:history="1">
        <w:r w:rsidRPr="00FC2094">
          <w:rPr>
            <w:rStyle w:val="Hyperlink"/>
          </w:rPr>
          <w:t>https://doi.org/10.33423/jaf.v23i1.5941</w:t>
        </w:r>
      </w:hyperlink>
    </w:p>
    <w:p w14:paraId="7AFEDF01" w14:textId="77777777" w:rsidR="00FC2094" w:rsidRPr="00023CF8" w:rsidRDefault="00FC2094" w:rsidP="00C53529">
      <w:pPr>
        <w:spacing w:line="360" w:lineRule="auto"/>
        <w:jc w:val="both"/>
      </w:pPr>
      <w:r w:rsidRPr="00023CF8">
        <w:lastRenderedPageBreak/>
        <w:t xml:space="preserve">Fazila, P. (2024) ‘Assessing financial distress drivers: Financial metrics and corporate practices in Indonesian manufacturing companies’, </w:t>
      </w:r>
      <w:r w:rsidRPr="00023CF8">
        <w:rPr>
          <w:i/>
          <w:iCs/>
        </w:rPr>
        <w:t>International Journal of Sustainability, Policy and Technology</w:t>
      </w:r>
      <w:r w:rsidRPr="00023CF8">
        <w:t xml:space="preserve">, 2(1), pp. 61–77. Available at: </w:t>
      </w:r>
      <w:hyperlink r:id="rId42" w:tgtFrame="_new" w:history="1">
        <w:r w:rsidRPr="00023CF8">
          <w:rPr>
            <w:rStyle w:val="Hyperlink"/>
          </w:rPr>
          <w:t>https://doi.org/10.61656/ijospat.v2i1.238</w:t>
        </w:r>
      </w:hyperlink>
    </w:p>
    <w:p w14:paraId="1EBE1650" w14:textId="77777777" w:rsidR="00FC2094" w:rsidRPr="00023CF8" w:rsidRDefault="00FC2094" w:rsidP="00C53529">
      <w:pPr>
        <w:spacing w:line="360" w:lineRule="auto"/>
        <w:jc w:val="both"/>
      </w:pPr>
      <w:proofErr w:type="spellStart"/>
      <w:r w:rsidRPr="00023CF8">
        <w:t>Filho</w:t>
      </w:r>
      <w:proofErr w:type="spellEnd"/>
      <w:r w:rsidRPr="00023CF8">
        <w:t xml:space="preserve">, T.F., </w:t>
      </w:r>
      <w:proofErr w:type="spellStart"/>
      <w:r w:rsidRPr="00023CF8">
        <w:t>Donadon</w:t>
      </w:r>
      <w:proofErr w:type="spellEnd"/>
      <w:r w:rsidRPr="00023CF8">
        <w:t xml:space="preserve">, F. and Santos, D.F.L. (2018) ‘Economic feasibility of harvesting in the sugar-energy sector: A case study’, </w:t>
      </w:r>
      <w:proofErr w:type="spellStart"/>
      <w:r w:rsidRPr="00023CF8">
        <w:rPr>
          <w:i/>
          <w:iCs/>
        </w:rPr>
        <w:t>Científica</w:t>
      </w:r>
      <w:proofErr w:type="spellEnd"/>
      <w:r w:rsidRPr="00023CF8">
        <w:t xml:space="preserve">, 46(4), pp. 329–336. Available at: </w:t>
      </w:r>
      <w:hyperlink r:id="rId43" w:tgtFrame="_new" w:history="1">
        <w:r w:rsidRPr="00023CF8">
          <w:rPr>
            <w:rStyle w:val="Hyperlink"/>
          </w:rPr>
          <w:t>https://doi.org/10.15361/1984-5529.2018v46n4p329-336</w:t>
        </w:r>
      </w:hyperlink>
    </w:p>
    <w:p w14:paraId="7D6AB2BB" w14:textId="77777777" w:rsidR="00FC2094" w:rsidRPr="00023CF8" w:rsidRDefault="00FC2094" w:rsidP="00C53529">
      <w:pPr>
        <w:spacing w:line="360" w:lineRule="auto"/>
        <w:jc w:val="both"/>
      </w:pPr>
      <w:proofErr w:type="spellStart"/>
      <w:r w:rsidRPr="00023CF8">
        <w:t>Gaspars-Wieloch</w:t>
      </w:r>
      <w:proofErr w:type="spellEnd"/>
      <w:r w:rsidRPr="00023CF8">
        <w:t xml:space="preserve">, H. (2017) ‘Project net present value estimation under uncertainty’, </w:t>
      </w:r>
      <w:r w:rsidRPr="00023CF8">
        <w:rPr>
          <w:i/>
          <w:iCs/>
        </w:rPr>
        <w:t>Central European Journal of Operations Research</w:t>
      </w:r>
      <w:r w:rsidRPr="00023CF8">
        <w:t xml:space="preserve">, 27(1), pp. 179–197. Available at: </w:t>
      </w:r>
      <w:hyperlink r:id="rId44" w:tgtFrame="_new" w:history="1">
        <w:r w:rsidRPr="00023CF8">
          <w:rPr>
            <w:rStyle w:val="Hyperlink"/>
          </w:rPr>
          <w:t>https://doi.org/10.1007/s10100-017-0500-0</w:t>
        </w:r>
      </w:hyperlink>
    </w:p>
    <w:p w14:paraId="0157AE91" w14:textId="77777777" w:rsidR="00FC2094" w:rsidRPr="00023CF8" w:rsidRDefault="00FC2094" w:rsidP="00C53529">
      <w:pPr>
        <w:spacing w:line="360" w:lineRule="auto"/>
        <w:jc w:val="both"/>
      </w:pPr>
      <w:proofErr w:type="spellStart"/>
      <w:r w:rsidRPr="00023CF8">
        <w:t>Gülal</w:t>
      </w:r>
      <w:proofErr w:type="spellEnd"/>
      <w:r w:rsidRPr="00023CF8">
        <w:t xml:space="preserve">, Ö., </w:t>
      </w:r>
      <w:proofErr w:type="spellStart"/>
      <w:r w:rsidRPr="00023CF8">
        <w:t>Seçme</w:t>
      </w:r>
      <w:proofErr w:type="spellEnd"/>
      <w:r w:rsidRPr="00023CF8">
        <w:t xml:space="preserve">, G. and </w:t>
      </w:r>
      <w:proofErr w:type="spellStart"/>
      <w:r w:rsidRPr="00023CF8">
        <w:t>Köse</w:t>
      </w:r>
      <w:proofErr w:type="spellEnd"/>
      <w:r w:rsidRPr="00023CF8">
        <w:t xml:space="preserve">, E. (2023) ‘Predicting financial distress in the BIST Industrials Index: Evaluating traditional models and clustering techniques’, </w:t>
      </w:r>
      <w:proofErr w:type="spellStart"/>
      <w:r w:rsidRPr="00023CF8">
        <w:rPr>
          <w:i/>
          <w:iCs/>
        </w:rPr>
        <w:t>Ekonomi</w:t>
      </w:r>
      <w:proofErr w:type="spellEnd"/>
      <w:r w:rsidRPr="00023CF8">
        <w:rPr>
          <w:i/>
          <w:iCs/>
        </w:rPr>
        <w:t xml:space="preserve">, </w:t>
      </w:r>
      <w:proofErr w:type="spellStart"/>
      <w:r w:rsidRPr="00023CF8">
        <w:rPr>
          <w:i/>
          <w:iCs/>
        </w:rPr>
        <w:t>Politika</w:t>
      </w:r>
      <w:proofErr w:type="spellEnd"/>
      <w:r w:rsidRPr="00023CF8">
        <w:rPr>
          <w:i/>
          <w:iCs/>
        </w:rPr>
        <w:t xml:space="preserve"> </w:t>
      </w:r>
      <w:proofErr w:type="spellStart"/>
      <w:r w:rsidRPr="00023CF8">
        <w:rPr>
          <w:i/>
          <w:iCs/>
        </w:rPr>
        <w:t>ve</w:t>
      </w:r>
      <w:proofErr w:type="spellEnd"/>
      <w:r w:rsidRPr="00023CF8">
        <w:rPr>
          <w:i/>
          <w:iCs/>
        </w:rPr>
        <w:t xml:space="preserve"> </w:t>
      </w:r>
      <w:proofErr w:type="spellStart"/>
      <w:r w:rsidRPr="00023CF8">
        <w:rPr>
          <w:i/>
          <w:iCs/>
        </w:rPr>
        <w:t>Finans</w:t>
      </w:r>
      <w:proofErr w:type="spellEnd"/>
      <w:r w:rsidRPr="00023CF8">
        <w:rPr>
          <w:i/>
          <w:iCs/>
        </w:rPr>
        <w:t xml:space="preserve"> </w:t>
      </w:r>
      <w:proofErr w:type="spellStart"/>
      <w:r w:rsidRPr="00023CF8">
        <w:rPr>
          <w:i/>
          <w:iCs/>
        </w:rPr>
        <w:t>Araştırmaları</w:t>
      </w:r>
      <w:proofErr w:type="spellEnd"/>
      <w:r w:rsidRPr="00023CF8">
        <w:rPr>
          <w:i/>
          <w:iCs/>
        </w:rPr>
        <w:t xml:space="preserve"> </w:t>
      </w:r>
      <w:proofErr w:type="spellStart"/>
      <w:r w:rsidRPr="00023CF8">
        <w:rPr>
          <w:i/>
          <w:iCs/>
        </w:rPr>
        <w:t>Dergisi</w:t>
      </w:r>
      <w:proofErr w:type="spellEnd"/>
      <w:r w:rsidRPr="00023CF8">
        <w:t xml:space="preserve">, 8(4), pp. 660–680. Available at: </w:t>
      </w:r>
      <w:hyperlink r:id="rId45" w:tgtFrame="_new" w:history="1">
        <w:r w:rsidRPr="00023CF8">
          <w:rPr>
            <w:rStyle w:val="Hyperlink"/>
          </w:rPr>
          <w:t>https://doi.org/10.30784/epfad.1370893</w:t>
        </w:r>
      </w:hyperlink>
    </w:p>
    <w:p w14:paraId="1BD0A341" w14:textId="77777777" w:rsidR="00FC2094" w:rsidRPr="00FC2094" w:rsidRDefault="00FC2094" w:rsidP="00C53529">
      <w:pPr>
        <w:spacing w:line="360" w:lineRule="auto"/>
        <w:jc w:val="both"/>
      </w:pPr>
      <w:r w:rsidRPr="00FC2094">
        <w:t xml:space="preserve">Guo, X., Ma, J., Feng, Y. and Chen, B. (2023) ‘Green credit policy and short-term financing for long-term investment: Evidence from China’s heavily polluting enterprises’, </w:t>
      </w:r>
      <w:r w:rsidRPr="00FC2094">
        <w:rPr>
          <w:i/>
          <w:iCs/>
        </w:rPr>
        <w:t>Sustainability</w:t>
      </w:r>
      <w:r w:rsidRPr="00FC2094">
        <w:t xml:space="preserve">, 15(24), 16804. </w:t>
      </w:r>
      <w:hyperlink r:id="rId46" w:tgtFrame="_new" w:history="1">
        <w:r w:rsidRPr="00FC2094">
          <w:rPr>
            <w:rStyle w:val="Hyperlink"/>
            <w:color w:val="auto"/>
            <w:u w:val="none"/>
          </w:rPr>
          <w:t>https://doi.org/10.3390/su152416804</w:t>
        </w:r>
      </w:hyperlink>
    </w:p>
    <w:p w14:paraId="2E13BF65" w14:textId="77777777" w:rsidR="00FC2094" w:rsidRPr="00023CF8" w:rsidRDefault="00FC2094" w:rsidP="00C53529">
      <w:pPr>
        <w:spacing w:line="360" w:lineRule="auto"/>
        <w:jc w:val="both"/>
      </w:pPr>
      <w:proofErr w:type="spellStart"/>
      <w:r w:rsidRPr="00023CF8">
        <w:t>Halteh</w:t>
      </w:r>
      <w:proofErr w:type="spellEnd"/>
      <w:r w:rsidRPr="00023CF8">
        <w:t xml:space="preserve">, K., Kumar, K. and </w:t>
      </w:r>
      <w:proofErr w:type="spellStart"/>
      <w:r w:rsidRPr="00023CF8">
        <w:t>Gepp</w:t>
      </w:r>
      <w:proofErr w:type="spellEnd"/>
      <w:r w:rsidRPr="00023CF8">
        <w:t xml:space="preserve">, A. (2018) ‘Financial distress prediction of Islamic banks using tree-based stochastic techniques’, </w:t>
      </w:r>
      <w:r w:rsidRPr="00023CF8">
        <w:rPr>
          <w:i/>
          <w:iCs/>
        </w:rPr>
        <w:t>Managerial Finance</w:t>
      </w:r>
      <w:r w:rsidRPr="00023CF8">
        <w:t xml:space="preserve">, 44(6), pp. 759–773. Available at: </w:t>
      </w:r>
      <w:hyperlink r:id="rId47" w:tgtFrame="_new" w:history="1">
        <w:r w:rsidRPr="00023CF8">
          <w:rPr>
            <w:rStyle w:val="Hyperlink"/>
          </w:rPr>
          <w:t>https://doi.org/10.1108/MF-12-2016-0372</w:t>
        </w:r>
      </w:hyperlink>
    </w:p>
    <w:p w14:paraId="46A24F4F" w14:textId="77777777" w:rsidR="00FC2094" w:rsidRPr="00023CF8" w:rsidRDefault="00FC2094" w:rsidP="00C53529">
      <w:pPr>
        <w:spacing w:line="360" w:lineRule="auto"/>
        <w:jc w:val="both"/>
      </w:pPr>
      <w:r w:rsidRPr="00023CF8">
        <w:t xml:space="preserve">Hashim, N. and Strong, N. (2018) ‘Do analysts’ cash flow forecasts improve their target price accuracy?’, </w:t>
      </w:r>
      <w:r w:rsidRPr="00023CF8">
        <w:rPr>
          <w:i/>
          <w:iCs/>
        </w:rPr>
        <w:t>Contemporary Accounting Research</w:t>
      </w:r>
      <w:r w:rsidRPr="00023CF8">
        <w:t xml:space="preserve">, 35(4), pp. 1816–1842. Available at: </w:t>
      </w:r>
      <w:hyperlink r:id="rId48" w:tgtFrame="_new" w:history="1">
        <w:r w:rsidRPr="00023CF8">
          <w:rPr>
            <w:rStyle w:val="Hyperlink"/>
          </w:rPr>
          <w:t>https://doi.org/10.1111/1911-3846.12369</w:t>
        </w:r>
      </w:hyperlink>
    </w:p>
    <w:p w14:paraId="5BC96213" w14:textId="77777777" w:rsidR="00FC2094" w:rsidRPr="00FC2094" w:rsidRDefault="00FC2094" w:rsidP="00C53529">
      <w:pPr>
        <w:spacing w:line="360" w:lineRule="auto"/>
        <w:jc w:val="both"/>
      </w:pPr>
      <w:proofErr w:type="spellStart"/>
      <w:r w:rsidRPr="00FC2094">
        <w:t>Hemati</w:t>
      </w:r>
      <w:proofErr w:type="spellEnd"/>
      <w:r w:rsidRPr="00FC2094">
        <w:t xml:space="preserve">, M. and Javid, D. (2017) ‘The effects of earnings management and corporate governance on expense stickiness’, </w:t>
      </w:r>
      <w:r w:rsidRPr="00FC2094">
        <w:rPr>
          <w:i/>
          <w:iCs/>
        </w:rPr>
        <w:t>International Journal of Accounting Research</w:t>
      </w:r>
      <w:r w:rsidRPr="00FC2094">
        <w:t xml:space="preserve">, 5(2). </w:t>
      </w:r>
      <w:hyperlink r:id="rId49" w:tgtFrame="_new" w:history="1">
        <w:r w:rsidRPr="00FC2094">
          <w:rPr>
            <w:rStyle w:val="Hyperlink"/>
          </w:rPr>
          <w:t>https://doi.org/10.4172/2472-114x.1000161</w:t>
        </w:r>
      </w:hyperlink>
    </w:p>
    <w:p w14:paraId="57C4694A" w14:textId="77777777" w:rsidR="00FC2094" w:rsidRPr="00023CF8" w:rsidRDefault="00FC2094" w:rsidP="00C53529">
      <w:pPr>
        <w:spacing w:line="360" w:lineRule="auto"/>
        <w:jc w:val="both"/>
      </w:pPr>
      <w:r w:rsidRPr="00023CF8">
        <w:lastRenderedPageBreak/>
        <w:t xml:space="preserve">Hoe, L.S., </w:t>
      </w:r>
      <w:proofErr w:type="spellStart"/>
      <w:r w:rsidRPr="00023CF8">
        <w:t>Beng</w:t>
      </w:r>
      <w:proofErr w:type="spellEnd"/>
      <w:r w:rsidRPr="00023CF8">
        <w:t xml:space="preserve">, Y.K., Siew, L.W. and Wai, C.K. (2018) ‘Analysis on the performance of technology companies with Z-score model’, </w:t>
      </w:r>
      <w:r w:rsidRPr="00023CF8">
        <w:rPr>
          <w:i/>
          <w:iCs/>
        </w:rPr>
        <w:t>Bulletin of Electrical Engineering and Informatics</w:t>
      </w:r>
      <w:r w:rsidRPr="00023CF8">
        <w:t xml:space="preserve">, 7(4), pp. 633–639. Available at: </w:t>
      </w:r>
      <w:hyperlink r:id="rId50" w:tgtFrame="_new" w:history="1">
        <w:r w:rsidRPr="00023CF8">
          <w:rPr>
            <w:rStyle w:val="Hyperlink"/>
          </w:rPr>
          <w:t>https://doi.org/10.11591/eei.v7i4.1353</w:t>
        </w:r>
      </w:hyperlink>
    </w:p>
    <w:p w14:paraId="2508156D" w14:textId="77777777" w:rsidR="00FC2094" w:rsidRPr="00023CF8" w:rsidRDefault="00FC2094" w:rsidP="00C53529">
      <w:pPr>
        <w:spacing w:line="360" w:lineRule="auto"/>
        <w:jc w:val="both"/>
      </w:pPr>
      <w:r w:rsidRPr="00023CF8">
        <w:t xml:space="preserve">Huang, J., Tong, J., Wang, P. and Zheng, X. (2022) ‘Application and comparison of NPV and IRR methods in company investment decisions’, </w:t>
      </w:r>
      <w:r w:rsidRPr="00023CF8">
        <w:rPr>
          <w:i/>
          <w:iCs/>
        </w:rPr>
        <w:t>Advances in Economics, Business and Management Research</w:t>
      </w:r>
      <w:r w:rsidRPr="00023CF8">
        <w:t xml:space="preserve">. Available at: </w:t>
      </w:r>
      <w:hyperlink r:id="rId51" w:tgtFrame="_new" w:history="1">
        <w:r w:rsidRPr="00023CF8">
          <w:rPr>
            <w:rStyle w:val="Hyperlink"/>
          </w:rPr>
          <w:t>https://doi.org/10.2991/aebmr.k.220307.012</w:t>
        </w:r>
      </w:hyperlink>
    </w:p>
    <w:p w14:paraId="422AAC65" w14:textId="77777777" w:rsidR="00FC2094" w:rsidRPr="00FC2094" w:rsidRDefault="00FC2094" w:rsidP="00C53529">
      <w:pPr>
        <w:spacing w:line="360" w:lineRule="auto"/>
        <w:jc w:val="both"/>
      </w:pPr>
      <w:proofErr w:type="spellStart"/>
      <w:r w:rsidRPr="00FC2094">
        <w:t>Hudáková</w:t>
      </w:r>
      <w:proofErr w:type="spellEnd"/>
      <w:r w:rsidRPr="00FC2094">
        <w:t xml:space="preserve">, M., </w:t>
      </w:r>
      <w:proofErr w:type="spellStart"/>
      <w:r w:rsidRPr="00FC2094">
        <w:t>Kardoš</w:t>
      </w:r>
      <w:proofErr w:type="spellEnd"/>
      <w:r w:rsidRPr="00FC2094">
        <w:t xml:space="preserve">, P., </w:t>
      </w:r>
      <w:proofErr w:type="spellStart"/>
      <w:r w:rsidRPr="00FC2094">
        <w:t>Dvorský</w:t>
      </w:r>
      <w:proofErr w:type="spellEnd"/>
      <w:r w:rsidRPr="00FC2094">
        <w:t xml:space="preserve">, J., </w:t>
      </w:r>
      <w:proofErr w:type="spellStart"/>
      <w:r w:rsidRPr="00FC2094">
        <w:t>Afful</w:t>
      </w:r>
      <w:proofErr w:type="spellEnd"/>
      <w:r w:rsidRPr="00FC2094">
        <w:t xml:space="preserve">, C. and </w:t>
      </w:r>
      <w:proofErr w:type="spellStart"/>
      <w:r w:rsidRPr="00FC2094">
        <w:t>Kloudová</w:t>
      </w:r>
      <w:proofErr w:type="spellEnd"/>
      <w:r w:rsidRPr="00FC2094">
        <w:t xml:space="preserve">, J. (2023) ‘Management of operational risk in the context of financial performance of SMEs’, </w:t>
      </w:r>
      <w:r w:rsidRPr="00FC2094">
        <w:rPr>
          <w:i/>
          <w:iCs/>
        </w:rPr>
        <w:t>Systems</w:t>
      </w:r>
      <w:r w:rsidRPr="00FC2094">
        <w:t xml:space="preserve">, 11(8), 408. </w:t>
      </w:r>
      <w:hyperlink r:id="rId52" w:tgtFrame="_new" w:history="1">
        <w:r w:rsidRPr="00FC2094">
          <w:rPr>
            <w:rStyle w:val="Hyperlink"/>
          </w:rPr>
          <w:t>https://doi.org/10.3390/systems11080408</w:t>
        </w:r>
      </w:hyperlink>
    </w:p>
    <w:p w14:paraId="7A248890" w14:textId="77777777" w:rsidR="00FC2094" w:rsidRPr="00023CF8" w:rsidRDefault="00FC2094" w:rsidP="00C53529">
      <w:pPr>
        <w:spacing w:line="360" w:lineRule="auto"/>
        <w:jc w:val="both"/>
      </w:pPr>
      <w:r w:rsidRPr="00023CF8">
        <w:t xml:space="preserve">Hundal, S. and </w:t>
      </w:r>
      <w:proofErr w:type="spellStart"/>
      <w:r w:rsidRPr="00023CF8">
        <w:t>Eskola</w:t>
      </w:r>
      <w:proofErr w:type="spellEnd"/>
      <w:r w:rsidRPr="00023CF8">
        <w:t xml:space="preserve">, A. (2021) ‘Financial accounting manipulations and bankruptcy likelihood: A study of Nordic banks’, </w:t>
      </w:r>
      <w:r w:rsidRPr="00023CF8">
        <w:rPr>
          <w:i/>
          <w:iCs/>
        </w:rPr>
        <w:t>Corporate Governance and Sustainability Review</w:t>
      </w:r>
      <w:r w:rsidRPr="00023CF8">
        <w:t xml:space="preserve">, pp. 85–90. Available at: </w:t>
      </w:r>
      <w:hyperlink r:id="rId53" w:tgtFrame="_new" w:history="1">
        <w:r w:rsidRPr="00023CF8">
          <w:rPr>
            <w:rStyle w:val="Hyperlink"/>
          </w:rPr>
          <w:t>https://doi.org/10.22495/cgfcisrp13</w:t>
        </w:r>
      </w:hyperlink>
    </w:p>
    <w:p w14:paraId="6697EF66" w14:textId="77777777" w:rsidR="00FC2094" w:rsidRPr="00023CF8" w:rsidRDefault="00FC2094" w:rsidP="00C53529">
      <w:pPr>
        <w:spacing w:line="360" w:lineRule="auto"/>
        <w:jc w:val="both"/>
      </w:pPr>
      <w:r w:rsidRPr="00023CF8">
        <w:t xml:space="preserve">Hundal, S. and </w:t>
      </w:r>
      <w:proofErr w:type="spellStart"/>
      <w:r w:rsidRPr="00023CF8">
        <w:t>Eskola</w:t>
      </w:r>
      <w:proofErr w:type="spellEnd"/>
      <w:r w:rsidRPr="00023CF8">
        <w:t xml:space="preserve">, A. (2021) ‘Financial accounting manipulations and bankruptcy likelihood: A study of Nordic banks’, </w:t>
      </w:r>
      <w:r w:rsidRPr="00023CF8">
        <w:rPr>
          <w:i/>
          <w:iCs/>
        </w:rPr>
        <w:t>Corporate Governance and Sustainability Review</w:t>
      </w:r>
      <w:r w:rsidRPr="00023CF8">
        <w:t xml:space="preserve">, pp. 85–90. Available at: </w:t>
      </w:r>
      <w:hyperlink r:id="rId54" w:tgtFrame="_new" w:history="1">
        <w:r w:rsidRPr="00023CF8">
          <w:rPr>
            <w:rStyle w:val="Hyperlink"/>
          </w:rPr>
          <w:t>https://doi.org/10.22495/cgfcisrp13</w:t>
        </w:r>
      </w:hyperlink>
    </w:p>
    <w:p w14:paraId="6DC81C41" w14:textId="77777777" w:rsidR="00FC2094" w:rsidRPr="00023CF8" w:rsidRDefault="00FC2094" w:rsidP="00C53529">
      <w:pPr>
        <w:spacing w:line="360" w:lineRule="auto"/>
        <w:jc w:val="both"/>
      </w:pPr>
      <w:r w:rsidRPr="00023CF8">
        <w:t xml:space="preserve">Husein, M.F. and </w:t>
      </w:r>
      <w:proofErr w:type="spellStart"/>
      <w:r w:rsidRPr="00023CF8">
        <w:t>Pambekti</w:t>
      </w:r>
      <w:proofErr w:type="spellEnd"/>
      <w:r w:rsidRPr="00023CF8">
        <w:t xml:space="preserve">, G.T. (2015) ‘Precision of the models of Altman, </w:t>
      </w:r>
      <w:proofErr w:type="spellStart"/>
      <w:r w:rsidRPr="00023CF8">
        <w:t>Springate</w:t>
      </w:r>
      <w:proofErr w:type="spellEnd"/>
      <w:r w:rsidRPr="00023CF8">
        <w:t xml:space="preserve">, </w:t>
      </w:r>
      <w:proofErr w:type="spellStart"/>
      <w:r w:rsidRPr="00023CF8">
        <w:t>Zmijewski</w:t>
      </w:r>
      <w:proofErr w:type="spellEnd"/>
      <w:r w:rsidRPr="00023CF8">
        <w:t xml:space="preserve">, and Grover for predicting financial distress’, </w:t>
      </w:r>
      <w:r w:rsidRPr="00023CF8">
        <w:rPr>
          <w:i/>
          <w:iCs/>
        </w:rPr>
        <w:t>Journal of Economics, Business and Accountancy Ventura</w:t>
      </w:r>
      <w:r w:rsidRPr="00023CF8">
        <w:t xml:space="preserve">, 17(3), pp. 405–416. Available at: </w:t>
      </w:r>
      <w:hyperlink r:id="rId55" w:tgtFrame="_new" w:history="1">
        <w:r w:rsidRPr="00023CF8">
          <w:rPr>
            <w:rStyle w:val="Hyperlink"/>
          </w:rPr>
          <w:t>https://doi.org/10.14414/jebav.v17i3.362</w:t>
        </w:r>
      </w:hyperlink>
    </w:p>
    <w:p w14:paraId="30F0E1A6" w14:textId="77777777" w:rsidR="00FC2094" w:rsidRPr="00FC2094" w:rsidRDefault="00FC2094" w:rsidP="00C53529">
      <w:pPr>
        <w:spacing w:line="360" w:lineRule="auto"/>
        <w:jc w:val="both"/>
      </w:pPr>
      <w:r w:rsidRPr="00FC2094">
        <w:t xml:space="preserve">Hynek, J., </w:t>
      </w:r>
      <w:proofErr w:type="spellStart"/>
      <w:r w:rsidRPr="00FC2094">
        <w:t>Janeček</w:t>
      </w:r>
      <w:proofErr w:type="spellEnd"/>
      <w:r w:rsidRPr="00FC2094">
        <w:t xml:space="preserve">, V. and </w:t>
      </w:r>
      <w:proofErr w:type="spellStart"/>
      <w:r w:rsidRPr="00FC2094">
        <w:t>Lefley</w:t>
      </w:r>
      <w:proofErr w:type="spellEnd"/>
      <w:r w:rsidRPr="00FC2094">
        <w:t xml:space="preserve">, F. (2015) ‘An exploratory study of a comparison between the UK and Czech Republic of the financial models used in the appraisal of ICT and non-ICT capital projects’, </w:t>
      </w:r>
      <w:r w:rsidRPr="00FC2094">
        <w:rPr>
          <w:i/>
          <w:iCs/>
        </w:rPr>
        <w:t xml:space="preserve">E+M </w:t>
      </w:r>
      <w:proofErr w:type="spellStart"/>
      <w:r w:rsidRPr="00FC2094">
        <w:rPr>
          <w:i/>
          <w:iCs/>
        </w:rPr>
        <w:t>Ekonomie</w:t>
      </w:r>
      <w:proofErr w:type="spellEnd"/>
      <w:r w:rsidRPr="00FC2094">
        <w:rPr>
          <w:i/>
          <w:iCs/>
        </w:rPr>
        <w:t xml:space="preserve"> a Management</w:t>
      </w:r>
      <w:r w:rsidRPr="00FC2094">
        <w:t xml:space="preserve">, 18(2), pp. 89–102. </w:t>
      </w:r>
      <w:hyperlink r:id="rId56" w:tgtFrame="_new" w:history="1">
        <w:r w:rsidRPr="00FC2094">
          <w:rPr>
            <w:rStyle w:val="Hyperlink"/>
            <w:color w:val="auto"/>
            <w:u w:val="none"/>
          </w:rPr>
          <w:t>https://doi.org/10.15240/tul/001/2015-2-007</w:t>
        </w:r>
      </w:hyperlink>
    </w:p>
    <w:p w14:paraId="240D76D9" w14:textId="77777777" w:rsidR="00FC2094" w:rsidRPr="00023CF8" w:rsidRDefault="00FC2094" w:rsidP="00C53529">
      <w:pPr>
        <w:spacing w:line="360" w:lineRule="auto"/>
        <w:jc w:val="both"/>
      </w:pPr>
      <w:proofErr w:type="spellStart"/>
      <w:r w:rsidRPr="00023CF8">
        <w:t>Inggamal</w:t>
      </w:r>
      <w:proofErr w:type="spellEnd"/>
      <w:r w:rsidRPr="00023CF8">
        <w:t xml:space="preserve">, A. (2022) ‘Analysis of financial ratios on financial distress of transportation companies listed on the Indonesian Stock Exchange in the period 2017–2020’, </w:t>
      </w:r>
      <w:proofErr w:type="spellStart"/>
      <w:r w:rsidRPr="00023CF8">
        <w:rPr>
          <w:i/>
          <w:iCs/>
        </w:rPr>
        <w:t>UMYGrace</w:t>
      </w:r>
      <w:proofErr w:type="spellEnd"/>
      <w:r w:rsidRPr="00023CF8">
        <w:t xml:space="preserve">, 2(1), pp. 32–52. Available at: </w:t>
      </w:r>
      <w:hyperlink r:id="rId57" w:tgtFrame="_new" w:history="1">
        <w:r w:rsidRPr="00023CF8">
          <w:rPr>
            <w:rStyle w:val="Hyperlink"/>
          </w:rPr>
          <w:t>https://doi.org/10.18196/umygrace.v2i1.410</w:t>
        </w:r>
      </w:hyperlink>
    </w:p>
    <w:p w14:paraId="339518A2" w14:textId="77777777" w:rsidR="00FC2094" w:rsidRPr="00023CF8" w:rsidRDefault="00FC2094" w:rsidP="00C53529">
      <w:pPr>
        <w:spacing w:line="360" w:lineRule="auto"/>
        <w:jc w:val="both"/>
      </w:pPr>
      <w:r w:rsidRPr="00023CF8">
        <w:lastRenderedPageBreak/>
        <w:t xml:space="preserve">Jiang, L. (2016) ‘Application analysis on internal rate of return rule for investment decision’, in </w:t>
      </w:r>
      <w:r w:rsidRPr="00023CF8">
        <w:rPr>
          <w:i/>
          <w:iCs/>
        </w:rPr>
        <w:t>Proceedings of the International Conference on Humanities, Education and Social Sciences (ICHESS)</w:t>
      </w:r>
      <w:r w:rsidRPr="00023CF8">
        <w:t xml:space="preserve">. Available at: </w:t>
      </w:r>
      <w:hyperlink r:id="rId58" w:tgtFrame="_new" w:history="1">
        <w:r w:rsidRPr="00023CF8">
          <w:rPr>
            <w:rStyle w:val="Hyperlink"/>
          </w:rPr>
          <w:t>https://doi.org/10.2991/ichess-16.2016.106</w:t>
        </w:r>
      </w:hyperlink>
    </w:p>
    <w:p w14:paraId="79DEC25C" w14:textId="77777777" w:rsidR="00FC2094" w:rsidRPr="00023CF8" w:rsidRDefault="00FC2094" w:rsidP="00C53529">
      <w:pPr>
        <w:spacing w:line="360" w:lineRule="auto"/>
        <w:jc w:val="both"/>
      </w:pPr>
      <w:r w:rsidRPr="00023CF8">
        <w:t xml:space="preserve">Jiang, L. (2016) ‘Application analysis on internal rate of return rule for investment decision’, in </w:t>
      </w:r>
      <w:r w:rsidRPr="00023CF8">
        <w:rPr>
          <w:i/>
          <w:iCs/>
        </w:rPr>
        <w:t>Proceedings of the International Conference on Humanities, Education and Social Sciences (ICHESS)</w:t>
      </w:r>
      <w:r w:rsidRPr="00023CF8">
        <w:t xml:space="preserve">. Available at: </w:t>
      </w:r>
      <w:hyperlink r:id="rId59" w:tgtFrame="_new" w:history="1">
        <w:r w:rsidRPr="00023CF8">
          <w:rPr>
            <w:rStyle w:val="Hyperlink"/>
          </w:rPr>
          <w:t>https://doi.org/10.2991/ichess-16.2016.106</w:t>
        </w:r>
      </w:hyperlink>
    </w:p>
    <w:p w14:paraId="71D33682" w14:textId="77777777" w:rsidR="00FC2094" w:rsidRPr="00FC2094" w:rsidRDefault="00FC2094" w:rsidP="00C53529">
      <w:pPr>
        <w:spacing w:line="360" w:lineRule="auto"/>
        <w:jc w:val="both"/>
      </w:pPr>
      <w:r w:rsidRPr="00FC2094">
        <w:t xml:space="preserve">Kalash, İ. and Bilen, A. (2021) ‘The role of sales growth in determining the effect of operating leverage on financial performance: The case of Turkey’, </w:t>
      </w:r>
      <w:proofErr w:type="spellStart"/>
      <w:r w:rsidRPr="00FC2094">
        <w:rPr>
          <w:i/>
          <w:iCs/>
        </w:rPr>
        <w:t>Muhasebe</w:t>
      </w:r>
      <w:proofErr w:type="spellEnd"/>
      <w:r w:rsidRPr="00FC2094">
        <w:rPr>
          <w:i/>
          <w:iCs/>
        </w:rPr>
        <w:t xml:space="preserve"> </w:t>
      </w:r>
      <w:proofErr w:type="spellStart"/>
      <w:r w:rsidRPr="00FC2094">
        <w:rPr>
          <w:i/>
          <w:iCs/>
        </w:rPr>
        <w:t>ve</w:t>
      </w:r>
      <w:proofErr w:type="spellEnd"/>
      <w:r w:rsidRPr="00FC2094">
        <w:rPr>
          <w:i/>
          <w:iCs/>
        </w:rPr>
        <w:t xml:space="preserve"> </w:t>
      </w:r>
      <w:proofErr w:type="spellStart"/>
      <w:r w:rsidRPr="00FC2094">
        <w:rPr>
          <w:i/>
          <w:iCs/>
        </w:rPr>
        <w:t>Finansman</w:t>
      </w:r>
      <w:proofErr w:type="spellEnd"/>
      <w:r w:rsidRPr="00FC2094">
        <w:rPr>
          <w:i/>
          <w:iCs/>
        </w:rPr>
        <w:t xml:space="preserve"> </w:t>
      </w:r>
      <w:proofErr w:type="spellStart"/>
      <w:r w:rsidRPr="00FC2094">
        <w:rPr>
          <w:i/>
          <w:iCs/>
        </w:rPr>
        <w:t>Dergisi</w:t>
      </w:r>
      <w:proofErr w:type="spellEnd"/>
      <w:r w:rsidRPr="00FC2094">
        <w:t xml:space="preserve">, (91), pp. 185–198. </w:t>
      </w:r>
      <w:hyperlink r:id="rId60" w:tgtFrame="_new" w:history="1">
        <w:r w:rsidRPr="00FC2094">
          <w:rPr>
            <w:rStyle w:val="Hyperlink"/>
          </w:rPr>
          <w:t>https://doi.org/10.25095/mufad.842340</w:t>
        </w:r>
      </w:hyperlink>
    </w:p>
    <w:p w14:paraId="4EDF196E" w14:textId="77777777" w:rsidR="00FC2094" w:rsidRPr="00023CF8" w:rsidRDefault="00FC2094" w:rsidP="00C53529">
      <w:pPr>
        <w:spacing w:line="360" w:lineRule="auto"/>
        <w:jc w:val="both"/>
      </w:pPr>
      <w:r w:rsidRPr="00023CF8">
        <w:t xml:space="preserve">Kamel, B. (2025) ‘Analysis of financial performance of Tadawul Company’, </w:t>
      </w:r>
      <w:r w:rsidRPr="00023CF8">
        <w:rPr>
          <w:i/>
          <w:iCs/>
        </w:rPr>
        <w:t>Journal of Information Systems Engineering &amp; Management</w:t>
      </w:r>
      <w:r w:rsidRPr="00023CF8">
        <w:t xml:space="preserve">, 10(45s), pp. 1307–1315. Available at: </w:t>
      </w:r>
      <w:hyperlink r:id="rId61" w:tgtFrame="_new" w:history="1">
        <w:r w:rsidRPr="00023CF8">
          <w:rPr>
            <w:rStyle w:val="Hyperlink"/>
          </w:rPr>
          <w:t>https://doi.org/10.52783/jisem.v10i45s.9158</w:t>
        </w:r>
      </w:hyperlink>
    </w:p>
    <w:p w14:paraId="5FDF62B5" w14:textId="77777777" w:rsidR="00FC2094" w:rsidRPr="00023CF8" w:rsidRDefault="00FC2094" w:rsidP="00C53529">
      <w:pPr>
        <w:spacing w:line="360" w:lineRule="auto"/>
        <w:jc w:val="both"/>
      </w:pPr>
      <w:proofErr w:type="spellStart"/>
      <w:r w:rsidRPr="00023CF8">
        <w:t>Kanoujiya</w:t>
      </w:r>
      <w:proofErr w:type="spellEnd"/>
      <w:r w:rsidRPr="00023CF8">
        <w:t xml:space="preserve">, J., Rastogi, S., Abraham, R. and </w:t>
      </w:r>
      <w:proofErr w:type="spellStart"/>
      <w:r w:rsidRPr="00023CF8">
        <w:t>Bhimavarapu</w:t>
      </w:r>
      <w:proofErr w:type="spellEnd"/>
      <w:r w:rsidRPr="00023CF8">
        <w:t xml:space="preserve">, V. (2023) ‘Does competition affect financial distress of non-financial firms in India? A comparison using the Lerner Index and Boone Indicator’, </w:t>
      </w:r>
      <w:r w:rsidRPr="00023CF8">
        <w:rPr>
          <w:i/>
          <w:iCs/>
        </w:rPr>
        <w:t>Journal of Risk and Financial Management</w:t>
      </w:r>
      <w:r w:rsidRPr="00023CF8">
        <w:t xml:space="preserve">, 16(7), p. 340. Available at: </w:t>
      </w:r>
      <w:hyperlink r:id="rId62" w:tgtFrame="_new" w:history="1">
        <w:r w:rsidRPr="00023CF8">
          <w:rPr>
            <w:rStyle w:val="Hyperlink"/>
          </w:rPr>
          <w:t>https://doi.org/10.3390/jrfm16070340</w:t>
        </w:r>
      </w:hyperlink>
    </w:p>
    <w:p w14:paraId="17DA9A1D" w14:textId="77777777" w:rsidR="00FC2094" w:rsidRPr="00023CF8" w:rsidRDefault="00FC2094" w:rsidP="00C53529">
      <w:pPr>
        <w:spacing w:line="360" w:lineRule="auto"/>
        <w:jc w:val="both"/>
      </w:pPr>
      <w:proofErr w:type="spellStart"/>
      <w:r w:rsidRPr="00023CF8">
        <w:t>Kansari</w:t>
      </w:r>
      <w:proofErr w:type="spellEnd"/>
      <w:r w:rsidRPr="00023CF8">
        <w:t xml:space="preserve">, A. (2025) ‘Financial performance analysis using ratio analysis: A case study of </w:t>
      </w:r>
      <w:proofErr w:type="spellStart"/>
      <w:r w:rsidRPr="00023CF8">
        <w:t>Sparsh</w:t>
      </w:r>
      <w:proofErr w:type="spellEnd"/>
      <w:r w:rsidRPr="00023CF8">
        <w:t xml:space="preserve"> Automobiles Pvt. Ltd.’, </w:t>
      </w:r>
      <w:r w:rsidRPr="00023CF8">
        <w:rPr>
          <w:i/>
          <w:iCs/>
        </w:rPr>
        <w:t>International Scientific Journal of Engineering and Management</w:t>
      </w:r>
      <w:r w:rsidRPr="00023CF8">
        <w:t xml:space="preserve">, 4(5), pp. 1–9. Available at: </w:t>
      </w:r>
      <w:hyperlink r:id="rId63" w:tgtFrame="_new" w:history="1">
        <w:r w:rsidRPr="00023CF8">
          <w:rPr>
            <w:rStyle w:val="Hyperlink"/>
          </w:rPr>
          <w:t>https://doi.org/10.55041/isjem03775</w:t>
        </w:r>
      </w:hyperlink>
    </w:p>
    <w:p w14:paraId="385714A4" w14:textId="77777777" w:rsidR="00FC2094" w:rsidRPr="00023CF8" w:rsidRDefault="00FC2094" w:rsidP="00C53529">
      <w:pPr>
        <w:spacing w:line="360" w:lineRule="auto"/>
        <w:jc w:val="both"/>
      </w:pPr>
      <w:proofErr w:type="spellStart"/>
      <w:r w:rsidRPr="00023CF8">
        <w:t>Kazemian</w:t>
      </w:r>
      <w:proofErr w:type="spellEnd"/>
      <w:r w:rsidRPr="00023CF8">
        <w:t xml:space="preserve">, S., </w:t>
      </w:r>
      <w:proofErr w:type="spellStart"/>
      <w:r w:rsidRPr="00023CF8">
        <w:t>Shauri</w:t>
      </w:r>
      <w:proofErr w:type="spellEnd"/>
      <w:r w:rsidRPr="00023CF8">
        <w:t xml:space="preserve">, N.A., </w:t>
      </w:r>
      <w:proofErr w:type="spellStart"/>
      <w:r w:rsidRPr="00023CF8">
        <w:t>Sanusi</w:t>
      </w:r>
      <w:proofErr w:type="spellEnd"/>
      <w:r w:rsidRPr="00023CF8">
        <w:t xml:space="preserve">, Z.M., </w:t>
      </w:r>
      <w:proofErr w:type="spellStart"/>
      <w:r w:rsidRPr="00023CF8">
        <w:t>Kamaluddin</w:t>
      </w:r>
      <w:proofErr w:type="spellEnd"/>
      <w:r w:rsidRPr="00023CF8">
        <w:t xml:space="preserve">, A. and </w:t>
      </w:r>
      <w:proofErr w:type="spellStart"/>
      <w:r w:rsidRPr="00023CF8">
        <w:t>Shuhidan</w:t>
      </w:r>
      <w:proofErr w:type="spellEnd"/>
      <w:r w:rsidRPr="00023CF8">
        <w:t xml:space="preserve">, S.M. (2017) ‘Monitoring mechanisms and financial distress of public listed companies in Malaysia’, </w:t>
      </w:r>
      <w:r w:rsidRPr="00023CF8">
        <w:rPr>
          <w:i/>
          <w:iCs/>
        </w:rPr>
        <w:t>Journal of International Studies</w:t>
      </w:r>
      <w:r w:rsidRPr="00023CF8">
        <w:t xml:space="preserve">, 10(1), pp. 92–109. Available at: </w:t>
      </w:r>
      <w:hyperlink r:id="rId64" w:tgtFrame="_new" w:history="1">
        <w:r w:rsidRPr="00023CF8">
          <w:rPr>
            <w:rStyle w:val="Hyperlink"/>
          </w:rPr>
          <w:t>https://doi.org/10.14254/2071-8330.2017/10-1/6</w:t>
        </w:r>
      </w:hyperlink>
    </w:p>
    <w:p w14:paraId="7FBFA3B4" w14:textId="77777777" w:rsidR="00FC2094" w:rsidRPr="00FC2094" w:rsidRDefault="00FC2094" w:rsidP="00C53529">
      <w:pPr>
        <w:spacing w:line="360" w:lineRule="auto"/>
        <w:jc w:val="both"/>
      </w:pPr>
      <w:r w:rsidRPr="00FC2094">
        <w:t xml:space="preserve">Kim, M. and Prather-Kinsey, J. (2010) ‘An additional source of financial analysts’ earnings forecast errors: Imperfect adjustments for cost behavior’, </w:t>
      </w:r>
      <w:r w:rsidRPr="00FC2094">
        <w:rPr>
          <w:i/>
          <w:iCs/>
        </w:rPr>
        <w:t>Journal of Accounting, Auditing &amp; Finance</w:t>
      </w:r>
      <w:r w:rsidRPr="00FC2094">
        <w:t xml:space="preserve">, 25(1), pp. 27–51. </w:t>
      </w:r>
      <w:hyperlink r:id="rId65" w:tgtFrame="_new" w:history="1">
        <w:r w:rsidRPr="00FC2094">
          <w:rPr>
            <w:rStyle w:val="Hyperlink"/>
          </w:rPr>
          <w:t>https://doi.org/10.1177/0148558x1002500102</w:t>
        </w:r>
      </w:hyperlink>
    </w:p>
    <w:p w14:paraId="75F81F35" w14:textId="77777777" w:rsidR="00FC2094" w:rsidRPr="00023CF8" w:rsidRDefault="00FC2094" w:rsidP="00C53529">
      <w:pPr>
        <w:spacing w:line="360" w:lineRule="auto"/>
        <w:jc w:val="both"/>
      </w:pPr>
      <w:r w:rsidRPr="00023CF8">
        <w:lastRenderedPageBreak/>
        <w:t xml:space="preserve">Kim, Y., Kim, J., Oh, J. and Lee, S. (2024) ‘Association between drinking behaviors, sleep duration, and depressive symptoms’, </w:t>
      </w:r>
      <w:r w:rsidRPr="00023CF8">
        <w:rPr>
          <w:i/>
          <w:iCs/>
        </w:rPr>
        <w:t>Scientific Reports</w:t>
      </w:r>
      <w:r w:rsidRPr="00023CF8">
        <w:t xml:space="preserve">, 14(1). Available at: </w:t>
      </w:r>
      <w:hyperlink r:id="rId66" w:tgtFrame="_new" w:history="1">
        <w:r w:rsidRPr="00023CF8">
          <w:rPr>
            <w:rStyle w:val="Hyperlink"/>
          </w:rPr>
          <w:t>https://doi.org/10.1038/s41598-024-56625-x</w:t>
        </w:r>
      </w:hyperlink>
    </w:p>
    <w:p w14:paraId="4AD226F8" w14:textId="77777777" w:rsidR="00FC2094" w:rsidRPr="00023CF8" w:rsidRDefault="00FC2094" w:rsidP="00C53529">
      <w:pPr>
        <w:spacing w:line="360" w:lineRule="auto"/>
        <w:jc w:val="both"/>
      </w:pPr>
      <w:r w:rsidRPr="00023CF8">
        <w:t xml:space="preserve">Kimbro, M.B. and </w:t>
      </w:r>
      <w:proofErr w:type="spellStart"/>
      <w:r w:rsidRPr="00023CF8">
        <w:t>Wehrly</w:t>
      </w:r>
      <w:proofErr w:type="spellEnd"/>
      <w:r w:rsidRPr="00023CF8">
        <w:t xml:space="preserve">, E.W. (2017) ‘Capital planning, selection, and investment: Integrating sustainability in decision-making’, </w:t>
      </w:r>
      <w:r w:rsidRPr="00023CF8">
        <w:rPr>
          <w:i/>
          <w:iCs/>
        </w:rPr>
        <w:t>Journal of Management for Global Sustainability</w:t>
      </w:r>
      <w:r w:rsidRPr="00023CF8">
        <w:t xml:space="preserve">, 5(2), pp. 143–166. Available at: </w:t>
      </w:r>
      <w:hyperlink r:id="rId67" w:tgtFrame="_new" w:history="1">
        <w:r w:rsidRPr="00023CF8">
          <w:rPr>
            <w:rStyle w:val="Hyperlink"/>
          </w:rPr>
          <w:t>https://doi.org/10.13185/jm2017.05206</w:t>
        </w:r>
      </w:hyperlink>
    </w:p>
    <w:p w14:paraId="7B2DD587" w14:textId="77777777" w:rsidR="00FC2094" w:rsidRPr="00FC2094" w:rsidRDefault="00FC2094" w:rsidP="00C53529">
      <w:pPr>
        <w:spacing w:line="360" w:lineRule="auto"/>
        <w:jc w:val="both"/>
      </w:pPr>
      <w:r w:rsidRPr="00FC2094">
        <w:t xml:space="preserve">Kovalchuk, T. and </w:t>
      </w:r>
      <w:proofErr w:type="spellStart"/>
      <w:r w:rsidRPr="00FC2094">
        <w:t>Verhun</w:t>
      </w:r>
      <w:proofErr w:type="spellEnd"/>
      <w:r w:rsidRPr="00FC2094">
        <w:t xml:space="preserve">, A. (2020) ‘Improvement of the method of analysis of asset management efficiency’, </w:t>
      </w:r>
      <w:r w:rsidRPr="00FC2094">
        <w:rPr>
          <w:i/>
          <w:iCs/>
        </w:rPr>
        <w:t>Baltic Journal of Economic Studies</w:t>
      </w:r>
      <w:r w:rsidRPr="00FC2094">
        <w:t xml:space="preserve">, 5(5), pp. 61–66. </w:t>
      </w:r>
      <w:hyperlink r:id="rId68" w:tgtFrame="_new" w:history="1">
        <w:r w:rsidRPr="00FC2094">
          <w:rPr>
            <w:rStyle w:val="Hyperlink"/>
          </w:rPr>
          <w:t>https://doi.org/10.30525/2256-0742/2019-5-5-61-66</w:t>
        </w:r>
      </w:hyperlink>
    </w:p>
    <w:p w14:paraId="2865894A" w14:textId="77777777" w:rsidR="00FC2094" w:rsidRPr="00023CF8" w:rsidRDefault="00FC2094" w:rsidP="00C53529">
      <w:pPr>
        <w:spacing w:line="360" w:lineRule="auto"/>
        <w:jc w:val="both"/>
      </w:pPr>
      <w:proofErr w:type="spellStart"/>
      <w:r w:rsidRPr="00023CF8">
        <w:t>Laitinen</w:t>
      </w:r>
      <w:proofErr w:type="spellEnd"/>
      <w:r w:rsidRPr="00023CF8">
        <w:t xml:space="preserve">, E.K. (2019) ‘Discounted cash flow (DCF) as a measure of startup financial success’, </w:t>
      </w:r>
      <w:r w:rsidRPr="00023CF8">
        <w:rPr>
          <w:i/>
          <w:iCs/>
        </w:rPr>
        <w:t>Theoretical Economics Letters</w:t>
      </w:r>
      <w:r w:rsidRPr="00023CF8">
        <w:t xml:space="preserve">, 9(8), pp. 2997–3020. Available at: </w:t>
      </w:r>
      <w:hyperlink r:id="rId69" w:tgtFrame="_new" w:history="1">
        <w:r w:rsidRPr="00023CF8">
          <w:rPr>
            <w:rStyle w:val="Hyperlink"/>
          </w:rPr>
          <w:t>https://doi.org/10.4236/tel.2019.98185</w:t>
        </w:r>
      </w:hyperlink>
    </w:p>
    <w:p w14:paraId="5A50AF6D" w14:textId="77777777" w:rsidR="00FC2094" w:rsidRPr="00FC2094" w:rsidRDefault="00FC2094" w:rsidP="00C53529">
      <w:pPr>
        <w:spacing w:line="360" w:lineRule="auto"/>
        <w:jc w:val="both"/>
      </w:pPr>
      <w:r w:rsidRPr="00FC2094">
        <w:t xml:space="preserve">Lambert, S., Krieger, K. and </w:t>
      </w:r>
      <w:proofErr w:type="spellStart"/>
      <w:r w:rsidRPr="00FC2094">
        <w:t>Mauck</w:t>
      </w:r>
      <w:proofErr w:type="spellEnd"/>
      <w:r w:rsidRPr="00FC2094">
        <w:t xml:space="preserve">, N. (2023) ‘Predicting operating income via a generalized operating leverage model’, </w:t>
      </w:r>
      <w:r w:rsidRPr="00FC2094">
        <w:rPr>
          <w:i/>
          <w:iCs/>
        </w:rPr>
        <w:t>Preprints</w:t>
      </w:r>
      <w:r w:rsidRPr="00FC2094">
        <w:t xml:space="preserve">. </w:t>
      </w:r>
      <w:hyperlink r:id="rId70" w:tgtFrame="_new" w:history="1">
        <w:r w:rsidRPr="00FC2094">
          <w:rPr>
            <w:rStyle w:val="Hyperlink"/>
          </w:rPr>
          <w:t>https://doi.org/10.20944/preprints202311.0806.v1</w:t>
        </w:r>
      </w:hyperlink>
    </w:p>
    <w:p w14:paraId="6466D6BE" w14:textId="77777777" w:rsidR="00FC2094" w:rsidRPr="00FC2094" w:rsidRDefault="00FC2094" w:rsidP="00C53529">
      <w:pPr>
        <w:spacing w:line="360" w:lineRule="auto"/>
        <w:jc w:val="both"/>
      </w:pPr>
      <w:r w:rsidRPr="00FC2094">
        <w:t xml:space="preserve">Lambert, S., Krieger, K. and </w:t>
      </w:r>
      <w:proofErr w:type="spellStart"/>
      <w:r w:rsidRPr="00FC2094">
        <w:t>Mauck</w:t>
      </w:r>
      <w:proofErr w:type="spellEnd"/>
      <w:r w:rsidRPr="00FC2094">
        <w:t xml:space="preserve">, N. (2024) ‘Predicting operating income via a generalized operating-leverage model’, </w:t>
      </w:r>
      <w:r w:rsidRPr="00FC2094">
        <w:rPr>
          <w:i/>
          <w:iCs/>
        </w:rPr>
        <w:t>International Journal of Financial Studies</w:t>
      </w:r>
      <w:r w:rsidRPr="00FC2094">
        <w:t xml:space="preserve">, 12(1), 11. </w:t>
      </w:r>
      <w:hyperlink r:id="rId71" w:tgtFrame="_new" w:history="1">
        <w:r w:rsidRPr="00FC2094">
          <w:rPr>
            <w:rStyle w:val="Hyperlink"/>
          </w:rPr>
          <w:t>https://doi.org/10.3390/ijfs12010011</w:t>
        </w:r>
      </w:hyperlink>
    </w:p>
    <w:p w14:paraId="58491150" w14:textId="77777777" w:rsidR="00FC2094" w:rsidRPr="00023CF8" w:rsidRDefault="00FC2094" w:rsidP="00C53529">
      <w:pPr>
        <w:spacing w:line="360" w:lineRule="auto"/>
        <w:jc w:val="both"/>
      </w:pPr>
      <w:r w:rsidRPr="00023CF8">
        <w:t>Lavanya, P., Lakshmi, D. and Dheeraj, M. (2024) ‘</w:t>
      </w:r>
      <w:proofErr w:type="spellStart"/>
      <w:r w:rsidRPr="00023CF8">
        <w:t>Optimised</w:t>
      </w:r>
      <w:proofErr w:type="spellEnd"/>
      <w:r w:rsidRPr="00023CF8">
        <w:t xml:space="preserve"> investment through capital budgeting’, </w:t>
      </w:r>
      <w:r w:rsidRPr="00023CF8">
        <w:rPr>
          <w:i/>
          <w:iCs/>
        </w:rPr>
        <w:t>International Research Journal of Advanced Engineering and Management</w:t>
      </w:r>
      <w:r w:rsidRPr="00023CF8">
        <w:t xml:space="preserve">, 2(5), pp. 1588–1591. Available at: </w:t>
      </w:r>
      <w:hyperlink r:id="rId72" w:tgtFrame="_new" w:history="1">
        <w:r w:rsidRPr="00023CF8">
          <w:rPr>
            <w:rStyle w:val="Hyperlink"/>
          </w:rPr>
          <w:t>https://doi.org/10.47392/irjaem.2024.0217</w:t>
        </w:r>
      </w:hyperlink>
    </w:p>
    <w:p w14:paraId="0629FF2F" w14:textId="77777777" w:rsidR="00FC2094" w:rsidRPr="00023CF8" w:rsidRDefault="00FC2094" w:rsidP="00C53529">
      <w:pPr>
        <w:spacing w:line="360" w:lineRule="auto"/>
        <w:jc w:val="both"/>
      </w:pPr>
      <w:r w:rsidRPr="00023CF8">
        <w:t xml:space="preserve">Lee, M. (2015) ‘Financial analysis of national university hospitals in Korea’, </w:t>
      </w:r>
      <w:proofErr w:type="spellStart"/>
      <w:r w:rsidRPr="00023CF8">
        <w:rPr>
          <w:i/>
          <w:iCs/>
        </w:rPr>
        <w:t>Osong</w:t>
      </w:r>
      <w:proofErr w:type="spellEnd"/>
      <w:r w:rsidRPr="00023CF8">
        <w:rPr>
          <w:i/>
          <w:iCs/>
        </w:rPr>
        <w:t xml:space="preserve"> Public Health and Research Perspectives</w:t>
      </w:r>
      <w:r w:rsidRPr="00023CF8">
        <w:t xml:space="preserve">, 6(5), pp. 310–317. Available at: </w:t>
      </w:r>
      <w:hyperlink r:id="rId73" w:tgtFrame="_new" w:history="1">
        <w:r w:rsidRPr="00023CF8">
          <w:rPr>
            <w:rStyle w:val="Hyperlink"/>
          </w:rPr>
          <w:t>https://doi.org/10.1016/j.phrp.2015.10.007</w:t>
        </w:r>
      </w:hyperlink>
    </w:p>
    <w:p w14:paraId="142F6EBE" w14:textId="77777777" w:rsidR="00FC2094" w:rsidRPr="00023CF8" w:rsidRDefault="00FC2094" w:rsidP="00C53529">
      <w:pPr>
        <w:spacing w:line="360" w:lineRule="auto"/>
        <w:jc w:val="both"/>
      </w:pPr>
      <w:proofErr w:type="spellStart"/>
      <w:r w:rsidRPr="00023CF8">
        <w:t>Lekkakos</w:t>
      </w:r>
      <w:proofErr w:type="spellEnd"/>
      <w:r w:rsidRPr="00023CF8">
        <w:t xml:space="preserve">, S. and Serrano, A. (2016) ‘Supply chain finance for small and medium-sized enterprises: The case of reverse factoring’, </w:t>
      </w:r>
      <w:r w:rsidRPr="00023CF8">
        <w:rPr>
          <w:i/>
          <w:iCs/>
        </w:rPr>
        <w:t>International Journal of Physical Distribution &amp; Logistics Management</w:t>
      </w:r>
      <w:r w:rsidRPr="00023CF8">
        <w:t xml:space="preserve">, 46(4). Available at: </w:t>
      </w:r>
      <w:hyperlink r:id="rId74" w:tgtFrame="_new" w:history="1">
        <w:r w:rsidRPr="00023CF8">
          <w:rPr>
            <w:rStyle w:val="Hyperlink"/>
          </w:rPr>
          <w:t>https://doi.org/10.1108/IJPDLM-07-2014-0165</w:t>
        </w:r>
      </w:hyperlink>
    </w:p>
    <w:p w14:paraId="7AB81921" w14:textId="77777777" w:rsidR="00FC2094" w:rsidRPr="00FC2094" w:rsidRDefault="00FC2094" w:rsidP="00C53529">
      <w:pPr>
        <w:spacing w:line="360" w:lineRule="auto"/>
        <w:jc w:val="both"/>
      </w:pPr>
      <w:r w:rsidRPr="00FC2094">
        <w:lastRenderedPageBreak/>
        <w:t xml:space="preserve">Leland, H. and Toft, K. (1996) ‘Optimal capital structure, endogenous bankruptcy, and the term structure of credit spreads’, </w:t>
      </w:r>
      <w:r w:rsidRPr="00FC2094">
        <w:rPr>
          <w:i/>
          <w:iCs/>
        </w:rPr>
        <w:t>The Journal of Finance</w:t>
      </w:r>
      <w:r w:rsidRPr="00FC2094">
        <w:t xml:space="preserve">, 51(3), pp. 987–1019. </w:t>
      </w:r>
      <w:hyperlink r:id="rId75" w:tgtFrame="_new" w:history="1">
        <w:r w:rsidRPr="00FC2094">
          <w:rPr>
            <w:rStyle w:val="Hyperlink"/>
            <w:color w:val="auto"/>
            <w:u w:val="none"/>
          </w:rPr>
          <w:t>https://doi.org/10.2307/2329229</w:t>
        </w:r>
      </w:hyperlink>
    </w:p>
    <w:p w14:paraId="03A90A57" w14:textId="77777777" w:rsidR="00FC2094" w:rsidRPr="00023CF8" w:rsidRDefault="00FC2094" w:rsidP="00C53529">
      <w:pPr>
        <w:spacing w:line="360" w:lineRule="auto"/>
        <w:jc w:val="both"/>
      </w:pPr>
      <w:r w:rsidRPr="00023CF8">
        <w:t xml:space="preserve">Li, H., Peng, J. and Li, S. (2015) ‘Uncertain programming models for capital budgeting subject to experts’ estimations’, </w:t>
      </w:r>
      <w:r w:rsidRPr="00023CF8">
        <w:rPr>
          <w:i/>
          <w:iCs/>
        </w:rPr>
        <w:t>Journal of Intelligent &amp; Fuzzy Systems</w:t>
      </w:r>
      <w:r w:rsidRPr="00023CF8">
        <w:t xml:space="preserve">, 28(2), pp. 725–736. Available at: </w:t>
      </w:r>
      <w:hyperlink r:id="rId76" w:tgtFrame="_new" w:history="1">
        <w:r w:rsidRPr="00023CF8">
          <w:rPr>
            <w:rStyle w:val="Hyperlink"/>
          </w:rPr>
          <w:t>https://doi.org/10.3233/IFS-141353</w:t>
        </w:r>
      </w:hyperlink>
    </w:p>
    <w:p w14:paraId="06FE6F1F" w14:textId="77777777" w:rsidR="00FC2094" w:rsidRPr="00023CF8" w:rsidRDefault="00FC2094" w:rsidP="00C53529">
      <w:pPr>
        <w:spacing w:line="360" w:lineRule="auto"/>
        <w:jc w:val="both"/>
      </w:pPr>
      <w:proofErr w:type="spellStart"/>
      <w:r w:rsidRPr="00023CF8">
        <w:t>Lins</w:t>
      </w:r>
      <w:proofErr w:type="spellEnd"/>
      <w:r w:rsidRPr="00023CF8">
        <w:t xml:space="preserve">, K.V., </w:t>
      </w:r>
      <w:proofErr w:type="spellStart"/>
      <w:r w:rsidRPr="00023CF8">
        <w:t>Servaes</w:t>
      </w:r>
      <w:proofErr w:type="spellEnd"/>
      <w:r w:rsidRPr="00023CF8">
        <w:t xml:space="preserve">, H. and Tamayo, A. (2016) ‘Social capital, trust, and firm performance: The value of corporate social responsibility during the financial crisis’, </w:t>
      </w:r>
      <w:r w:rsidRPr="00023CF8">
        <w:rPr>
          <w:i/>
          <w:iCs/>
        </w:rPr>
        <w:t>SSRN Electronic Journal</w:t>
      </w:r>
      <w:r w:rsidRPr="00023CF8">
        <w:t xml:space="preserve">. Available at: </w:t>
      </w:r>
      <w:hyperlink r:id="rId77" w:tgtFrame="_new" w:history="1">
        <w:r w:rsidRPr="00023CF8">
          <w:rPr>
            <w:rStyle w:val="Hyperlink"/>
          </w:rPr>
          <w:t>https://doi.org/10.2139/ssrn.2555863</w:t>
        </w:r>
      </w:hyperlink>
    </w:p>
    <w:p w14:paraId="69F99E9F" w14:textId="77777777" w:rsidR="00FC2094" w:rsidRPr="00023CF8" w:rsidRDefault="00FC2094" w:rsidP="00C53529">
      <w:pPr>
        <w:spacing w:line="360" w:lineRule="auto"/>
        <w:jc w:val="both"/>
      </w:pPr>
      <w:r w:rsidRPr="00023CF8">
        <w:t xml:space="preserve">Liu, W., Shao, Z., Yang, C., Ding, T. and Zhang, W. (2020) ‘The impact of CSR and financial distress on financial performance: Evidence from Chinese listed manufacturing companies’, </w:t>
      </w:r>
      <w:r w:rsidRPr="00023CF8">
        <w:rPr>
          <w:i/>
          <w:iCs/>
        </w:rPr>
        <w:t>Sustainability</w:t>
      </w:r>
      <w:r w:rsidRPr="00023CF8">
        <w:t xml:space="preserve">, 12(17), p. 6799. Available at: </w:t>
      </w:r>
      <w:hyperlink r:id="rId78" w:tgtFrame="_new" w:history="1">
        <w:r w:rsidRPr="00023CF8">
          <w:rPr>
            <w:rStyle w:val="Hyperlink"/>
          </w:rPr>
          <w:t>https://doi.org/10.3390/su12176799</w:t>
        </w:r>
      </w:hyperlink>
    </w:p>
    <w:p w14:paraId="284739F7" w14:textId="77777777" w:rsidR="00FC2094" w:rsidRPr="00FC2094" w:rsidRDefault="00FC2094" w:rsidP="00C53529">
      <w:pPr>
        <w:spacing w:line="360" w:lineRule="auto"/>
        <w:jc w:val="both"/>
      </w:pPr>
      <w:proofErr w:type="spellStart"/>
      <w:r w:rsidRPr="00FC2094">
        <w:t>Madhani</w:t>
      </w:r>
      <w:proofErr w:type="spellEnd"/>
      <w:r w:rsidRPr="00FC2094">
        <w:t xml:space="preserve">, P. (2011) ‘Reallocating fixed and variable pay in sales organizations’, </w:t>
      </w:r>
      <w:r w:rsidRPr="00FC2094">
        <w:rPr>
          <w:i/>
          <w:iCs/>
        </w:rPr>
        <w:t>Compensation &amp; Benefits Review</w:t>
      </w:r>
      <w:r w:rsidRPr="00FC2094">
        <w:t xml:space="preserve">, 43(6), pp. 346–360. </w:t>
      </w:r>
      <w:hyperlink r:id="rId79" w:tgtFrame="_new" w:history="1">
        <w:r w:rsidRPr="00FC2094">
          <w:rPr>
            <w:rStyle w:val="Hyperlink"/>
          </w:rPr>
          <w:t>https://doi.org/10.1177/0886368711413443</w:t>
        </w:r>
      </w:hyperlink>
    </w:p>
    <w:p w14:paraId="4F878A67" w14:textId="77777777" w:rsidR="00FC2094" w:rsidRPr="00023CF8" w:rsidRDefault="00FC2094" w:rsidP="00C53529">
      <w:pPr>
        <w:spacing w:line="360" w:lineRule="auto"/>
        <w:jc w:val="both"/>
      </w:pPr>
      <w:r w:rsidRPr="00023CF8">
        <w:t xml:space="preserve">Mahmood, Y., Rizwan, M. and Rashid, A. (2018) ‘Exploring the relationship between financial distress, financial flexibility, and firm performance: Empirical evidence from Pakistan Stock Exchange’, </w:t>
      </w:r>
      <w:r w:rsidRPr="00023CF8">
        <w:rPr>
          <w:i/>
          <w:iCs/>
        </w:rPr>
        <w:t>NICE Research Journal</w:t>
      </w:r>
      <w:r w:rsidRPr="00023CF8">
        <w:t xml:space="preserve">, pp. 1–16. Available at: </w:t>
      </w:r>
      <w:hyperlink r:id="rId80" w:tgtFrame="_new" w:history="1">
        <w:r w:rsidRPr="00023CF8">
          <w:rPr>
            <w:rStyle w:val="Hyperlink"/>
          </w:rPr>
          <w:t>https://doi.org/10.51239/nrjss.v0i0.68</w:t>
        </w:r>
      </w:hyperlink>
    </w:p>
    <w:p w14:paraId="1DD56ACF" w14:textId="77777777" w:rsidR="00FC2094" w:rsidRPr="00FC2094" w:rsidRDefault="00FC2094" w:rsidP="00C53529">
      <w:pPr>
        <w:spacing w:line="360" w:lineRule="auto"/>
        <w:jc w:val="both"/>
      </w:pPr>
      <w:r w:rsidRPr="00FC2094">
        <w:t xml:space="preserve">Mandelker, G. and Rhee, S. (1984) ‘The impact of the degrees of operating and financial leverage on systematic risk of common stock’, </w:t>
      </w:r>
      <w:r w:rsidRPr="00FC2094">
        <w:rPr>
          <w:i/>
          <w:iCs/>
        </w:rPr>
        <w:t>Journal of Financial and Quantitative Analysis</w:t>
      </w:r>
      <w:r w:rsidRPr="00FC2094">
        <w:t xml:space="preserve">, 19(1), pp. 45–57. </w:t>
      </w:r>
      <w:hyperlink r:id="rId81" w:tgtFrame="_new" w:history="1">
        <w:r w:rsidRPr="00FC2094">
          <w:rPr>
            <w:rStyle w:val="Hyperlink"/>
          </w:rPr>
          <w:t>https://doi.org/10.2307/2331000</w:t>
        </w:r>
      </w:hyperlink>
    </w:p>
    <w:p w14:paraId="1F6F556D" w14:textId="77777777" w:rsidR="00FC2094" w:rsidRPr="00023CF8" w:rsidRDefault="00FC2094" w:rsidP="00C53529">
      <w:pPr>
        <w:spacing w:line="360" w:lineRule="auto"/>
        <w:jc w:val="both"/>
      </w:pPr>
      <w:r w:rsidRPr="00023CF8">
        <w:t xml:space="preserve">Martini, R., </w:t>
      </w:r>
      <w:proofErr w:type="spellStart"/>
      <w:r w:rsidRPr="00023CF8">
        <w:t>Sulaiman</w:t>
      </w:r>
      <w:proofErr w:type="spellEnd"/>
      <w:r w:rsidRPr="00023CF8">
        <w:t xml:space="preserve">, S., Sari, K., </w:t>
      </w:r>
      <w:proofErr w:type="spellStart"/>
      <w:r w:rsidRPr="00023CF8">
        <w:t>Sauky</w:t>
      </w:r>
      <w:proofErr w:type="spellEnd"/>
      <w:r w:rsidRPr="00023CF8">
        <w:t xml:space="preserve">, K. and </w:t>
      </w:r>
      <w:proofErr w:type="spellStart"/>
      <w:r w:rsidRPr="00023CF8">
        <w:t>Hartati</w:t>
      </w:r>
      <w:proofErr w:type="spellEnd"/>
      <w:r w:rsidRPr="00023CF8">
        <w:t xml:space="preserve">, S. (2023) ‘Components affecting changes in gross profit and net profit initiation’, </w:t>
      </w:r>
      <w:r w:rsidRPr="00023CF8">
        <w:rPr>
          <w:i/>
          <w:iCs/>
        </w:rPr>
        <w:t>International Journal of Research in Vocational Studies</w:t>
      </w:r>
      <w:r w:rsidRPr="00023CF8">
        <w:t xml:space="preserve">, 3(1), pp. 45–51. Available at: </w:t>
      </w:r>
      <w:hyperlink r:id="rId82" w:tgtFrame="_new" w:history="1">
        <w:r w:rsidRPr="00023CF8">
          <w:rPr>
            <w:rStyle w:val="Hyperlink"/>
          </w:rPr>
          <w:t>https://doi.org/10.53893/ijrvocas.v3i1.169</w:t>
        </w:r>
      </w:hyperlink>
    </w:p>
    <w:p w14:paraId="0D2D025B" w14:textId="77777777" w:rsidR="00FC2094" w:rsidRPr="00023CF8" w:rsidRDefault="00FC2094" w:rsidP="00C53529">
      <w:pPr>
        <w:spacing w:line="360" w:lineRule="auto"/>
        <w:jc w:val="both"/>
      </w:pPr>
      <w:r w:rsidRPr="00023CF8">
        <w:lastRenderedPageBreak/>
        <w:t xml:space="preserve">Maulana, F. (2024) ‘Financial distress assessment through Altman Z-score’, </w:t>
      </w:r>
      <w:r w:rsidRPr="00023CF8">
        <w:rPr>
          <w:i/>
          <w:iCs/>
        </w:rPr>
        <w:t>Journal of Economics and Business UBS</w:t>
      </w:r>
      <w:r w:rsidRPr="00023CF8">
        <w:t xml:space="preserve">, 13(1), pp. 227–240. Available at: </w:t>
      </w:r>
      <w:hyperlink r:id="rId83" w:tgtFrame="_new" w:history="1">
        <w:r w:rsidRPr="00023CF8">
          <w:rPr>
            <w:rStyle w:val="Hyperlink"/>
          </w:rPr>
          <w:t>https://doi.org/10.52644/joeb.v13i1.1493</w:t>
        </w:r>
      </w:hyperlink>
    </w:p>
    <w:p w14:paraId="12C002AD" w14:textId="77777777" w:rsidR="00FC2094" w:rsidRPr="00023CF8" w:rsidRDefault="00FC2094" w:rsidP="00C53529">
      <w:pPr>
        <w:spacing w:line="360" w:lineRule="auto"/>
        <w:jc w:val="both"/>
      </w:pPr>
      <w:r w:rsidRPr="00023CF8">
        <w:t xml:space="preserve">Mazlan, A. and Leman, M. (2023) ‘Determinants of financial distress: The case of government-linked companies in Malaysia’, </w:t>
      </w:r>
      <w:r w:rsidRPr="00023CF8">
        <w:rPr>
          <w:i/>
          <w:iCs/>
        </w:rPr>
        <w:t>European Proceedings of Social and Behavioural Sciences</w:t>
      </w:r>
      <w:r w:rsidRPr="00023CF8">
        <w:t xml:space="preserve">, 132, pp. 682–691. Available at: </w:t>
      </w:r>
      <w:hyperlink r:id="rId84" w:tgtFrame="_new" w:history="1">
        <w:r w:rsidRPr="00023CF8">
          <w:rPr>
            <w:rStyle w:val="Hyperlink"/>
          </w:rPr>
          <w:t>https://doi.org/10.15405/epsbs.2023.11.02.53</w:t>
        </w:r>
      </w:hyperlink>
    </w:p>
    <w:p w14:paraId="6B33615D" w14:textId="77777777" w:rsidR="00FC2094" w:rsidRPr="00023CF8" w:rsidRDefault="00FC2094" w:rsidP="00C53529">
      <w:pPr>
        <w:spacing w:line="360" w:lineRule="auto"/>
        <w:jc w:val="both"/>
      </w:pPr>
      <w:proofErr w:type="spellStart"/>
      <w:r w:rsidRPr="00023CF8">
        <w:t>Melasari</w:t>
      </w:r>
      <w:proofErr w:type="spellEnd"/>
      <w:r w:rsidRPr="00023CF8">
        <w:t xml:space="preserve">, R., Suryani, S., Rahman, S., </w:t>
      </w:r>
      <w:proofErr w:type="spellStart"/>
      <w:r w:rsidRPr="00023CF8">
        <w:t>Fitri</w:t>
      </w:r>
      <w:proofErr w:type="spellEnd"/>
      <w:r w:rsidRPr="00023CF8">
        <w:t xml:space="preserve">, H., Lestari, T. and Agis, M. (2024) ‘Application of trend analysis as a means to observe financial performance at PT </w:t>
      </w:r>
      <w:proofErr w:type="spellStart"/>
      <w:r w:rsidRPr="00023CF8">
        <w:t>Siantar</w:t>
      </w:r>
      <w:proofErr w:type="spellEnd"/>
      <w:r w:rsidRPr="00023CF8">
        <w:t xml:space="preserve"> Top </w:t>
      </w:r>
      <w:proofErr w:type="spellStart"/>
      <w:r w:rsidRPr="00023CF8">
        <w:t>Tbk</w:t>
      </w:r>
      <w:proofErr w:type="spellEnd"/>
      <w:r w:rsidRPr="00023CF8">
        <w:t xml:space="preserve">’, </w:t>
      </w:r>
      <w:proofErr w:type="spellStart"/>
      <w:r w:rsidRPr="00023CF8">
        <w:rPr>
          <w:i/>
          <w:iCs/>
        </w:rPr>
        <w:t>Mankeu</w:t>
      </w:r>
      <w:proofErr w:type="spellEnd"/>
      <w:r w:rsidRPr="00023CF8">
        <w:t xml:space="preserve">, 2(1), pp. 28–43. Available at: </w:t>
      </w:r>
      <w:hyperlink r:id="rId85" w:tgtFrame="_new" w:history="1">
        <w:r w:rsidRPr="00023CF8">
          <w:rPr>
            <w:rStyle w:val="Hyperlink"/>
          </w:rPr>
          <w:t>https://doi.org/10.61167/mnk.v2i1.126</w:t>
        </w:r>
      </w:hyperlink>
    </w:p>
    <w:p w14:paraId="2D2B27AB" w14:textId="77777777" w:rsidR="00FC2094" w:rsidRPr="00023CF8" w:rsidRDefault="00FC2094" w:rsidP="00C53529">
      <w:pPr>
        <w:spacing w:line="360" w:lineRule="auto"/>
        <w:jc w:val="both"/>
      </w:pPr>
      <w:proofErr w:type="spellStart"/>
      <w:r w:rsidRPr="00023CF8">
        <w:t>Mulyaningsih</w:t>
      </w:r>
      <w:proofErr w:type="spellEnd"/>
      <w:r w:rsidRPr="00023CF8">
        <w:t xml:space="preserve">, T., </w:t>
      </w:r>
      <w:proofErr w:type="spellStart"/>
      <w:r w:rsidRPr="00023CF8">
        <w:t>Sarmidi</w:t>
      </w:r>
      <w:proofErr w:type="spellEnd"/>
      <w:r w:rsidRPr="00023CF8">
        <w:t xml:space="preserve">, T. and </w:t>
      </w:r>
      <w:proofErr w:type="spellStart"/>
      <w:r w:rsidRPr="00023CF8">
        <w:t>Cahyadin</w:t>
      </w:r>
      <w:proofErr w:type="spellEnd"/>
      <w:r w:rsidRPr="00023CF8">
        <w:t xml:space="preserve">, M. (2023) ‘Corporate debt, institutional differences and firms’ financial distress in emerging economies under uncertainty’, </w:t>
      </w:r>
      <w:proofErr w:type="spellStart"/>
      <w:r w:rsidRPr="00023CF8">
        <w:rPr>
          <w:i/>
          <w:iCs/>
        </w:rPr>
        <w:t>Jurnal</w:t>
      </w:r>
      <w:proofErr w:type="spellEnd"/>
      <w:r w:rsidRPr="00023CF8">
        <w:rPr>
          <w:i/>
          <w:iCs/>
        </w:rPr>
        <w:t xml:space="preserve"> </w:t>
      </w:r>
      <w:proofErr w:type="spellStart"/>
      <w:r w:rsidRPr="00023CF8">
        <w:rPr>
          <w:i/>
          <w:iCs/>
        </w:rPr>
        <w:t>Dinamika</w:t>
      </w:r>
      <w:proofErr w:type="spellEnd"/>
      <w:r w:rsidRPr="00023CF8">
        <w:rPr>
          <w:i/>
          <w:iCs/>
        </w:rPr>
        <w:t xml:space="preserve"> </w:t>
      </w:r>
      <w:proofErr w:type="spellStart"/>
      <w:r w:rsidRPr="00023CF8">
        <w:rPr>
          <w:i/>
          <w:iCs/>
        </w:rPr>
        <w:t>Manajemen</w:t>
      </w:r>
      <w:proofErr w:type="spellEnd"/>
      <w:r w:rsidRPr="00023CF8">
        <w:t xml:space="preserve">, 14(2), pp. 300–316. Available at: </w:t>
      </w:r>
      <w:hyperlink r:id="rId86" w:tgtFrame="_new" w:history="1">
        <w:r w:rsidRPr="00023CF8">
          <w:rPr>
            <w:rStyle w:val="Hyperlink"/>
          </w:rPr>
          <w:t>https://doi.org/10.15294/jdm.v14i2.46197</w:t>
        </w:r>
      </w:hyperlink>
    </w:p>
    <w:p w14:paraId="6B9DA0C3" w14:textId="77777777" w:rsidR="00FC2094" w:rsidRPr="00023CF8" w:rsidRDefault="00FC2094" w:rsidP="00C53529">
      <w:pPr>
        <w:spacing w:line="360" w:lineRule="auto"/>
        <w:jc w:val="both"/>
      </w:pPr>
      <w:proofErr w:type="spellStart"/>
      <w:r w:rsidRPr="00023CF8">
        <w:t>Muttia</w:t>
      </w:r>
      <w:proofErr w:type="spellEnd"/>
      <w:r w:rsidRPr="00023CF8">
        <w:t xml:space="preserve">, E. and Sutrisno, S. (2022) ‘Financial performance and prediction of financial distress in food and beverage companies listed on the Indonesia Stock Exchange’, </w:t>
      </w:r>
      <w:r w:rsidRPr="00023CF8">
        <w:rPr>
          <w:i/>
          <w:iCs/>
        </w:rPr>
        <w:t>International Journal of Economics, Business and Management Research</w:t>
      </w:r>
      <w:r w:rsidRPr="00023CF8">
        <w:t xml:space="preserve">, 6(5), pp. 154–167. Available at: </w:t>
      </w:r>
      <w:hyperlink r:id="rId87" w:tgtFrame="_new" w:history="1">
        <w:r w:rsidRPr="00023CF8">
          <w:rPr>
            <w:rStyle w:val="Hyperlink"/>
          </w:rPr>
          <w:t>https://doi.org/10.51505/ijebmr.2022.6513</w:t>
        </w:r>
      </w:hyperlink>
    </w:p>
    <w:p w14:paraId="192D4A49" w14:textId="77777777" w:rsidR="00FC2094" w:rsidRPr="00023CF8" w:rsidRDefault="00FC2094" w:rsidP="00C53529">
      <w:pPr>
        <w:spacing w:line="360" w:lineRule="auto"/>
        <w:jc w:val="both"/>
      </w:pPr>
      <w:r w:rsidRPr="00023CF8">
        <w:t xml:space="preserve">Nan, T., </w:t>
      </w:r>
      <w:proofErr w:type="spellStart"/>
      <w:r w:rsidRPr="00023CF8">
        <w:t>Bimpong</w:t>
      </w:r>
      <w:proofErr w:type="spellEnd"/>
      <w:r w:rsidRPr="00023CF8">
        <w:t xml:space="preserve">, P., Ansah, R., </w:t>
      </w:r>
      <w:proofErr w:type="spellStart"/>
      <w:r w:rsidRPr="00023CF8">
        <w:t>Danso</w:t>
      </w:r>
      <w:proofErr w:type="spellEnd"/>
      <w:r w:rsidRPr="00023CF8">
        <w:t xml:space="preserve">, E., </w:t>
      </w:r>
      <w:proofErr w:type="spellStart"/>
      <w:r w:rsidRPr="00023CF8">
        <w:t>Tabiri</w:t>
      </w:r>
      <w:proofErr w:type="spellEnd"/>
      <w:r w:rsidRPr="00023CF8">
        <w:t xml:space="preserve">, A. and Arhin, I. (2020) ‘Predicting bankruptcy and financial fraud of both listed and unlisted commercial banks in Ghana using three Z-score models’, </w:t>
      </w:r>
      <w:r w:rsidRPr="00023CF8">
        <w:rPr>
          <w:i/>
          <w:iCs/>
        </w:rPr>
        <w:t>European Journal of Business and Management</w:t>
      </w:r>
      <w:r w:rsidRPr="00023CF8">
        <w:t xml:space="preserve">, 12(12). Available at: </w:t>
      </w:r>
      <w:hyperlink r:id="rId88" w:tgtFrame="_new" w:history="1">
        <w:r w:rsidRPr="00023CF8">
          <w:rPr>
            <w:rStyle w:val="Hyperlink"/>
          </w:rPr>
          <w:t>https://doi.org/10.7176/ejbm/12-12-05</w:t>
        </w:r>
      </w:hyperlink>
    </w:p>
    <w:p w14:paraId="7987864B" w14:textId="77777777" w:rsidR="00FC2094" w:rsidRPr="00023CF8" w:rsidRDefault="00FC2094" w:rsidP="00C53529">
      <w:pPr>
        <w:spacing w:line="360" w:lineRule="auto"/>
        <w:jc w:val="both"/>
      </w:pPr>
      <w:proofErr w:type="spellStart"/>
      <w:r w:rsidRPr="00023CF8">
        <w:t>Novianti</w:t>
      </w:r>
      <w:proofErr w:type="spellEnd"/>
      <w:r w:rsidRPr="00023CF8">
        <w:t xml:space="preserve">, D. (2025) ‘Financial analysis of income statements at PT Kimia </w:t>
      </w:r>
      <w:proofErr w:type="spellStart"/>
      <w:r w:rsidRPr="00023CF8">
        <w:t>Farma</w:t>
      </w:r>
      <w:proofErr w:type="spellEnd"/>
      <w:r w:rsidRPr="00023CF8">
        <w:t xml:space="preserve"> </w:t>
      </w:r>
      <w:proofErr w:type="spellStart"/>
      <w:r w:rsidRPr="00023CF8">
        <w:t>Tbk</w:t>
      </w:r>
      <w:proofErr w:type="spellEnd"/>
      <w:r w:rsidRPr="00023CF8">
        <w:t xml:space="preserve"> for the period 2019–2023’, </w:t>
      </w:r>
      <w:proofErr w:type="spellStart"/>
      <w:r w:rsidRPr="00023CF8">
        <w:rPr>
          <w:i/>
          <w:iCs/>
        </w:rPr>
        <w:t>Jurnal</w:t>
      </w:r>
      <w:proofErr w:type="spellEnd"/>
      <w:r w:rsidRPr="00023CF8">
        <w:rPr>
          <w:i/>
          <w:iCs/>
        </w:rPr>
        <w:t xml:space="preserve"> </w:t>
      </w:r>
      <w:proofErr w:type="spellStart"/>
      <w:r w:rsidRPr="00023CF8">
        <w:rPr>
          <w:i/>
          <w:iCs/>
        </w:rPr>
        <w:t>Riset</w:t>
      </w:r>
      <w:proofErr w:type="spellEnd"/>
      <w:r w:rsidRPr="00023CF8">
        <w:rPr>
          <w:i/>
          <w:iCs/>
        </w:rPr>
        <w:t xml:space="preserve"> </w:t>
      </w:r>
      <w:proofErr w:type="spellStart"/>
      <w:r w:rsidRPr="00023CF8">
        <w:rPr>
          <w:i/>
          <w:iCs/>
        </w:rPr>
        <w:t>Akuntansi</w:t>
      </w:r>
      <w:proofErr w:type="spellEnd"/>
      <w:r w:rsidRPr="00023CF8">
        <w:t xml:space="preserve">, pp. 1–8. Available at: </w:t>
      </w:r>
      <w:hyperlink r:id="rId89" w:tgtFrame="_new" w:history="1">
        <w:r w:rsidRPr="00023CF8">
          <w:rPr>
            <w:rStyle w:val="Hyperlink"/>
          </w:rPr>
          <w:t>https://doi.org/10.29313/jra.v5i1.5799</w:t>
        </w:r>
      </w:hyperlink>
    </w:p>
    <w:p w14:paraId="5F37D8CA" w14:textId="77777777" w:rsidR="00FC2094" w:rsidRPr="00023CF8" w:rsidRDefault="00FC2094" w:rsidP="00C53529">
      <w:pPr>
        <w:spacing w:line="360" w:lineRule="auto"/>
        <w:jc w:val="both"/>
      </w:pPr>
      <w:proofErr w:type="spellStart"/>
      <w:r w:rsidRPr="00023CF8">
        <w:t>Nurullah</w:t>
      </w:r>
      <w:proofErr w:type="spellEnd"/>
      <w:r w:rsidRPr="00023CF8">
        <w:t xml:space="preserve">, M. and </w:t>
      </w:r>
      <w:proofErr w:type="spellStart"/>
      <w:r w:rsidRPr="00023CF8">
        <w:t>Kengatharan</w:t>
      </w:r>
      <w:proofErr w:type="spellEnd"/>
      <w:r w:rsidRPr="00023CF8">
        <w:t xml:space="preserve">, L. (2015) ‘Capital budgeting practices: Evidence from Sri Lanka’, </w:t>
      </w:r>
      <w:r w:rsidRPr="00023CF8">
        <w:rPr>
          <w:i/>
          <w:iCs/>
        </w:rPr>
        <w:t>Journal of Advances in Management Research</w:t>
      </w:r>
      <w:r w:rsidRPr="00023CF8">
        <w:t xml:space="preserve">, 12(1), pp. 55–82. Available at: </w:t>
      </w:r>
      <w:hyperlink r:id="rId90" w:tgtFrame="_new" w:history="1">
        <w:r w:rsidRPr="00023CF8">
          <w:rPr>
            <w:rStyle w:val="Hyperlink"/>
          </w:rPr>
          <w:t>https://doi.org/10.1108/JAMR-01-2014-0004</w:t>
        </w:r>
      </w:hyperlink>
    </w:p>
    <w:p w14:paraId="7C84ACCC" w14:textId="77777777" w:rsidR="00FC2094" w:rsidRPr="00023CF8" w:rsidRDefault="00FC2094" w:rsidP="00C53529">
      <w:pPr>
        <w:spacing w:line="360" w:lineRule="auto"/>
        <w:jc w:val="both"/>
      </w:pPr>
      <w:proofErr w:type="spellStart"/>
      <w:r w:rsidRPr="00023CF8">
        <w:lastRenderedPageBreak/>
        <w:t>Onsay</w:t>
      </w:r>
      <w:proofErr w:type="spellEnd"/>
      <w:r w:rsidRPr="00023CF8">
        <w:t xml:space="preserve">, E. (2021) ‘Untying empirical knots: Deterioration of profitability, economic failure, and financial insolvency in the Philippines before the COVID-19 outbreak’, </w:t>
      </w:r>
      <w:r w:rsidRPr="00023CF8">
        <w:rPr>
          <w:i/>
          <w:iCs/>
        </w:rPr>
        <w:t>Journal of Southeast Asian Studies</w:t>
      </w:r>
      <w:r w:rsidRPr="00023CF8">
        <w:t xml:space="preserve">, 26(1), pp. 21–48. Available at: </w:t>
      </w:r>
      <w:hyperlink r:id="rId91" w:tgtFrame="_new" w:history="1">
        <w:r w:rsidRPr="00023CF8">
          <w:rPr>
            <w:rStyle w:val="Hyperlink"/>
          </w:rPr>
          <w:t>https://doi.org/10.22452/jati.vol26no1.2</w:t>
        </w:r>
      </w:hyperlink>
    </w:p>
    <w:p w14:paraId="08E61223" w14:textId="77777777" w:rsidR="00FC2094" w:rsidRPr="00023CF8" w:rsidRDefault="00FC2094" w:rsidP="00C53529">
      <w:pPr>
        <w:spacing w:line="360" w:lineRule="auto"/>
        <w:jc w:val="both"/>
      </w:pPr>
      <w:r w:rsidRPr="00023CF8">
        <w:t xml:space="preserve">Palma-Álvarez, R., Rodríguez-Cintas, L., Abad, A., </w:t>
      </w:r>
      <w:proofErr w:type="spellStart"/>
      <w:r w:rsidRPr="00023CF8">
        <w:t>Sorribes</w:t>
      </w:r>
      <w:proofErr w:type="spellEnd"/>
      <w:r w:rsidRPr="00023CF8">
        <w:t xml:space="preserve">, M., </w:t>
      </w:r>
      <w:proofErr w:type="spellStart"/>
      <w:r w:rsidRPr="00023CF8">
        <w:t>Ros-Cucurull</w:t>
      </w:r>
      <w:proofErr w:type="spellEnd"/>
      <w:r w:rsidRPr="00023CF8">
        <w:t xml:space="preserve">, E., Robles-Martínez, M., </w:t>
      </w:r>
      <w:r w:rsidRPr="00023CF8">
        <w:rPr>
          <w:i/>
          <w:iCs/>
        </w:rPr>
        <w:t>et al.</w:t>
      </w:r>
      <w:r w:rsidRPr="00023CF8">
        <w:t xml:space="preserve"> (2019) ‘Mood disorders and severity of addiction in alcohol-dependent patients could be mediated by sex differences’, </w:t>
      </w:r>
      <w:r w:rsidRPr="00023CF8">
        <w:rPr>
          <w:i/>
          <w:iCs/>
        </w:rPr>
        <w:t>Frontiers in Psychiatry</w:t>
      </w:r>
      <w:r w:rsidRPr="00023CF8">
        <w:t xml:space="preserve">, 10. Available at: </w:t>
      </w:r>
      <w:hyperlink r:id="rId92" w:tgtFrame="_new" w:history="1">
        <w:r w:rsidRPr="00023CF8">
          <w:rPr>
            <w:rStyle w:val="Hyperlink"/>
          </w:rPr>
          <w:t>https://doi.org/10.3389/fpsyt.2019.00343</w:t>
        </w:r>
      </w:hyperlink>
    </w:p>
    <w:p w14:paraId="7D527E49" w14:textId="77777777" w:rsidR="00FC2094" w:rsidRPr="00FC2094" w:rsidRDefault="00FC2094" w:rsidP="00C53529">
      <w:pPr>
        <w:spacing w:line="360" w:lineRule="auto"/>
        <w:jc w:val="both"/>
      </w:pPr>
      <w:r w:rsidRPr="00FC2094">
        <w:t xml:space="preserve">Pinches, G. and Lander, D. (1997) ‘The use of NPV in newly industrialized and developing countries: What have we ignored?’, </w:t>
      </w:r>
      <w:r w:rsidRPr="00FC2094">
        <w:rPr>
          <w:i/>
          <w:iCs/>
        </w:rPr>
        <w:t>Managerial Finance</w:t>
      </w:r>
      <w:r w:rsidRPr="00FC2094">
        <w:t xml:space="preserve">, 23(9), pp. 24–45. </w:t>
      </w:r>
      <w:hyperlink r:id="rId93" w:tgtFrame="_new" w:history="1">
        <w:r w:rsidRPr="00FC2094">
          <w:rPr>
            <w:rStyle w:val="Hyperlink"/>
            <w:color w:val="auto"/>
            <w:u w:val="none"/>
          </w:rPr>
          <w:t>https://doi.org/10.1108/eb018645</w:t>
        </w:r>
      </w:hyperlink>
    </w:p>
    <w:p w14:paraId="60C3B1DA" w14:textId="77777777" w:rsidR="00FC2094" w:rsidRPr="00023CF8" w:rsidRDefault="00FC2094" w:rsidP="00C53529">
      <w:pPr>
        <w:spacing w:line="360" w:lineRule="auto"/>
        <w:jc w:val="both"/>
      </w:pPr>
      <w:proofErr w:type="spellStart"/>
      <w:r w:rsidRPr="00023CF8">
        <w:t>Pivorienė</w:t>
      </w:r>
      <w:proofErr w:type="spellEnd"/>
      <w:r w:rsidRPr="00023CF8">
        <w:t xml:space="preserve">, A. (2017) ‘Real options and discounted cash flow analysis to assess strategic investment projects’, </w:t>
      </w:r>
      <w:r w:rsidRPr="00023CF8">
        <w:rPr>
          <w:i/>
          <w:iCs/>
        </w:rPr>
        <w:t>Economics and Business</w:t>
      </w:r>
      <w:r w:rsidRPr="00023CF8">
        <w:t xml:space="preserve">, 30(1), pp. 91–101. Available at: </w:t>
      </w:r>
      <w:hyperlink r:id="rId94" w:tgtFrame="_new" w:history="1">
        <w:r w:rsidRPr="00023CF8">
          <w:rPr>
            <w:rStyle w:val="Hyperlink"/>
          </w:rPr>
          <w:t>https://doi.org/10.1515/eb-2017-0008</w:t>
        </w:r>
      </w:hyperlink>
    </w:p>
    <w:p w14:paraId="4E8AD16F" w14:textId="77777777" w:rsidR="00FC2094" w:rsidRPr="00023CF8" w:rsidRDefault="00FC2094" w:rsidP="00C53529">
      <w:pPr>
        <w:spacing w:line="360" w:lineRule="auto"/>
        <w:jc w:val="both"/>
      </w:pPr>
      <w:r w:rsidRPr="00023CF8">
        <w:t xml:space="preserve">Qiu, W., </w:t>
      </w:r>
      <w:proofErr w:type="spellStart"/>
      <w:r w:rsidRPr="00023CF8">
        <w:t>Rudkin</w:t>
      </w:r>
      <w:proofErr w:type="spellEnd"/>
      <w:r w:rsidRPr="00023CF8">
        <w:t xml:space="preserve">, S. and </w:t>
      </w:r>
      <w:proofErr w:type="spellStart"/>
      <w:r w:rsidRPr="00023CF8">
        <w:t>Dłotko</w:t>
      </w:r>
      <w:proofErr w:type="spellEnd"/>
      <w:r w:rsidRPr="00023CF8">
        <w:t xml:space="preserve">, P. (2020) ‘Refining understanding of corporate failure through a topological data analysis mapping of Altman’s Z-score model’, </w:t>
      </w:r>
      <w:r w:rsidRPr="00023CF8">
        <w:rPr>
          <w:i/>
          <w:iCs/>
        </w:rPr>
        <w:t>Expert Systems with Applications</w:t>
      </w:r>
      <w:r w:rsidRPr="00023CF8">
        <w:t xml:space="preserve">, 156, p. 113475. Available at: </w:t>
      </w:r>
      <w:hyperlink r:id="rId95" w:tgtFrame="_new" w:history="1">
        <w:r w:rsidRPr="00023CF8">
          <w:rPr>
            <w:rStyle w:val="Hyperlink"/>
          </w:rPr>
          <w:t>https://doi.org/10.1016/j.eswa.2020.113475</w:t>
        </w:r>
      </w:hyperlink>
    </w:p>
    <w:p w14:paraId="3E9175FA" w14:textId="77777777" w:rsidR="00FC2094" w:rsidRPr="00FC2094" w:rsidRDefault="00FC2094" w:rsidP="00C53529">
      <w:pPr>
        <w:spacing w:line="360" w:lineRule="auto"/>
        <w:jc w:val="both"/>
      </w:pPr>
      <w:proofErr w:type="spellStart"/>
      <w:r w:rsidRPr="00FC2094">
        <w:t>Rahmadyanti</w:t>
      </w:r>
      <w:proofErr w:type="spellEnd"/>
      <w:r w:rsidRPr="00FC2094">
        <w:t xml:space="preserve">, A. and </w:t>
      </w:r>
      <w:proofErr w:type="spellStart"/>
      <w:r w:rsidRPr="00FC2094">
        <w:t>Sylviana</w:t>
      </w:r>
      <w:proofErr w:type="spellEnd"/>
      <w:r w:rsidRPr="00FC2094">
        <w:t>, M. (2022) ‘Investment risk analysis of Jakarta–</w:t>
      </w:r>
      <w:proofErr w:type="spellStart"/>
      <w:r w:rsidRPr="00FC2094">
        <w:t>Cikampek</w:t>
      </w:r>
      <w:proofErr w:type="spellEnd"/>
      <w:r w:rsidRPr="00FC2094">
        <w:t xml:space="preserve"> II Selatan toll road’, </w:t>
      </w:r>
      <w:r w:rsidRPr="00FC2094">
        <w:rPr>
          <w:i/>
          <w:iCs/>
        </w:rPr>
        <w:t>Asian Journal of Research in Business and Management</w:t>
      </w:r>
      <w:r w:rsidRPr="00FC2094">
        <w:t xml:space="preserve">. </w:t>
      </w:r>
      <w:hyperlink r:id="rId96" w:tgtFrame="_new" w:history="1">
        <w:r w:rsidRPr="00FC2094">
          <w:rPr>
            <w:rStyle w:val="Hyperlink"/>
            <w:color w:val="auto"/>
            <w:u w:val="none"/>
          </w:rPr>
          <w:t>https://doi.org/10.55057/ajrbm.2022.4.3.41</w:t>
        </w:r>
      </w:hyperlink>
    </w:p>
    <w:p w14:paraId="6D67CBD0" w14:textId="77777777" w:rsidR="00FC2094" w:rsidRPr="00FC2094" w:rsidRDefault="00FC2094" w:rsidP="00C53529">
      <w:pPr>
        <w:spacing w:line="360" w:lineRule="auto"/>
        <w:jc w:val="both"/>
      </w:pPr>
      <w:proofErr w:type="spellStart"/>
      <w:r w:rsidRPr="00FC2094">
        <w:t>Ramadona</w:t>
      </w:r>
      <w:proofErr w:type="spellEnd"/>
      <w:r w:rsidRPr="00FC2094">
        <w:t xml:space="preserve">, S., </w:t>
      </w:r>
      <w:proofErr w:type="spellStart"/>
      <w:r w:rsidRPr="00FC2094">
        <w:t>Kufepaksi</w:t>
      </w:r>
      <w:proofErr w:type="spellEnd"/>
      <w:r w:rsidRPr="00FC2094">
        <w:t xml:space="preserve">, M. and </w:t>
      </w:r>
      <w:proofErr w:type="spellStart"/>
      <w:r w:rsidRPr="00FC2094">
        <w:t>Hendrawaty</w:t>
      </w:r>
      <w:proofErr w:type="spellEnd"/>
      <w:r w:rsidRPr="00FC2094">
        <w:t xml:space="preserve">, E. (2025) ‘A feasibility study of the glamping resort project: A case study of Batu Putu Glamping Resort, PT Ferial’, </w:t>
      </w:r>
      <w:r w:rsidRPr="00FC2094">
        <w:rPr>
          <w:i/>
          <w:iCs/>
        </w:rPr>
        <w:t>Journal of Economics, Finance and Management Studies</w:t>
      </w:r>
      <w:r w:rsidRPr="00FC2094">
        <w:t xml:space="preserve">, 8(6). </w:t>
      </w:r>
      <w:hyperlink r:id="rId97" w:tgtFrame="_new" w:history="1">
        <w:r w:rsidRPr="00FC2094">
          <w:rPr>
            <w:rStyle w:val="Hyperlink"/>
            <w:color w:val="auto"/>
            <w:u w:val="none"/>
          </w:rPr>
          <w:t>https://doi.org/10.47191/jefms/v8-i6-10</w:t>
        </w:r>
      </w:hyperlink>
    </w:p>
    <w:p w14:paraId="4202DC27" w14:textId="77777777" w:rsidR="00FC2094" w:rsidRPr="00FC2094" w:rsidRDefault="00FC2094" w:rsidP="00C53529">
      <w:pPr>
        <w:spacing w:line="360" w:lineRule="auto"/>
        <w:jc w:val="both"/>
      </w:pPr>
      <w:r w:rsidRPr="00FC2094">
        <w:t>Reynoso, L., Vela-</w:t>
      </w:r>
      <w:proofErr w:type="spellStart"/>
      <w:r w:rsidRPr="00FC2094">
        <w:t>Beltrán</w:t>
      </w:r>
      <w:proofErr w:type="spellEnd"/>
      <w:r w:rsidRPr="00FC2094">
        <w:t xml:space="preserve">-del-Río, C. and </w:t>
      </w:r>
      <w:proofErr w:type="spellStart"/>
      <w:r w:rsidRPr="00FC2094">
        <w:t>Martínez-Berrones</w:t>
      </w:r>
      <w:proofErr w:type="spellEnd"/>
      <w:r w:rsidRPr="00FC2094">
        <w:t xml:space="preserve">, J. (2021) ‘Sticky costs and expenses are not alike: Mexican reality’, </w:t>
      </w:r>
      <w:r w:rsidRPr="00FC2094">
        <w:rPr>
          <w:i/>
          <w:iCs/>
        </w:rPr>
        <w:t>Journal of Accounting, Business and Management</w:t>
      </w:r>
      <w:r w:rsidRPr="00FC2094">
        <w:t xml:space="preserve">, 28(1), pp. 14–28. </w:t>
      </w:r>
      <w:hyperlink r:id="rId98" w:tgtFrame="_new" w:history="1">
        <w:r w:rsidRPr="00FC2094">
          <w:rPr>
            <w:rStyle w:val="Hyperlink"/>
          </w:rPr>
          <w:t>https://doi.org/10.31966/jabminternational.v28i1.823</w:t>
        </w:r>
      </w:hyperlink>
    </w:p>
    <w:p w14:paraId="02C4AC19" w14:textId="77777777" w:rsidR="00FC2094" w:rsidRPr="00023CF8" w:rsidRDefault="00FC2094" w:rsidP="00C53529">
      <w:pPr>
        <w:spacing w:line="360" w:lineRule="auto"/>
        <w:jc w:val="both"/>
      </w:pPr>
      <w:proofErr w:type="spellStart"/>
      <w:r w:rsidRPr="00023CF8">
        <w:lastRenderedPageBreak/>
        <w:t>Rissanen</w:t>
      </w:r>
      <w:proofErr w:type="spellEnd"/>
      <w:r w:rsidRPr="00023CF8">
        <w:t xml:space="preserve">, M., </w:t>
      </w:r>
      <w:proofErr w:type="spellStart"/>
      <w:r w:rsidRPr="00023CF8">
        <w:t>Pirttilä</w:t>
      </w:r>
      <w:proofErr w:type="spellEnd"/>
      <w:r w:rsidRPr="00023CF8">
        <w:t xml:space="preserve">, M., Lind, L. and </w:t>
      </w:r>
      <w:proofErr w:type="spellStart"/>
      <w:r w:rsidRPr="00023CF8">
        <w:t>Kärri</w:t>
      </w:r>
      <w:proofErr w:type="spellEnd"/>
      <w:r w:rsidRPr="00023CF8">
        <w:t xml:space="preserve">, T. (2020) ‘Reducing and reinvesting working capital in business ecosystems’, in </w:t>
      </w:r>
      <w:r w:rsidRPr="00023CF8">
        <w:rPr>
          <w:i/>
          <w:iCs/>
        </w:rPr>
        <w:t>Proceedings of the Advances in Production Management Systems Conference</w:t>
      </w:r>
      <w:r w:rsidRPr="00023CF8">
        <w:t xml:space="preserve">. pp. 192–199. Available at: </w:t>
      </w:r>
      <w:hyperlink r:id="rId99" w:tgtFrame="_new" w:history="1">
        <w:r w:rsidRPr="00023CF8">
          <w:rPr>
            <w:rStyle w:val="Hyperlink"/>
          </w:rPr>
          <w:t>https://doi.org/10.1007/978-3-030-48021-9_22</w:t>
        </w:r>
      </w:hyperlink>
    </w:p>
    <w:p w14:paraId="4E0AEC16" w14:textId="77777777" w:rsidR="00FC2094" w:rsidRPr="00FC2094" w:rsidRDefault="00FC2094" w:rsidP="00C53529">
      <w:pPr>
        <w:spacing w:line="360" w:lineRule="auto"/>
        <w:jc w:val="both"/>
      </w:pPr>
      <w:proofErr w:type="spellStart"/>
      <w:r w:rsidRPr="00FC2094">
        <w:t>Rozycki</w:t>
      </w:r>
      <w:proofErr w:type="spellEnd"/>
      <w:r w:rsidRPr="00FC2094">
        <w:t xml:space="preserve">, J., Suh, I. and Root, T. (2020) ‘From static to dynamic cost structures: The case of the railroad industry’, </w:t>
      </w:r>
      <w:r w:rsidRPr="00FC2094">
        <w:rPr>
          <w:i/>
          <w:iCs/>
        </w:rPr>
        <w:t>Journal of Corporate Accounting &amp; Finance</w:t>
      </w:r>
      <w:r w:rsidRPr="00FC2094">
        <w:t xml:space="preserve">, 31(4), pp. 166–177. </w:t>
      </w:r>
      <w:hyperlink r:id="rId100" w:tgtFrame="_new" w:history="1">
        <w:r w:rsidRPr="00FC2094">
          <w:rPr>
            <w:rStyle w:val="Hyperlink"/>
          </w:rPr>
          <w:t>https://doi.org/10.1002/jcaf.22472</w:t>
        </w:r>
      </w:hyperlink>
    </w:p>
    <w:p w14:paraId="140FD9E5" w14:textId="77777777" w:rsidR="00FC2094" w:rsidRPr="00FC2094" w:rsidRDefault="00FC2094" w:rsidP="00C53529">
      <w:pPr>
        <w:spacing w:line="360" w:lineRule="auto"/>
        <w:jc w:val="both"/>
      </w:pPr>
      <w:r w:rsidRPr="00FC2094">
        <w:t xml:space="preserve">Safira, P. and Kitri, M. (2021) ‘Assessment of investment plan and financing strategy for hobbyist-based marketplace as a new business from PT XYZ’, </w:t>
      </w:r>
      <w:proofErr w:type="spellStart"/>
      <w:r w:rsidRPr="00FC2094">
        <w:rPr>
          <w:i/>
          <w:iCs/>
        </w:rPr>
        <w:t>Jurnal</w:t>
      </w:r>
      <w:proofErr w:type="spellEnd"/>
      <w:r w:rsidRPr="00FC2094">
        <w:rPr>
          <w:i/>
          <w:iCs/>
        </w:rPr>
        <w:t xml:space="preserve"> </w:t>
      </w:r>
      <w:proofErr w:type="spellStart"/>
      <w:r w:rsidRPr="00FC2094">
        <w:rPr>
          <w:i/>
          <w:iCs/>
        </w:rPr>
        <w:t>Ilmu</w:t>
      </w:r>
      <w:proofErr w:type="spellEnd"/>
      <w:r w:rsidRPr="00FC2094">
        <w:rPr>
          <w:i/>
          <w:iCs/>
        </w:rPr>
        <w:t xml:space="preserve"> </w:t>
      </w:r>
      <w:proofErr w:type="spellStart"/>
      <w:r w:rsidRPr="00FC2094">
        <w:rPr>
          <w:i/>
          <w:iCs/>
        </w:rPr>
        <w:t>Sosial</w:t>
      </w:r>
      <w:proofErr w:type="spellEnd"/>
      <w:r w:rsidRPr="00FC2094">
        <w:rPr>
          <w:i/>
          <w:iCs/>
        </w:rPr>
        <w:t xml:space="preserve">, </w:t>
      </w:r>
      <w:proofErr w:type="spellStart"/>
      <w:r w:rsidRPr="00FC2094">
        <w:rPr>
          <w:i/>
          <w:iCs/>
        </w:rPr>
        <w:t>Politik</w:t>
      </w:r>
      <w:proofErr w:type="spellEnd"/>
      <w:r w:rsidRPr="00FC2094">
        <w:rPr>
          <w:i/>
          <w:iCs/>
        </w:rPr>
        <w:t xml:space="preserve"> </w:t>
      </w:r>
      <w:proofErr w:type="spellStart"/>
      <w:r w:rsidRPr="00FC2094">
        <w:rPr>
          <w:i/>
          <w:iCs/>
        </w:rPr>
        <w:t>dan</w:t>
      </w:r>
      <w:proofErr w:type="spellEnd"/>
      <w:r w:rsidRPr="00FC2094">
        <w:rPr>
          <w:i/>
          <w:iCs/>
        </w:rPr>
        <w:t xml:space="preserve"> </w:t>
      </w:r>
      <w:proofErr w:type="spellStart"/>
      <w:r w:rsidRPr="00FC2094">
        <w:rPr>
          <w:i/>
          <w:iCs/>
        </w:rPr>
        <w:t>Humaniora</w:t>
      </w:r>
      <w:proofErr w:type="spellEnd"/>
      <w:r w:rsidRPr="00FC2094">
        <w:t xml:space="preserve">, 4(1), pp. 1–9. </w:t>
      </w:r>
      <w:hyperlink r:id="rId101" w:tgtFrame="_new" w:history="1">
        <w:r w:rsidRPr="00FC2094">
          <w:rPr>
            <w:rStyle w:val="Hyperlink"/>
            <w:color w:val="auto"/>
            <w:u w:val="none"/>
          </w:rPr>
          <w:t>https://doi.org/10.36624/jisora.v4i1.84</w:t>
        </w:r>
      </w:hyperlink>
    </w:p>
    <w:p w14:paraId="3F26DEC3" w14:textId="77777777" w:rsidR="00FC2094" w:rsidRPr="00023CF8" w:rsidRDefault="00FC2094" w:rsidP="00C53529">
      <w:pPr>
        <w:spacing w:line="360" w:lineRule="auto"/>
        <w:jc w:val="both"/>
      </w:pPr>
      <w:proofErr w:type="spellStart"/>
      <w:r w:rsidRPr="00023CF8">
        <w:t>Sakız</w:t>
      </w:r>
      <w:proofErr w:type="spellEnd"/>
      <w:r w:rsidRPr="00023CF8">
        <w:t xml:space="preserve">, B. and </w:t>
      </w:r>
      <w:proofErr w:type="spellStart"/>
      <w:r w:rsidRPr="00023CF8">
        <w:t>Dursun</w:t>
      </w:r>
      <w:proofErr w:type="spellEnd"/>
      <w:r w:rsidRPr="00023CF8">
        <w:t xml:space="preserve">, G. (2019) ‘Financial distress and firm performance: Evidence from emerging markets’, </w:t>
      </w:r>
      <w:r w:rsidRPr="00023CF8">
        <w:rPr>
          <w:i/>
          <w:iCs/>
        </w:rPr>
        <w:t>International Journal of Business and Applied Social Science</w:t>
      </w:r>
      <w:r w:rsidRPr="00023CF8">
        <w:t xml:space="preserve">, 5(6). Available at: </w:t>
      </w:r>
      <w:hyperlink r:id="rId102" w:tgtFrame="_new" w:history="1">
        <w:r w:rsidRPr="00023CF8">
          <w:rPr>
            <w:rStyle w:val="Hyperlink"/>
          </w:rPr>
          <w:t>https://doi.org/10.33642/ijbass.v5n6p1</w:t>
        </w:r>
      </w:hyperlink>
    </w:p>
    <w:p w14:paraId="513CBE00" w14:textId="77777777" w:rsidR="00FC2094" w:rsidRPr="00023CF8" w:rsidRDefault="00FC2094" w:rsidP="00C53529">
      <w:pPr>
        <w:spacing w:line="360" w:lineRule="auto"/>
        <w:jc w:val="both"/>
      </w:pPr>
      <w:r w:rsidRPr="00023CF8">
        <w:t xml:space="preserve">Savery, Y., </w:t>
      </w:r>
      <w:proofErr w:type="spellStart"/>
      <w:r w:rsidRPr="00023CF8">
        <w:t>Haninun</w:t>
      </w:r>
      <w:proofErr w:type="spellEnd"/>
      <w:r w:rsidRPr="00023CF8">
        <w:t xml:space="preserve">, H. and </w:t>
      </w:r>
      <w:proofErr w:type="spellStart"/>
      <w:r w:rsidRPr="00023CF8">
        <w:t>Riswan</w:t>
      </w:r>
      <w:proofErr w:type="spellEnd"/>
      <w:r w:rsidRPr="00023CF8">
        <w:t xml:space="preserve">, R. (2024) ‘Financial performance to determine financial distress conditions’, </w:t>
      </w:r>
      <w:r w:rsidRPr="00023CF8">
        <w:rPr>
          <w:i/>
          <w:iCs/>
        </w:rPr>
        <w:t>Marginal Journal of Management Accounting, General Finance and International Economic Issues</w:t>
      </w:r>
      <w:r w:rsidRPr="00023CF8">
        <w:t xml:space="preserve">, 3(2), pp. 598–611. Available at: </w:t>
      </w:r>
      <w:hyperlink r:id="rId103" w:tgtFrame="_new" w:history="1">
        <w:r w:rsidRPr="00023CF8">
          <w:rPr>
            <w:rStyle w:val="Hyperlink"/>
          </w:rPr>
          <w:t>https://doi.org/10.55047/marginal.v3i2.1077</w:t>
        </w:r>
      </w:hyperlink>
    </w:p>
    <w:p w14:paraId="2251D3B4" w14:textId="77777777" w:rsidR="00FC2094" w:rsidRPr="00023CF8" w:rsidRDefault="00FC2094" w:rsidP="00C53529">
      <w:pPr>
        <w:spacing w:line="360" w:lineRule="auto"/>
        <w:jc w:val="both"/>
      </w:pPr>
      <w:r w:rsidRPr="00023CF8">
        <w:t xml:space="preserve">Shan, Y., </w:t>
      </w:r>
      <w:proofErr w:type="spellStart"/>
      <w:r w:rsidRPr="00023CF8">
        <w:t>Troshani</w:t>
      </w:r>
      <w:proofErr w:type="spellEnd"/>
      <w:r w:rsidRPr="00023CF8">
        <w:t xml:space="preserve">, I., Wang, J. and Zhang, L. (2023) ‘Managerial ownership and financial distress: Evidence from the Chinese stock market’, </w:t>
      </w:r>
      <w:r w:rsidRPr="00023CF8">
        <w:rPr>
          <w:i/>
          <w:iCs/>
        </w:rPr>
        <w:t>International Journal of Managerial Finance</w:t>
      </w:r>
      <w:r w:rsidRPr="00023CF8">
        <w:t xml:space="preserve">, 20(1), pp. 192–221. Available at: </w:t>
      </w:r>
      <w:hyperlink r:id="rId104" w:tgtFrame="_new" w:history="1">
        <w:r w:rsidRPr="00023CF8">
          <w:rPr>
            <w:rStyle w:val="Hyperlink"/>
          </w:rPr>
          <w:t>https://doi.org/10.1108/IJMF-06-2022-0270</w:t>
        </w:r>
      </w:hyperlink>
    </w:p>
    <w:p w14:paraId="383361BB" w14:textId="77777777" w:rsidR="00FC2094" w:rsidRPr="00023CF8" w:rsidRDefault="00FC2094" w:rsidP="00C53529">
      <w:pPr>
        <w:spacing w:line="360" w:lineRule="auto"/>
        <w:jc w:val="both"/>
      </w:pPr>
      <w:proofErr w:type="spellStart"/>
      <w:r w:rsidRPr="00023CF8">
        <w:t>Shishodia</w:t>
      </w:r>
      <w:proofErr w:type="spellEnd"/>
      <w:r w:rsidRPr="00023CF8">
        <w:t xml:space="preserve">, A., Dixit, V. and Verma, P. (2018) ‘Project risk analysis based on project characteristics’, </w:t>
      </w:r>
      <w:r w:rsidRPr="00023CF8">
        <w:rPr>
          <w:i/>
          <w:iCs/>
        </w:rPr>
        <w:t>Benchmarking: An International Journal</w:t>
      </w:r>
      <w:r w:rsidRPr="00023CF8">
        <w:t xml:space="preserve">, 25(3), pp. 893–918. Available at: </w:t>
      </w:r>
      <w:hyperlink r:id="rId105" w:tgtFrame="_new" w:history="1">
        <w:r w:rsidRPr="00023CF8">
          <w:rPr>
            <w:rStyle w:val="Hyperlink"/>
          </w:rPr>
          <w:t>https://doi.org/10.1108/BIJ-06-2017-0151</w:t>
        </w:r>
      </w:hyperlink>
    </w:p>
    <w:p w14:paraId="26390566" w14:textId="77777777" w:rsidR="00FC2094" w:rsidRPr="00023CF8" w:rsidRDefault="00FC2094" w:rsidP="00C53529">
      <w:pPr>
        <w:spacing w:line="360" w:lineRule="auto"/>
        <w:jc w:val="both"/>
      </w:pPr>
      <w:r w:rsidRPr="00023CF8">
        <w:t xml:space="preserve">Sibanda, L. and </w:t>
      </w:r>
      <w:proofErr w:type="spellStart"/>
      <w:r w:rsidRPr="00023CF8">
        <w:t>Tapera</w:t>
      </w:r>
      <w:proofErr w:type="spellEnd"/>
      <w:r w:rsidRPr="00023CF8">
        <w:t xml:space="preserve">, J. (2025) ‘An assessment of the Altman Z-score on predicting corporate failure: Evidence from insolvent financial companies listed on the Zimbabwe Stock Exchange’, </w:t>
      </w:r>
      <w:r w:rsidRPr="00023CF8">
        <w:rPr>
          <w:i/>
          <w:iCs/>
        </w:rPr>
        <w:t>Journal of Economics and Behavioral Studies</w:t>
      </w:r>
      <w:r w:rsidRPr="00023CF8">
        <w:t xml:space="preserve">, 17(1), pp. 55–71. Available at: </w:t>
      </w:r>
      <w:hyperlink r:id="rId106" w:tgtFrame="_new" w:history="1">
        <w:r w:rsidRPr="00023CF8">
          <w:rPr>
            <w:rStyle w:val="Hyperlink"/>
          </w:rPr>
          <w:t>https://doi.org/10.22610/jebs.v17i1(j).4363</w:t>
        </w:r>
      </w:hyperlink>
    </w:p>
    <w:p w14:paraId="7490D1F3" w14:textId="77777777" w:rsidR="00FC2094" w:rsidRPr="00023CF8" w:rsidRDefault="00FC2094" w:rsidP="00C53529">
      <w:pPr>
        <w:spacing w:line="360" w:lineRule="auto"/>
        <w:jc w:val="both"/>
      </w:pPr>
      <w:r w:rsidRPr="00023CF8">
        <w:lastRenderedPageBreak/>
        <w:t xml:space="preserve">Silva, J. and Pereira, J. (2017) ‘Adjustments to cash build-up when retaining dividends in the FCFE valuation’, </w:t>
      </w:r>
      <w:r w:rsidRPr="00023CF8">
        <w:rPr>
          <w:i/>
          <w:iCs/>
        </w:rPr>
        <w:t>Journal of Advanced Management Science</w:t>
      </w:r>
      <w:r w:rsidRPr="00023CF8">
        <w:t xml:space="preserve">, pp. 327–332. Available at: </w:t>
      </w:r>
      <w:hyperlink r:id="rId107" w:tgtFrame="_new" w:history="1">
        <w:r w:rsidRPr="00023CF8">
          <w:rPr>
            <w:rStyle w:val="Hyperlink"/>
          </w:rPr>
          <w:t>https://doi.org/10.18178/joams.5.5.327-332</w:t>
        </w:r>
      </w:hyperlink>
    </w:p>
    <w:p w14:paraId="72D34472" w14:textId="77777777" w:rsidR="00FC2094" w:rsidRPr="00023CF8" w:rsidRDefault="00FC2094" w:rsidP="00C53529">
      <w:pPr>
        <w:spacing w:line="360" w:lineRule="auto"/>
        <w:jc w:val="both"/>
      </w:pPr>
      <w:proofErr w:type="spellStart"/>
      <w:r w:rsidRPr="00023CF8">
        <w:t>Sitinjak</w:t>
      </w:r>
      <w:proofErr w:type="spellEnd"/>
      <w:r w:rsidRPr="00023CF8">
        <w:t xml:space="preserve">, P., </w:t>
      </w:r>
      <w:proofErr w:type="spellStart"/>
      <w:r w:rsidRPr="00023CF8">
        <w:t>Manurung</w:t>
      </w:r>
      <w:proofErr w:type="spellEnd"/>
      <w:r w:rsidRPr="00023CF8">
        <w:t xml:space="preserve">, A. and </w:t>
      </w:r>
      <w:proofErr w:type="spellStart"/>
      <w:r w:rsidRPr="00023CF8">
        <w:t>Gaol</w:t>
      </w:r>
      <w:proofErr w:type="spellEnd"/>
      <w:r w:rsidRPr="00023CF8">
        <w:t xml:space="preserve">, E. (2025) ‘Analysis of profitability and liquidity ratios to evaluate the financial performance of PT </w:t>
      </w:r>
      <w:proofErr w:type="spellStart"/>
      <w:r w:rsidRPr="00023CF8">
        <w:t>Sreeya</w:t>
      </w:r>
      <w:proofErr w:type="spellEnd"/>
      <w:r w:rsidRPr="00023CF8">
        <w:t xml:space="preserve"> </w:t>
      </w:r>
      <w:proofErr w:type="spellStart"/>
      <w:r w:rsidRPr="00023CF8">
        <w:t>Sewu</w:t>
      </w:r>
      <w:proofErr w:type="spellEnd"/>
      <w:r w:rsidRPr="00023CF8">
        <w:t xml:space="preserve"> </w:t>
      </w:r>
      <w:proofErr w:type="spellStart"/>
      <w:r w:rsidRPr="00023CF8">
        <w:t>Tbk</w:t>
      </w:r>
      <w:proofErr w:type="spellEnd"/>
      <w:r w:rsidRPr="00023CF8">
        <w:t xml:space="preserve"> for the period 2019–2023’, </w:t>
      </w:r>
      <w:proofErr w:type="spellStart"/>
      <w:r w:rsidRPr="00023CF8">
        <w:rPr>
          <w:i/>
          <w:iCs/>
        </w:rPr>
        <w:t>Jurnal</w:t>
      </w:r>
      <w:proofErr w:type="spellEnd"/>
      <w:r w:rsidRPr="00023CF8">
        <w:rPr>
          <w:i/>
          <w:iCs/>
        </w:rPr>
        <w:t xml:space="preserve"> </w:t>
      </w:r>
      <w:proofErr w:type="spellStart"/>
      <w:r w:rsidRPr="00023CF8">
        <w:rPr>
          <w:i/>
          <w:iCs/>
        </w:rPr>
        <w:t>Ekonomi</w:t>
      </w:r>
      <w:proofErr w:type="spellEnd"/>
      <w:r w:rsidRPr="00023CF8">
        <w:rPr>
          <w:i/>
          <w:iCs/>
        </w:rPr>
        <w:t xml:space="preserve"> </w:t>
      </w:r>
      <w:proofErr w:type="spellStart"/>
      <w:r w:rsidRPr="00023CF8">
        <w:rPr>
          <w:i/>
          <w:iCs/>
        </w:rPr>
        <w:t>dan</w:t>
      </w:r>
      <w:proofErr w:type="spellEnd"/>
      <w:r w:rsidRPr="00023CF8">
        <w:rPr>
          <w:i/>
          <w:iCs/>
        </w:rPr>
        <w:t xml:space="preserve"> </w:t>
      </w:r>
      <w:proofErr w:type="spellStart"/>
      <w:r w:rsidRPr="00023CF8">
        <w:rPr>
          <w:i/>
          <w:iCs/>
        </w:rPr>
        <w:t>Manajemen</w:t>
      </w:r>
      <w:proofErr w:type="spellEnd"/>
      <w:r w:rsidRPr="00023CF8">
        <w:t xml:space="preserve">, 4(2), pp. 127–135. Available at: </w:t>
      </w:r>
      <w:hyperlink r:id="rId108" w:tgtFrame="_new" w:history="1">
        <w:r w:rsidRPr="00023CF8">
          <w:rPr>
            <w:rStyle w:val="Hyperlink"/>
          </w:rPr>
          <w:t>https://doi.org/10.56127/jekma.v4i2.2102</w:t>
        </w:r>
      </w:hyperlink>
    </w:p>
    <w:p w14:paraId="2DF5BC48" w14:textId="77777777" w:rsidR="00FC2094" w:rsidRPr="00023CF8" w:rsidRDefault="00FC2094" w:rsidP="00C53529">
      <w:pPr>
        <w:spacing w:line="360" w:lineRule="auto"/>
        <w:jc w:val="both"/>
      </w:pPr>
      <w:proofErr w:type="spellStart"/>
      <w:r w:rsidRPr="00023CF8">
        <w:t>Skogsvik</w:t>
      </w:r>
      <w:proofErr w:type="spellEnd"/>
      <w:r w:rsidRPr="00023CF8">
        <w:t xml:space="preserve">, K., </w:t>
      </w:r>
      <w:proofErr w:type="spellStart"/>
      <w:r w:rsidRPr="00023CF8">
        <w:t>Skogsvik</w:t>
      </w:r>
      <w:proofErr w:type="spellEnd"/>
      <w:r w:rsidRPr="00023CF8">
        <w:t xml:space="preserve">, S. and Andersson, H. (2023) ‘Bankruptcy risk in discounted cash flow equity valuation’, </w:t>
      </w:r>
      <w:r w:rsidRPr="00023CF8">
        <w:rPr>
          <w:i/>
          <w:iCs/>
        </w:rPr>
        <w:t>Journal of Risk and Financial Management</w:t>
      </w:r>
      <w:r w:rsidRPr="00023CF8">
        <w:t xml:space="preserve">, 16(11), p. 476. Available at: </w:t>
      </w:r>
      <w:hyperlink r:id="rId109" w:tgtFrame="_new" w:history="1">
        <w:r w:rsidRPr="00023CF8">
          <w:rPr>
            <w:rStyle w:val="Hyperlink"/>
          </w:rPr>
          <w:t>https://doi.org/10.3390/jrfm16110476</w:t>
        </w:r>
      </w:hyperlink>
    </w:p>
    <w:p w14:paraId="4744DB2A" w14:textId="77777777" w:rsidR="00FC2094" w:rsidRPr="00FC2094" w:rsidRDefault="00FC2094" w:rsidP="00C53529">
      <w:pPr>
        <w:spacing w:line="360" w:lineRule="auto"/>
        <w:jc w:val="both"/>
      </w:pPr>
      <w:proofErr w:type="spellStart"/>
      <w:r w:rsidRPr="00FC2094">
        <w:t>Sukhina</w:t>
      </w:r>
      <w:proofErr w:type="spellEnd"/>
      <w:r w:rsidRPr="00FC2094">
        <w:t xml:space="preserve">, N., Lebedeva, E., Zhuravlev, P., </w:t>
      </w:r>
      <w:proofErr w:type="spellStart"/>
      <w:r w:rsidRPr="00FC2094">
        <w:t>Chernykh</w:t>
      </w:r>
      <w:proofErr w:type="spellEnd"/>
      <w:r w:rsidRPr="00FC2094">
        <w:t xml:space="preserve">, I., Kotova, X. and Hajiyev, H. (2021) ‘Financial management methods and ways to optimize costs’, </w:t>
      </w:r>
      <w:r w:rsidRPr="00FC2094">
        <w:rPr>
          <w:i/>
          <w:iCs/>
        </w:rPr>
        <w:t>International Review</w:t>
      </w:r>
      <w:r w:rsidRPr="00FC2094">
        <w:t xml:space="preserve">, (3–4), pp. 179–187. </w:t>
      </w:r>
      <w:hyperlink r:id="rId110" w:tgtFrame="_new" w:history="1">
        <w:r w:rsidRPr="00FC2094">
          <w:rPr>
            <w:rStyle w:val="Hyperlink"/>
          </w:rPr>
          <w:t>https://doi.org/10.5937/intrev2103177s</w:t>
        </w:r>
      </w:hyperlink>
    </w:p>
    <w:p w14:paraId="3798BF43" w14:textId="77777777" w:rsidR="00FC2094" w:rsidRPr="00023CF8" w:rsidRDefault="00FC2094" w:rsidP="00C53529">
      <w:pPr>
        <w:spacing w:line="360" w:lineRule="auto"/>
        <w:jc w:val="both"/>
      </w:pPr>
      <w:r w:rsidRPr="00023CF8">
        <w:t xml:space="preserve">Susilowati, K., </w:t>
      </w:r>
      <w:proofErr w:type="spellStart"/>
      <w:r w:rsidRPr="00023CF8">
        <w:t>Riwajanti</w:t>
      </w:r>
      <w:proofErr w:type="spellEnd"/>
      <w:r w:rsidRPr="00023CF8">
        <w:t xml:space="preserve">, N.I. and </w:t>
      </w:r>
      <w:proofErr w:type="spellStart"/>
      <w:r w:rsidRPr="00023CF8">
        <w:t>Widiastuti</w:t>
      </w:r>
      <w:proofErr w:type="spellEnd"/>
      <w:r w:rsidRPr="00023CF8">
        <w:t xml:space="preserve">, R. (2021) ‘Financial analysis to predict financial distress of small and medium-sized entities in Malang City’, </w:t>
      </w:r>
      <w:r w:rsidRPr="00023CF8">
        <w:rPr>
          <w:i/>
          <w:iCs/>
        </w:rPr>
        <w:t>Advances in Economics, Business and Management Research</w:t>
      </w:r>
      <w:r w:rsidRPr="00023CF8">
        <w:t xml:space="preserve">, 183. Available at: </w:t>
      </w:r>
      <w:hyperlink r:id="rId111" w:tgtFrame="_new" w:history="1">
        <w:r w:rsidRPr="00023CF8">
          <w:rPr>
            <w:rStyle w:val="Hyperlink"/>
          </w:rPr>
          <w:t>https://doi.org/10.2991/aebmr.k.210717.035</w:t>
        </w:r>
      </w:hyperlink>
    </w:p>
    <w:p w14:paraId="79EE417B" w14:textId="77777777" w:rsidR="00FC2094" w:rsidRPr="00023CF8" w:rsidRDefault="00FC2094" w:rsidP="00C53529">
      <w:pPr>
        <w:spacing w:line="360" w:lineRule="auto"/>
        <w:jc w:val="both"/>
      </w:pPr>
      <w:r w:rsidRPr="00023CF8">
        <w:t xml:space="preserve">Susilowati, K., </w:t>
      </w:r>
      <w:proofErr w:type="spellStart"/>
      <w:r w:rsidRPr="00023CF8">
        <w:t>Riwajanti</w:t>
      </w:r>
      <w:proofErr w:type="spellEnd"/>
      <w:r w:rsidRPr="00023CF8">
        <w:t xml:space="preserve">, N.I. and </w:t>
      </w:r>
      <w:proofErr w:type="spellStart"/>
      <w:r w:rsidRPr="00023CF8">
        <w:t>Widiastuti</w:t>
      </w:r>
      <w:proofErr w:type="spellEnd"/>
      <w:r w:rsidRPr="00023CF8">
        <w:t xml:space="preserve">, R. (2021) ‘Financial analysis to predict financial distress of small and medium-sized entities in Malang City’, </w:t>
      </w:r>
      <w:r w:rsidRPr="00023CF8">
        <w:rPr>
          <w:i/>
          <w:iCs/>
        </w:rPr>
        <w:t>Advances in Economics, Business and Management Research</w:t>
      </w:r>
      <w:r w:rsidRPr="00023CF8">
        <w:t xml:space="preserve">, 183. Available at: </w:t>
      </w:r>
      <w:hyperlink r:id="rId112" w:tgtFrame="_new" w:history="1">
        <w:r w:rsidRPr="00023CF8">
          <w:rPr>
            <w:rStyle w:val="Hyperlink"/>
          </w:rPr>
          <w:t>https://doi.org/10.2991/aebmr.k.210717.035</w:t>
        </w:r>
      </w:hyperlink>
    </w:p>
    <w:p w14:paraId="44530B36" w14:textId="77777777" w:rsidR="00FC2094" w:rsidRPr="00FC2094" w:rsidRDefault="00FC2094" w:rsidP="00C53529">
      <w:pPr>
        <w:spacing w:line="360" w:lineRule="auto"/>
        <w:jc w:val="both"/>
      </w:pPr>
      <w:r w:rsidRPr="00FC2094">
        <w:t xml:space="preserve">Tao, Q., Zahid, Z., Mughal, A. and Shahzad, F. (2020) ‘Does operating leverage increase firm’s profitability and bankruptcy risk? Evidence from China’s entry into WTO’, </w:t>
      </w:r>
      <w:r w:rsidRPr="00FC2094">
        <w:rPr>
          <w:i/>
          <w:iCs/>
        </w:rPr>
        <w:t>International Journal of Finance &amp; Economics</w:t>
      </w:r>
      <w:r w:rsidRPr="00FC2094">
        <w:t xml:space="preserve">, 27(4), pp. 4705–4721. </w:t>
      </w:r>
      <w:hyperlink r:id="rId113" w:tgtFrame="_new" w:history="1">
        <w:r w:rsidRPr="00FC2094">
          <w:rPr>
            <w:rStyle w:val="Hyperlink"/>
          </w:rPr>
          <w:t>https://doi.org/10.1002/ijfe.2395</w:t>
        </w:r>
      </w:hyperlink>
    </w:p>
    <w:p w14:paraId="40E1F673" w14:textId="77777777" w:rsidR="00FC2094" w:rsidRPr="00FC2094" w:rsidRDefault="00FC2094" w:rsidP="00C53529">
      <w:pPr>
        <w:spacing w:line="360" w:lineRule="auto"/>
        <w:jc w:val="both"/>
      </w:pPr>
      <w:proofErr w:type="spellStart"/>
      <w:r w:rsidRPr="00FC2094">
        <w:t>Warrad</w:t>
      </w:r>
      <w:proofErr w:type="spellEnd"/>
      <w:r w:rsidRPr="00FC2094">
        <w:t xml:space="preserve">, L. and Omari, R. (2015) ‘The impact of turnover ratios on Jordanian services sectors’ performance’, </w:t>
      </w:r>
      <w:r w:rsidRPr="00FC2094">
        <w:rPr>
          <w:i/>
          <w:iCs/>
        </w:rPr>
        <w:t>Journal of Modern Accounting and Auditing</w:t>
      </w:r>
      <w:r w:rsidRPr="00FC2094">
        <w:t xml:space="preserve">, 11(2). </w:t>
      </w:r>
      <w:hyperlink r:id="rId114" w:tgtFrame="_new" w:history="1">
        <w:r w:rsidRPr="00FC2094">
          <w:rPr>
            <w:rStyle w:val="Hyperlink"/>
          </w:rPr>
          <w:t>https://doi.org/10.17265/1548-6583/2015.02.001</w:t>
        </w:r>
      </w:hyperlink>
    </w:p>
    <w:p w14:paraId="37B87FD5" w14:textId="77777777" w:rsidR="00FC2094" w:rsidRDefault="00FC2094" w:rsidP="00C53529">
      <w:pPr>
        <w:spacing w:line="360" w:lineRule="auto"/>
        <w:jc w:val="both"/>
      </w:pPr>
      <w:r w:rsidRPr="00FC2094">
        <w:lastRenderedPageBreak/>
        <w:t xml:space="preserve">Yang, G. (2023) ‘The impact of debt disposal on risk prevention of financing companies: The basis of market-oriented transformation development’, </w:t>
      </w:r>
      <w:r w:rsidRPr="00FC2094">
        <w:rPr>
          <w:i/>
          <w:iCs/>
        </w:rPr>
        <w:t>Financial Engineering and Risk Management</w:t>
      </w:r>
      <w:r w:rsidRPr="00FC2094">
        <w:t xml:space="preserve">, 6(11). </w:t>
      </w:r>
      <w:hyperlink r:id="rId115" w:tgtFrame="_new" w:history="1">
        <w:r w:rsidRPr="00FC2094">
          <w:rPr>
            <w:rStyle w:val="Hyperlink"/>
            <w:color w:val="auto"/>
            <w:u w:val="none"/>
          </w:rPr>
          <w:t>https://doi.org/10.23977/ferm.2023.061118</w:t>
        </w:r>
      </w:hyperlink>
      <w:r>
        <w:t xml:space="preserve"> </w:t>
      </w:r>
    </w:p>
    <w:p w14:paraId="3C0CD0FE" w14:textId="77777777" w:rsidR="00FC2094" w:rsidRPr="00023CF8" w:rsidRDefault="00FC2094" w:rsidP="00C53529">
      <w:pPr>
        <w:spacing w:line="360" w:lineRule="auto"/>
        <w:jc w:val="both"/>
      </w:pPr>
      <w:r w:rsidRPr="00023CF8">
        <w:t xml:space="preserve">Zen, R. and </w:t>
      </w:r>
      <w:proofErr w:type="spellStart"/>
      <w:r w:rsidRPr="00023CF8">
        <w:t>Marfinto</w:t>
      </w:r>
      <w:proofErr w:type="spellEnd"/>
      <w:r w:rsidRPr="00023CF8">
        <w:t xml:space="preserve">, A. (2025) ‘Analysis of liquidity and profitability ratios in measuring the financial performance of PT Garuda Food Putra </w:t>
      </w:r>
      <w:proofErr w:type="spellStart"/>
      <w:r w:rsidRPr="00023CF8">
        <w:t>Putri</w:t>
      </w:r>
      <w:proofErr w:type="spellEnd"/>
      <w:r w:rsidRPr="00023CF8">
        <w:t xml:space="preserve"> Jaya </w:t>
      </w:r>
      <w:proofErr w:type="spellStart"/>
      <w:r w:rsidRPr="00023CF8">
        <w:t>Tbk</w:t>
      </w:r>
      <w:proofErr w:type="spellEnd"/>
      <w:r w:rsidRPr="00023CF8">
        <w:t xml:space="preserve"> listed on the Indonesia Stock Exchange’, </w:t>
      </w:r>
      <w:proofErr w:type="spellStart"/>
      <w:r w:rsidRPr="00023CF8">
        <w:rPr>
          <w:i/>
          <w:iCs/>
        </w:rPr>
        <w:t>Jurnal</w:t>
      </w:r>
      <w:proofErr w:type="spellEnd"/>
      <w:r w:rsidRPr="00023CF8">
        <w:rPr>
          <w:i/>
          <w:iCs/>
        </w:rPr>
        <w:t xml:space="preserve"> </w:t>
      </w:r>
      <w:proofErr w:type="spellStart"/>
      <w:r w:rsidRPr="00023CF8">
        <w:rPr>
          <w:i/>
          <w:iCs/>
        </w:rPr>
        <w:t>Manajemen</w:t>
      </w:r>
      <w:proofErr w:type="spellEnd"/>
      <w:r w:rsidRPr="00023CF8">
        <w:rPr>
          <w:i/>
          <w:iCs/>
        </w:rPr>
        <w:t xml:space="preserve"> </w:t>
      </w:r>
      <w:proofErr w:type="spellStart"/>
      <w:r w:rsidRPr="00023CF8">
        <w:rPr>
          <w:i/>
          <w:iCs/>
        </w:rPr>
        <w:t>Bisnis</w:t>
      </w:r>
      <w:proofErr w:type="spellEnd"/>
      <w:r w:rsidRPr="00023CF8">
        <w:rPr>
          <w:i/>
          <w:iCs/>
        </w:rPr>
        <w:t xml:space="preserve"> </w:t>
      </w:r>
      <w:proofErr w:type="spellStart"/>
      <w:r w:rsidRPr="00023CF8">
        <w:rPr>
          <w:i/>
          <w:iCs/>
        </w:rPr>
        <w:t>dan</w:t>
      </w:r>
      <w:proofErr w:type="spellEnd"/>
      <w:r w:rsidRPr="00023CF8">
        <w:rPr>
          <w:i/>
          <w:iCs/>
        </w:rPr>
        <w:t xml:space="preserve"> </w:t>
      </w:r>
      <w:proofErr w:type="spellStart"/>
      <w:r w:rsidRPr="00023CF8">
        <w:rPr>
          <w:i/>
          <w:iCs/>
        </w:rPr>
        <w:t>Kewirausahaan</w:t>
      </w:r>
      <w:proofErr w:type="spellEnd"/>
      <w:r w:rsidRPr="00023CF8">
        <w:t xml:space="preserve">, 5(1), pp. 321–332. Available at: </w:t>
      </w:r>
      <w:hyperlink r:id="rId116" w:tgtFrame="_new" w:history="1">
        <w:r w:rsidRPr="00023CF8">
          <w:rPr>
            <w:rStyle w:val="Hyperlink"/>
          </w:rPr>
          <w:t>https://doi.org/10.55606/jumbiku.v5i1.5722</w:t>
        </w:r>
      </w:hyperlink>
    </w:p>
    <w:p w14:paraId="5C37625C" w14:textId="53EBFEBC" w:rsidR="00FC2094" w:rsidRPr="00FC2094" w:rsidRDefault="00FC2094" w:rsidP="00C53529">
      <w:pPr>
        <w:spacing w:line="360" w:lineRule="auto"/>
        <w:jc w:val="both"/>
        <w:rPr>
          <w:rStyle w:val="Hyperlink"/>
        </w:rPr>
      </w:pPr>
      <w:r w:rsidRPr="00023CF8">
        <w:t xml:space="preserve">Zhan, J., Zhang, G., Chong, H.-Y. and Chen, X. (2024) ‘Blockchain and supply-chain financing: An evolutionary game approach with guarantee considerations’, </w:t>
      </w:r>
      <w:r w:rsidRPr="00023CF8">
        <w:rPr>
          <w:i/>
          <w:iCs/>
        </w:rPr>
        <w:t>Journal of Theoretical and Applied Electronic Commerce Research</w:t>
      </w:r>
      <w:r w:rsidRPr="00023CF8">
        <w:t xml:space="preserve">, 19(2), pp. 1616–1636. Available at: </w:t>
      </w:r>
      <w:hyperlink r:id="rId117" w:tgtFrame="_new" w:history="1">
        <w:r w:rsidRPr="00023CF8">
          <w:rPr>
            <w:rStyle w:val="Hyperlink"/>
          </w:rPr>
          <w:t>https://doi.org/10.3390/jtaer19020079</w:t>
        </w:r>
      </w:hyperlink>
    </w:p>
    <w:p w14:paraId="47FEDE7C" w14:textId="73982064" w:rsidR="00945753" w:rsidRDefault="00945753" w:rsidP="00C53529">
      <w:pPr>
        <w:pStyle w:val="Heading1"/>
        <w:spacing w:line="360" w:lineRule="auto"/>
        <w:jc w:val="both"/>
        <w:rPr>
          <w:rStyle w:val="Hyperlink"/>
        </w:rPr>
      </w:pPr>
      <w:bookmarkStart w:id="24" w:name="_Toc217249706"/>
      <w:r>
        <w:rPr>
          <w:rStyle w:val="Hyperlink"/>
        </w:rPr>
        <w:t>8. Appendix</w:t>
      </w:r>
      <w:bookmarkEnd w:id="24"/>
    </w:p>
    <w:p w14:paraId="53A231C9" w14:textId="7E268951" w:rsidR="00FC2094" w:rsidRPr="00FC2094" w:rsidRDefault="00FC2094" w:rsidP="00C53529">
      <w:pPr>
        <w:pStyle w:val="Heading2"/>
        <w:spacing w:line="360" w:lineRule="auto"/>
        <w:jc w:val="both"/>
      </w:pPr>
      <w:bookmarkStart w:id="25" w:name="_Toc217249707"/>
      <w:r w:rsidRPr="00FC2094">
        <w:t>APPENDIX A – FINANCIAL PERFORMANCE TABLES</w:t>
      </w:r>
      <w:bookmarkEnd w:id="25"/>
    </w:p>
    <w:p w14:paraId="105CC2CA" w14:textId="77777777" w:rsidR="00FC2094" w:rsidRPr="00FC2094" w:rsidRDefault="00FC2094" w:rsidP="00C53529">
      <w:pPr>
        <w:spacing w:line="360" w:lineRule="auto"/>
        <w:jc w:val="both"/>
        <w:rPr>
          <w:b/>
          <w:bCs/>
        </w:rPr>
      </w:pPr>
      <w:r w:rsidRPr="00FC2094">
        <w:rPr>
          <w:b/>
          <w:bCs/>
        </w:rPr>
        <w:t>Table A1: Five-Year Income Statement Trend Summary (2020–2024)</w:t>
      </w:r>
    </w:p>
    <w:tbl>
      <w:tblPr>
        <w:tblStyle w:val="GridTable4-Accent1"/>
        <w:tblW w:w="0" w:type="auto"/>
        <w:tblLook w:val="04A0" w:firstRow="1" w:lastRow="0" w:firstColumn="1" w:lastColumn="0" w:noHBand="0" w:noVBand="1"/>
      </w:tblPr>
      <w:tblGrid>
        <w:gridCol w:w="750"/>
        <w:gridCol w:w="1515"/>
        <w:gridCol w:w="1654"/>
        <w:gridCol w:w="2490"/>
        <w:gridCol w:w="1986"/>
        <w:gridCol w:w="955"/>
      </w:tblGrid>
      <w:tr w:rsidR="00FC2094" w:rsidRPr="00FC2094" w14:paraId="68AB54B2"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A97FE5" w14:textId="77777777" w:rsidR="00FC2094" w:rsidRPr="00FC2094" w:rsidRDefault="00FC2094" w:rsidP="00C53529">
            <w:pPr>
              <w:spacing w:after="160" w:line="360" w:lineRule="auto"/>
              <w:jc w:val="both"/>
            </w:pPr>
            <w:r w:rsidRPr="00FC2094">
              <w:t>Year</w:t>
            </w:r>
          </w:p>
        </w:tc>
        <w:tc>
          <w:tcPr>
            <w:tcW w:w="0" w:type="auto"/>
            <w:hideMark/>
          </w:tcPr>
          <w:p w14:paraId="6E9C5D17"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Revenue (£m)</w:t>
            </w:r>
          </w:p>
        </w:tc>
        <w:tc>
          <w:tcPr>
            <w:tcW w:w="0" w:type="auto"/>
            <w:hideMark/>
          </w:tcPr>
          <w:p w14:paraId="7FAC2094"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Gross Profit (£m)</w:t>
            </w:r>
          </w:p>
        </w:tc>
        <w:tc>
          <w:tcPr>
            <w:tcW w:w="0" w:type="auto"/>
            <w:hideMark/>
          </w:tcPr>
          <w:p w14:paraId="096ADD42"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Operating Profit / (Loss) (£m)</w:t>
            </w:r>
          </w:p>
        </w:tc>
        <w:tc>
          <w:tcPr>
            <w:tcW w:w="0" w:type="auto"/>
            <w:hideMark/>
          </w:tcPr>
          <w:p w14:paraId="63B6DA75"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Net Profit / (Loss) (£m)</w:t>
            </w:r>
          </w:p>
        </w:tc>
        <w:tc>
          <w:tcPr>
            <w:tcW w:w="0" w:type="auto"/>
            <w:hideMark/>
          </w:tcPr>
          <w:p w14:paraId="78E79E28"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EPS (£)</w:t>
            </w:r>
          </w:p>
        </w:tc>
      </w:tr>
      <w:tr w:rsidR="00FC2094" w:rsidRPr="00FC2094" w14:paraId="0A0FA771"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DD2DB9" w14:textId="77777777" w:rsidR="00FC2094" w:rsidRPr="00FC2094" w:rsidRDefault="00FC2094" w:rsidP="00C53529">
            <w:pPr>
              <w:spacing w:after="160" w:line="360" w:lineRule="auto"/>
              <w:jc w:val="both"/>
            </w:pPr>
            <w:r w:rsidRPr="00FC2094">
              <w:t>2020</w:t>
            </w:r>
          </w:p>
        </w:tc>
        <w:tc>
          <w:tcPr>
            <w:tcW w:w="0" w:type="auto"/>
            <w:hideMark/>
          </w:tcPr>
          <w:p w14:paraId="332FCBC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614,680</w:t>
            </w:r>
          </w:p>
        </w:tc>
        <w:tc>
          <w:tcPr>
            <w:tcW w:w="0" w:type="auto"/>
            <w:hideMark/>
          </w:tcPr>
          <w:p w14:paraId="4BA871C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176,256</w:t>
            </w:r>
          </w:p>
        </w:tc>
        <w:tc>
          <w:tcPr>
            <w:tcW w:w="0" w:type="auto"/>
            <w:hideMark/>
          </w:tcPr>
          <w:p w14:paraId="1821776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37,267</w:t>
            </w:r>
          </w:p>
        </w:tc>
        <w:tc>
          <w:tcPr>
            <w:tcW w:w="0" w:type="auto"/>
            <w:hideMark/>
          </w:tcPr>
          <w:p w14:paraId="56EF307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38,572</w:t>
            </w:r>
          </w:p>
        </w:tc>
        <w:tc>
          <w:tcPr>
            <w:tcW w:w="0" w:type="auto"/>
            <w:hideMark/>
          </w:tcPr>
          <w:p w14:paraId="3122407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2.78</w:t>
            </w:r>
          </w:p>
        </w:tc>
      </w:tr>
      <w:tr w:rsidR="00FC2094" w:rsidRPr="00FC2094" w14:paraId="347B9566"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159752D9" w14:textId="77777777" w:rsidR="00FC2094" w:rsidRPr="00FC2094" w:rsidRDefault="00FC2094" w:rsidP="00C53529">
            <w:pPr>
              <w:spacing w:after="160" w:line="360" w:lineRule="auto"/>
              <w:jc w:val="both"/>
            </w:pPr>
            <w:r w:rsidRPr="00FC2094">
              <w:t>2021</w:t>
            </w:r>
          </w:p>
        </w:tc>
        <w:tc>
          <w:tcPr>
            <w:tcW w:w="0" w:type="auto"/>
            <w:hideMark/>
          </w:tcPr>
          <w:p w14:paraId="69521C8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601,602</w:t>
            </w:r>
          </w:p>
        </w:tc>
        <w:tc>
          <w:tcPr>
            <w:tcW w:w="0" w:type="auto"/>
            <w:hideMark/>
          </w:tcPr>
          <w:p w14:paraId="0E1D751C"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173,016</w:t>
            </w:r>
          </w:p>
        </w:tc>
        <w:tc>
          <w:tcPr>
            <w:tcW w:w="0" w:type="auto"/>
            <w:hideMark/>
          </w:tcPr>
          <w:p w14:paraId="1B2275A3"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23,253</w:t>
            </w:r>
          </w:p>
        </w:tc>
        <w:tc>
          <w:tcPr>
            <w:tcW w:w="0" w:type="auto"/>
            <w:hideMark/>
          </w:tcPr>
          <w:p w14:paraId="1407A61D"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5,301</w:t>
            </w:r>
          </w:p>
        </w:tc>
        <w:tc>
          <w:tcPr>
            <w:tcW w:w="0" w:type="auto"/>
            <w:hideMark/>
          </w:tcPr>
          <w:p w14:paraId="047C6D59"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0.39</w:t>
            </w:r>
          </w:p>
        </w:tc>
      </w:tr>
      <w:tr w:rsidR="00FC2094" w:rsidRPr="00FC2094" w14:paraId="61DC8026"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1F2806" w14:textId="77777777" w:rsidR="00FC2094" w:rsidRPr="00FC2094" w:rsidRDefault="00FC2094" w:rsidP="00C53529">
            <w:pPr>
              <w:spacing w:after="160" w:line="360" w:lineRule="auto"/>
              <w:jc w:val="both"/>
            </w:pPr>
            <w:r w:rsidRPr="00FC2094">
              <w:t>2022</w:t>
            </w:r>
          </w:p>
        </w:tc>
        <w:tc>
          <w:tcPr>
            <w:tcW w:w="0" w:type="auto"/>
            <w:hideMark/>
          </w:tcPr>
          <w:p w14:paraId="3A4F29F9"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542,751</w:t>
            </w:r>
          </w:p>
        </w:tc>
        <w:tc>
          <w:tcPr>
            <w:tcW w:w="0" w:type="auto"/>
            <w:hideMark/>
          </w:tcPr>
          <w:p w14:paraId="0A0A0D5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152,292</w:t>
            </w:r>
          </w:p>
        </w:tc>
        <w:tc>
          <w:tcPr>
            <w:tcW w:w="0" w:type="auto"/>
            <w:hideMark/>
          </w:tcPr>
          <w:p w14:paraId="3EAEEBA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14,548</w:t>
            </w:r>
          </w:p>
        </w:tc>
        <w:tc>
          <w:tcPr>
            <w:tcW w:w="0" w:type="auto"/>
            <w:hideMark/>
          </w:tcPr>
          <w:p w14:paraId="5792EA6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407</w:t>
            </w:r>
          </w:p>
        </w:tc>
        <w:tc>
          <w:tcPr>
            <w:tcW w:w="0" w:type="auto"/>
            <w:hideMark/>
          </w:tcPr>
          <w:p w14:paraId="3A36C2D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0.03</w:t>
            </w:r>
          </w:p>
        </w:tc>
      </w:tr>
      <w:tr w:rsidR="00FC2094" w:rsidRPr="00FC2094" w14:paraId="7BBA94F9"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632D22CB" w14:textId="77777777" w:rsidR="00FC2094" w:rsidRPr="00FC2094" w:rsidRDefault="00FC2094" w:rsidP="00C53529">
            <w:pPr>
              <w:spacing w:after="160" w:line="360" w:lineRule="auto"/>
              <w:jc w:val="both"/>
            </w:pPr>
            <w:r w:rsidRPr="00FC2094">
              <w:t>2023</w:t>
            </w:r>
          </w:p>
        </w:tc>
        <w:tc>
          <w:tcPr>
            <w:tcW w:w="0" w:type="auto"/>
            <w:hideMark/>
          </w:tcPr>
          <w:p w14:paraId="559CC2A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420,457</w:t>
            </w:r>
          </w:p>
        </w:tc>
        <w:tc>
          <w:tcPr>
            <w:tcW w:w="0" w:type="auto"/>
            <w:hideMark/>
          </w:tcPr>
          <w:p w14:paraId="79E452A3"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97,560</w:t>
            </w:r>
          </w:p>
        </w:tc>
        <w:tc>
          <w:tcPr>
            <w:tcW w:w="0" w:type="auto"/>
            <w:hideMark/>
          </w:tcPr>
          <w:p w14:paraId="47432C7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(85,301)</w:t>
            </w:r>
          </w:p>
        </w:tc>
        <w:tc>
          <w:tcPr>
            <w:tcW w:w="0" w:type="auto"/>
            <w:hideMark/>
          </w:tcPr>
          <w:p w14:paraId="770E287F"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(98,238)</w:t>
            </w:r>
          </w:p>
        </w:tc>
        <w:tc>
          <w:tcPr>
            <w:tcW w:w="0" w:type="auto"/>
            <w:hideMark/>
          </w:tcPr>
          <w:p w14:paraId="75348AB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(7.64)</w:t>
            </w:r>
          </w:p>
        </w:tc>
      </w:tr>
      <w:tr w:rsidR="00FC2094" w:rsidRPr="00FC2094" w14:paraId="5565A35D"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F21675" w14:textId="77777777" w:rsidR="00FC2094" w:rsidRPr="00FC2094" w:rsidRDefault="00FC2094" w:rsidP="00C53529">
            <w:pPr>
              <w:spacing w:after="160" w:line="360" w:lineRule="auto"/>
              <w:jc w:val="both"/>
            </w:pPr>
            <w:r w:rsidRPr="00FC2094">
              <w:t>2024</w:t>
            </w:r>
          </w:p>
        </w:tc>
        <w:tc>
          <w:tcPr>
            <w:tcW w:w="0" w:type="auto"/>
            <w:hideMark/>
          </w:tcPr>
          <w:p w14:paraId="4554660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394,879</w:t>
            </w:r>
          </w:p>
        </w:tc>
        <w:tc>
          <w:tcPr>
            <w:tcW w:w="0" w:type="auto"/>
            <w:hideMark/>
          </w:tcPr>
          <w:p w14:paraId="51DB57D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113,994</w:t>
            </w:r>
          </w:p>
        </w:tc>
        <w:tc>
          <w:tcPr>
            <w:tcW w:w="0" w:type="auto"/>
            <w:hideMark/>
          </w:tcPr>
          <w:p w14:paraId="66C499A8"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(15,297)</w:t>
            </w:r>
          </w:p>
        </w:tc>
        <w:tc>
          <w:tcPr>
            <w:tcW w:w="0" w:type="auto"/>
            <w:hideMark/>
          </w:tcPr>
          <w:p w14:paraId="1F47ACBB"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(24,029)</w:t>
            </w:r>
          </w:p>
        </w:tc>
        <w:tc>
          <w:tcPr>
            <w:tcW w:w="0" w:type="auto"/>
            <w:hideMark/>
          </w:tcPr>
          <w:p w14:paraId="1BBA4E9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(1.85)</w:t>
            </w:r>
          </w:p>
        </w:tc>
      </w:tr>
    </w:tbl>
    <w:p w14:paraId="483C37F0" w14:textId="77777777" w:rsidR="00945753" w:rsidRDefault="00945753" w:rsidP="00C53529">
      <w:pPr>
        <w:spacing w:line="360" w:lineRule="auto"/>
        <w:jc w:val="both"/>
      </w:pPr>
    </w:p>
    <w:p w14:paraId="24BA1B57" w14:textId="77777777" w:rsidR="00FC2094" w:rsidRPr="00FC2094" w:rsidRDefault="00FC2094" w:rsidP="00C53529">
      <w:pPr>
        <w:spacing w:line="360" w:lineRule="auto"/>
        <w:jc w:val="both"/>
        <w:rPr>
          <w:b/>
          <w:bCs/>
        </w:rPr>
      </w:pPr>
      <w:r w:rsidRPr="00FC2094">
        <w:rPr>
          <w:b/>
          <w:bCs/>
        </w:rPr>
        <w:t>Table A2: Profitability Ratio Analysis (2020–2024)</w:t>
      </w:r>
    </w:p>
    <w:tbl>
      <w:tblPr>
        <w:tblStyle w:val="GridTable4-Accent1"/>
        <w:tblW w:w="0" w:type="auto"/>
        <w:tblLook w:val="04A0" w:firstRow="1" w:lastRow="0" w:firstColumn="1" w:lastColumn="0" w:noHBand="0" w:noVBand="1"/>
      </w:tblPr>
      <w:tblGrid>
        <w:gridCol w:w="750"/>
        <w:gridCol w:w="2203"/>
        <w:gridCol w:w="2643"/>
        <w:gridCol w:w="1896"/>
        <w:gridCol w:w="1057"/>
      </w:tblGrid>
      <w:tr w:rsidR="00FC2094" w:rsidRPr="00FC2094" w14:paraId="0ED5E3DD"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7A6FC" w14:textId="77777777" w:rsidR="00FC2094" w:rsidRPr="00FC2094" w:rsidRDefault="00FC2094" w:rsidP="00C53529">
            <w:pPr>
              <w:spacing w:after="160" w:line="360" w:lineRule="auto"/>
              <w:jc w:val="both"/>
            </w:pPr>
            <w:r w:rsidRPr="00FC2094">
              <w:t>Year</w:t>
            </w:r>
          </w:p>
        </w:tc>
        <w:tc>
          <w:tcPr>
            <w:tcW w:w="0" w:type="auto"/>
            <w:hideMark/>
          </w:tcPr>
          <w:p w14:paraId="2A8DC4E0"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Gross Margin (%)</w:t>
            </w:r>
          </w:p>
        </w:tc>
        <w:tc>
          <w:tcPr>
            <w:tcW w:w="0" w:type="auto"/>
            <w:hideMark/>
          </w:tcPr>
          <w:p w14:paraId="1BC6891D"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Operating Margin (%)</w:t>
            </w:r>
          </w:p>
        </w:tc>
        <w:tc>
          <w:tcPr>
            <w:tcW w:w="0" w:type="auto"/>
            <w:hideMark/>
          </w:tcPr>
          <w:p w14:paraId="2A86D8CE"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Net Margin (%)</w:t>
            </w:r>
          </w:p>
        </w:tc>
        <w:tc>
          <w:tcPr>
            <w:tcW w:w="0" w:type="auto"/>
            <w:hideMark/>
          </w:tcPr>
          <w:p w14:paraId="12382451"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EPS (£)</w:t>
            </w:r>
          </w:p>
        </w:tc>
      </w:tr>
      <w:tr w:rsidR="00FC2094" w:rsidRPr="00FC2094" w14:paraId="59F9FA28"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33DBF" w14:textId="77777777" w:rsidR="00FC2094" w:rsidRPr="00FC2094" w:rsidRDefault="00FC2094" w:rsidP="00C53529">
            <w:pPr>
              <w:spacing w:after="160" w:line="360" w:lineRule="auto"/>
              <w:jc w:val="both"/>
            </w:pPr>
            <w:r w:rsidRPr="00FC2094">
              <w:lastRenderedPageBreak/>
              <w:t>2020</w:t>
            </w:r>
          </w:p>
        </w:tc>
        <w:tc>
          <w:tcPr>
            <w:tcW w:w="0" w:type="auto"/>
            <w:hideMark/>
          </w:tcPr>
          <w:p w14:paraId="31B4A58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28.7</w:t>
            </w:r>
          </w:p>
        </w:tc>
        <w:tc>
          <w:tcPr>
            <w:tcW w:w="0" w:type="auto"/>
            <w:hideMark/>
          </w:tcPr>
          <w:p w14:paraId="7A3ED70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6.1</w:t>
            </w:r>
          </w:p>
        </w:tc>
        <w:tc>
          <w:tcPr>
            <w:tcW w:w="0" w:type="auto"/>
            <w:hideMark/>
          </w:tcPr>
          <w:p w14:paraId="57CCF19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6.3</w:t>
            </w:r>
          </w:p>
        </w:tc>
        <w:tc>
          <w:tcPr>
            <w:tcW w:w="0" w:type="auto"/>
            <w:hideMark/>
          </w:tcPr>
          <w:p w14:paraId="6C5D7FB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2.78</w:t>
            </w:r>
          </w:p>
        </w:tc>
      </w:tr>
      <w:tr w:rsidR="00FC2094" w:rsidRPr="00FC2094" w14:paraId="74505418"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65FEA679" w14:textId="77777777" w:rsidR="00FC2094" w:rsidRPr="00FC2094" w:rsidRDefault="00FC2094" w:rsidP="00C53529">
            <w:pPr>
              <w:spacing w:after="160" w:line="360" w:lineRule="auto"/>
              <w:jc w:val="both"/>
            </w:pPr>
            <w:r w:rsidRPr="00FC2094">
              <w:t>2021</w:t>
            </w:r>
          </w:p>
        </w:tc>
        <w:tc>
          <w:tcPr>
            <w:tcW w:w="0" w:type="auto"/>
            <w:hideMark/>
          </w:tcPr>
          <w:p w14:paraId="754556E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28.8</w:t>
            </w:r>
          </w:p>
        </w:tc>
        <w:tc>
          <w:tcPr>
            <w:tcW w:w="0" w:type="auto"/>
            <w:hideMark/>
          </w:tcPr>
          <w:p w14:paraId="0023F22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3.9</w:t>
            </w:r>
          </w:p>
        </w:tc>
        <w:tc>
          <w:tcPr>
            <w:tcW w:w="0" w:type="auto"/>
            <w:hideMark/>
          </w:tcPr>
          <w:p w14:paraId="7E0D7CFC"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0.9</w:t>
            </w:r>
          </w:p>
        </w:tc>
        <w:tc>
          <w:tcPr>
            <w:tcW w:w="0" w:type="auto"/>
            <w:hideMark/>
          </w:tcPr>
          <w:p w14:paraId="6680BFF0"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0.39</w:t>
            </w:r>
          </w:p>
        </w:tc>
      </w:tr>
      <w:tr w:rsidR="00FC2094" w:rsidRPr="00FC2094" w14:paraId="21869DB9"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B70ADD" w14:textId="77777777" w:rsidR="00FC2094" w:rsidRPr="00FC2094" w:rsidRDefault="00FC2094" w:rsidP="00C53529">
            <w:pPr>
              <w:spacing w:after="160" w:line="360" w:lineRule="auto"/>
              <w:jc w:val="both"/>
            </w:pPr>
            <w:r w:rsidRPr="00FC2094">
              <w:t>2022</w:t>
            </w:r>
          </w:p>
        </w:tc>
        <w:tc>
          <w:tcPr>
            <w:tcW w:w="0" w:type="auto"/>
            <w:hideMark/>
          </w:tcPr>
          <w:p w14:paraId="31289AB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28.1</w:t>
            </w:r>
          </w:p>
        </w:tc>
        <w:tc>
          <w:tcPr>
            <w:tcW w:w="0" w:type="auto"/>
            <w:hideMark/>
          </w:tcPr>
          <w:p w14:paraId="7DC48E4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2.7</w:t>
            </w:r>
          </w:p>
        </w:tc>
        <w:tc>
          <w:tcPr>
            <w:tcW w:w="0" w:type="auto"/>
            <w:hideMark/>
          </w:tcPr>
          <w:p w14:paraId="78927F1F"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0.1</w:t>
            </w:r>
          </w:p>
        </w:tc>
        <w:tc>
          <w:tcPr>
            <w:tcW w:w="0" w:type="auto"/>
            <w:hideMark/>
          </w:tcPr>
          <w:p w14:paraId="2723BFED"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0.03</w:t>
            </w:r>
          </w:p>
        </w:tc>
      </w:tr>
      <w:tr w:rsidR="00FC2094" w:rsidRPr="00FC2094" w14:paraId="7358F6F5"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445D85A4" w14:textId="77777777" w:rsidR="00FC2094" w:rsidRPr="00FC2094" w:rsidRDefault="00FC2094" w:rsidP="00C53529">
            <w:pPr>
              <w:spacing w:after="160" w:line="360" w:lineRule="auto"/>
              <w:jc w:val="both"/>
            </w:pPr>
            <w:r w:rsidRPr="00FC2094">
              <w:t>2023</w:t>
            </w:r>
          </w:p>
        </w:tc>
        <w:tc>
          <w:tcPr>
            <w:tcW w:w="0" w:type="auto"/>
            <w:hideMark/>
          </w:tcPr>
          <w:p w14:paraId="52DCD0B3"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23.2</w:t>
            </w:r>
          </w:p>
        </w:tc>
        <w:tc>
          <w:tcPr>
            <w:tcW w:w="0" w:type="auto"/>
            <w:hideMark/>
          </w:tcPr>
          <w:p w14:paraId="7C3F40FC"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(20.3)</w:t>
            </w:r>
          </w:p>
        </w:tc>
        <w:tc>
          <w:tcPr>
            <w:tcW w:w="0" w:type="auto"/>
            <w:hideMark/>
          </w:tcPr>
          <w:p w14:paraId="21ACFB36"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(23.4)</w:t>
            </w:r>
          </w:p>
        </w:tc>
        <w:tc>
          <w:tcPr>
            <w:tcW w:w="0" w:type="auto"/>
            <w:hideMark/>
          </w:tcPr>
          <w:p w14:paraId="042DFD3E"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(7.64)</w:t>
            </w:r>
          </w:p>
        </w:tc>
      </w:tr>
      <w:tr w:rsidR="00FC2094" w:rsidRPr="00FC2094" w14:paraId="1D164F84"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70120" w14:textId="77777777" w:rsidR="00FC2094" w:rsidRPr="00FC2094" w:rsidRDefault="00FC2094" w:rsidP="00C53529">
            <w:pPr>
              <w:spacing w:after="160" w:line="360" w:lineRule="auto"/>
              <w:jc w:val="both"/>
            </w:pPr>
            <w:r w:rsidRPr="00FC2094">
              <w:t>2024</w:t>
            </w:r>
          </w:p>
        </w:tc>
        <w:tc>
          <w:tcPr>
            <w:tcW w:w="0" w:type="auto"/>
            <w:hideMark/>
          </w:tcPr>
          <w:p w14:paraId="22C306A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28.9</w:t>
            </w:r>
          </w:p>
        </w:tc>
        <w:tc>
          <w:tcPr>
            <w:tcW w:w="0" w:type="auto"/>
            <w:hideMark/>
          </w:tcPr>
          <w:p w14:paraId="2EE359A9"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(3.9)</w:t>
            </w:r>
          </w:p>
        </w:tc>
        <w:tc>
          <w:tcPr>
            <w:tcW w:w="0" w:type="auto"/>
            <w:hideMark/>
          </w:tcPr>
          <w:p w14:paraId="62F3812F"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(6.1)</w:t>
            </w:r>
          </w:p>
        </w:tc>
        <w:tc>
          <w:tcPr>
            <w:tcW w:w="0" w:type="auto"/>
            <w:hideMark/>
          </w:tcPr>
          <w:p w14:paraId="32AFCB48"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(1.85)</w:t>
            </w:r>
          </w:p>
        </w:tc>
      </w:tr>
    </w:tbl>
    <w:p w14:paraId="1200F5A8" w14:textId="77777777" w:rsidR="00FC2094" w:rsidRPr="00FC2094" w:rsidRDefault="00FC2094" w:rsidP="00C53529">
      <w:pPr>
        <w:spacing w:line="360" w:lineRule="auto"/>
        <w:jc w:val="both"/>
        <w:rPr>
          <w:b/>
          <w:bCs/>
        </w:rPr>
      </w:pPr>
      <w:r w:rsidRPr="00FC2094">
        <w:rPr>
          <w:b/>
          <w:bCs/>
        </w:rPr>
        <w:t>Table A3: Liquidity and Short-Term Solvency Ratios</w:t>
      </w:r>
    </w:p>
    <w:tbl>
      <w:tblPr>
        <w:tblStyle w:val="GridTable4-Accent1"/>
        <w:tblW w:w="0" w:type="auto"/>
        <w:tblLook w:val="04A0" w:firstRow="1" w:lastRow="0" w:firstColumn="1" w:lastColumn="0" w:noHBand="0" w:noVBand="1"/>
      </w:tblPr>
      <w:tblGrid>
        <w:gridCol w:w="750"/>
        <w:gridCol w:w="1750"/>
        <w:gridCol w:w="1550"/>
        <w:gridCol w:w="3283"/>
      </w:tblGrid>
      <w:tr w:rsidR="00FC2094" w:rsidRPr="00FC2094" w14:paraId="5BD135B6"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DCDFDC" w14:textId="77777777" w:rsidR="00FC2094" w:rsidRPr="00FC2094" w:rsidRDefault="00FC2094" w:rsidP="00C53529">
            <w:pPr>
              <w:spacing w:after="160" w:line="360" w:lineRule="auto"/>
              <w:jc w:val="both"/>
            </w:pPr>
            <w:r w:rsidRPr="00FC2094">
              <w:t>Year</w:t>
            </w:r>
          </w:p>
        </w:tc>
        <w:tc>
          <w:tcPr>
            <w:tcW w:w="0" w:type="auto"/>
            <w:hideMark/>
          </w:tcPr>
          <w:p w14:paraId="3984CCBF"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Current Ratio</w:t>
            </w:r>
          </w:p>
        </w:tc>
        <w:tc>
          <w:tcPr>
            <w:tcW w:w="0" w:type="auto"/>
            <w:hideMark/>
          </w:tcPr>
          <w:p w14:paraId="36AF7C5A"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Quick Ratio</w:t>
            </w:r>
          </w:p>
        </w:tc>
        <w:tc>
          <w:tcPr>
            <w:tcW w:w="0" w:type="auto"/>
            <w:hideMark/>
          </w:tcPr>
          <w:p w14:paraId="05424EAF"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Operating Cash Flow Ratio</w:t>
            </w:r>
          </w:p>
        </w:tc>
      </w:tr>
      <w:tr w:rsidR="00FC2094" w:rsidRPr="00FC2094" w14:paraId="14100EB2"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06726B" w14:textId="77777777" w:rsidR="00FC2094" w:rsidRPr="00FC2094" w:rsidRDefault="00FC2094" w:rsidP="00C53529">
            <w:pPr>
              <w:spacing w:after="160" w:line="360" w:lineRule="auto"/>
              <w:jc w:val="both"/>
            </w:pPr>
            <w:r w:rsidRPr="00FC2094">
              <w:t>2020</w:t>
            </w:r>
          </w:p>
        </w:tc>
        <w:tc>
          <w:tcPr>
            <w:tcW w:w="0" w:type="auto"/>
            <w:hideMark/>
          </w:tcPr>
          <w:p w14:paraId="06602A8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1.82</w:t>
            </w:r>
          </w:p>
        </w:tc>
        <w:tc>
          <w:tcPr>
            <w:tcW w:w="0" w:type="auto"/>
            <w:hideMark/>
          </w:tcPr>
          <w:p w14:paraId="324CEEC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1.15</w:t>
            </w:r>
          </w:p>
        </w:tc>
        <w:tc>
          <w:tcPr>
            <w:tcW w:w="0" w:type="auto"/>
            <w:hideMark/>
          </w:tcPr>
          <w:p w14:paraId="4C7087A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0.41</w:t>
            </w:r>
          </w:p>
        </w:tc>
      </w:tr>
      <w:tr w:rsidR="00FC2094" w:rsidRPr="00FC2094" w14:paraId="01213F14"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47108906" w14:textId="77777777" w:rsidR="00FC2094" w:rsidRPr="00FC2094" w:rsidRDefault="00FC2094" w:rsidP="00C53529">
            <w:pPr>
              <w:spacing w:after="160" w:line="360" w:lineRule="auto"/>
              <w:jc w:val="both"/>
            </w:pPr>
            <w:r w:rsidRPr="00FC2094">
              <w:t>2021</w:t>
            </w:r>
          </w:p>
        </w:tc>
        <w:tc>
          <w:tcPr>
            <w:tcW w:w="0" w:type="auto"/>
            <w:hideMark/>
          </w:tcPr>
          <w:p w14:paraId="6065742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1.56</w:t>
            </w:r>
          </w:p>
        </w:tc>
        <w:tc>
          <w:tcPr>
            <w:tcW w:w="0" w:type="auto"/>
            <w:hideMark/>
          </w:tcPr>
          <w:p w14:paraId="2F261F9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0.94</w:t>
            </w:r>
          </w:p>
        </w:tc>
        <w:tc>
          <w:tcPr>
            <w:tcW w:w="0" w:type="auto"/>
            <w:hideMark/>
          </w:tcPr>
          <w:p w14:paraId="64969D66"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0.19</w:t>
            </w:r>
          </w:p>
        </w:tc>
      </w:tr>
      <w:tr w:rsidR="00FC2094" w:rsidRPr="00FC2094" w14:paraId="6AD8C942"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DA0C1" w14:textId="77777777" w:rsidR="00FC2094" w:rsidRPr="00FC2094" w:rsidRDefault="00FC2094" w:rsidP="00C53529">
            <w:pPr>
              <w:spacing w:after="160" w:line="360" w:lineRule="auto"/>
              <w:jc w:val="both"/>
            </w:pPr>
            <w:r w:rsidRPr="00FC2094">
              <w:t>2022</w:t>
            </w:r>
          </w:p>
        </w:tc>
        <w:tc>
          <w:tcPr>
            <w:tcW w:w="0" w:type="auto"/>
            <w:hideMark/>
          </w:tcPr>
          <w:p w14:paraId="358CF8B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1.56</w:t>
            </w:r>
          </w:p>
        </w:tc>
        <w:tc>
          <w:tcPr>
            <w:tcW w:w="0" w:type="auto"/>
            <w:hideMark/>
          </w:tcPr>
          <w:p w14:paraId="7C2D3E97"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0.92</w:t>
            </w:r>
          </w:p>
        </w:tc>
        <w:tc>
          <w:tcPr>
            <w:tcW w:w="0" w:type="auto"/>
            <w:hideMark/>
          </w:tcPr>
          <w:p w14:paraId="6EC7321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0.05</w:t>
            </w:r>
          </w:p>
        </w:tc>
      </w:tr>
      <w:tr w:rsidR="00FC2094" w:rsidRPr="00FC2094" w14:paraId="53710CCD"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19ADD866" w14:textId="77777777" w:rsidR="00FC2094" w:rsidRPr="00FC2094" w:rsidRDefault="00FC2094" w:rsidP="00C53529">
            <w:pPr>
              <w:spacing w:after="160" w:line="360" w:lineRule="auto"/>
              <w:jc w:val="both"/>
            </w:pPr>
            <w:r w:rsidRPr="00FC2094">
              <w:t>2023</w:t>
            </w:r>
          </w:p>
        </w:tc>
        <w:tc>
          <w:tcPr>
            <w:tcW w:w="0" w:type="auto"/>
            <w:hideMark/>
          </w:tcPr>
          <w:p w14:paraId="3D53786D"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1.61</w:t>
            </w:r>
          </w:p>
        </w:tc>
        <w:tc>
          <w:tcPr>
            <w:tcW w:w="0" w:type="auto"/>
            <w:hideMark/>
          </w:tcPr>
          <w:p w14:paraId="463FD05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1.06</w:t>
            </w:r>
          </w:p>
        </w:tc>
        <w:tc>
          <w:tcPr>
            <w:tcW w:w="0" w:type="auto"/>
            <w:hideMark/>
          </w:tcPr>
          <w:p w14:paraId="1928F5F9"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0.16</w:t>
            </w:r>
          </w:p>
        </w:tc>
      </w:tr>
      <w:tr w:rsidR="00FC2094" w:rsidRPr="00FC2094" w14:paraId="58007B71"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04E8EB" w14:textId="77777777" w:rsidR="00FC2094" w:rsidRPr="00FC2094" w:rsidRDefault="00FC2094" w:rsidP="00C53529">
            <w:pPr>
              <w:spacing w:after="160" w:line="360" w:lineRule="auto"/>
              <w:jc w:val="both"/>
            </w:pPr>
            <w:r w:rsidRPr="00FC2094">
              <w:t>2024</w:t>
            </w:r>
          </w:p>
        </w:tc>
        <w:tc>
          <w:tcPr>
            <w:tcW w:w="0" w:type="auto"/>
            <w:hideMark/>
          </w:tcPr>
          <w:p w14:paraId="5E684E0B"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1.53</w:t>
            </w:r>
          </w:p>
        </w:tc>
        <w:tc>
          <w:tcPr>
            <w:tcW w:w="0" w:type="auto"/>
            <w:hideMark/>
          </w:tcPr>
          <w:p w14:paraId="6286F18F"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1.03</w:t>
            </w:r>
          </w:p>
        </w:tc>
        <w:tc>
          <w:tcPr>
            <w:tcW w:w="0" w:type="auto"/>
            <w:hideMark/>
          </w:tcPr>
          <w:p w14:paraId="6DEDD49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0.09</w:t>
            </w:r>
          </w:p>
        </w:tc>
      </w:tr>
    </w:tbl>
    <w:p w14:paraId="523624AB" w14:textId="77777777" w:rsidR="00FC2094" w:rsidRPr="00FC2094" w:rsidRDefault="00FC2094" w:rsidP="00C53529">
      <w:pPr>
        <w:spacing w:line="360" w:lineRule="auto"/>
        <w:jc w:val="both"/>
        <w:rPr>
          <w:b/>
          <w:bCs/>
        </w:rPr>
      </w:pPr>
      <w:r w:rsidRPr="00FC2094">
        <w:rPr>
          <w:b/>
          <w:bCs/>
        </w:rPr>
        <w:t>Table A4: Efficiency and Asset Utilisation Ratios</w:t>
      </w:r>
    </w:p>
    <w:tbl>
      <w:tblPr>
        <w:tblStyle w:val="GridTable4-Accent1"/>
        <w:tblW w:w="0" w:type="auto"/>
        <w:tblLook w:val="04A0" w:firstRow="1" w:lastRow="0" w:firstColumn="1" w:lastColumn="0" w:noHBand="0" w:noVBand="1"/>
      </w:tblPr>
      <w:tblGrid>
        <w:gridCol w:w="750"/>
        <w:gridCol w:w="2726"/>
        <w:gridCol w:w="1436"/>
        <w:gridCol w:w="1529"/>
        <w:gridCol w:w="2909"/>
      </w:tblGrid>
      <w:tr w:rsidR="00FC2094" w:rsidRPr="00FC2094" w14:paraId="652C3F9C"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29A33E" w14:textId="77777777" w:rsidR="00FC2094" w:rsidRPr="00FC2094" w:rsidRDefault="00FC2094" w:rsidP="00C53529">
            <w:pPr>
              <w:spacing w:after="160" w:line="360" w:lineRule="auto"/>
              <w:jc w:val="both"/>
            </w:pPr>
            <w:r w:rsidRPr="00FC2094">
              <w:t>Year</w:t>
            </w:r>
          </w:p>
        </w:tc>
        <w:tc>
          <w:tcPr>
            <w:tcW w:w="0" w:type="auto"/>
            <w:hideMark/>
          </w:tcPr>
          <w:p w14:paraId="12684350"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Inventory Turnover (x)</w:t>
            </w:r>
          </w:p>
        </w:tc>
        <w:tc>
          <w:tcPr>
            <w:tcW w:w="0" w:type="auto"/>
            <w:hideMark/>
          </w:tcPr>
          <w:p w14:paraId="44EB19F9"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DIO (Days)</w:t>
            </w:r>
          </w:p>
        </w:tc>
        <w:tc>
          <w:tcPr>
            <w:tcW w:w="0" w:type="auto"/>
            <w:hideMark/>
          </w:tcPr>
          <w:p w14:paraId="0A5041FF"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DSO (Days)</w:t>
            </w:r>
          </w:p>
        </w:tc>
        <w:tc>
          <w:tcPr>
            <w:tcW w:w="0" w:type="auto"/>
            <w:hideMark/>
          </w:tcPr>
          <w:p w14:paraId="440093A0"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Total Asset Turnover (x)</w:t>
            </w:r>
          </w:p>
        </w:tc>
      </w:tr>
      <w:tr w:rsidR="00FC2094" w:rsidRPr="00FC2094" w14:paraId="33F9BE0A"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911F62" w14:textId="77777777" w:rsidR="00FC2094" w:rsidRPr="00FC2094" w:rsidRDefault="00FC2094" w:rsidP="00C53529">
            <w:pPr>
              <w:spacing w:after="160" w:line="360" w:lineRule="auto"/>
              <w:jc w:val="both"/>
            </w:pPr>
            <w:r w:rsidRPr="00FC2094">
              <w:t>2020</w:t>
            </w:r>
          </w:p>
        </w:tc>
        <w:tc>
          <w:tcPr>
            <w:tcW w:w="0" w:type="auto"/>
            <w:hideMark/>
          </w:tcPr>
          <w:p w14:paraId="736DD907"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3.64</w:t>
            </w:r>
          </w:p>
        </w:tc>
        <w:tc>
          <w:tcPr>
            <w:tcW w:w="0" w:type="auto"/>
            <w:hideMark/>
          </w:tcPr>
          <w:p w14:paraId="582BC71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100</w:t>
            </w:r>
          </w:p>
        </w:tc>
        <w:tc>
          <w:tcPr>
            <w:tcW w:w="0" w:type="auto"/>
            <w:hideMark/>
          </w:tcPr>
          <w:p w14:paraId="2280DC2D"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77</w:t>
            </w:r>
          </w:p>
        </w:tc>
        <w:tc>
          <w:tcPr>
            <w:tcW w:w="0" w:type="auto"/>
            <w:hideMark/>
          </w:tcPr>
          <w:p w14:paraId="448B6DA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1.20</w:t>
            </w:r>
          </w:p>
        </w:tc>
      </w:tr>
      <w:tr w:rsidR="00FC2094" w:rsidRPr="00FC2094" w14:paraId="6A4B5745"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0EFC457A" w14:textId="77777777" w:rsidR="00FC2094" w:rsidRPr="00FC2094" w:rsidRDefault="00FC2094" w:rsidP="00C53529">
            <w:pPr>
              <w:spacing w:after="160" w:line="360" w:lineRule="auto"/>
              <w:jc w:val="both"/>
            </w:pPr>
            <w:r w:rsidRPr="00FC2094">
              <w:t>2021</w:t>
            </w:r>
          </w:p>
        </w:tc>
        <w:tc>
          <w:tcPr>
            <w:tcW w:w="0" w:type="auto"/>
            <w:hideMark/>
          </w:tcPr>
          <w:p w14:paraId="7F020380"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3.19</w:t>
            </w:r>
          </w:p>
        </w:tc>
        <w:tc>
          <w:tcPr>
            <w:tcW w:w="0" w:type="auto"/>
            <w:hideMark/>
          </w:tcPr>
          <w:p w14:paraId="0B4D4FD2"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114</w:t>
            </w:r>
          </w:p>
        </w:tc>
        <w:tc>
          <w:tcPr>
            <w:tcW w:w="0" w:type="auto"/>
            <w:hideMark/>
          </w:tcPr>
          <w:p w14:paraId="2FFBEAC1"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78</w:t>
            </w:r>
          </w:p>
        </w:tc>
        <w:tc>
          <w:tcPr>
            <w:tcW w:w="0" w:type="auto"/>
            <w:hideMark/>
          </w:tcPr>
          <w:p w14:paraId="6E69C22E"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1.18</w:t>
            </w:r>
          </w:p>
        </w:tc>
      </w:tr>
      <w:tr w:rsidR="00FC2094" w:rsidRPr="00FC2094" w14:paraId="50012040"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FD5F2" w14:textId="77777777" w:rsidR="00FC2094" w:rsidRPr="00FC2094" w:rsidRDefault="00FC2094" w:rsidP="00C53529">
            <w:pPr>
              <w:spacing w:after="160" w:line="360" w:lineRule="auto"/>
              <w:jc w:val="both"/>
            </w:pPr>
            <w:r w:rsidRPr="00FC2094">
              <w:t>2022</w:t>
            </w:r>
          </w:p>
        </w:tc>
        <w:tc>
          <w:tcPr>
            <w:tcW w:w="0" w:type="auto"/>
            <w:hideMark/>
          </w:tcPr>
          <w:p w14:paraId="629F839F"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2.79</w:t>
            </w:r>
          </w:p>
        </w:tc>
        <w:tc>
          <w:tcPr>
            <w:tcW w:w="0" w:type="auto"/>
            <w:hideMark/>
          </w:tcPr>
          <w:p w14:paraId="1C895B6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131</w:t>
            </w:r>
          </w:p>
        </w:tc>
        <w:tc>
          <w:tcPr>
            <w:tcW w:w="0" w:type="auto"/>
            <w:hideMark/>
          </w:tcPr>
          <w:p w14:paraId="5C83724D"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76</w:t>
            </w:r>
          </w:p>
        </w:tc>
        <w:tc>
          <w:tcPr>
            <w:tcW w:w="0" w:type="auto"/>
            <w:hideMark/>
          </w:tcPr>
          <w:p w14:paraId="39C4DA8D"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1.08</w:t>
            </w:r>
          </w:p>
        </w:tc>
      </w:tr>
      <w:tr w:rsidR="00FC2094" w:rsidRPr="00FC2094" w14:paraId="63011FE5"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563F0699" w14:textId="77777777" w:rsidR="00FC2094" w:rsidRPr="00FC2094" w:rsidRDefault="00FC2094" w:rsidP="00C53529">
            <w:pPr>
              <w:spacing w:after="160" w:line="360" w:lineRule="auto"/>
              <w:jc w:val="both"/>
            </w:pPr>
            <w:r w:rsidRPr="00FC2094">
              <w:t>2023</w:t>
            </w:r>
          </w:p>
        </w:tc>
        <w:tc>
          <w:tcPr>
            <w:tcW w:w="0" w:type="auto"/>
            <w:hideMark/>
          </w:tcPr>
          <w:p w14:paraId="4AED0322"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3.66</w:t>
            </w:r>
          </w:p>
        </w:tc>
        <w:tc>
          <w:tcPr>
            <w:tcW w:w="0" w:type="auto"/>
            <w:hideMark/>
          </w:tcPr>
          <w:p w14:paraId="019E0A3E"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100</w:t>
            </w:r>
          </w:p>
        </w:tc>
        <w:tc>
          <w:tcPr>
            <w:tcW w:w="0" w:type="auto"/>
            <w:hideMark/>
          </w:tcPr>
          <w:p w14:paraId="26FBACA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98</w:t>
            </w:r>
          </w:p>
        </w:tc>
        <w:tc>
          <w:tcPr>
            <w:tcW w:w="0" w:type="auto"/>
            <w:hideMark/>
          </w:tcPr>
          <w:p w14:paraId="201BBBD2"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1.18</w:t>
            </w:r>
          </w:p>
        </w:tc>
      </w:tr>
      <w:tr w:rsidR="00FC2094" w:rsidRPr="00FC2094" w14:paraId="46DFBBBA"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318A04" w14:textId="77777777" w:rsidR="00FC2094" w:rsidRPr="00FC2094" w:rsidRDefault="00FC2094" w:rsidP="00C53529">
            <w:pPr>
              <w:spacing w:after="160" w:line="360" w:lineRule="auto"/>
              <w:jc w:val="both"/>
            </w:pPr>
            <w:r w:rsidRPr="00FC2094">
              <w:t>2024</w:t>
            </w:r>
          </w:p>
        </w:tc>
        <w:tc>
          <w:tcPr>
            <w:tcW w:w="0" w:type="auto"/>
            <w:hideMark/>
          </w:tcPr>
          <w:p w14:paraId="30889A5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3.54</w:t>
            </w:r>
          </w:p>
        </w:tc>
        <w:tc>
          <w:tcPr>
            <w:tcW w:w="0" w:type="auto"/>
            <w:hideMark/>
          </w:tcPr>
          <w:p w14:paraId="0394C74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103</w:t>
            </w:r>
          </w:p>
        </w:tc>
        <w:tc>
          <w:tcPr>
            <w:tcW w:w="0" w:type="auto"/>
            <w:hideMark/>
          </w:tcPr>
          <w:p w14:paraId="7DACDA6E"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105</w:t>
            </w:r>
          </w:p>
        </w:tc>
        <w:tc>
          <w:tcPr>
            <w:tcW w:w="0" w:type="auto"/>
            <w:hideMark/>
          </w:tcPr>
          <w:p w14:paraId="6B44BBA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1.22</w:t>
            </w:r>
          </w:p>
        </w:tc>
      </w:tr>
    </w:tbl>
    <w:p w14:paraId="3A638D80" w14:textId="77777777" w:rsidR="00FC2094" w:rsidRPr="00FC2094" w:rsidRDefault="00FC2094" w:rsidP="00C53529">
      <w:pPr>
        <w:spacing w:line="360" w:lineRule="auto"/>
        <w:jc w:val="both"/>
        <w:rPr>
          <w:b/>
          <w:bCs/>
        </w:rPr>
      </w:pPr>
      <w:r w:rsidRPr="00FC2094">
        <w:rPr>
          <w:b/>
          <w:bCs/>
        </w:rPr>
        <w:t>Table A5: Capital Structure and Gearing Indicators</w:t>
      </w:r>
    </w:p>
    <w:tbl>
      <w:tblPr>
        <w:tblStyle w:val="GridTable4-Accent1"/>
        <w:tblW w:w="0" w:type="auto"/>
        <w:tblLook w:val="04A0" w:firstRow="1" w:lastRow="0" w:firstColumn="1" w:lastColumn="0" w:noHBand="0" w:noVBand="1"/>
      </w:tblPr>
      <w:tblGrid>
        <w:gridCol w:w="751"/>
        <w:gridCol w:w="2192"/>
        <w:gridCol w:w="2801"/>
        <w:gridCol w:w="1618"/>
        <w:gridCol w:w="1988"/>
      </w:tblGrid>
      <w:tr w:rsidR="00FC2094" w:rsidRPr="00FC2094" w14:paraId="4863DF71"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83C9F" w14:textId="77777777" w:rsidR="00FC2094" w:rsidRPr="00FC2094" w:rsidRDefault="00FC2094" w:rsidP="00C53529">
            <w:pPr>
              <w:spacing w:after="160" w:line="360" w:lineRule="auto"/>
              <w:jc w:val="both"/>
            </w:pPr>
            <w:r w:rsidRPr="00FC2094">
              <w:t>Year</w:t>
            </w:r>
          </w:p>
        </w:tc>
        <w:tc>
          <w:tcPr>
            <w:tcW w:w="0" w:type="auto"/>
            <w:hideMark/>
          </w:tcPr>
          <w:p w14:paraId="407A606D"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Total Liabilities (£m)</w:t>
            </w:r>
          </w:p>
        </w:tc>
        <w:tc>
          <w:tcPr>
            <w:tcW w:w="0" w:type="auto"/>
            <w:hideMark/>
          </w:tcPr>
          <w:p w14:paraId="31D20612"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Shareholders’ Equity (£m)</w:t>
            </w:r>
          </w:p>
        </w:tc>
        <w:tc>
          <w:tcPr>
            <w:tcW w:w="0" w:type="auto"/>
            <w:hideMark/>
          </w:tcPr>
          <w:p w14:paraId="613FBD86"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Debt-to-Equity</w:t>
            </w:r>
          </w:p>
        </w:tc>
        <w:tc>
          <w:tcPr>
            <w:tcW w:w="0" w:type="auto"/>
            <w:hideMark/>
          </w:tcPr>
          <w:p w14:paraId="6556A77A"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Interest Coverage</w:t>
            </w:r>
          </w:p>
        </w:tc>
      </w:tr>
      <w:tr w:rsidR="00FC2094" w:rsidRPr="00FC2094" w14:paraId="665786EF"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7FD003" w14:textId="77777777" w:rsidR="00FC2094" w:rsidRPr="00FC2094" w:rsidRDefault="00FC2094" w:rsidP="00C53529">
            <w:pPr>
              <w:spacing w:after="160" w:line="360" w:lineRule="auto"/>
              <w:jc w:val="both"/>
            </w:pPr>
            <w:r w:rsidRPr="00FC2094">
              <w:lastRenderedPageBreak/>
              <w:t>2020</w:t>
            </w:r>
          </w:p>
        </w:tc>
        <w:tc>
          <w:tcPr>
            <w:tcW w:w="0" w:type="auto"/>
            <w:hideMark/>
          </w:tcPr>
          <w:p w14:paraId="545BD46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196,989</w:t>
            </w:r>
          </w:p>
        </w:tc>
        <w:tc>
          <w:tcPr>
            <w:tcW w:w="0" w:type="auto"/>
            <w:hideMark/>
          </w:tcPr>
          <w:p w14:paraId="61EFB6E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313,301</w:t>
            </w:r>
          </w:p>
        </w:tc>
        <w:tc>
          <w:tcPr>
            <w:tcW w:w="0" w:type="auto"/>
            <w:hideMark/>
          </w:tcPr>
          <w:p w14:paraId="4447923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0.63</w:t>
            </w:r>
          </w:p>
        </w:tc>
        <w:tc>
          <w:tcPr>
            <w:tcW w:w="0" w:type="auto"/>
            <w:hideMark/>
          </w:tcPr>
          <w:p w14:paraId="08C0C52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26.2</w:t>
            </w:r>
          </w:p>
        </w:tc>
      </w:tr>
      <w:tr w:rsidR="00FC2094" w:rsidRPr="00FC2094" w14:paraId="03792FC2"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46E07A02" w14:textId="77777777" w:rsidR="00FC2094" w:rsidRPr="00FC2094" w:rsidRDefault="00FC2094" w:rsidP="00C53529">
            <w:pPr>
              <w:spacing w:after="160" w:line="360" w:lineRule="auto"/>
              <w:jc w:val="both"/>
            </w:pPr>
            <w:r w:rsidRPr="00FC2094">
              <w:t>2021</w:t>
            </w:r>
          </w:p>
        </w:tc>
        <w:tc>
          <w:tcPr>
            <w:tcW w:w="0" w:type="auto"/>
            <w:hideMark/>
          </w:tcPr>
          <w:p w14:paraId="2CB569E2"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234,399</w:t>
            </w:r>
          </w:p>
        </w:tc>
        <w:tc>
          <w:tcPr>
            <w:tcW w:w="0" w:type="auto"/>
            <w:hideMark/>
          </w:tcPr>
          <w:p w14:paraId="46ABBDB2"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275,949</w:t>
            </w:r>
          </w:p>
        </w:tc>
        <w:tc>
          <w:tcPr>
            <w:tcW w:w="0" w:type="auto"/>
            <w:hideMark/>
          </w:tcPr>
          <w:p w14:paraId="4599312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0.85</w:t>
            </w:r>
          </w:p>
        </w:tc>
        <w:tc>
          <w:tcPr>
            <w:tcW w:w="0" w:type="auto"/>
            <w:hideMark/>
          </w:tcPr>
          <w:p w14:paraId="20FF76B1"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41.1</w:t>
            </w:r>
          </w:p>
        </w:tc>
      </w:tr>
      <w:tr w:rsidR="00FC2094" w:rsidRPr="00FC2094" w14:paraId="2E4B3C42"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9D594" w14:textId="77777777" w:rsidR="00FC2094" w:rsidRPr="00FC2094" w:rsidRDefault="00FC2094" w:rsidP="00C53529">
            <w:pPr>
              <w:spacing w:after="160" w:line="360" w:lineRule="auto"/>
              <w:jc w:val="both"/>
            </w:pPr>
            <w:r w:rsidRPr="00FC2094">
              <w:t>2022</w:t>
            </w:r>
          </w:p>
        </w:tc>
        <w:tc>
          <w:tcPr>
            <w:tcW w:w="0" w:type="auto"/>
            <w:hideMark/>
          </w:tcPr>
          <w:p w14:paraId="6EF3802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235,757</w:t>
            </w:r>
          </w:p>
        </w:tc>
        <w:tc>
          <w:tcPr>
            <w:tcW w:w="0" w:type="auto"/>
            <w:hideMark/>
          </w:tcPr>
          <w:p w14:paraId="0E876B6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268,406</w:t>
            </w:r>
          </w:p>
        </w:tc>
        <w:tc>
          <w:tcPr>
            <w:tcW w:w="0" w:type="auto"/>
            <w:hideMark/>
          </w:tcPr>
          <w:p w14:paraId="7C2EFF3D"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0.88</w:t>
            </w:r>
          </w:p>
        </w:tc>
        <w:tc>
          <w:tcPr>
            <w:tcW w:w="0" w:type="auto"/>
            <w:hideMark/>
          </w:tcPr>
          <w:p w14:paraId="3202BE4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6.6</w:t>
            </w:r>
          </w:p>
        </w:tc>
      </w:tr>
      <w:tr w:rsidR="00FC2094" w:rsidRPr="00FC2094" w14:paraId="5EF0FFA6"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175370DE" w14:textId="77777777" w:rsidR="00FC2094" w:rsidRPr="00FC2094" w:rsidRDefault="00FC2094" w:rsidP="00C53529">
            <w:pPr>
              <w:spacing w:after="160" w:line="360" w:lineRule="auto"/>
              <w:jc w:val="both"/>
            </w:pPr>
            <w:r w:rsidRPr="00FC2094">
              <w:t>2023</w:t>
            </w:r>
          </w:p>
        </w:tc>
        <w:tc>
          <w:tcPr>
            <w:tcW w:w="0" w:type="auto"/>
            <w:hideMark/>
          </w:tcPr>
          <w:p w14:paraId="771DB3A9"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176,952</w:t>
            </w:r>
          </w:p>
        </w:tc>
        <w:tc>
          <w:tcPr>
            <w:tcW w:w="0" w:type="auto"/>
            <w:hideMark/>
          </w:tcPr>
          <w:p w14:paraId="49825161"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178,920</w:t>
            </w:r>
          </w:p>
        </w:tc>
        <w:tc>
          <w:tcPr>
            <w:tcW w:w="0" w:type="auto"/>
            <w:hideMark/>
          </w:tcPr>
          <w:p w14:paraId="2778E12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0.99</w:t>
            </w:r>
          </w:p>
        </w:tc>
        <w:tc>
          <w:tcPr>
            <w:tcW w:w="0" w:type="auto"/>
            <w:hideMark/>
          </w:tcPr>
          <w:p w14:paraId="6362C373"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(19.7)</w:t>
            </w:r>
          </w:p>
        </w:tc>
      </w:tr>
      <w:tr w:rsidR="00FC2094" w:rsidRPr="00FC2094" w14:paraId="26472AE9"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C5A38" w14:textId="77777777" w:rsidR="00FC2094" w:rsidRPr="00FC2094" w:rsidRDefault="00FC2094" w:rsidP="00C53529">
            <w:pPr>
              <w:spacing w:after="160" w:line="360" w:lineRule="auto"/>
              <w:jc w:val="both"/>
            </w:pPr>
            <w:r w:rsidRPr="00FC2094">
              <w:t>2024</w:t>
            </w:r>
          </w:p>
        </w:tc>
        <w:tc>
          <w:tcPr>
            <w:tcW w:w="0" w:type="auto"/>
            <w:hideMark/>
          </w:tcPr>
          <w:p w14:paraId="496E0B28"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170,249</w:t>
            </w:r>
          </w:p>
        </w:tc>
        <w:tc>
          <w:tcPr>
            <w:tcW w:w="0" w:type="auto"/>
            <w:hideMark/>
          </w:tcPr>
          <w:p w14:paraId="1DAEDE3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153,105</w:t>
            </w:r>
          </w:p>
        </w:tc>
        <w:tc>
          <w:tcPr>
            <w:tcW w:w="0" w:type="auto"/>
            <w:hideMark/>
          </w:tcPr>
          <w:p w14:paraId="588EBD6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1.11</w:t>
            </w:r>
          </w:p>
        </w:tc>
        <w:tc>
          <w:tcPr>
            <w:tcW w:w="0" w:type="auto"/>
            <w:hideMark/>
          </w:tcPr>
          <w:p w14:paraId="77056D8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(4.6)</w:t>
            </w:r>
          </w:p>
        </w:tc>
      </w:tr>
    </w:tbl>
    <w:p w14:paraId="66B6A506" w14:textId="77777777" w:rsidR="00FC2094" w:rsidRDefault="00FC2094" w:rsidP="00C53529">
      <w:pPr>
        <w:spacing w:line="360" w:lineRule="auto"/>
        <w:jc w:val="both"/>
      </w:pPr>
    </w:p>
    <w:p w14:paraId="38058D20" w14:textId="0AD84500" w:rsidR="00FC2094" w:rsidRPr="00FC2094" w:rsidRDefault="00FC2094" w:rsidP="00C53529">
      <w:pPr>
        <w:pStyle w:val="Heading2"/>
        <w:spacing w:line="360" w:lineRule="auto"/>
        <w:jc w:val="both"/>
      </w:pPr>
      <w:bookmarkStart w:id="26" w:name="_Toc217249708"/>
      <w:r w:rsidRPr="00FC2094">
        <w:t>APPENDIX B – FINANCIAL DISTRESS MODEL</w:t>
      </w:r>
      <w:bookmarkEnd w:id="26"/>
    </w:p>
    <w:p w14:paraId="4803C4B0" w14:textId="77777777" w:rsidR="00FC2094" w:rsidRPr="00FC2094" w:rsidRDefault="00FC2094" w:rsidP="00C53529">
      <w:pPr>
        <w:spacing w:line="360" w:lineRule="auto"/>
        <w:jc w:val="both"/>
        <w:rPr>
          <w:b/>
          <w:bCs/>
        </w:rPr>
      </w:pPr>
      <w:r w:rsidRPr="00FC2094">
        <w:rPr>
          <w:b/>
          <w:bCs/>
        </w:rPr>
        <w:t>Table B1: Altman Z-Score Calculation</w:t>
      </w:r>
    </w:p>
    <w:tbl>
      <w:tblPr>
        <w:tblStyle w:val="GridTable4-Accent1"/>
        <w:tblW w:w="0" w:type="auto"/>
        <w:tblLook w:val="04A0" w:firstRow="1" w:lastRow="0" w:firstColumn="1" w:lastColumn="0" w:noHBand="0" w:noVBand="1"/>
      </w:tblPr>
      <w:tblGrid>
        <w:gridCol w:w="1550"/>
        <w:gridCol w:w="3667"/>
        <w:gridCol w:w="2696"/>
      </w:tblGrid>
      <w:tr w:rsidR="00FC2094" w:rsidRPr="00FC2094" w14:paraId="443D67EA"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D7964" w14:textId="77777777" w:rsidR="00FC2094" w:rsidRPr="00FC2094" w:rsidRDefault="00FC2094" w:rsidP="00C53529">
            <w:pPr>
              <w:spacing w:after="160" w:line="360" w:lineRule="auto"/>
              <w:jc w:val="both"/>
            </w:pPr>
            <w:r w:rsidRPr="00FC2094">
              <w:t>Component</w:t>
            </w:r>
          </w:p>
        </w:tc>
        <w:tc>
          <w:tcPr>
            <w:tcW w:w="0" w:type="auto"/>
            <w:hideMark/>
          </w:tcPr>
          <w:p w14:paraId="5B46C8EB"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Formula</w:t>
            </w:r>
          </w:p>
        </w:tc>
        <w:tc>
          <w:tcPr>
            <w:tcW w:w="0" w:type="auto"/>
            <w:hideMark/>
          </w:tcPr>
          <w:p w14:paraId="4596C62C"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2024 Value</w:t>
            </w:r>
          </w:p>
        </w:tc>
      </w:tr>
      <w:tr w:rsidR="00FC2094" w:rsidRPr="00FC2094" w14:paraId="7FB861CF"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C8655C" w14:textId="77777777" w:rsidR="00FC2094" w:rsidRPr="00FC2094" w:rsidRDefault="00FC2094" w:rsidP="00C53529">
            <w:pPr>
              <w:spacing w:after="160" w:line="360" w:lineRule="auto"/>
              <w:jc w:val="both"/>
            </w:pPr>
            <w:r w:rsidRPr="00FC2094">
              <w:t>X</w:t>
            </w:r>
            <w:r w:rsidRPr="00FC2094">
              <w:rPr>
                <w:rFonts w:ascii="Cambria Math" w:hAnsi="Cambria Math" w:cs="Cambria Math"/>
              </w:rPr>
              <w:t>₁</w:t>
            </w:r>
          </w:p>
        </w:tc>
        <w:tc>
          <w:tcPr>
            <w:tcW w:w="0" w:type="auto"/>
            <w:hideMark/>
          </w:tcPr>
          <w:p w14:paraId="5CE53CBB"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Working Capital / Total Assets</w:t>
            </w:r>
          </w:p>
        </w:tc>
        <w:tc>
          <w:tcPr>
            <w:tcW w:w="0" w:type="auto"/>
            <w:hideMark/>
          </w:tcPr>
          <w:p w14:paraId="6157C89F"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0.26</w:t>
            </w:r>
          </w:p>
        </w:tc>
      </w:tr>
      <w:tr w:rsidR="00FC2094" w:rsidRPr="00FC2094" w14:paraId="2732B277"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5F8D5189" w14:textId="77777777" w:rsidR="00FC2094" w:rsidRPr="00FC2094" w:rsidRDefault="00FC2094" w:rsidP="00C53529">
            <w:pPr>
              <w:spacing w:after="160" w:line="360" w:lineRule="auto"/>
              <w:jc w:val="both"/>
            </w:pPr>
            <w:r w:rsidRPr="00FC2094">
              <w:t>X</w:t>
            </w:r>
            <w:r w:rsidRPr="00FC2094">
              <w:rPr>
                <w:rFonts w:ascii="Cambria Math" w:hAnsi="Cambria Math" w:cs="Cambria Math"/>
              </w:rPr>
              <w:t>₂</w:t>
            </w:r>
          </w:p>
        </w:tc>
        <w:tc>
          <w:tcPr>
            <w:tcW w:w="0" w:type="auto"/>
            <w:hideMark/>
          </w:tcPr>
          <w:p w14:paraId="4B7DE10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Retained Earnings / Total Assets</w:t>
            </w:r>
          </w:p>
        </w:tc>
        <w:tc>
          <w:tcPr>
            <w:tcW w:w="0" w:type="auto"/>
            <w:hideMark/>
          </w:tcPr>
          <w:p w14:paraId="372F288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0.64</w:t>
            </w:r>
          </w:p>
        </w:tc>
      </w:tr>
      <w:tr w:rsidR="00FC2094" w:rsidRPr="00FC2094" w14:paraId="2FF79B7B"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53687" w14:textId="77777777" w:rsidR="00FC2094" w:rsidRPr="00FC2094" w:rsidRDefault="00FC2094" w:rsidP="00C53529">
            <w:pPr>
              <w:spacing w:after="160" w:line="360" w:lineRule="auto"/>
              <w:jc w:val="both"/>
            </w:pPr>
            <w:r w:rsidRPr="00FC2094">
              <w:t>X</w:t>
            </w:r>
            <w:r w:rsidRPr="00FC2094">
              <w:rPr>
                <w:rFonts w:ascii="Cambria Math" w:hAnsi="Cambria Math" w:cs="Cambria Math"/>
              </w:rPr>
              <w:t>₃</w:t>
            </w:r>
          </w:p>
        </w:tc>
        <w:tc>
          <w:tcPr>
            <w:tcW w:w="0" w:type="auto"/>
            <w:hideMark/>
          </w:tcPr>
          <w:p w14:paraId="0039B4D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EBIT / Total Assets</w:t>
            </w:r>
          </w:p>
        </w:tc>
        <w:tc>
          <w:tcPr>
            <w:tcW w:w="0" w:type="auto"/>
            <w:hideMark/>
          </w:tcPr>
          <w:p w14:paraId="40DB1669"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(0.05)</w:t>
            </w:r>
          </w:p>
        </w:tc>
      </w:tr>
      <w:tr w:rsidR="00FC2094" w:rsidRPr="00FC2094" w14:paraId="138ECB44"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49147DAC" w14:textId="77777777" w:rsidR="00FC2094" w:rsidRPr="00FC2094" w:rsidRDefault="00FC2094" w:rsidP="00C53529">
            <w:pPr>
              <w:spacing w:after="160" w:line="360" w:lineRule="auto"/>
              <w:jc w:val="both"/>
            </w:pPr>
            <w:r w:rsidRPr="00FC2094">
              <w:t>X</w:t>
            </w:r>
            <w:r w:rsidRPr="00FC2094">
              <w:rPr>
                <w:rFonts w:ascii="Cambria Math" w:hAnsi="Cambria Math" w:cs="Cambria Math"/>
              </w:rPr>
              <w:t>₄</w:t>
            </w:r>
          </w:p>
        </w:tc>
        <w:tc>
          <w:tcPr>
            <w:tcW w:w="0" w:type="auto"/>
            <w:hideMark/>
          </w:tcPr>
          <w:p w14:paraId="32260DF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Equity / Total Liabilities</w:t>
            </w:r>
          </w:p>
        </w:tc>
        <w:tc>
          <w:tcPr>
            <w:tcW w:w="0" w:type="auto"/>
            <w:hideMark/>
          </w:tcPr>
          <w:p w14:paraId="78F2BECE"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0.90</w:t>
            </w:r>
          </w:p>
        </w:tc>
      </w:tr>
      <w:tr w:rsidR="00FC2094" w:rsidRPr="00FC2094" w14:paraId="478F3B21"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8AEDE" w14:textId="77777777" w:rsidR="00FC2094" w:rsidRPr="00FC2094" w:rsidRDefault="00FC2094" w:rsidP="00C53529">
            <w:pPr>
              <w:spacing w:after="160" w:line="360" w:lineRule="auto"/>
              <w:jc w:val="both"/>
            </w:pPr>
            <w:r w:rsidRPr="00FC2094">
              <w:t>X</w:t>
            </w:r>
            <w:r w:rsidRPr="00FC2094">
              <w:rPr>
                <w:rFonts w:ascii="Cambria Math" w:hAnsi="Cambria Math" w:cs="Cambria Math"/>
              </w:rPr>
              <w:t>₅</w:t>
            </w:r>
          </w:p>
        </w:tc>
        <w:tc>
          <w:tcPr>
            <w:tcW w:w="0" w:type="auto"/>
            <w:hideMark/>
          </w:tcPr>
          <w:p w14:paraId="15F9593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Sales / Total Assets</w:t>
            </w:r>
          </w:p>
        </w:tc>
        <w:tc>
          <w:tcPr>
            <w:tcW w:w="0" w:type="auto"/>
            <w:hideMark/>
          </w:tcPr>
          <w:p w14:paraId="19E028F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1.22</w:t>
            </w:r>
          </w:p>
        </w:tc>
      </w:tr>
      <w:tr w:rsidR="00FC2094" w:rsidRPr="00FC2094" w14:paraId="30DE222F"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5CDC46D0" w14:textId="77777777" w:rsidR="00FC2094" w:rsidRPr="00FC2094" w:rsidRDefault="00FC2094" w:rsidP="00C53529">
            <w:pPr>
              <w:spacing w:after="160" w:line="360" w:lineRule="auto"/>
              <w:jc w:val="both"/>
            </w:pPr>
            <w:r w:rsidRPr="00FC2094">
              <w:t>Z-Score</w:t>
            </w:r>
          </w:p>
        </w:tc>
        <w:tc>
          <w:tcPr>
            <w:tcW w:w="0" w:type="auto"/>
            <w:hideMark/>
          </w:tcPr>
          <w:p w14:paraId="09959400"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p>
        </w:tc>
        <w:tc>
          <w:tcPr>
            <w:tcW w:w="0" w:type="auto"/>
            <w:hideMark/>
          </w:tcPr>
          <w:p w14:paraId="4A5B6FD5"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rPr>
                <w:b/>
                <w:bCs/>
              </w:rPr>
              <w:t>≈ 1.65 (Distress Zone)</w:t>
            </w:r>
          </w:p>
        </w:tc>
      </w:tr>
    </w:tbl>
    <w:p w14:paraId="69E22AAB" w14:textId="18C18FEE" w:rsidR="00FC2094" w:rsidRPr="00FC2094" w:rsidRDefault="00FC2094" w:rsidP="00C53529">
      <w:pPr>
        <w:pStyle w:val="Heading2"/>
        <w:spacing w:line="360" w:lineRule="auto"/>
        <w:jc w:val="both"/>
      </w:pPr>
      <w:bookmarkStart w:id="27" w:name="_Toc217249709"/>
      <w:r w:rsidRPr="00FC2094">
        <w:t>APPENDIX C – WORKING CAPITAL ANALYSIS</w:t>
      </w:r>
      <w:bookmarkEnd w:id="27"/>
    </w:p>
    <w:p w14:paraId="248BC8ED" w14:textId="77777777" w:rsidR="00FC2094" w:rsidRPr="00FC2094" w:rsidRDefault="00FC2094" w:rsidP="00C53529">
      <w:pPr>
        <w:spacing w:line="360" w:lineRule="auto"/>
        <w:jc w:val="both"/>
        <w:rPr>
          <w:b/>
          <w:bCs/>
        </w:rPr>
      </w:pPr>
      <w:r w:rsidRPr="00FC2094">
        <w:rPr>
          <w:b/>
          <w:bCs/>
        </w:rPr>
        <w:t>Table C1: Cash Conversion Cycle (CCC) Analysis</w:t>
      </w:r>
    </w:p>
    <w:tbl>
      <w:tblPr>
        <w:tblStyle w:val="GridTable4-Accent1"/>
        <w:tblW w:w="0" w:type="auto"/>
        <w:tblLook w:val="04A0" w:firstRow="1" w:lastRow="0" w:firstColumn="1" w:lastColumn="0" w:noHBand="0" w:noVBand="1"/>
      </w:tblPr>
      <w:tblGrid>
        <w:gridCol w:w="750"/>
        <w:gridCol w:w="1443"/>
        <w:gridCol w:w="1537"/>
        <w:gridCol w:w="1537"/>
        <w:gridCol w:w="1537"/>
      </w:tblGrid>
      <w:tr w:rsidR="00FC2094" w:rsidRPr="00FC2094" w14:paraId="22041DFE"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A7E7AB" w14:textId="77777777" w:rsidR="00FC2094" w:rsidRPr="00FC2094" w:rsidRDefault="00FC2094" w:rsidP="00C53529">
            <w:pPr>
              <w:spacing w:after="160" w:line="360" w:lineRule="auto"/>
              <w:jc w:val="both"/>
            </w:pPr>
            <w:r w:rsidRPr="00FC2094">
              <w:t>Year</w:t>
            </w:r>
          </w:p>
        </w:tc>
        <w:tc>
          <w:tcPr>
            <w:tcW w:w="0" w:type="auto"/>
            <w:hideMark/>
          </w:tcPr>
          <w:p w14:paraId="416F4E1B"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DIO (Days)</w:t>
            </w:r>
          </w:p>
        </w:tc>
        <w:tc>
          <w:tcPr>
            <w:tcW w:w="0" w:type="auto"/>
            <w:hideMark/>
          </w:tcPr>
          <w:p w14:paraId="66144A7B"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DSO (Days)</w:t>
            </w:r>
          </w:p>
        </w:tc>
        <w:tc>
          <w:tcPr>
            <w:tcW w:w="0" w:type="auto"/>
            <w:hideMark/>
          </w:tcPr>
          <w:p w14:paraId="337A475F"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DPO (Days)</w:t>
            </w:r>
          </w:p>
        </w:tc>
        <w:tc>
          <w:tcPr>
            <w:tcW w:w="0" w:type="auto"/>
            <w:hideMark/>
          </w:tcPr>
          <w:p w14:paraId="7510D68F"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CCC (Days)</w:t>
            </w:r>
          </w:p>
        </w:tc>
      </w:tr>
      <w:tr w:rsidR="00FC2094" w:rsidRPr="00FC2094" w14:paraId="18D8B0C1"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FF5E6F" w14:textId="77777777" w:rsidR="00FC2094" w:rsidRPr="00FC2094" w:rsidRDefault="00FC2094" w:rsidP="00C53529">
            <w:pPr>
              <w:spacing w:after="160" w:line="360" w:lineRule="auto"/>
              <w:jc w:val="both"/>
            </w:pPr>
            <w:r w:rsidRPr="00FC2094">
              <w:t>2020</w:t>
            </w:r>
          </w:p>
        </w:tc>
        <w:tc>
          <w:tcPr>
            <w:tcW w:w="0" w:type="auto"/>
            <w:hideMark/>
          </w:tcPr>
          <w:p w14:paraId="69D694E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100</w:t>
            </w:r>
          </w:p>
        </w:tc>
        <w:tc>
          <w:tcPr>
            <w:tcW w:w="0" w:type="auto"/>
            <w:hideMark/>
          </w:tcPr>
          <w:p w14:paraId="681B2DD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77</w:t>
            </w:r>
          </w:p>
        </w:tc>
        <w:tc>
          <w:tcPr>
            <w:tcW w:w="0" w:type="auto"/>
            <w:hideMark/>
          </w:tcPr>
          <w:p w14:paraId="75B9AB33"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69</w:t>
            </w:r>
          </w:p>
        </w:tc>
        <w:tc>
          <w:tcPr>
            <w:tcW w:w="0" w:type="auto"/>
            <w:hideMark/>
          </w:tcPr>
          <w:p w14:paraId="6EE9C287"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108</w:t>
            </w:r>
          </w:p>
        </w:tc>
      </w:tr>
      <w:tr w:rsidR="00FC2094" w:rsidRPr="00FC2094" w14:paraId="67CA8EED"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4C018B65" w14:textId="77777777" w:rsidR="00FC2094" w:rsidRPr="00FC2094" w:rsidRDefault="00FC2094" w:rsidP="00C53529">
            <w:pPr>
              <w:spacing w:after="160" w:line="360" w:lineRule="auto"/>
              <w:jc w:val="both"/>
            </w:pPr>
            <w:r w:rsidRPr="00FC2094">
              <w:t>2021</w:t>
            </w:r>
          </w:p>
        </w:tc>
        <w:tc>
          <w:tcPr>
            <w:tcW w:w="0" w:type="auto"/>
            <w:hideMark/>
          </w:tcPr>
          <w:p w14:paraId="724D6CC4"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114</w:t>
            </w:r>
          </w:p>
        </w:tc>
        <w:tc>
          <w:tcPr>
            <w:tcW w:w="0" w:type="auto"/>
            <w:hideMark/>
          </w:tcPr>
          <w:p w14:paraId="1F529B8F"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78</w:t>
            </w:r>
          </w:p>
        </w:tc>
        <w:tc>
          <w:tcPr>
            <w:tcW w:w="0" w:type="auto"/>
            <w:hideMark/>
          </w:tcPr>
          <w:p w14:paraId="3F267645"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79</w:t>
            </w:r>
          </w:p>
        </w:tc>
        <w:tc>
          <w:tcPr>
            <w:tcW w:w="0" w:type="auto"/>
            <w:hideMark/>
          </w:tcPr>
          <w:p w14:paraId="41940D2F"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113</w:t>
            </w:r>
          </w:p>
        </w:tc>
      </w:tr>
      <w:tr w:rsidR="00FC2094" w:rsidRPr="00FC2094" w14:paraId="49467535"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DA058B" w14:textId="77777777" w:rsidR="00FC2094" w:rsidRPr="00FC2094" w:rsidRDefault="00FC2094" w:rsidP="00C53529">
            <w:pPr>
              <w:spacing w:after="160" w:line="360" w:lineRule="auto"/>
              <w:jc w:val="both"/>
            </w:pPr>
            <w:r w:rsidRPr="00FC2094">
              <w:t>2022</w:t>
            </w:r>
          </w:p>
        </w:tc>
        <w:tc>
          <w:tcPr>
            <w:tcW w:w="0" w:type="auto"/>
            <w:hideMark/>
          </w:tcPr>
          <w:p w14:paraId="27139178"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131</w:t>
            </w:r>
          </w:p>
        </w:tc>
        <w:tc>
          <w:tcPr>
            <w:tcW w:w="0" w:type="auto"/>
            <w:hideMark/>
          </w:tcPr>
          <w:p w14:paraId="34C0789E"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76</w:t>
            </w:r>
          </w:p>
        </w:tc>
        <w:tc>
          <w:tcPr>
            <w:tcW w:w="0" w:type="auto"/>
            <w:hideMark/>
          </w:tcPr>
          <w:p w14:paraId="56E01EF0"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67</w:t>
            </w:r>
          </w:p>
        </w:tc>
        <w:tc>
          <w:tcPr>
            <w:tcW w:w="0" w:type="auto"/>
            <w:hideMark/>
          </w:tcPr>
          <w:p w14:paraId="6F0FB959"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140</w:t>
            </w:r>
          </w:p>
        </w:tc>
      </w:tr>
      <w:tr w:rsidR="00FC2094" w:rsidRPr="00FC2094" w14:paraId="51818D80"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2F0B3F0F" w14:textId="77777777" w:rsidR="00FC2094" w:rsidRPr="00FC2094" w:rsidRDefault="00FC2094" w:rsidP="00C53529">
            <w:pPr>
              <w:spacing w:after="160" w:line="360" w:lineRule="auto"/>
              <w:jc w:val="both"/>
            </w:pPr>
            <w:r w:rsidRPr="00FC2094">
              <w:t>2023</w:t>
            </w:r>
          </w:p>
        </w:tc>
        <w:tc>
          <w:tcPr>
            <w:tcW w:w="0" w:type="auto"/>
            <w:hideMark/>
          </w:tcPr>
          <w:p w14:paraId="5D7EDCE4"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100</w:t>
            </w:r>
          </w:p>
        </w:tc>
        <w:tc>
          <w:tcPr>
            <w:tcW w:w="0" w:type="auto"/>
            <w:hideMark/>
          </w:tcPr>
          <w:p w14:paraId="66ED0ABD"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98</w:t>
            </w:r>
          </w:p>
        </w:tc>
        <w:tc>
          <w:tcPr>
            <w:tcW w:w="0" w:type="auto"/>
            <w:hideMark/>
          </w:tcPr>
          <w:p w14:paraId="2EC1F4CA"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65</w:t>
            </w:r>
          </w:p>
        </w:tc>
        <w:tc>
          <w:tcPr>
            <w:tcW w:w="0" w:type="auto"/>
            <w:hideMark/>
          </w:tcPr>
          <w:p w14:paraId="61D8B416"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133</w:t>
            </w:r>
          </w:p>
        </w:tc>
      </w:tr>
      <w:tr w:rsidR="00FC2094" w:rsidRPr="00FC2094" w14:paraId="4EB0F605"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E5BB6" w14:textId="77777777" w:rsidR="00FC2094" w:rsidRPr="00FC2094" w:rsidRDefault="00FC2094" w:rsidP="00C53529">
            <w:pPr>
              <w:spacing w:after="160" w:line="360" w:lineRule="auto"/>
              <w:jc w:val="both"/>
            </w:pPr>
            <w:r w:rsidRPr="00FC2094">
              <w:lastRenderedPageBreak/>
              <w:t>2024</w:t>
            </w:r>
          </w:p>
        </w:tc>
        <w:tc>
          <w:tcPr>
            <w:tcW w:w="0" w:type="auto"/>
            <w:hideMark/>
          </w:tcPr>
          <w:p w14:paraId="11B14AC2"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103</w:t>
            </w:r>
          </w:p>
        </w:tc>
        <w:tc>
          <w:tcPr>
            <w:tcW w:w="0" w:type="auto"/>
            <w:hideMark/>
          </w:tcPr>
          <w:p w14:paraId="598DAED8"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105</w:t>
            </w:r>
          </w:p>
        </w:tc>
        <w:tc>
          <w:tcPr>
            <w:tcW w:w="0" w:type="auto"/>
            <w:hideMark/>
          </w:tcPr>
          <w:p w14:paraId="2B79816B"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94</w:t>
            </w:r>
          </w:p>
        </w:tc>
        <w:tc>
          <w:tcPr>
            <w:tcW w:w="0" w:type="auto"/>
            <w:hideMark/>
          </w:tcPr>
          <w:p w14:paraId="6F669D64"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114</w:t>
            </w:r>
          </w:p>
        </w:tc>
      </w:tr>
    </w:tbl>
    <w:p w14:paraId="710B2529" w14:textId="0160698E" w:rsidR="00FC2094" w:rsidRPr="00FC2094" w:rsidRDefault="00FC2094" w:rsidP="00C53529">
      <w:pPr>
        <w:pStyle w:val="Heading2"/>
        <w:spacing w:line="360" w:lineRule="auto"/>
        <w:jc w:val="both"/>
      </w:pPr>
      <w:bookmarkStart w:id="28" w:name="_Toc217249710"/>
      <w:r w:rsidRPr="00FC2094">
        <w:t>APPENDIX D – CAPITAL BUDGETING</w:t>
      </w:r>
      <w:bookmarkEnd w:id="28"/>
    </w:p>
    <w:p w14:paraId="539D8E01" w14:textId="77777777" w:rsidR="00FC2094" w:rsidRPr="00FC2094" w:rsidRDefault="00FC2094" w:rsidP="00C53529">
      <w:pPr>
        <w:spacing w:line="360" w:lineRule="auto"/>
        <w:jc w:val="both"/>
        <w:rPr>
          <w:b/>
          <w:bCs/>
        </w:rPr>
      </w:pPr>
      <w:r w:rsidRPr="00FC2094">
        <w:rPr>
          <w:b/>
          <w:bCs/>
        </w:rPr>
        <w:t>Table D1: Investment Appraisal Results (Discount Rate = 10%)</w:t>
      </w:r>
    </w:p>
    <w:tbl>
      <w:tblPr>
        <w:tblStyle w:val="GridTable4-Accent1"/>
        <w:tblW w:w="0" w:type="auto"/>
        <w:tblLook w:val="04A0" w:firstRow="1" w:lastRow="0" w:firstColumn="1" w:lastColumn="0" w:noHBand="0" w:noVBand="1"/>
      </w:tblPr>
      <w:tblGrid>
        <w:gridCol w:w="1031"/>
        <w:gridCol w:w="2498"/>
        <w:gridCol w:w="1171"/>
        <w:gridCol w:w="993"/>
        <w:gridCol w:w="684"/>
        <w:gridCol w:w="1885"/>
        <w:gridCol w:w="1088"/>
      </w:tblGrid>
      <w:tr w:rsidR="00FC2094" w:rsidRPr="00FC2094" w14:paraId="72CBF956" w14:textId="77777777" w:rsidTr="00C535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D9CCB" w14:textId="77777777" w:rsidR="00FC2094" w:rsidRPr="00FC2094" w:rsidRDefault="00FC2094" w:rsidP="00C53529">
            <w:pPr>
              <w:spacing w:after="160" w:line="360" w:lineRule="auto"/>
              <w:jc w:val="both"/>
            </w:pPr>
            <w:r w:rsidRPr="00FC2094">
              <w:t>Project</w:t>
            </w:r>
          </w:p>
        </w:tc>
        <w:tc>
          <w:tcPr>
            <w:tcW w:w="0" w:type="auto"/>
            <w:hideMark/>
          </w:tcPr>
          <w:p w14:paraId="48550F2E"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Initial Investment (£m)</w:t>
            </w:r>
          </w:p>
        </w:tc>
        <w:tc>
          <w:tcPr>
            <w:tcW w:w="0" w:type="auto"/>
            <w:hideMark/>
          </w:tcPr>
          <w:p w14:paraId="02344616"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NPV (£m)</w:t>
            </w:r>
          </w:p>
        </w:tc>
        <w:tc>
          <w:tcPr>
            <w:tcW w:w="0" w:type="auto"/>
            <w:hideMark/>
          </w:tcPr>
          <w:p w14:paraId="2A715C76"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IRR (%)</w:t>
            </w:r>
          </w:p>
        </w:tc>
        <w:tc>
          <w:tcPr>
            <w:tcW w:w="0" w:type="auto"/>
            <w:hideMark/>
          </w:tcPr>
          <w:p w14:paraId="59F4E3A0"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PI</w:t>
            </w:r>
          </w:p>
        </w:tc>
        <w:tc>
          <w:tcPr>
            <w:tcW w:w="0" w:type="auto"/>
            <w:hideMark/>
          </w:tcPr>
          <w:p w14:paraId="22CD49EB"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Payback (Years)</w:t>
            </w:r>
          </w:p>
        </w:tc>
        <w:tc>
          <w:tcPr>
            <w:tcW w:w="0" w:type="auto"/>
            <w:hideMark/>
          </w:tcPr>
          <w:p w14:paraId="38997937" w14:textId="77777777" w:rsidR="00FC2094" w:rsidRPr="00FC2094" w:rsidRDefault="00FC2094" w:rsidP="00C53529">
            <w:pPr>
              <w:spacing w:after="160" w:line="360" w:lineRule="auto"/>
              <w:jc w:val="both"/>
              <w:cnfStyle w:val="100000000000" w:firstRow="1" w:lastRow="0" w:firstColumn="0" w:lastColumn="0" w:oddVBand="0" w:evenVBand="0" w:oddHBand="0" w:evenHBand="0" w:firstRowFirstColumn="0" w:firstRowLastColumn="0" w:lastRowFirstColumn="0" w:lastRowLastColumn="0"/>
            </w:pPr>
            <w:r w:rsidRPr="00FC2094">
              <w:t>ARR (%)</w:t>
            </w:r>
          </w:p>
        </w:tc>
      </w:tr>
      <w:tr w:rsidR="00FC2094" w:rsidRPr="00FC2094" w14:paraId="6602215E"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94797" w14:textId="77777777" w:rsidR="00FC2094" w:rsidRPr="00FC2094" w:rsidRDefault="00FC2094" w:rsidP="00C53529">
            <w:pPr>
              <w:spacing w:after="160" w:line="360" w:lineRule="auto"/>
              <w:jc w:val="both"/>
            </w:pPr>
            <w:r w:rsidRPr="00FC2094">
              <w:t>A</w:t>
            </w:r>
          </w:p>
        </w:tc>
        <w:tc>
          <w:tcPr>
            <w:tcW w:w="0" w:type="auto"/>
            <w:hideMark/>
          </w:tcPr>
          <w:p w14:paraId="48AC1C5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40</w:t>
            </w:r>
          </w:p>
        </w:tc>
        <w:tc>
          <w:tcPr>
            <w:tcW w:w="0" w:type="auto"/>
            <w:hideMark/>
          </w:tcPr>
          <w:p w14:paraId="0DC7D6B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+2.4</w:t>
            </w:r>
          </w:p>
        </w:tc>
        <w:tc>
          <w:tcPr>
            <w:tcW w:w="0" w:type="auto"/>
            <w:hideMark/>
          </w:tcPr>
          <w:p w14:paraId="46855BF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11.8</w:t>
            </w:r>
          </w:p>
        </w:tc>
        <w:tc>
          <w:tcPr>
            <w:tcW w:w="0" w:type="auto"/>
            <w:hideMark/>
          </w:tcPr>
          <w:p w14:paraId="0526B827"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1.06</w:t>
            </w:r>
          </w:p>
        </w:tc>
        <w:tc>
          <w:tcPr>
            <w:tcW w:w="0" w:type="auto"/>
            <w:hideMark/>
          </w:tcPr>
          <w:p w14:paraId="39736F55"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3.3</w:t>
            </w:r>
          </w:p>
        </w:tc>
        <w:tc>
          <w:tcPr>
            <w:tcW w:w="0" w:type="auto"/>
            <w:hideMark/>
          </w:tcPr>
          <w:p w14:paraId="1C82EE71"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12.0</w:t>
            </w:r>
          </w:p>
        </w:tc>
      </w:tr>
      <w:tr w:rsidR="00FC2094" w:rsidRPr="00FC2094" w14:paraId="3D354861" w14:textId="77777777" w:rsidTr="00C53529">
        <w:tc>
          <w:tcPr>
            <w:cnfStyle w:val="001000000000" w:firstRow="0" w:lastRow="0" w:firstColumn="1" w:lastColumn="0" w:oddVBand="0" w:evenVBand="0" w:oddHBand="0" w:evenHBand="0" w:firstRowFirstColumn="0" w:firstRowLastColumn="0" w:lastRowFirstColumn="0" w:lastRowLastColumn="0"/>
            <w:tcW w:w="0" w:type="auto"/>
            <w:hideMark/>
          </w:tcPr>
          <w:p w14:paraId="7AC6F573" w14:textId="77777777" w:rsidR="00FC2094" w:rsidRPr="00FC2094" w:rsidRDefault="00FC2094" w:rsidP="00C53529">
            <w:pPr>
              <w:spacing w:after="160" w:line="360" w:lineRule="auto"/>
              <w:jc w:val="both"/>
            </w:pPr>
            <w:r w:rsidRPr="00FC2094">
              <w:t>B</w:t>
            </w:r>
          </w:p>
        </w:tc>
        <w:tc>
          <w:tcPr>
            <w:tcW w:w="0" w:type="auto"/>
            <w:hideMark/>
          </w:tcPr>
          <w:p w14:paraId="3DC348F8"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30</w:t>
            </w:r>
          </w:p>
        </w:tc>
        <w:tc>
          <w:tcPr>
            <w:tcW w:w="0" w:type="auto"/>
            <w:hideMark/>
          </w:tcPr>
          <w:p w14:paraId="07D3263E"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+0.8</w:t>
            </w:r>
          </w:p>
        </w:tc>
        <w:tc>
          <w:tcPr>
            <w:tcW w:w="0" w:type="auto"/>
            <w:hideMark/>
          </w:tcPr>
          <w:p w14:paraId="4A6ECB53"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11.0</w:t>
            </w:r>
          </w:p>
        </w:tc>
        <w:tc>
          <w:tcPr>
            <w:tcW w:w="0" w:type="auto"/>
            <w:hideMark/>
          </w:tcPr>
          <w:p w14:paraId="177B0ED7"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1.03</w:t>
            </w:r>
          </w:p>
        </w:tc>
        <w:tc>
          <w:tcPr>
            <w:tcW w:w="0" w:type="auto"/>
            <w:hideMark/>
          </w:tcPr>
          <w:p w14:paraId="66F4FFDB"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5.0</w:t>
            </w:r>
          </w:p>
        </w:tc>
        <w:tc>
          <w:tcPr>
            <w:tcW w:w="0" w:type="auto"/>
            <w:hideMark/>
          </w:tcPr>
          <w:p w14:paraId="600865C6" w14:textId="77777777" w:rsidR="00FC2094" w:rsidRPr="00FC2094" w:rsidRDefault="00FC2094" w:rsidP="00C53529">
            <w:pPr>
              <w:spacing w:after="160" w:line="360" w:lineRule="auto"/>
              <w:jc w:val="both"/>
              <w:cnfStyle w:val="000000000000" w:firstRow="0" w:lastRow="0" w:firstColumn="0" w:lastColumn="0" w:oddVBand="0" w:evenVBand="0" w:oddHBand="0" w:evenHBand="0" w:firstRowFirstColumn="0" w:firstRowLastColumn="0" w:lastRowFirstColumn="0" w:lastRowLastColumn="0"/>
            </w:pPr>
            <w:r w:rsidRPr="00FC2094">
              <w:t>10.0</w:t>
            </w:r>
          </w:p>
        </w:tc>
      </w:tr>
      <w:tr w:rsidR="00FC2094" w:rsidRPr="00FC2094" w14:paraId="53ED5D3E" w14:textId="77777777" w:rsidTr="00C535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2676D9" w14:textId="77777777" w:rsidR="00FC2094" w:rsidRPr="00FC2094" w:rsidRDefault="00FC2094" w:rsidP="00C53529">
            <w:pPr>
              <w:spacing w:after="160" w:line="360" w:lineRule="auto"/>
              <w:jc w:val="both"/>
            </w:pPr>
            <w:r w:rsidRPr="00FC2094">
              <w:t>C</w:t>
            </w:r>
          </w:p>
        </w:tc>
        <w:tc>
          <w:tcPr>
            <w:tcW w:w="0" w:type="auto"/>
            <w:hideMark/>
          </w:tcPr>
          <w:p w14:paraId="1EAA32DC"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50</w:t>
            </w:r>
          </w:p>
        </w:tc>
        <w:tc>
          <w:tcPr>
            <w:tcW w:w="0" w:type="auto"/>
            <w:hideMark/>
          </w:tcPr>
          <w:p w14:paraId="026DD51A"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+7.2</w:t>
            </w:r>
          </w:p>
        </w:tc>
        <w:tc>
          <w:tcPr>
            <w:tcW w:w="0" w:type="auto"/>
            <w:hideMark/>
          </w:tcPr>
          <w:p w14:paraId="4A94FC3E"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14.2</w:t>
            </w:r>
          </w:p>
        </w:tc>
        <w:tc>
          <w:tcPr>
            <w:tcW w:w="0" w:type="auto"/>
            <w:hideMark/>
          </w:tcPr>
          <w:p w14:paraId="509DC066"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1.14</w:t>
            </w:r>
          </w:p>
        </w:tc>
        <w:tc>
          <w:tcPr>
            <w:tcW w:w="0" w:type="auto"/>
            <w:hideMark/>
          </w:tcPr>
          <w:p w14:paraId="4EEAECC9"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4.2</w:t>
            </w:r>
          </w:p>
        </w:tc>
        <w:tc>
          <w:tcPr>
            <w:tcW w:w="0" w:type="auto"/>
            <w:hideMark/>
          </w:tcPr>
          <w:p w14:paraId="258AABCB" w14:textId="77777777" w:rsidR="00FC2094" w:rsidRPr="00FC2094" w:rsidRDefault="00FC2094" w:rsidP="00C53529">
            <w:pPr>
              <w:spacing w:after="160" w:line="360" w:lineRule="auto"/>
              <w:jc w:val="both"/>
              <w:cnfStyle w:val="000000100000" w:firstRow="0" w:lastRow="0" w:firstColumn="0" w:lastColumn="0" w:oddVBand="0" w:evenVBand="0" w:oddHBand="1" w:evenHBand="0" w:firstRowFirstColumn="0" w:firstRowLastColumn="0" w:lastRowFirstColumn="0" w:lastRowLastColumn="0"/>
            </w:pPr>
            <w:r w:rsidRPr="00FC2094">
              <w:t>14.0</w:t>
            </w:r>
          </w:p>
        </w:tc>
      </w:tr>
    </w:tbl>
    <w:p w14:paraId="2E405825" w14:textId="77777777" w:rsidR="00FC2094" w:rsidRPr="00945753" w:rsidRDefault="00FC2094" w:rsidP="00945753"/>
    <w:sectPr w:rsidR="00FC2094" w:rsidRPr="00945753" w:rsidSect="00CA5678">
      <w:footerReference w:type="default" r:id="rId1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E4DB1F" w14:textId="77777777" w:rsidR="008E4184" w:rsidRDefault="008E4184" w:rsidP="00CA5678">
      <w:pPr>
        <w:spacing w:after="0" w:line="240" w:lineRule="auto"/>
      </w:pPr>
      <w:r>
        <w:separator/>
      </w:r>
    </w:p>
  </w:endnote>
  <w:endnote w:type="continuationSeparator" w:id="0">
    <w:p w14:paraId="7ED2CB0B" w14:textId="77777777" w:rsidR="008E4184" w:rsidRDefault="008E4184" w:rsidP="00CA5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8735092"/>
      <w:docPartObj>
        <w:docPartGallery w:val="Page Numbers (Bottom of Page)"/>
        <w:docPartUnique/>
      </w:docPartObj>
    </w:sdtPr>
    <w:sdtEndPr>
      <w:rPr>
        <w:noProof/>
      </w:rPr>
    </w:sdtEndPr>
    <w:sdtContent>
      <w:p w14:paraId="77C83C77" w14:textId="5F6A36D6" w:rsidR="00CA5678" w:rsidRDefault="00CA567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6D75036" w14:textId="77777777" w:rsidR="00CA5678" w:rsidRDefault="00CA567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F132BD" w14:textId="77777777" w:rsidR="008E4184" w:rsidRDefault="008E4184" w:rsidP="00CA5678">
      <w:pPr>
        <w:spacing w:after="0" w:line="240" w:lineRule="auto"/>
      </w:pPr>
      <w:r>
        <w:separator/>
      </w:r>
    </w:p>
  </w:footnote>
  <w:footnote w:type="continuationSeparator" w:id="0">
    <w:p w14:paraId="4BAB8EED" w14:textId="77777777" w:rsidR="008E4184" w:rsidRDefault="008E4184" w:rsidP="00CA56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602"/>
    <w:rsid w:val="00023CF8"/>
    <w:rsid w:val="001309BD"/>
    <w:rsid w:val="00166403"/>
    <w:rsid w:val="001B5561"/>
    <w:rsid w:val="002717C1"/>
    <w:rsid w:val="00434001"/>
    <w:rsid w:val="0046177F"/>
    <w:rsid w:val="005B58ED"/>
    <w:rsid w:val="006176DB"/>
    <w:rsid w:val="006968E8"/>
    <w:rsid w:val="0080661B"/>
    <w:rsid w:val="008617E6"/>
    <w:rsid w:val="008E4184"/>
    <w:rsid w:val="00921E04"/>
    <w:rsid w:val="00945753"/>
    <w:rsid w:val="00946F7D"/>
    <w:rsid w:val="00AE6633"/>
    <w:rsid w:val="00AF6E0B"/>
    <w:rsid w:val="00B44E8F"/>
    <w:rsid w:val="00BE0595"/>
    <w:rsid w:val="00C53529"/>
    <w:rsid w:val="00CA5678"/>
    <w:rsid w:val="00CB14DB"/>
    <w:rsid w:val="00CF0401"/>
    <w:rsid w:val="00D06EAE"/>
    <w:rsid w:val="00D73351"/>
    <w:rsid w:val="00D74ACC"/>
    <w:rsid w:val="00DF42D1"/>
    <w:rsid w:val="00E135D0"/>
    <w:rsid w:val="00E63602"/>
    <w:rsid w:val="00E67AE6"/>
    <w:rsid w:val="00FB3216"/>
    <w:rsid w:val="00FC20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40686"/>
  <w15:chartTrackingRefBased/>
  <w15:docId w15:val="{55FC2DB6-17F4-493C-BFB1-BE1F672C8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4E8F"/>
    <w:rPr>
      <w:rFonts w:ascii="Arial" w:hAnsi="Arial"/>
    </w:rPr>
  </w:style>
  <w:style w:type="paragraph" w:styleId="Heading1">
    <w:name w:val="heading 1"/>
    <w:basedOn w:val="Normal"/>
    <w:next w:val="Normal"/>
    <w:link w:val="Heading1Char"/>
    <w:uiPriority w:val="9"/>
    <w:qFormat/>
    <w:rsid w:val="002717C1"/>
    <w:pPr>
      <w:keepNext/>
      <w:keepLines/>
      <w:spacing w:before="360" w:after="80"/>
      <w:outlineLvl w:val="0"/>
    </w:pPr>
    <w:rPr>
      <w:rFonts w:eastAsiaTheme="majorEastAsia" w:cstheme="majorBidi"/>
      <w:b/>
      <w:color w:val="215E99" w:themeColor="text2" w:themeTint="BF"/>
      <w:sz w:val="32"/>
      <w:szCs w:val="40"/>
      <w:u w:val="single"/>
    </w:rPr>
  </w:style>
  <w:style w:type="paragraph" w:styleId="Heading2">
    <w:name w:val="heading 2"/>
    <w:basedOn w:val="Normal"/>
    <w:next w:val="Normal"/>
    <w:link w:val="Heading2Char"/>
    <w:uiPriority w:val="9"/>
    <w:unhideWhenUsed/>
    <w:qFormat/>
    <w:rsid w:val="002717C1"/>
    <w:pPr>
      <w:keepNext/>
      <w:keepLines/>
      <w:spacing w:before="160" w:after="80"/>
      <w:outlineLvl w:val="1"/>
    </w:pPr>
    <w:rPr>
      <w:rFonts w:eastAsiaTheme="majorEastAsia" w:cstheme="majorBidi"/>
      <w:b/>
      <w:color w:val="215E99" w:themeColor="text2" w:themeTint="BF"/>
      <w:sz w:val="26"/>
      <w:szCs w:val="32"/>
    </w:rPr>
  </w:style>
  <w:style w:type="paragraph" w:styleId="Heading3">
    <w:name w:val="heading 3"/>
    <w:basedOn w:val="Normal"/>
    <w:next w:val="Normal"/>
    <w:link w:val="Heading3Char"/>
    <w:uiPriority w:val="9"/>
    <w:semiHidden/>
    <w:unhideWhenUsed/>
    <w:qFormat/>
    <w:rsid w:val="00E63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7C1"/>
    <w:rPr>
      <w:rFonts w:ascii="Arial" w:eastAsiaTheme="majorEastAsia" w:hAnsi="Arial" w:cstheme="majorBidi"/>
      <w:b/>
      <w:color w:val="215E99" w:themeColor="text2" w:themeTint="BF"/>
      <w:sz w:val="32"/>
      <w:szCs w:val="40"/>
      <w:u w:val="single"/>
    </w:rPr>
  </w:style>
  <w:style w:type="character" w:customStyle="1" w:styleId="Heading2Char">
    <w:name w:val="Heading 2 Char"/>
    <w:basedOn w:val="DefaultParagraphFont"/>
    <w:link w:val="Heading2"/>
    <w:uiPriority w:val="9"/>
    <w:rsid w:val="002717C1"/>
    <w:rPr>
      <w:rFonts w:ascii="Arial" w:eastAsiaTheme="majorEastAsia" w:hAnsi="Arial" w:cstheme="majorBidi"/>
      <w:b/>
      <w:color w:val="215E99" w:themeColor="text2" w:themeTint="BF"/>
      <w:sz w:val="26"/>
      <w:szCs w:val="32"/>
    </w:rPr>
  </w:style>
  <w:style w:type="character" w:customStyle="1" w:styleId="Heading3Char">
    <w:name w:val="Heading 3 Char"/>
    <w:basedOn w:val="DefaultParagraphFont"/>
    <w:link w:val="Heading3"/>
    <w:uiPriority w:val="9"/>
    <w:semiHidden/>
    <w:rsid w:val="00E63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602"/>
    <w:rPr>
      <w:rFonts w:eastAsiaTheme="majorEastAsia" w:cstheme="majorBidi"/>
      <w:color w:val="272727" w:themeColor="text1" w:themeTint="D8"/>
    </w:rPr>
  </w:style>
  <w:style w:type="paragraph" w:styleId="Title">
    <w:name w:val="Title"/>
    <w:basedOn w:val="Normal"/>
    <w:next w:val="Normal"/>
    <w:link w:val="TitleChar"/>
    <w:uiPriority w:val="10"/>
    <w:qFormat/>
    <w:rsid w:val="00E63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602"/>
    <w:pPr>
      <w:spacing w:before="160"/>
      <w:jc w:val="center"/>
    </w:pPr>
    <w:rPr>
      <w:i/>
      <w:iCs/>
      <w:color w:val="404040" w:themeColor="text1" w:themeTint="BF"/>
    </w:rPr>
  </w:style>
  <w:style w:type="character" w:customStyle="1" w:styleId="QuoteChar">
    <w:name w:val="Quote Char"/>
    <w:basedOn w:val="DefaultParagraphFont"/>
    <w:link w:val="Quote"/>
    <w:uiPriority w:val="29"/>
    <w:rsid w:val="00E63602"/>
    <w:rPr>
      <w:i/>
      <w:iCs/>
      <w:color w:val="404040" w:themeColor="text1" w:themeTint="BF"/>
    </w:rPr>
  </w:style>
  <w:style w:type="paragraph" w:styleId="ListParagraph">
    <w:name w:val="List Paragraph"/>
    <w:basedOn w:val="Normal"/>
    <w:uiPriority w:val="34"/>
    <w:qFormat/>
    <w:rsid w:val="00E63602"/>
    <w:pPr>
      <w:ind w:left="720"/>
      <w:contextualSpacing/>
    </w:pPr>
  </w:style>
  <w:style w:type="character" w:styleId="IntenseEmphasis">
    <w:name w:val="Intense Emphasis"/>
    <w:basedOn w:val="DefaultParagraphFont"/>
    <w:uiPriority w:val="21"/>
    <w:qFormat/>
    <w:rsid w:val="00E63602"/>
    <w:rPr>
      <w:i/>
      <w:iCs/>
      <w:color w:val="0F4761" w:themeColor="accent1" w:themeShade="BF"/>
    </w:rPr>
  </w:style>
  <w:style w:type="paragraph" w:styleId="IntenseQuote">
    <w:name w:val="Intense Quote"/>
    <w:basedOn w:val="Normal"/>
    <w:next w:val="Normal"/>
    <w:link w:val="IntenseQuoteChar"/>
    <w:uiPriority w:val="30"/>
    <w:qFormat/>
    <w:rsid w:val="00E63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602"/>
    <w:rPr>
      <w:i/>
      <w:iCs/>
      <w:color w:val="0F4761" w:themeColor="accent1" w:themeShade="BF"/>
    </w:rPr>
  </w:style>
  <w:style w:type="character" w:styleId="IntenseReference">
    <w:name w:val="Intense Reference"/>
    <w:basedOn w:val="DefaultParagraphFont"/>
    <w:uiPriority w:val="32"/>
    <w:qFormat/>
    <w:rsid w:val="00E63602"/>
    <w:rPr>
      <w:b/>
      <w:bCs/>
      <w:smallCaps/>
      <w:color w:val="0F4761" w:themeColor="accent1" w:themeShade="BF"/>
      <w:spacing w:val="5"/>
    </w:rPr>
  </w:style>
  <w:style w:type="paragraph" w:styleId="TOCHeading">
    <w:name w:val="TOC Heading"/>
    <w:basedOn w:val="Heading1"/>
    <w:next w:val="Normal"/>
    <w:uiPriority w:val="39"/>
    <w:unhideWhenUsed/>
    <w:qFormat/>
    <w:rsid w:val="00166403"/>
    <w:pPr>
      <w:spacing w:before="240" w:after="0" w:line="259" w:lineRule="auto"/>
      <w:outlineLvl w:val="9"/>
    </w:pPr>
    <w:rPr>
      <w:rFonts w:asciiTheme="majorHAnsi" w:hAnsiTheme="majorHAnsi"/>
      <w:b w:val="0"/>
      <w:color w:val="0F4761" w:themeColor="accent1" w:themeShade="BF"/>
      <w:kern w:val="0"/>
      <w:szCs w:val="32"/>
      <w:u w:val="none"/>
      <w14:ligatures w14:val="none"/>
    </w:rPr>
  </w:style>
  <w:style w:type="paragraph" w:styleId="TOC1">
    <w:name w:val="toc 1"/>
    <w:basedOn w:val="Normal"/>
    <w:next w:val="Normal"/>
    <w:autoRedefine/>
    <w:uiPriority w:val="39"/>
    <w:unhideWhenUsed/>
    <w:rsid w:val="00166403"/>
    <w:pPr>
      <w:spacing w:after="100"/>
    </w:pPr>
  </w:style>
  <w:style w:type="paragraph" w:styleId="TOC2">
    <w:name w:val="toc 2"/>
    <w:basedOn w:val="Normal"/>
    <w:next w:val="Normal"/>
    <w:autoRedefine/>
    <w:uiPriority w:val="39"/>
    <w:unhideWhenUsed/>
    <w:rsid w:val="00166403"/>
    <w:pPr>
      <w:spacing w:after="100"/>
      <w:ind w:left="240"/>
    </w:pPr>
  </w:style>
  <w:style w:type="character" w:styleId="Hyperlink">
    <w:name w:val="Hyperlink"/>
    <w:basedOn w:val="DefaultParagraphFont"/>
    <w:uiPriority w:val="99"/>
    <w:unhideWhenUsed/>
    <w:rsid w:val="00166403"/>
    <w:rPr>
      <w:color w:val="467886" w:themeColor="hyperlink"/>
      <w:u w:val="single"/>
    </w:rPr>
  </w:style>
  <w:style w:type="character" w:customStyle="1" w:styleId="UnresolvedMention">
    <w:name w:val="Unresolved Mention"/>
    <w:basedOn w:val="DefaultParagraphFont"/>
    <w:uiPriority w:val="99"/>
    <w:semiHidden/>
    <w:unhideWhenUsed/>
    <w:rsid w:val="00023CF8"/>
    <w:rPr>
      <w:color w:val="605E5C"/>
      <w:shd w:val="clear" w:color="auto" w:fill="E1DFDD"/>
    </w:rPr>
  </w:style>
  <w:style w:type="character" w:styleId="PlaceholderText">
    <w:name w:val="Placeholder Text"/>
    <w:basedOn w:val="DefaultParagraphFont"/>
    <w:uiPriority w:val="99"/>
    <w:semiHidden/>
    <w:rsid w:val="00CB14DB"/>
    <w:rPr>
      <w:color w:val="666666"/>
    </w:rPr>
  </w:style>
  <w:style w:type="table" w:styleId="GridTable4-Accent1">
    <w:name w:val="Grid Table 4 Accent 1"/>
    <w:basedOn w:val="TableNormal"/>
    <w:uiPriority w:val="49"/>
    <w:rsid w:val="00C5352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CA5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678"/>
    <w:rPr>
      <w:rFonts w:ascii="Arial" w:hAnsi="Arial"/>
    </w:rPr>
  </w:style>
  <w:style w:type="paragraph" w:styleId="Footer">
    <w:name w:val="footer"/>
    <w:basedOn w:val="Normal"/>
    <w:link w:val="FooterChar"/>
    <w:uiPriority w:val="99"/>
    <w:unhideWhenUsed/>
    <w:rsid w:val="00CA5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67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03235">
      <w:bodyDiv w:val="1"/>
      <w:marLeft w:val="0"/>
      <w:marRight w:val="0"/>
      <w:marTop w:val="0"/>
      <w:marBottom w:val="0"/>
      <w:divBdr>
        <w:top w:val="none" w:sz="0" w:space="0" w:color="auto"/>
        <w:left w:val="none" w:sz="0" w:space="0" w:color="auto"/>
        <w:bottom w:val="none" w:sz="0" w:space="0" w:color="auto"/>
        <w:right w:val="none" w:sz="0" w:space="0" w:color="auto"/>
      </w:divBdr>
      <w:divsChild>
        <w:div w:id="2074498104">
          <w:marLeft w:val="0"/>
          <w:marRight w:val="0"/>
          <w:marTop w:val="0"/>
          <w:marBottom w:val="0"/>
          <w:divBdr>
            <w:top w:val="none" w:sz="0" w:space="0" w:color="auto"/>
            <w:left w:val="none" w:sz="0" w:space="0" w:color="auto"/>
            <w:bottom w:val="none" w:sz="0" w:space="0" w:color="auto"/>
            <w:right w:val="none" w:sz="0" w:space="0" w:color="auto"/>
          </w:divBdr>
          <w:divsChild>
            <w:div w:id="140726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7520">
      <w:bodyDiv w:val="1"/>
      <w:marLeft w:val="0"/>
      <w:marRight w:val="0"/>
      <w:marTop w:val="0"/>
      <w:marBottom w:val="0"/>
      <w:divBdr>
        <w:top w:val="none" w:sz="0" w:space="0" w:color="auto"/>
        <w:left w:val="none" w:sz="0" w:space="0" w:color="auto"/>
        <w:bottom w:val="none" w:sz="0" w:space="0" w:color="auto"/>
        <w:right w:val="none" w:sz="0" w:space="0" w:color="auto"/>
      </w:divBdr>
    </w:div>
    <w:div w:id="127434141">
      <w:bodyDiv w:val="1"/>
      <w:marLeft w:val="0"/>
      <w:marRight w:val="0"/>
      <w:marTop w:val="0"/>
      <w:marBottom w:val="0"/>
      <w:divBdr>
        <w:top w:val="none" w:sz="0" w:space="0" w:color="auto"/>
        <w:left w:val="none" w:sz="0" w:space="0" w:color="auto"/>
        <w:bottom w:val="none" w:sz="0" w:space="0" w:color="auto"/>
        <w:right w:val="none" w:sz="0" w:space="0" w:color="auto"/>
      </w:divBdr>
    </w:div>
    <w:div w:id="147791072">
      <w:bodyDiv w:val="1"/>
      <w:marLeft w:val="0"/>
      <w:marRight w:val="0"/>
      <w:marTop w:val="0"/>
      <w:marBottom w:val="0"/>
      <w:divBdr>
        <w:top w:val="none" w:sz="0" w:space="0" w:color="auto"/>
        <w:left w:val="none" w:sz="0" w:space="0" w:color="auto"/>
        <w:bottom w:val="none" w:sz="0" w:space="0" w:color="auto"/>
        <w:right w:val="none" w:sz="0" w:space="0" w:color="auto"/>
      </w:divBdr>
    </w:div>
    <w:div w:id="174731732">
      <w:bodyDiv w:val="1"/>
      <w:marLeft w:val="0"/>
      <w:marRight w:val="0"/>
      <w:marTop w:val="0"/>
      <w:marBottom w:val="0"/>
      <w:divBdr>
        <w:top w:val="none" w:sz="0" w:space="0" w:color="auto"/>
        <w:left w:val="none" w:sz="0" w:space="0" w:color="auto"/>
        <w:bottom w:val="none" w:sz="0" w:space="0" w:color="auto"/>
        <w:right w:val="none" w:sz="0" w:space="0" w:color="auto"/>
      </w:divBdr>
    </w:div>
    <w:div w:id="175388435">
      <w:bodyDiv w:val="1"/>
      <w:marLeft w:val="0"/>
      <w:marRight w:val="0"/>
      <w:marTop w:val="0"/>
      <w:marBottom w:val="0"/>
      <w:divBdr>
        <w:top w:val="none" w:sz="0" w:space="0" w:color="auto"/>
        <w:left w:val="none" w:sz="0" w:space="0" w:color="auto"/>
        <w:bottom w:val="none" w:sz="0" w:space="0" w:color="auto"/>
        <w:right w:val="none" w:sz="0" w:space="0" w:color="auto"/>
      </w:divBdr>
    </w:div>
    <w:div w:id="184708346">
      <w:bodyDiv w:val="1"/>
      <w:marLeft w:val="0"/>
      <w:marRight w:val="0"/>
      <w:marTop w:val="0"/>
      <w:marBottom w:val="0"/>
      <w:divBdr>
        <w:top w:val="none" w:sz="0" w:space="0" w:color="auto"/>
        <w:left w:val="none" w:sz="0" w:space="0" w:color="auto"/>
        <w:bottom w:val="none" w:sz="0" w:space="0" w:color="auto"/>
        <w:right w:val="none" w:sz="0" w:space="0" w:color="auto"/>
      </w:divBdr>
      <w:divsChild>
        <w:div w:id="1208496338">
          <w:marLeft w:val="0"/>
          <w:marRight w:val="0"/>
          <w:marTop w:val="0"/>
          <w:marBottom w:val="0"/>
          <w:divBdr>
            <w:top w:val="none" w:sz="0" w:space="0" w:color="auto"/>
            <w:left w:val="none" w:sz="0" w:space="0" w:color="auto"/>
            <w:bottom w:val="none" w:sz="0" w:space="0" w:color="auto"/>
            <w:right w:val="none" w:sz="0" w:space="0" w:color="auto"/>
          </w:divBdr>
          <w:divsChild>
            <w:div w:id="1165361647">
              <w:marLeft w:val="0"/>
              <w:marRight w:val="0"/>
              <w:marTop w:val="0"/>
              <w:marBottom w:val="0"/>
              <w:divBdr>
                <w:top w:val="none" w:sz="0" w:space="0" w:color="auto"/>
                <w:left w:val="none" w:sz="0" w:space="0" w:color="auto"/>
                <w:bottom w:val="none" w:sz="0" w:space="0" w:color="auto"/>
                <w:right w:val="none" w:sz="0" w:space="0" w:color="auto"/>
              </w:divBdr>
            </w:div>
          </w:divsChild>
        </w:div>
        <w:div w:id="225071287">
          <w:marLeft w:val="0"/>
          <w:marRight w:val="0"/>
          <w:marTop w:val="0"/>
          <w:marBottom w:val="0"/>
          <w:divBdr>
            <w:top w:val="none" w:sz="0" w:space="0" w:color="auto"/>
            <w:left w:val="none" w:sz="0" w:space="0" w:color="auto"/>
            <w:bottom w:val="none" w:sz="0" w:space="0" w:color="auto"/>
            <w:right w:val="none" w:sz="0" w:space="0" w:color="auto"/>
          </w:divBdr>
          <w:divsChild>
            <w:div w:id="93174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335821">
      <w:bodyDiv w:val="1"/>
      <w:marLeft w:val="0"/>
      <w:marRight w:val="0"/>
      <w:marTop w:val="0"/>
      <w:marBottom w:val="0"/>
      <w:divBdr>
        <w:top w:val="none" w:sz="0" w:space="0" w:color="auto"/>
        <w:left w:val="none" w:sz="0" w:space="0" w:color="auto"/>
        <w:bottom w:val="none" w:sz="0" w:space="0" w:color="auto"/>
        <w:right w:val="none" w:sz="0" w:space="0" w:color="auto"/>
      </w:divBdr>
    </w:div>
    <w:div w:id="228658296">
      <w:bodyDiv w:val="1"/>
      <w:marLeft w:val="0"/>
      <w:marRight w:val="0"/>
      <w:marTop w:val="0"/>
      <w:marBottom w:val="0"/>
      <w:divBdr>
        <w:top w:val="none" w:sz="0" w:space="0" w:color="auto"/>
        <w:left w:val="none" w:sz="0" w:space="0" w:color="auto"/>
        <w:bottom w:val="none" w:sz="0" w:space="0" w:color="auto"/>
        <w:right w:val="none" w:sz="0" w:space="0" w:color="auto"/>
      </w:divBdr>
    </w:div>
    <w:div w:id="235674818">
      <w:bodyDiv w:val="1"/>
      <w:marLeft w:val="0"/>
      <w:marRight w:val="0"/>
      <w:marTop w:val="0"/>
      <w:marBottom w:val="0"/>
      <w:divBdr>
        <w:top w:val="none" w:sz="0" w:space="0" w:color="auto"/>
        <w:left w:val="none" w:sz="0" w:space="0" w:color="auto"/>
        <w:bottom w:val="none" w:sz="0" w:space="0" w:color="auto"/>
        <w:right w:val="none" w:sz="0" w:space="0" w:color="auto"/>
      </w:divBdr>
    </w:div>
    <w:div w:id="287397878">
      <w:bodyDiv w:val="1"/>
      <w:marLeft w:val="0"/>
      <w:marRight w:val="0"/>
      <w:marTop w:val="0"/>
      <w:marBottom w:val="0"/>
      <w:divBdr>
        <w:top w:val="none" w:sz="0" w:space="0" w:color="auto"/>
        <w:left w:val="none" w:sz="0" w:space="0" w:color="auto"/>
        <w:bottom w:val="none" w:sz="0" w:space="0" w:color="auto"/>
        <w:right w:val="none" w:sz="0" w:space="0" w:color="auto"/>
      </w:divBdr>
    </w:div>
    <w:div w:id="296768329">
      <w:bodyDiv w:val="1"/>
      <w:marLeft w:val="0"/>
      <w:marRight w:val="0"/>
      <w:marTop w:val="0"/>
      <w:marBottom w:val="0"/>
      <w:divBdr>
        <w:top w:val="none" w:sz="0" w:space="0" w:color="auto"/>
        <w:left w:val="none" w:sz="0" w:space="0" w:color="auto"/>
        <w:bottom w:val="none" w:sz="0" w:space="0" w:color="auto"/>
        <w:right w:val="none" w:sz="0" w:space="0" w:color="auto"/>
      </w:divBdr>
    </w:div>
    <w:div w:id="309675465">
      <w:bodyDiv w:val="1"/>
      <w:marLeft w:val="0"/>
      <w:marRight w:val="0"/>
      <w:marTop w:val="0"/>
      <w:marBottom w:val="0"/>
      <w:divBdr>
        <w:top w:val="none" w:sz="0" w:space="0" w:color="auto"/>
        <w:left w:val="none" w:sz="0" w:space="0" w:color="auto"/>
        <w:bottom w:val="none" w:sz="0" w:space="0" w:color="auto"/>
        <w:right w:val="none" w:sz="0" w:space="0" w:color="auto"/>
      </w:divBdr>
      <w:divsChild>
        <w:div w:id="1012881418">
          <w:marLeft w:val="0"/>
          <w:marRight w:val="0"/>
          <w:marTop w:val="0"/>
          <w:marBottom w:val="0"/>
          <w:divBdr>
            <w:top w:val="none" w:sz="0" w:space="0" w:color="auto"/>
            <w:left w:val="none" w:sz="0" w:space="0" w:color="auto"/>
            <w:bottom w:val="none" w:sz="0" w:space="0" w:color="auto"/>
            <w:right w:val="none" w:sz="0" w:space="0" w:color="auto"/>
          </w:divBdr>
          <w:divsChild>
            <w:div w:id="34745889">
              <w:marLeft w:val="0"/>
              <w:marRight w:val="0"/>
              <w:marTop w:val="0"/>
              <w:marBottom w:val="0"/>
              <w:divBdr>
                <w:top w:val="none" w:sz="0" w:space="0" w:color="auto"/>
                <w:left w:val="none" w:sz="0" w:space="0" w:color="auto"/>
                <w:bottom w:val="none" w:sz="0" w:space="0" w:color="auto"/>
                <w:right w:val="none" w:sz="0" w:space="0" w:color="auto"/>
              </w:divBdr>
            </w:div>
          </w:divsChild>
        </w:div>
        <w:div w:id="1215775976">
          <w:marLeft w:val="0"/>
          <w:marRight w:val="0"/>
          <w:marTop w:val="0"/>
          <w:marBottom w:val="0"/>
          <w:divBdr>
            <w:top w:val="none" w:sz="0" w:space="0" w:color="auto"/>
            <w:left w:val="none" w:sz="0" w:space="0" w:color="auto"/>
            <w:bottom w:val="none" w:sz="0" w:space="0" w:color="auto"/>
            <w:right w:val="none" w:sz="0" w:space="0" w:color="auto"/>
          </w:divBdr>
          <w:divsChild>
            <w:div w:id="3600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194092">
      <w:bodyDiv w:val="1"/>
      <w:marLeft w:val="0"/>
      <w:marRight w:val="0"/>
      <w:marTop w:val="0"/>
      <w:marBottom w:val="0"/>
      <w:divBdr>
        <w:top w:val="none" w:sz="0" w:space="0" w:color="auto"/>
        <w:left w:val="none" w:sz="0" w:space="0" w:color="auto"/>
        <w:bottom w:val="none" w:sz="0" w:space="0" w:color="auto"/>
        <w:right w:val="none" w:sz="0" w:space="0" w:color="auto"/>
      </w:divBdr>
    </w:div>
    <w:div w:id="327250337">
      <w:bodyDiv w:val="1"/>
      <w:marLeft w:val="0"/>
      <w:marRight w:val="0"/>
      <w:marTop w:val="0"/>
      <w:marBottom w:val="0"/>
      <w:divBdr>
        <w:top w:val="none" w:sz="0" w:space="0" w:color="auto"/>
        <w:left w:val="none" w:sz="0" w:space="0" w:color="auto"/>
        <w:bottom w:val="none" w:sz="0" w:space="0" w:color="auto"/>
        <w:right w:val="none" w:sz="0" w:space="0" w:color="auto"/>
      </w:divBdr>
    </w:div>
    <w:div w:id="344866389">
      <w:bodyDiv w:val="1"/>
      <w:marLeft w:val="0"/>
      <w:marRight w:val="0"/>
      <w:marTop w:val="0"/>
      <w:marBottom w:val="0"/>
      <w:divBdr>
        <w:top w:val="none" w:sz="0" w:space="0" w:color="auto"/>
        <w:left w:val="none" w:sz="0" w:space="0" w:color="auto"/>
        <w:bottom w:val="none" w:sz="0" w:space="0" w:color="auto"/>
        <w:right w:val="none" w:sz="0" w:space="0" w:color="auto"/>
      </w:divBdr>
    </w:div>
    <w:div w:id="375936944">
      <w:bodyDiv w:val="1"/>
      <w:marLeft w:val="0"/>
      <w:marRight w:val="0"/>
      <w:marTop w:val="0"/>
      <w:marBottom w:val="0"/>
      <w:divBdr>
        <w:top w:val="none" w:sz="0" w:space="0" w:color="auto"/>
        <w:left w:val="none" w:sz="0" w:space="0" w:color="auto"/>
        <w:bottom w:val="none" w:sz="0" w:space="0" w:color="auto"/>
        <w:right w:val="none" w:sz="0" w:space="0" w:color="auto"/>
      </w:divBdr>
      <w:divsChild>
        <w:div w:id="680816892">
          <w:marLeft w:val="0"/>
          <w:marRight w:val="0"/>
          <w:marTop w:val="0"/>
          <w:marBottom w:val="0"/>
          <w:divBdr>
            <w:top w:val="none" w:sz="0" w:space="0" w:color="auto"/>
            <w:left w:val="none" w:sz="0" w:space="0" w:color="auto"/>
            <w:bottom w:val="none" w:sz="0" w:space="0" w:color="auto"/>
            <w:right w:val="none" w:sz="0" w:space="0" w:color="auto"/>
          </w:divBdr>
          <w:divsChild>
            <w:div w:id="3518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08817">
      <w:bodyDiv w:val="1"/>
      <w:marLeft w:val="0"/>
      <w:marRight w:val="0"/>
      <w:marTop w:val="0"/>
      <w:marBottom w:val="0"/>
      <w:divBdr>
        <w:top w:val="none" w:sz="0" w:space="0" w:color="auto"/>
        <w:left w:val="none" w:sz="0" w:space="0" w:color="auto"/>
        <w:bottom w:val="none" w:sz="0" w:space="0" w:color="auto"/>
        <w:right w:val="none" w:sz="0" w:space="0" w:color="auto"/>
      </w:divBdr>
    </w:div>
    <w:div w:id="393506993">
      <w:bodyDiv w:val="1"/>
      <w:marLeft w:val="0"/>
      <w:marRight w:val="0"/>
      <w:marTop w:val="0"/>
      <w:marBottom w:val="0"/>
      <w:divBdr>
        <w:top w:val="none" w:sz="0" w:space="0" w:color="auto"/>
        <w:left w:val="none" w:sz="0" w:space="0" w:color="auto"/>
        <w:bottom w:val="none" w:sz="0" w:space="0" w:color="auto"/>
        <w:right w:val="none" w:sz="0" w:space="0" w:color="auto"/>
      </w:divBdr>
    </w:div>
    <w:div w:id="393509787">
      <w:bodyDiv w:val="1"/>
      <w:marLeft w:val="0"/>
      <w:marRight w:val="0"/>
      <w:marTop w:val="0"/>
      <w:marBottom w:val="0"/>
      <w:divBdr>
        <w:top w:val="none" w:sz="0" w:space="0" w:color="auto"/>
        <w:left w:val="none" w:sz="0" w:space="0" w:color="auto"/>
        <w:bottom w:val="none" w:sz="0" w:space="0" w:color="auto"/>
        <w:right w:val="none" w:sz="0" w:space="0" w:color="auto"/>
      </w:divBdr>
    </w:div>
    <w:div w:id="425201068">
      <w:bodyDiv w:val="1"/>
      <w:marLeft w:val="0"/>
      <w:marRight w:val="0"/>
      <w:marTop w:val="0"/>
      <w:marBottom w:val="0"/>
      <w:divBdr>
        <w:top w:val="none" w:sz="0" w:space="0" w:color="auto"/>
        <w:left w:val="none" w:sz="0" w:space="0" w:color="auto"/>
        <w:bottom w:val="none" w:sz="0" w:space="0" w:color="auto"/>
        <w:right w:val="none" w:sz="0" w:space="0" w:color="auto"/>
      </w:divBdr>
    </w:div>
    <w:div w:id="450170493">
      <w:bodyDiv w:val="1"/>
      <w:marLeft w:val="0"/>
      <w:marRight w:val="0"/>
      <w:marTop w:val="0"/>
      <w:marBottom w:val="0"/>
      <w:divBdr>
        <w:top w:val="none" w:sz="0" w:space="0" w:color="auto"/>
        <w:left w:val="none" w:sz="0" w:space="0" w:color="auto"/>
        <w:bottom w:val="none" w:sz="0" w:space="0" w:color="auto"/>
        <w:right w:val="none" w:sz="0" w:space="0" w:color="auto"/>
      </w:divBdr>
    </w:div>
    <w:div w:id="556087816">
      <w:bodyDiv w:val="1"/>
      <w:marLeft w:val="0"/>
      <w:marRight w:val="0"/>
      <w:marTop w:val="0"/>
      <w:marBottom w:val="0"/>
      <w:divBdr>
        <w:top w:val="none" w:sz="0" w:space="0" w:color="auto"/>
        <w:left w:val="none" w:sz="0" w:space="0" w:color="auto"/>
        <w:bottom w:val="none" w:sz="0" w:space="0" w:color="auto"/>
        <w:right w:val="none" w:sz="0" w:space="0" w:color="auto"/>
      </w:divBdr>
    </w:div>
    <w:div w:id="561066288">
      <w:bodyDiv w:val="1"/>
      <w:marLeft w:val="0"/>
      <w:marRight w:val="0"/>
      <w:marTop w:val="0"/>
      <w:marBottom w:val="0"/>
      <w:divBdr>
        <w:top w:val="none" w:sz="0" w:space="0" w:color="auto"/>
        <w:left w:val="none" w:sz="0" w:space="0" w:color="auto"/>
        <w:bottom w:val="none" w:sz="0" w:space="0" w:color="auto"/>
        <w:right w:val="none" w:sz="0" w:space="0" w:color="auto"/>
      </w:divBdr>
      <w:divsChild>
        <w:div w:id="1512993329">
          <w:marLeft w:val="0"/>
          <w:marRight w:val="0"/>
          <w:marTop w:val="0"/>
          <w:marBottom w:val="0"/>
          <w:divBdr>
            <w:top w:val="none" w:sz="0" w:space="0" w:color="auto"/>
            <w:left w:val="none" w:sz="0" w:space="0" w:color="auto"/>
            <w:bottom w:val="none" w:sz="0" w:space="0" w:color="auto"/>
            <w:right w:val="none" w:sz="0" w:space="0" w:color="auto"/>
          </w:divBdr>
          <w:divsChild>
            <w:div w:id="1394155414">
              <w:marLeft w:val="0"/>
              <w:marRight w:val="0"/>
              <w:marTop w:val="0"/>
              <w:marBottom w:val="0"/>
              <w:divBdr>
                <w:top w:val="none" w:sz="0" w:space="0" w:color="auto"/>
                <w:left w:val="none" w:sz="0" w:space="0" w:color="auto"/>
                <w:bottom w:val="none" w:sz="0" w:space="0" w:color="auto"/>
                <w:right w:val="none" w:sz="0" w:space="0" w:color="auto"/>
              </w:divBdr>
            </w:div>
          </w:divsChild>
        </w:div>
        <w:div w:id="1443693082">
          <w:marLeft w:val="0"/>
          <w:marRight w:val="0"/>
          <w:marTop w:val="0"/>
          <w:marBottom w:val="0"/>
          <w:divBdr>
            <w:top w:val="none" w:sz="0" w:space="0" w:color="auto"/>
            <w:left w:val="none" w:sz="0" w:space="0" w:color="auto"/>
            <w:bottom w:val="none" w:sz="0" w:space="0" w:color="auto"/>
            <w:right w:val="none" w:sz="0" w:space="0" w:color="auto"/>
          </w:divBdr>
          <w:divsChild>
            <w:div w:id="703482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370260">
      <w:bodyDiv w:val="1"/>
      <w:marLeft w:val="0"/>
      <w:marRight w:val="0"/>
      <w:marTop w:val="0"/>
      <w:marBottom w:val="0"/>
      <w:divBdr>
        <w:top w:val="none" w:sz="0" w:space="0" w:color="auto"/>
        <w:left w:val="none" w:sz="0" w:space="0" w:color="auto"/>
        <w:bottom w:val="none" w:sz="0" w:space="0" w:color="auto"/>
        <w:right w:val="none" w:sz="0" w:space="0" w:color="auto"/>
      </w:divBdr>
    </w:div>
    <w:div w:id="677580664">
      <w:bodyDiv w:val="1"/>
      <w:marLeft w:val="0"/>
      <w:marRight w:val="0"/>
      <w:marTop w:val="0"/>
      <w:marBottom w:val="0"/>
      <w:divBdr>
        <w:top w:val="none" w:sz="0" w:space="0" w:color="auto"/>
        <w:left w:val="none" w:sz="0" w:space="0" w:color="auto"/>
        <w:bottom w:val="none" w:sz="0" w:space="0" w:color="auto"/>
        <w:right w:val="none" w:sz="0" w:space="0" w:color="auto"/>
      </w:divBdr>
    </w:div>
    <w:div w:id="705522069">
      <w:bodyDiv w:val="1"/>
      <w:marLeft w:val="0"/>
      <w:marRight w:val="0"/>
      <w:marTop w:val="0"/>
      <w:marBottom w:val="0"/>
      <w:divBdr>
        <w:top w:val="none" w:sz="0" w:space="0" w:color="auto"/>
        <w:left w:val="none" w:sz="0" w:space="0" w:color="auto"/>
        <w:bottom w:val="none" w:sz="0" w:space="0" w:color="auto"/>
        <w:right w:val="none" w:sz="0" w:space="0" w:color="auto"/>
      </w:divBdr>
    </w:div>
    <w:div w:id="730350483">
      <w:bodyDiv w:val="1"/>
      <w:marLeft w:val="0"/>
      <w:marRight w:val="0"/>
      <w:marTop w:val="0"/>
      <w:marBottom w:val="0"/>
      <w:divBdr>
        <w:top w:val="none" w:sz="0" w:space="0" w:color="auto"/>
        <w:left w:val="none" w:sz="0" w:space="0" w:color="auto"/>
        <w:bottom w:val="none" w:sz="0" w:space="0" w:color="auto"/>
        <w:right w:val="none" w:sz="0" w:space="0" w:color="auto"/>
      </w:divBdr>
    </w:div>
    <w:div w:id="752432286">
      <w:bodyDiv w:val="1"/>
      <w:marLeft w:val="0"/>
      <w:marRight w:val="0"/>
      <w:marTop w:val="0"/>
      <w:marBottom w:val="0"/>
      <w:divBdr>
        <w:top w:val="none" w:sz="0" w:space="0" w:color="auto"/>
        <w:left w:val="none" w:sz="0" w:space="0" w:color="auto"/>
        <w:bottom w:val="none" w:sz="0" w:space="0" w:color="auto"/>
        <w:right w:val="none" w:sz="0" w:space="0" w:color="auto"/>
      </w:divBdr>
    </w:div>
    <w:div w:id="805901140">
      <w:bodyDiv w:val="1"/>
      <w:marLeft w:val="0"/>
      <w:marRight w:val="0"/>
      <w:marTop w:val="0"/>
      <w:marBottom w:val="0"/>
      <w:divBdr>
        <w:top w:val="none" w:sz="0" w:space="0" w:color="auto"/>
        <w:left w:val="none" w:sz="0" w:space="0" w:color="auto"/>
        <w:bottom w:val="none" w:sz="0" w:space="0" w:color="auto"/>
        <w:right w:val="none" w:sz="0" w:space="0" w:color="auto"/>
      </w:divBdr>
    </w:div>
    <w:div w:id="811411820">
      <w:bodyDiv w:val="1"/>
      <w:marLeft w:val="0"/>
      <w:marRight w:val="0"/>
      <w:marTop w:val="0"/>
      <w:marBottom w:val="0"/>
      <w:divBdr>
        <w:top w:val="none" w:sz="0" w:space="0" w:color="auto"/>
        <w:left w:val="none" w:sz="0" w:space="0" w:color="auto"/>
        <w:bottom w:val="none" w:sz="0" w:space="0" w:color="auto"/>
        <w:right w:val="none" w:sz="0" w:space="0" w:color="auto"/>
      </w:divBdr>
    </w:div>
    <w:div w:id="812067607">
      <w:bodyDiv w:val="1"/>
      <w:marLeft w:val="0"/>
      <w:marRight w:val="0"/>
      <w:marTop w:val="0"/>
      <w:marBottom w:val="0"/>
      <w:divBdr>
        <w:top w:val="none" w:sz="0" w:space="0" w:color="auto"/>
        <w:left w:val="none" w:sz="0" w:space="0" w:color="auto"/>
        <w:bottom w:val="none" w:sz="0" w:space="0" w:color="auto"/>
        <w:right w:val="none" w:sz="0" w:space="0" w:color="auto"/>
      </w:divBdr>
      <w:divsChild>
        <w:div w:id="1667974534">
          <w:marLeft w:val="0"/>
          <w:marRight w:val="0"/>
          <w:marTop w:val="0"/>
          <w:marBottom w:val="0"/>
          <w:divBdr>
            <w:top w:val="none" w:sz="0" w:space="0" w:color="auto"/>
            <w:left w:val="none" w:sz="0" w:space="0" w:color="auto"/>
            <w:bottom w:val="none" w:sz="0" w:space="0" w:color="auto"/>
            <w:right w:val="none" w:sz="0" w:space="0" w:color="auto"/>
          </w:divBdr>
          <w:divsChild>
            <w:div w:id="33661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22144">
      <w:bodyDiv w:val="1"/>
      <w:marLeft w:val="0"/>
      <w:marRight w:val="0"/>
      <w:marTop w:val="0"/>
      <w:marBottom w:val="0"/>
      <w:divBdr>
        <w:top w:val="none" w:sz="0" w:space="0" w:color="auto"/>
        <w:left w:val="none" w:sz="0" w:space="0" w:color="auto"/>
        <w:bottom w:val="none" w:sz="0" w:space="0" w:color="auto"/>
        <w:right w:val="none" w:sz="0" w:space="0" w:color="auto"/>
      </w:divBdr>
      <w:divsChild>
        <w:div w:id="2000382404">
          <w:marLeft w:val="0"/>
          <w:marRight w:val="0"/>
          <w:marTop w:val="0"/>
          <w:marBottom w:val="0"/>
          <w:divBdr>
            <w:top w:val="none" w:sz="0" w:space="0" w:color="auto"/>
            <w:left w:val="none" w:sz="0" w:space="0" w:color="auto"/>
            <w:bottom w:val="none" w:sz="0" w:space="0" w:color="auto"/>
            <w:right w:val="none" w:sz="0" w:space="0" w:color="auto"/>
          </w:divBdr>
          <w:divsChild>
            <w:div w:id="4556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80766">
      <w:bodyDiv w:val="1"/>
      <w:marLeft w:val="0"/>
      <w:marRight w:val="0"/>
      <w:marTop w:val="0"/>
      <w:marBottom w:val="0"/>
      <w:divBdr>
        <w:top w:val="none" w:sz="0" w:space="0" w:color="auto"/>
        <w:left w:val="none" w:sz="0" w:space="0" w:color="auto"/>
        <w:bottom w:val="none" w:sz="0" w:space="0" w:color="auto"/>
        <w:right w:val="none" w:sz="0" w:space="0" w:color="auto"/>
      </w:divBdr>
    </w:div>
    <w:div w:id="878200749">
      <w:bodyDiv w:val="1"/>
      <w:marLeft w:val="0"/>
      <w:marRight w:val="0"/>
      <w:marTop w:val="0"/>
      <w:marBottom w:val="0"/>
      <w:divBdr>
        <w:top w:val="none" w:sz="0" w:space="0" w:color="auto"/>
        <w:left w:val="none" w:sz="0" w:space="0" w:color="auto"/>
        <w:bottom w:val="none" w:sz="0" w:space="0" w:color="auto"/>
        <w:right w:val="none" w:sz="0" w:space="0" w:color="auto"/>
      </w:divBdr>
    </w:div>
    <w:div w:id="917445698">
      <w:bodyDiv w:val="1"/>
      <w:marLeft w:val="0"/>
      <w:marRight w:val="0"/>
      <w:marTop w:val="0"/>
      <w:marBottom w:val="0"/>
      <w:divBdr>
        <w:top w:val="none" w:sz="0" w:space="0" w:color="auto"/>
        <w:left w:val="none" w:sz="0" w:space="0" w:color="auto"/>
        <w:bottom w:val="none" w:sz="0" w:space="0" w:color="auto"/>
        <w:right w:val="none" w:sz="0" w:space="0" w:color="auto"/>
      </w:divBdr>
    </w:div>
    <w:div w:id="936642927">
      <w:bodyDiv w:val="1"/>
      <w:marLeft w:val="0"/>
      <w:marRight w:val="0"/>
      <w:marTop w:val="0"/>
      <w:marBottom w:val="0"/>
      <w:divBdr>
        <w:top w:val="none" w:sz="0" w:space="0" w:color="auto"/>
        <w:left w:val="none" w:sz="0" w:space="0" w:color="auto"/>
        <w:bottom w:val="none" w:sz="0" w:space="0" w:color="auto"/>
        <w:right w:val="none" w:sz="0" w:space="0" w:color="auto"/>
      </w:divBdr>
    </w:div>
    <w:div w:id="962927328">
      <w:bodyDiv w:val="1"/>
      <w:marLeft w:val="0"/>
      <w:marRight w:val="0"/>
      <w:marTop w:val="0"/>
      <w:marBottom w:val="0"/>
      <w:divBdr>
        <w:top w:val="none" w:sz="0" w:space="0" w:color="auto"/>
        <w:left w:val="none" w:sz="0" w:space="0" w:color="auto"/>
        <w:bottom w:val="none" w:sz="0" w:space="0" w:color="auto"/>
        <w:right w:val="none" w:sz="0" w:space="0" w:color="auto"/>
      </w:divBdr>
    </w:div>
    <w:div w:id="963002042">
      <w:bodyDiv w:val="1"/>
      <w:marLeft w:val="0"/>
      <w:marRight w:val="0"/>
      <w:marTop w:val="0"/>
      <w:marBottom w:val="0"/>
      <w:divBdr>
        <w:top w:val="none" w:sz="0" w:space="0" w:color="auto"/>
        <w:left w:val="none" w:sz="0" w:space="0" w:color="auto"/>
        <w:bottom w:val="none" w:sz="0" w:space="0" w:color="auto"/>
        <w:right w:val="none" w:sz="0" w:space="0" w:color="auto"/>
      </w:divBdr>
    </w:div>
    <w:div w:id="983660713">
      <w:bodyDiv w:val="1"/>
      <w:marLeft w:val="0"/>
      <w:marRight w:val="0"/>
      <w:marTop w:val="0"/>
      <w:marBottom w:val="0"/>
      <w:divBdr>
        <w:top w:val="none" w:sz="0" w:space="0" w:color="auto"/>
        <w:left w:val="none" w:sz="0" w:space="0" w:color="auto"/>
        <w:bottom w:val="none" w:sz="0" w:space="0" w:color="auto"/>
        <w:right w:val="none" w:sz="0" w:space="0" w:color="auto"/>
      </w:divBdr>
    </w:div>
    <w:div w:id="1030035869">
      <w:bodyDiv w:val="1"/>
      <w:marLeft w:val="0"/>
      <w:marRight w:val="0"/>
      <w:marTop w:val="0"/>
      <w:marBottom w:val="0"/>
      <w:divBdr>
        <w:top w:val="none" w:sz="0" w:space="0" w:color="auto"/>
        <w:left w:val="none" w:sz="0" w:space="0" w:color="auto"/>
        <w:bottom w:val="none" w:sz="0" w:space="0" w:color="auto"/>
        <w:right w:val="none" w:sz="0" w:space="0" w:color="auto"/>
      </w:divBdr>
      <w:divsChild>
        <w:div w:id="997272470">
          <w:marLeft w:val="0"/>
          <w:marRight w:val="0"/>
          <w:marTop w:val="0"/>
          <w:marBottom w:val="0"/>
          <w:divBdr>
            <w:top w:val="none" w:sz="0" w:space="0" w:color="auto"/>
            <w:left w:val="none" w:sz="0" w:space="0" w:color="auto"/>
            <w:bottom w:val="none" w:sz="0" w:space="0" w:color="auto"/>
            <w:right w:val="none" w:sz="0" w:space="0" w:color="auto"/>
          </w:divBdr>
          <w:divsChild>
            <w:div w:id="210183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20586">
      <w:bodyDiv w:val="1"/>
      <w:marLeft w:val="0"/>
      <w:marRight w:val="0"/>
      <w:marTop w:val="0"/>
      <w:marBottom w:val="0"/>
      <w:divBdr>
        <w:top w:val="none" w:sz="0" w:space="0" w:color="auto"/>
        <w:left w:val="none" w:sz="0" w:space="0" w:color="auto"/>
        <w:bottom w:val="none" w:sz="0" w:space="0" w:color="auto"/>
        <w:right w:val="none" w:sz="0" w:space="0" w:color="auto"/>
      </w:divBdr>
    </w:div>
    <w:div w:id="1115251694">
      <w:bodyDiv w:val="1"/>
      <w:marLeft w:val="0"/>
      <w:marRight w:val="0"/>
      <w:marTop w:val="0"/>
      <w:marBottom w:val="0"/>
      <w:divBdr>
        <w:top w:val="none" w:sz="0" w:space="0" w:color="auto"/>
        <w:left w:val="none" w:sz="0" w:space="0" w:color="auto"/>
        <w:bottom w:val="none" w:sz="0" w:space="0" w:color="auto"/>
        <w:right w:val="none" w:sz="0" w:space="0" w:color="auto"/>
      </w:divBdr>
      <w:divsChild>
        <w:div w:id="937445666">
          <w:marLeft w:val="0"/>
          <w:marRight w:val="0"/>
          <w:marTop w:val="0"/>
          <w:marBottom w:val="0"/>
          <w:divBdr>
            <w:top w:val="none" w:sz="0" w:space="0" w:color="auto"/>
            <w:left w:val="none" w:sz="0" w:space="0" w:color="auto"/>
            <w:bottom w:val="none" w:sz="0" w:space="0" w:color="auto"/>
            <w:right w:val="none" w:sz="0" w:space="0" w:color="auto"/>
          </w:divBdr>
          <w:divsChild>
            <w:div w:id="198897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463992">
      <w:bodyDiv w:val="1"/>
      <w:marLeft w:val="0"/>
      <w:marRight w:val="0"/>
      <w:marTop w:val="0"/>
      <w:marBottom w:val="0"/>
      <w:divBdr>
        <w:top w:val="none" w:sz="0" w:space="0" w:color="auto"/>
        <w:left w:val="none" w:sz="0" w:space="0" w:color="auto"/>
        <w:bottom w:val="none" w:sz="0" w:space="0" w:color="auto"/>
        <w:right w:val="none" w:sz="0" w:space="0" w:color="auto"/>
      </w:divBdr>
    </w:div>
    <w:div w:id="1170174242">
      <w:bodyDiv w:val="1"/>
      <w:marLeft w:val="0"/>
      <w:marRight w:val="0"/>
      <w:marTop w:val="0"/>
      <w:marBottom w:val="0"/>
      <w:divBdr>
        <w:top w:val="none" w:sz="0" w:space="0" w:color="auto"/>
        <w:left w:val="none" w:sz="0" w:space="0" w:color="auto"/>
        <w:bottom w:val="none" w:sz="0" w:space="0" w:color="auto"/>
        <w:right w:val="none" w:sz="0" w:space="0" w:color="auto"/>
      </w:divBdr>
    </w:div>
    <w:div w:id="1171675975">
      <w:bodyDiv w:val="1"/>
      <w:marLeft w:val="0"/>
      <w:marRight w:val="0"/>
      <w:marTop w:val="0"/>
      <w:marBottom w:val="0"/>
      <w:divBdr>
        <w:top w:val="none" w:sz="0" w:space="0" w:color="auto"/>
        <w:left w:val="none" w:sz="0" w:space="0" w:color="auto"/>
        <w:bottom w:val="none" w:sz="0" w:space="0" w:color="auto"/>
        <w:right w:val="none" w:sz="0" w:space="0" w:color="auto"/>
      </w:divBdr>
    </w:div>
    <w:div w:id="1205293246">
      <w:bodyDiv w:val="1"/>
      <w:marLeft w:val="0"/>
      <w:marRight w:val="0"/>
      <w:marTop w:val="0"/>
      <w:marBottom w:val="0"/>
      <w:divBdr>
        <w:top w:val="none" w:sz="0" w:space="0" w:color="auto"/>
        <w:left w:val="none" w:sz="0" w:space="0" w:color="auto"/>
        <w:bottom w:val="none" w:sz="0" w:space="0" w:color="auto"/>
        <w:right w:val="none" w:sz="0" w:space="0" w:color="auto"/>
      </w:divBdr>
    </w:div>
    <w:div w:id="1229731092">
      <w:bodyDiv w:val="1"/>
      <w:marLeft w:val="0"/>
      <w:marRight w:val="0"/>
      <w:marTop w:val="0"/>
      <w:marBottom w:val="0"/>
      <w:divBdr>
        <w:top w:val="none" w:sz="0" w:space="0" w:color="auto"/>
        <w:left w:val="none" w:sz="0" w:space="0" w:color="auto"/>
        <w:bottom w:val="none" w:sz="0" w:space="0" w:color="auto"/>
        <w:right w:val="none" w:sz="0" w:space="0" w:color="auto"/>
      </w:divBdr>
    </w:div>
    <w:div w:id="1241794057">
      <w:bodyDiv w:val="1"/>
      <w:marLeft w:val="0"/>
      <w:marRight w:val="0"/>
      <w:marTop w:val="0"/>
      <w:marBottom w:val="0"/>
      <w:divBdr>
        <w:top w:val="none" w:sz="0" w:space="0" w:color="auto"/>
        <w:left w:val="none" w:sz="0" w:space="0" w:color="auto"/>
        <w:bottom w:val="none" w:sz="0" w:space="0" w:color="auto"/>
        <w:right w:val="none" w:sz="0" w:space="0" w:color="auto"/>
      </w:divBdr>
    </w:div>
    <w:div w:id="1272857333">
      <w:bodyDiv w:val="1"/>
      <w:marLeft w:val="0"/>
      <w:marRight w:val="0"/>
      <w:marTop w:val="0"/>
      <w:marBottom w:val="0"/>
      <w:divBdr>
        <w:top w:val="none" w:sz="0" w:space="0" w:color="auto"/>
        <w:left w:val="none" w:sz="0" w:space="0" w:color="auto"/>
        <w:bottom w:val="none" w:sz="0" w:space="0" w:color="auto"/>
        <w:right w:val="none" w:sz="0" w:space="0" w:color="auto"/>
      </w:divBdr>
    </w:div>
    <w:div w:id="1330407174">
      <w:bodyDiv w:val="1"/>
      <w:marLeft w:val="0"/>
      <w:marRight w:val="0"/>
      <w:marTop w:val="0"/>
      <w:marBottom w:val="0"/>
      <w:divBdr>
        <w:top w:val="none" w:sz="0" w:space="0" w:color="auto"/>
        <w:left w:val="none" w:sz="0" w:space="0" w:color="auto"/>
        <w:bottom w:val="none" w:sz="0" w:space="0" w:color="auto"/>
        <w:right w:val="none" w:sz="0" w:space="0" w:color="auto"/>
      </w:divBdr>
    </w:div>
    <w:div w:id="1366759519">
      <w:bodyDiv w:val="1"/>
      <w:marLeft w:val="0"/>
      <w:marRight w:val="0"/>
      <w:marTop w:val="0"/>
      <w:marBottom w:val="0"/>
      <w:divBdr>
        <w:top w:val="none" w:sz="0" w:space="0" w:color="auto"/>
        <w:left w:val="none" w:sz="0" w:space="0" w:color="auto"/>
        <w:bottom w:val="none" w:sz="0" w:space="0" w:color="auto"/>
        <w:right w:val="none" w:sz="0" w:space="0" w:color="auto"/>
      </w:divBdr>
    </w:div>
    <w:div w:id="1424298631">
      <w:bodyDiv w:val="1"/>
      <w:marLeft w:val="0"/>
      <w:marRight w:val="0"/>
      <w:marTop w:val="0"/>
      <w:marBottom w:val="0"/>
      <w:divBdr>
        <w:top w:val="none" w:sz="0" w:space="0" w:color="auto"/>
        <w:left w:val="none" w:sz="0" w:space="0" w:color="auto"/>
        <w:bottom w:val="none" w:sz="0" w:space="0" w:color="auto"/>
        <w:right w:val="none" w:sz="0" w:space="0" w:color="auto"/>
      </w:divBdr>
    </w:div>
    <w:div w:id="1429424329">
      <w:bodyDiv w:val="1"/>
      <w:marLeft w:val="0"/>
      <w:marRight w:val="0"/>
      <w:marTop w:val="0"/>
      <w:marBottom w:val="0"/>
      <w:divBdr>
        <w:top w:val="none" w:sz="0" w:space="0" w:color="auto"/>
        <w:left w:val="none" w:sz="0" w:space="0" w:color="auto"/>
        <w:bottom w:val="none" w:sz="0" w:space="0" w:color="auto"/>
        <w:right w:val="none" w:sz="0" w:space="0" w:color="auto"/>
      </w:divBdr>
      <w:divsChild>
        <w:div w:id="1961764322">
          <w:marLeft w:val="0"/>
          <w:marRight w:val="0"/>
          <w:marTop w:val="0"/>
          <w:marBottom w:val="0"/>
          <w:divBdr>
            <w:top w:val="none" w:sz="0" w:space="0" w:color="auto"/>
            <w:left w:val="none" w:sz="0" w:space="0" w:color="auto"/>
            <w:bottom w:val="none" w:sz="0" w:space="0" w:color="auto"/>
            <w:right w:val="none" w:sz="0" w:space="0" w:color="auto"/>
          </w:divBdr>
          <w:divsChild>
            <w:div w:id="208329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443216">
      <w:bodyDiv w:val="1"/>
      <w:marLeft w:val="0"/>
      <w:marRight w:val="0"/>
      <w:marTop w:val="0"/>
      <w:marBottom w:val="0"/>
      <w:divBdr>
        <w:top w:val="none" w:sz="0" w:space="0" w:color="auto"/>
        <w:left w:val="none" w:sz="0" w:space="0" w:color="auto"/>
        <w:bottom w:val="none" w:sz="0" w:space="0" w:color="auto"/>
        <w:right w:val="none" w:sz="0" w:space="0" w:color="auto"/>
      </w:divBdr>
      <w:divsChild>
        <w:div w:id="154103639">
          <w:marLeft w:val="0"/>
          <w:marRight w:val="0"/>
          <w:marTop w:val="0"/>
          <w:marBottom w:val="0"/>
          <w:divBdr>
            <w:top w:val="none" w:sz="0" w:space="0" w:color="auto"/>
            <w:left w:val="none" w:sz="0" w:space="0" w:color="auto"/>
            <w:bottom w:val="none" w:sz="0" w:space="0" w:color="auto"/>
            <w:right w:val="none" w:sz="0" w:space="0" w:color="auto"/>
          </w:divBdr>
          <w:divsChild>
            <w:div w:id="821503486">
              <w:marLeft w:val="0"/>
              <w:marRight w:val="0"/>
              <w:marTop w:val="0"/>
              <w:marBottom w:val="0"/>
              <w:divBdr>
                <w:top w:val="none" w:sz="0" w:space="0" w:color="auto"/>
                <w:left w:val="none" w:sz="0" w:space="0" w:color="auto"/>
                <w:bottom w:val="none" w:sz="0" w:space="0" w:color="auto"/>
                <w:right w:val="none" w:sz="0" w:space="0" w:color="auto"/>
              </w:divBdr>
            </w:div>
          </w:divsChild>
        </w:div>
        <w:div w:id="1748766383">
          <w:marLeft w:val="0"/>
          <w:marRight w:val="0"/>
          <w:marTop w:val="0"/>
          <w:marBottom w:val="0"/>
          <w:divBdr>
            <w:top w:val="none" w:sz="0" w:space="0" w:color="auto"/>
            <w:left w:val="none" w:sz="0" w:space="0" w:color="auto"/>
            <w:bottom w:val="none" w:sz="0" w:space="0" w:color="auto"/>
            <w:right w:val="none" w:sz="0" w:space="0" w:color="auto"/>
          </w:divBdr>
          <w:divsChild>
            <w:div w:id="95487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37335">
      <w:bodyDiv w:val="1"/>
      <w:marLeft w:val="0"/>
      <w:marRight w:val="0"/>
      <w:marTop w:val="0"/>
      <w:marBottom w:val="0"/>
      <w:divBdr>
        <w:top w:val="none" w:sz="0" w:space="0" w:color="auto"/>
        <w:left w:val="none" w:sz="0" w:space="0" w:color="auto"/>
        <w:bottom w:val="none" w:sz="0" w:space="0" w:color="auto"/>
        <w:right w:val="none" w:sz="0" w:space="0" w:color="auto"/>
      </w:divBdr>
    </w:div>
    <w:div w:id="1528979608">
      <w:bodyDiv w:val="1"/>
      <w:marLeft w:val="0"/>
      <w:marRight w:val="0"/>
      <w:marTop w:val="0"/>
      <w:marBottom w:val="0"/>
      <w:divBdr>
        <w:top w:val="none" w:sz="0" w:space="0" w:color="auto"/>
        <w:left w:val="none" w:sz="0" w:space="0" w:color="auto"/>
        <w:bottom w:val="none" w:sz="0" w:space="0" w:color="auto"/>
        <w:right w:val="none" w:sz="0" w:space="0" w:color="auto"/>
      </w:divBdr>
      <w:divsChild>
        <w:div w:id="780689457">
          <w:marLeft w:val="0"/>
          <w:marRight w:val="0"/>
          <w:marTop w:val="0"/>
          <w:marBottom w:val="0"/>
          <w:divBdr>
            <w:top w:val="none" w:sz="0" w:space="0" w:color="auto"/>
            <w:left w:val="none" w:sz="0" w:space="0" w:color="auto"/>
            <w:bottom w:val="none" w:sz="0" w:space="0" w:color="auto"/>
            <w:right w:val="none" w:sz="0" w:space="0" w:color="auto"/>
          </w:divBdr>
          <w:divsChild>
            <w:div w:id="89885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642837">
      <w:bodyDiv w:val="1"/>
      <w:marLeft w:val="0"/>
      <w:marRight w:val="0"/>
      <w:marTop w:val="0"/>
      <w:marBottom w:val="0"/>
      <w:divBdr>
        <w:top w:val="none" w:sz="0" w:space="0" w:color="auto"/>
        <w:left w:val="none" w:sz="0" w:space="0" w:color="auto"/>
        <w:bottom w:val="none" w:sz="0" w:space="0" w:color="auto"/>
        <w:right w:val="none" w:sz="0" w:space="0" w:color="auto"/>
      </w:divBdr>
    </w:div>
    <w:div w:id="1558197830">
      <w:bodyDiv w:val="1"/>
      <w:marLeft w:val="0"/>
      <w:marRight w:val="0"/>
      <w:marTop w:val="0"/>
      <w:marBottom w:val="0"/>
      <w:divBdr>
        <w:top w:val="none" w:sz="0" w:space="0" w:color="auto"/>
        <w:left w:val="none" w:sz="0" w:space="0" w:color="auto"/>
        <w:bottom w:val="none" w:sz="0" w:space="0" w:color="auto"/>
        <w:right w:val="none" w:sz="0" w:space="0" w:color="auto"/>
      </w:divBdr>
    </w:div>
    <w:div w:id="1577546013">
      <w:bodyDiv w:val="1"/>
      <w:marLeft w:val="0"/>
      <w:marRight w:val="0"/>
      <w:marTop w:val="0"/>
      <w:marBottom w:val="0"/>
      <w:divBdr>
        <w:top w:val="none" w:sz="0" w:space="0" w:color="auto"/>
        <w:left w:val="none" w:sz="0" w:space="0" w:color="auto"/>
        <w:bottom w:val="none" w:sz="0" w:space="0" w:color="auto"/>
        <w:right w:val="none" w:sz="0" w:space="0" w:color="auto"/>
      </w:divBdr>
    </w:div>
    <w:div w:id="1682589465">
      <w:bodyDiv w:val="1"/>
      <w:marLeft w:val="0"/>
      <w:marRight w:val="0"/>
      <w:marTop w:val="0"/>
      <w:marBottom w:val="0"/>
      <w:divBdr>
        <w:top w:val="none" w:sz="0" w:space="0" w:color="auto"/>
        <w:left w:val="none" w:sz="0" w:space="0" w:color="auto"/>
        <w:bottom w:val="none" w:sz="0" w:space="0" w:color="auto"/>
        <w:right w:val="none" w:sz="0" w:space="0" w:color="auto"/>
      </w:divBdr>
    </w:div>
    <w:div w:id="1726177028">
      <w:bodyDiv w:val="1"/>
      <w:marLeft w:val="0"/>
      <w:marRight w:val="0"/>
      <w:marTop w:val="0"/>
      <w:marBottom w:val="0"/>
      <w:divBdr>
        <w:top w:val="none" w:sz="0" w:space="0" w:color="auto"/>
        <w:left w:val="none" w:sz="0" w:space="0" w:color="auto"/>
        <w:bottom w:val="none" w:sz="0" w:space="0" w:color="auto"/>
        <w:right w:val="none" w:sz="0" w:space="0" w:color="auto"/>
      </w:divBdr>
    </w:div>
    <w:div w:id="1769544366">
      <w:bodyDiv w:val="1"/>
      <w:marLeft w:val="0"/>
      <w:marRight w:val="0"/>
      <w:marTop w:val="0"/>
      <w:marBottom w:val="0"/>
      <w:divBdr>
        <w:top w:val="none" w:sz="0" w:space="0" w:color="auto"/>
        <w:left w:val="none" w:sz="0" w:space="0" w:color="auto"/>
        <w:bottom w:val="none" w:sz="0" w:space="0" w:color="auto"/>
        <w:right w:val="none" w:sz="0" w:space="0" w:color="auto"/>
      </w:divBdr>
    </w:div>
    <w:div w:id="1790512285">
      <w:bodyDiv w:val="1"/>
      <w:marLeft w:val="0"/>
      <w:marRight w:val="0"/>
      <w:marTop w:val="0"/>
      <w:marBottom w:val="0"/>
      <w:divBdr>
        <w:top w:val="none" w:sz="0" w:space="0" w:color="auto"/>
        <w:left w:val="none" w:sz="0" w:space="0" w:color="auto"/>
        <w:bottom w:val="none" w:sz="0" w:space="0" w:color="auto"/>
        <w:right w:val="none" w:sz="0" w:space="0" w:color="auto"/>
      </w:divBdr>
    </w:div>
    <w:div w:id="1853454886">
      <w:bodyDiv w:val="1"/>
      <w:marLeft w:val="0"/>
      <w:marRight w:val="0"/>
      <w:marTop w:val="0"/>
      <w:marBottom w:val="0"/>
      <w:divBdr>
        <w:top w:val="none" w:sz="0" w:space="0" w:color="auto"/>
        <w:left w:val="none" w:sz="0" w:space="0" w:color="auto"/>
        <w:bottom w:val="none" w:sz="0" w:space="0" w:color="auto"/>
        <w:right w:val="none" w:sz="0" w:space="0" w:color="auto"/>
      </w:divBdr>
    </w:div>
    <w:div w:id="1859274832">
      <w:bodyDiv w:val="1"/>
      <w:marLeft w:val="0"/>
      <w:marRight w:val="0"/>
      <w:marTop w:val="0"/>
      <w:marBottom w:val="0"/>
      <w:divBdr>
        <w:top w:val="none" w:sz="0" w:space="0" w:color="auto"/>
        <w:left w:val="none" w:sz="0" w:space="0" w:color="auto"/>
        <w:bottom w:val="none" w:sz="0" w:space="0" w:color="auto"/>
        <w:right w:val="none" w:sz="0" w:space="0" w:color="auto"/>
      </w:divBdr>
    </w:div>
    <w:div w:id="1862624948">
      <w:bodyDiv w:val="1"/>
      <w:marLeft w:val="0"/>
      <w:marRight w:val="0"/>
      <w:marTop w:val="0"/>
      <w:marBottom w:val="0"/>
      <w:divBdr>
        <w:top w:val="none" w:sz="0" w:space="0" w:color="auto"/>
        <w:left w:val="none" w:sz="0" w:space="0" w:color="auto"/>
        <w:bottom w:val="none" w:sz="0" w:space="0" w:color="auto"/>
        <w:right w:val="none" w:sz="0" w:space="0" w:color="auto"/>
      </w:divBdr>
    </w:div>
    <w:div w:id="1996908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43093-021-00058-9" TargetMode="External"/><Relationship Id="rId117" Type="http://schemas.openxmlformats.org/officeDocument/2006/relationships/hyperlink" Target="https://doi.org/10.3390/jtaer19020079" TargetMode="External"/><Relationship Id="rId21" Type="http://schemas.openxmlformats.org/officeDocument/2006/relationships/hyperlink" Target="https://doi.org/10.1111/1475-679x.00095" TargetMode="External"/><Relationship Id="rId42" Type="http://schemas.openxmlformats.org/officeDocument/2006/relationships/hyperlink" Target="https://doi.org/10.61656/ijospat.v2i1.238" TargetMode="External"/><Relationship Id="rId47" Type="http://schemas.openxmlformats.org/officeDocument/2006/relationships/hyperlink" Target="https://doi.org/10.1108/MF-12-2016-0372" TargetMode="External"/><Relationship Id="rId63" Type="http://schemas.openxmlformats.org/officeDocument/2006/relationships/hyperlink" Target="https://doi.org/10.55041/isjem03775" TargetMode="External"/><Relationship Id="rId68" Type="http://schemas.openxmlformats.org/officeDocument/2006/relationships/hyperlink" Target="https://doi.org/10.30525/2256-0742/2019-5-5-61-66" TargetMode="External"/><Relationship Id="rId84" Type="http://schemas.openxmlformats.org/officeDocument/2006/relationships/hyperlink" Target="https://doi.org/10.15405/epsbs.2023.11.02.53" TargetMode="External"/><Relationship Id="rId89" Type="http://schemas.openxmlformats.org/officeDocument/2006/relationships/hyperlink" Target="https://doi.org/10.29313/jra.v5i1.5799" TargetMode="External"/><Relationship Id="rId112" Type="http://schemas.openxmlformats.org/officeDocument/2006/relationships/hyperlink" Target="https://doi.org/10.2991/aebmr.k.210717.035" TargetMode="External"/><Relationship Id="rId16" Type="http://schemas.openxmlformats.org/officeDocument/2006/relationships/hyperlink" Target="https://doi.org/10.3390/ijfs6030070" TargetMode="External"/><Relationship Id="rId107" Type="http://schemas.openxmlformats.org/officeDocument/2006/relationships/hyperlink" Target="https://doi.org/10.18178/joams.5.5.327-332" TargetMode="External"/><Relationship Id="rId11" Type="http://schemas.openxmlformats.org/officeDocument/2006/relationships/hyperlink" Target="https://doi.org/10.7176/jesd/10-14-02" TargetMode="External"/><Relationship Id="rId24" Type="http://schemas.openxmlformats.org/officeDocument/2006/relationships/hyperlink" Target="https://doi.org/10.2308/jmar-50831" TargetMode="External"/><Relationship Id="rId32" Type="http://schemas.openxmlformats.org/officeDocument/2006/relationships/hyperlink" Target="https://doi.org/10.1117/12.2669975" TargetMode="External"/><Relationship Id="rId37" Type="http://schemas.openxmlformats.org/officeDocument/2006/relationships/hyperlink" Target="https://doi.org/10.1108/MF-07-2017-0265" TargetMode="External"/><Relationship Id="rId40" Type="http://schemas.openxmlformats.org/officeDocument/2006/relationships/hyperlink" Target="https://doi.org/10.1371/journal.pone.0266696" TargetMode="External"/><Relationship Id="rId45" Type="http://schemas.openxmlformats.org/officeDocument/2006/relationships/hyperlink" Target="https://doi.org/10.30784/epfad.1370893" TargetMode="External"/><Relationship Id="rId53" Type="http://schemas.openxmlformats.org/officeDocument/2006/relationships/hyperlink" Target="https://doi.org/10.22495/cgfcisrp13" TargetMode="External"/><Relationship Id="rId58" Type="http://schemas.openxmlformats.org/officeDocument/2006/relationships/hyperlink" Target="https://doi.org/10.2991/ichess-16.2016.106" TargetMode="External"/><Relationship Id="rId66" Type="http://schemas.openxmlformats.org/officeDocument/2006/relationships/hyperlink" Target="https://doi.org/10.1038/s41598-024-56625-x" TargetMode="External"/><Relationship Id="rId74" Type="http://schemas.openxmlformats.org/officeDocument/2006/relationships/hyperlink" Target="https://doi.org/10.1108/IJPDLM-07-2014-0165" TargetMode="External"/><Relationship Id="rId79" Type="http://schemas.openxmlformats.org/officeDocument/2006/relationships/hyperlink" Target="https://doi.org/10.1177/0886368711413443" TargetMode="External"/><Relationship Id="rId87" Type="http://schemas.openxmlformats.org/officeDocument/2006/relationships/hyperlink" Target="https://doi.org/10.51505/ijebmr.2022.6513" TargetMode="External"/><Relationship Id="rId102" Type="http://schemas.openxmlformats.org/officeDocument/2006/relationships/hyperlink" Target="https://doi.org/10.33642/ijbass.v5n6p1" TargetMode="External"/><Relationship Id="rId110" Type="http://schemas.openxmlformats.org/officeDocument/2006/relationships/hyperlink" Target="https://doi.org/10.5937/intrev2103177s" TargetMode="External"/><Relationship Id="rId115" Type="http://schemas.openxmlformats.org/officeDocument/2006/relationships/hyperlink" Target="https://doi.org/10.23977/ferm.2023.061118" TargetMode="External"/><Relationship Id="rId5" Type="http://schemas.openxmlformats.org/officeDocument/2006/relationships/footnotes" Target="footnotes.xml"/><Relationship Id="rId61" Type="http://schemas.openxmlformats.org/officeDocument/2006/relationships/hyperlink" Target="https://doi.org/10.52783/jisem.v10i45s.9158" TargetMode="External"/><Relationship Id="rId82" Type="http://schemas.openxmlformats.org/officeDocument/2006/relationships/hyperlink" Target="https://doi.org/10.53893/ijrvocas.v3i1.169" TargetMode="External"/><Relationship Id="rId90" Type="http://schemas.openxmlformats.org/officeDocument/2006/relationships/hyperlink" Target="https://doi.org/10.1108/JAMR-01-2014-0004" TargetMode="External"/><Relationship Id="rId95" Type="http://schemas.openxmlformats.org/officeDocument/2006/relationships/hyperlink" Target="https://doi.org/10.1016/j.eswa.2020.113475" TargetMode="External"/><Relationship Id="rId19" Type="http://schemas.openxmlformats.org/officeDocument/2006/relationships/hyperlink" Target="https://doi.org/10.1111/jifm.12053" TargetMode="External"/><Relationship Id="rId14" Type="http://schemas.openxmlformats.org/officeDocument/2006/relationships/hyperlink" Target="https://doi.org/10.19026/rjaset.6.4103" TargetMode="External"/><Relationship Id="rId22" Type="http://schemas.openxmlformats.org/officeDocument/2006/relationships/hyperlink" Target="https://doi.org/10.1177/0974686215574424" TargetMode="External"/><Relationship Id="rId27" Type="http://schemas.openxmlformats.org/officeDocument/2006/relationships/hyperlink" Target="https://doi.org/10.1108/aaaj-10-2016-2754" TargetMode="External"/><Relationship Id="rId30" Type="http://schemas.openxmlformats.org/officeDocument/2006/relationships/hyperlink" Target="https://doi.org/10.1016/j.pursup.2019.02.002" TargetMode="External"/><Relationship Id="rId35" Type="http://schemas.openxmlformats.org/officeDocument/2006/relationships/hyperlink" Target="https://doi.org/10.2308/jmar-51073" TargetMode="External"/><Relationship Id="rId43" Type="http://schemas.openxmlformats.org/officeDocument/2006/relationships/hyperlink" Target="https://doi.org/10.15361/1984-5529.2018v46n4p329-336" TargetMode="External"/><Relationship Id="rId48" Type="http://schemas.openxmlformats.org/officeDocument/2006/relationships/hyperlink" Target="https://doi.org/10.1111/1911-3846.12369" TargetMode="External"/><Relationship Id="rId56" Type="http://schemas.openxmlformats.org/officeDocument/2006/relationships/hyperlink" Target="https://doi.org/10.15240/tul/001/2015-2-007" TargetMode="External"/><Relationship Id="rId64" Type="http://schemas.openxmlformats.org/officeDocument/2006/relationships/hyperlink" Target="https://doi.org/10.14254/2071-8330.2017/10-1/6" TargetMode="External"/><Relationship Id="rId69" Type="http://schemas.openxmlformats.org/officeDocument/2006/relationships/hyperlink" Target="https://doi.org/10.4236/tel.2019.98185" TargetMode="External"/><Relationship Id="rId77" Type="http://schemas.openxmlformats.org/officeDocument/2006/relationships/hyperlink" Target="https://doi.org/10.2139/ssrn.2555863" TargetMode="External"/><Relationship Id="rId100" Type="http://schemas.openxmlformats.org/officeDocument/2006/relationships/hyperlink" Target="https://doi.org/10.1002/jcaf.22472" TargetMode="External"/><Relationship Id="rId105" Type="http://schemas.openxmlformats.org/officeDocument/2006/relationships/hyperlink" Target="https://doi.org/10.1108/BIJ-06-2017-0151" TargetMode="External"/><Relationship Id="rId113" Type="http://schemas.openxmlformats.org/officeDocument/2006/relationships/hyperlink" Target="https://doi.org/10.1002/ijfe.2395" TargetMode="External"/><Relationship Id="rId118" Type="http://schemas.openxmlformats.org/officeDocument/2006/relationships/footer" Target="footer1.xml"/><Relationship Id="rId8" Type="http://schemas.openxmlformats.org/officeDocument/2006/relationships/hyperlink" Target="https://doi.org/10.4043/28685-ms" TargetMode="External"/><Relationship Id="rId51" Type="http://schemas.openxmlformats.org/officeDocument/2006/relationships/hyperlink" Target="https://doi.org/10.2991/aebmr.k.220307.012" TargetMode="External"/><Relationship Id="rId72" Type="http://schemas.openxmlformats.org/officeDocument/2006/relationships/hyperlink" Target="https://doi.org/10.47392/irjaem.2024.0217" TargetMode="External"/><Relationship Id="rId80" Type="http://schemas.openxmlformats.org/officeDocument/2006/relationships/hyperlink" Target="https://doi.org/10.51239/nrjss.v0i0.68" TargetMode="External"/><Relationship Id="rId85" Type="http://schemas.openxmlformats.org/officeDocument/2006/relationships/hyperlink" Target="https://doi.org/10.61167/mnk.v2i1.126" TargetMode="External"/><Relationship Id="rId93" Type="http://schemas.openxmlformats.org/officeDocument/2006/relationships/hyperlink" Target="https://doi.org/10.1108/eb018645" TargetMode="External"/><Relationship Id="rId98" Type="http://schemas.openxmlformats.org/officeDocument/2006/relationships/hyperlink" Target="https://doi.org/10.31966/jabminternational.v28i1.823" TargetMode="External"/><Relationship Id="rId3" Type="http://schemas.openxmlformats.org/officeDocument/2006/relationships/settings" Target="settings.xml"/><Relationship Id="rId12" Type="http://schemas.openxmlformats.org/officeDocument/2006/relationships/hyperlink" Target="https://doi.org/10.51594/csitrj.v5i11.1709" TargetMode="External"/><Relationship Id="rId17" Type="http://schemas.openxmlformats.org/officeDocument/2006/relationships/hyperlink" Target="https://doi.org/10.3390/ijfs6030070" TargetMode="External"/><Relationship Id="rId25" Type="http://schemas.openxmlformats.org/officeDocument/2006/relationships/hyperlink" Target="https://doi.org/10.1016/j.jacceco.2015.07.001" TargetMode="External"/><Relationship Id="rId33" Type="http://schemas.openxmlformats.org/officeDocument/2006/relationships/hyperlink" Target="https://doi.org/10.1016/j.bar.2016.04.001" TargetMode="External"/><Relationship Id="rId38" Type="http://schemas.openxmlformats.org/officeDocument/2006/relationships/hyperlink" Target="https://doi.org/10.1111/jofi.13001" TargetMode="External"/><Relationship Id="rId46" Type="http://schemas.openxmlformats.org/officeDocument/2006/relationships/hyperlink" Target="https://doi.org/10.3390/su152416804" TargetMode="External"/><Relationship Id="rId59" Type="http://schemas.openxmlformats.org/officeDocument/2006/relationships/hyperlink" Target="https://doi.org/10.2991/ichess-16.2016.106" TargetMode="External"/><Relationship Id="rId67" Type="http://schemas.openxmlformats.org/officeDocument/2006/relationships/hyperlink" Target="https://doi.org/10.13185/jm2017.05206" TargetMode="External"/><Relationship Id="rId103" Type="http://schemas.openxmlformats.org/officeDocument/2006/relationships/hyperlink" Target="https://doi.org/10.55047/marginal.v3i2.1077" TargetMode="External"/><Relationship Id="rId108" Type="http://schemas.openxmlformats.org/officeDocument/2006/relationships/hyperlink" Target="https://doi.org/10.56127/jekma.v4i2.2102" TargetMode="External"/><Relationship Id="rId116" Type="http://schemas.openxmlformats.org/officeDocument/2006/relationships/hyperlink" Target="https://doi.org/10.55606/jumbiku.v5i1.5722" TargetMode="External"/><Relationship Id="rId20" Type="http://schemas.openxmlformats.org/officeDocument/2006/relationships/hyperlink" Target="https://doi.org/10.70072/rangkiang.v2i2.35" TargetMode="External"/><Relationship Id="rId41" Type="http://schemas.openxmlformats.org/officeDocument/2006/relationships/hyperlink" Target="https://doi.org/10.33423/jaf.v23i1.5941" TargetMode="External"/><Relationship Id="rId54" Type="http://schemas.openxmlformats.org/officeDocument/2006/relationships/hyperlink" Target="https://doi.org/10.22495/cgfcisrp13" TargetMode="External"/><Relationship Id="rId62" Type="http://schemas.openxmlformats.org/officeDocument/2006/relationships/hyperlink" Target="https://doi.org/10.3390/jrfm16070340" TargetMode="External"/><Relationship Id="rId70" Type="http://schemas.openxmlformats.org/officeDocument/2006/relationships/hyperlink" Target="https://doi.org/10.20944/preprints202311.0806.v1" TargetMode="External"/><Relationship Id="rId75" Type="http://schemas.openxmlformats.org/officeDocument/2006/relationships/hyperlink" Target="https://doi.org/10.2307/2329229" TargetMode="External"/><Relationship Id="rId83" Type="http://schemas.openxmlformats.org/officeDocument/2006/relationships/hyperlink" Target="https://doi.org/10.52644/joeb.v13i1.1493" TargetMode="External"/><Relationship Id="rId88" Type="http://schemas.openxmlformats.org/officeDocument/2006/relationships/hyperlink" Target="https://doi.org/10.7176/ejbm/12-12-05" TargetMode="External"/><Relationship Id="rId91" Type="http://schemas.openxmlformats.org/officeDocument/2006/relationships/hyperlink" Target="https://doi.org/10.22452/jati.vol26no1.2" TargetMode="External"/><Relationship Id="rId96" Type="http://schemas.openxmlformats.org/officeDocument/2006/relationships/hyperlink" Target="https://doi.org/10.55057/ajrbm.2022.4.3.41" TargetMode="External"/><Relationship Id="rId111" Type="http://schemas.openxmlformats.org/officeDocument/2006/relationships/hyperlink" Target="https://doi.org/10.2991/aebmr.k.210717.035"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35678/2539-5645.1(38).2023.29-39" TargetMode="External"/><Relationship Id="rId23" Type="http://schemas.openxmlformats.org/officeDocument/2006/relationships/hyperlink" Target="https://doi.org/10.3390/jrfm12020055" TargetMode="External"/><Relationship Id="rId28" Type="http://schemas.openxmlformats.org/officeDocument/2006/relationships/hyperlink" Target="https://doi.org/10.3386/w16808" TargetMode="External"/><Relationship Id="rId36" Type="http://schemas.openxmlformats.org/officeDocument/2006/relationships/hyperlink" Target="https://doi.org/10.1007/s10203-007-0079-3" TargetMode="External"/><Relationship Id="rId49" Type="http://schemas.openxmlformats.org/officeDocument/2006/relationships/hyperlink" Target="https://doi.org/10.4172/2472-114x.1000161" TargetMode="External"/><Relationship Id="rId57" Type="http://schemas.openxmlformats.org/officeDocument/2006/relationships/hyperlink" Target="https://doi.org/10.18196/umygrace.v2i1.410" TargetMode="External"/><Relationship Id="rId106" Type="http://schemas.openxmlformats.org/officeDocument/2006/relationships/hyperlink" Target="https://doi.org/10.22610/jebs.v17i1(j).4363" TargetMode="External"/><Relationship Id="rId114" Type="http://schemas.openxmlformats.org/officeDocument/2006/relationships/hyperlink" Target="https://doi.org/10.17265/1548-6583/2015.02.001" TargetMode="External"/><Relationship Id="rId119" Type="http://schemas.openxmlformats.org/officeDocument/2006/relationships/fontTable" Target="fontTable.xml"/><Relationship Id="rId10" Type="http://schemas.openxmlformats.org/officeDocument/2006/relationships/hyperlink" Target="https://doi.org/10.3386/w16122" TargetMode="External"/><Relationship Id="rId31" Type="http://schemas.openxmlformats.org/officeDocument/2006/relationships/hyperlink" Target="https://doi.org/10.2139/ssrn.2024329" TargetMode="External"/><Relationship Id="rId44" Type="http://schemas.openxmlformats.org/officeDocument/2006/relationships/hyperlink" Target="https://doi.org/10.1007/s10100-017-0500-0" TargetMode="External"/><Relationship Id="rId52" Type="http://schemas.openxmlformats.org/officeDocument/2006/relationships/hyperlink" Target="https://doi.org/10.3390/systems11080408" TargetMode="External"/><Relationship Id="rId60" Type="http://schemas.openxmlformats.org/officeDocument/2006/relationships/hyperlink" Target="https://doi.org/10.25095/mufad.842340" TargetMode="External"/><Relationship Id="rId65" Type="http://schemas.openxmlformats.org/officeDocument/2006/relationships/hyperlink" Target="https://doi.org/10.1177/0148558x1002500102" TargetMode="External"/><Relationship Id="rId73" Type="http://schemas.openxmlformats.org/officeDocument/2006/relationships/hyperlink" Target="https://doi.org/10.1016/j.phrp.2015.10.007" TargetMode="External"/><Relationship Id="rId78" Type="http://schemas.openxmlformats.org/officeDocument/2006/relationships/hyperlink" Target="https://doi.org/10.3390/su12176799" TargetMode="External"/><Relationship Id="rId81" Type="http://schemas.openxmlformats.org/officeDocument/2006/relationships/hyperlink" Target="https://doi.org/10.2307/2331000" TargetMode="External"/><Relationship Id="rId86" Type="http://schemas.openxmlformats.org/officeDocument/2006/relationships/hyperlink" Target="https://doi.org/10.15294/jdm.v14i2.46197" TargetMode="External"/><Relationship Id="rId94" Type="http://schemas.openxmlformats.org/officeDocument/2006/relationships/hyperlink" Target="https://doi.org/10.1515/eb-2017-0008" TargetMode="External"/><Relationship Id="rId99" Type="http://schemas.openxmlformats.org/officeDocument/2006/relationships/hyperlink" Target="https://doi.org/10.1007/978-3-030-48021-9_22" TargetMode="External"/><Relationship Id="rId101" Type="http://schemas.openxmlformats.org/officeDocument/2006/relationships/hyperlink" Target="https://doi.org/10.36624/jisora.v4i1.84" TargetMode="External"/><Relationship Id="rId4" Type="http://schemas.openxmlformats.org/officeDocument/2006/relationships/webSettings" Target="webSettings.xml"/><Relationship Id="rId9" Type="http://schemas.openxmlformats.org/officeDocument/2006/relationships/hyperlink" Target="https://doi.org/10.1111/j.1521-0391.2013.12021.x" TargetMode="External"/><Relationship Id="rId13" Type="http://schemas.openxmlformats.org/officeDocument/2006/relationships/hyperlink" Target="https://doi.org/10.31703/gssr.2018(iii-iii).28" TargetMode="External"/><Relationship Id="rId18" Type="http://schemas.openxmlformats.org/officeDocument/2006/relationships/hyperlink" Target="https://doi.org/10.1111/fire.12058" TargetMode="External"/><Relationship Id="rId39" Type="http://schemas.openxmlformats.org/officeDocument/2006/relationships/hyperlink" Target="https://doi.org/10.2307/2937924" TargetMode="External"/><Relationship Id="rId109" Type="http://schemas.openxmlformats.org/officeDocument/2006/relationships/hyperlink" Target="https://doi.org/10.3390/jrfm16110476" TargetMode="External"/><Relationship Id="rId34" Type="http://schemas.openxmlformats.org/officeDocument/2006/relationships/hyperlink" Target="https://doi.org/10.1017/s0022109020000149" TargetMode="External"/><Relationship Id="rId50" Type="http://schemas.openxmlformats.org/officeDocument/2006/relationships/hyperlink" Target="https://doi.org/10.11591/eei.v7i4.1353" TargetMode="External"/><Relationship Id="rId55" Type="http://schemas.openxmlformats.org/officeDocument/2006/relationships/hyperlink" Target="https://doi.org/10.14414/jebav.v17i3.362" TargetMode="External"/><Relationship Id="rId76" Type="http://schemas.openxmlformats.org/officeDocument/2006/relationships/hyperlink" Target="https://doi.org/10.3233/IFS-141353" TargetMode="External"/><Relationship Id="rId97" Type="http://schemas.openxmlformats.org/officeDocument/2006/relationships/hyperlink" Target="https://doi.org/10.47191/jefms/v8-i6-10" TargetMode="External"/><Relationship Id="rId104" Type="http://schemas.openxmlformats.org/officeDocument/2006/relationships/hyperlink" Target="https://doi.org/10.1108/IJMF-06-2022-0270" TargetMode="External"/><Relationship Id="rId120"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doi.org/10.3390/ijfs12010011" TargetMode="External"/><Relationship Id="rId92" Type="http://schemas.openxmlformats.org/officeDocument/2006/relationships/hyperlink" Target="https://doi.org/10.3389/fpsyt.2019.00343" TargetMode="External"/><Relationship Id="rId2" Type="http://schemas.openxmlformats.org/officeDocument/2006/relationships/styles" Target="styles.xml"/><Relationship Id="rId29" Type="http://schemas.openxmlformats.org/officeDocument/2006/relationships/hyperlink" Target="https://doi.org/10.2307/3003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2C103-23F1-4773-A57F-8FB508602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34</Pages>
  <Words>10855</Words>
  <Characters>61878</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Mahnoor</dc:creator>
  <cp:keywords/>
  <dc:description/>
  <cp:lastModifiedBy>pc</cp:lastModifiedBy>
  <cp:revision>6</cp:revision>
  <dcterms:created xsi:type="dcterms:W3CDTF">2025-12-20T16:37:00Z</dcterms:created>
  <dcterms:modified xsi:type="dcterms:W3CDTF">2025-12-21T18:12:00Z</dcterms:modified>
</cp:coreProperties>
</file>