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728F6" w14:textId="77777777" w:rsidR="00AE5E07" w:rsidRPr="00021247" w:rsidRDefault="00AE5E07" w:rsidP="00021247">
      <w:pPr>
        <w:spacing w:line="360" w:lineRule="auto"/>
        <w:rPr>
          <w:rFonts w:ascii="Arial" w:hAnsi="Arial" w:cs="Arial"/>
          <w:b/>
          <w:bCs/>
          <w:sz w:val="24"/>
          <w:szCs w:val="24"/>
          <w:u w:val="single"/>
        </w:rPr>
      </w:pPr>
      <w:r w:rsidRPr="00021247">
        <w:rPr>
          <w:rFonts w:ascii="Arial" w:hAnsi="Arial" w:cs="Arial"/>
          <w:b/>
          <w:bCs/>
          <w:sz w:val="24"/>
          <w:szCs w:val="24"/>
          <w:u w:val="single"/>
        </w:rPr>
        <w:t>Joel Hopkins</w:t>
      </w:r>
    </w:p>
    <w:p w14:paraId="4D5B407B" w14:textId="77777777" w:rsidR="00AE5E07" w:rsidRPr="00021247" w:rsidRDefault="00AE5E07" w:rsidP="00021247">
      <w:pPr>
        <w:spacing w:line="360" w:lineRule="auto"/>
        <w:rPr>
          <w:rFonts w:ascii="Arial" w:hAnsi="Arial" w:cs="Arial"/>
          <w:b/>
          <w:bCs/>
          <w:sz w:val="24"/>
          <w:szCs w:val="24"/>
          <w:u w:val="single"/>
        </w:rPr>
      </w:pPr>
      <w:r w:rsidRPr="00021247">
        <w:rPr>
          <w:rFonts w:ascii="Arial" w:hAnsi="Arial" w:cs="Arial"/>
          <w:b/>
          <w:bCs/>
          <w:sz w:val="24"/>
          <w:szCs w:val="24"/>
          <w:u w:val="single"/>
        </w:rPr>
        <w:t xml:space="preserve">Student ID: 2222237 </w:t>
      </w:r>
    </w:p>
    <w:p w14:paraId="2B217517" w14:textId="4E24A41D" w:rsidR="00021247" w:rsidRPr="00021247" w:rsidRDefault="00021247" w:rsidP="00021247">
      <w:pPr>
        <w:spacing w:line="360" w:lineRule="auto"/>
        <w:rPr>
          <w:rFonts w:ascii="Arial" w:hAnsi="Arial" w:cs="Arial"/>
          <w:b/>
          <w:bCs/>
          <w:sz w:val="24"/>
          <w:szCs w:val="24"/>
          <w:u w:val="single"/>
        </w:rPr>
      </w:pPr>
      <w:r w:rsidRPr="00021247">
        <w:rPr>
          <w:rFonts w:ascii="Arial" w:hAnsi="Arial" w:cs="Arial"/>
          <w:b/>
          <w:bCs/>
          <w:sz w:val="24"/>
          <w:szCs w:val="24"/>
          <w:u w:val="single"/>
        </w:rPr>
        <w:t>Essay one:</w:t>
      </w:r>
    </w:p>
    <w:p w14:paraId="5C9F8C9C" w14:textId="5871872E" w:rsidR="00AE5E07" w:rsidRPr="00021247" w:rsidRDefault="00D26815" w:rsidP="00021247">
      <w:pPr>
        <w:spacing w:line="360" w:lineRule="auto"/>
        <w:rPr>
          <w:rFonts w:ascii="Arial" w:hAnsi="Arial" w:cs="Arial"/>
          <w:sz w:val="24"/>
          <w:szCs w:val="24"/>
        </w:rPr>
      </w:pPr>
      <w:r>
        <w:rPr>
          <w:rFonts w:ascii="Arial" w:hAnsi="Arial" w:cs="Arial"/>
          <w:sz w:val="24"/>
          <w:szCs w:val="24"/>
        </w:rPr>
        <w:t>This paper will</w:t>
      </w:r>
      <w:r w:rsidR="00AE5E07" w:rsidRPr="00021247">
        <w:rPr>
          <w:rFonts w:ascii="Arial" w:hAnsi="Arial" w:cs="Arial"/>
          <w:sz w:val="24"/>
          <w:szCs w:val="24"/>
        </w:rPr>
        <w:t xml:space="preserve"> explore </w:t>
      </w:r>
      <w:r w:rsidR="00385702">
        <w:rPr>
          <w:rFonts w:ascii="Arial" w:hAnsi="Arial" w:cs="Arial"/>
          <w:sz w:val="24"/>
          <w:szCs w:val="24"/>
        </w:rPr>
        <w:t xml:space="preserve">the effectiveness of different </w:t>
      </w:r>
      <w:r w:rsidR="00AE5E07" w:rsidRPr="00021247">
        <w:rPr>
          <w:rFonts w:ascii="Arial" w:hAnsi="Arial" w:cs="Arial"/>
          <w:sz w:val="24"/>
          <w:szCs w:val="24"/>
        </w:rPr>
        <w:t xml:space="preserve">measures that </w:t>
      </w:r>
      <w:r w:rsidR="00385702">
        <w:rPr>
          <w:rFonts w:ascii="Arial" w:hAnsi="Arial" w:cs="Arial"/>
          <w:sz w:val="24"/>
          <w:szCs w:val="24"/>
        </w:rPr>
        <w:t>have been put</w:t>
      </w:r>
      <w:r w:rsidR="00AE5E07" w:rsidRPr="00021247">
        <w:rPr>
          <w:rFonts w:ascii="Arial" w:hAnsi="Arial" w:cs="Arial"/>
          <w:sz w:val="24"/>
          <w:szCs w:val="24"/>
        </w:rPr>
        <w:t xml:space="preserve"> in place to ensure officers act with integrity and treat the public fairly and with respect, whilst reflecting on the findings of the BMG research (2018) commissioned by Her Majesty’s Inspectorate of Constabulary and Fire &amp; Rescue Services (HMICFRS).</w:t>
      </w:r>
    </w:p>
    <w:p w14:paraId="6FE233CE" w14:textId="4E9DF5A8" w:rsidR="00AE5E07" w:rsidRPr="00021247" w:rsidRDefault="0099032A" w:rsidP="00021247">
      <w:pPr>
        <w:spacing w:line="360" w:lineRule="auto"/>
        <w:rPr>
          <w:rFonts w:ascii="Arial" w:hAnsi="Arial" w:cs="Arial"/>
          <w:sz w:val="24"/>
          <w:szCs w:val="24"/>
        </w:rPr>
      </w:pPr>
      <w:r>
        <w:rPr>
          <w:rFonts w:ascii="Arial" w:hAnsi="Arial" w:cs="Arial"/>
          <w:sz w:val="24"/>
          <w:szCs w:val="24"/>
        </w:rPr>
        <w:t>R</w:t>
      </w:r>
      <w:r w:rsidR="00AE5E07" w:rsidRPr="00021247">
        <w:rPr>
          <w:rFonts w:ascii="Arial" w:hAnsi="Arial" w:cs="Arial"/>
          <w:sz w:val="24"/>
          <w:szCs w:val="24"/>
        </w:rPr>
        <w:t>esearch</w:t>
      </w:r>
      <w:r>
        <w:rPr>
          <w:rFonts w:ascii="Arial" w:hAnsi="Arial" w:cs="Arial"/>
          <w:sz w:val="24"/>
          <w:szCs w:val="24"/>
        </w:rPr>
        <w:t xml:space="preserve"> </w:t>
      </w:r>
      <w:r w:rsidR="00AE5E07" w:rsidRPr="00021247">
        <w:rPr>
          <w:rFonts w:ascii="Arial" w:hAnsi="Arial" w:cs="Arial"/>
          <w:sz w:val="24"/>
          <w:szCs w:val="24"/>
        </w:rPr>
        <w:t xml:space="preserve">carried out by BMG (2018) on behalf of HMICFRS </w:t>
      </w:r>
      <w:r>
        <w:rPr>
          <w:rFonts w:ascii="Arial" w:hAnsi="Arial" w:cs="Arial"/>
          <w:sz w:val="24"/>
          <w:szCs w:val="24"/>
        </w:rPr>
        <w:t>to</w:t>
      </w:r>
      <w:r w:rsidR="00AE5E07" w:rsidRPr="00021247">
        <w:rPr>
          <w:rFonts w:ascii="Arial" w:hAnsi="Arial" w:cs="Arial"/>
          <w:sz w:val="24"/>
          <w:szCs w:val="24"/>
        </w:rPr>
        <w:t xml:space="preserve"> establish the general public’s perceptions of their local police force across England and Wales which entailed 17,043 surveys across 42 police force areas.</w:t>
      </w:r>
    </w:p>
    <w:p w14:paraId="53EA5EB2" w14:textId="617B1796" w:rsidR="00AE5E07" w:rsidRPr="00021247" w:rsidRDefault="00AE5E07" w:rsidP="00021247">
      <w:pPr>
        <w:spacing w:line="360" w:lineRule="auto"/>
        <w:rPr>
          <w:rFonts w:ascii="Arial" w:hAnsi="Arial" w:cs="Arial"/>
          <w:sz w:val="24"/>
          <w:szCs w:val="24"/>
        </w:rPr>
      </w:pPr>
      <w:r w:rsidRPr="00021247">
        <w:rPr>
          <w:rFonts w:ascii="Arial" w:hAnsi="Arial" w:cs="Arial"/>
          <w:sz w:val="24"/>
          <w:szCs w:val="24"/>
        </w:rPr>
        <w:t xml:space="preserve">Due to the very nature of policing and the position of trust police officers hold it is only right that there are measures in place to ensure officers uphold a professional image, treating the public fairly and with respect. The college of Policing set out their ethical policing principles in their code of ethics and their professional behaviour in policing. Three of the principles </w:t>
      </w:r>
      <w:r w:rsidR="00385702">
        <w:rPr>
          <w:rFonts w:ascii="Arial" w:hAnsi="Arial" w:cs="Arial"/>
          <w:sz w:val="24"/>
          <w:szCs w:val="24"/>
        </w:rPr>
        <w:t xml:space="preserve">from </w:t>
      </w:r>
      <w:r w:rsidRPr="00021247">
        <w:rPr>
          <w:rFonts w:ascii="Arial" w:hAnsi="Arial" w:cs="Arial"/>
          <w:sz w:val="24"/>
          <w:szCs w:val="24"/>
        </w:rPr>
        <w:t>the College of Policing (2024) are courage, respect and empathy</w:t>
      </w:r>
      <w:r w:rsidR="00385702">
        <w:rPr>
          <w:rFonts w:ascii="Arial" w:hAnsi="Arial" w:cs="Arial"/>
          <w:sz w:val="24"/>
          <w:szCs w:val="24"/>
        </w:rPr>
        <w:t>,</w:t>
      </w:r>
      <w:r w:rsidRPr="00021247">
        <w:rPr>
          <w:rFonts w:ascii="Arial" w:hAnsi="Arial" w:cs="Arial"/>
          <w:sz w:val="24"/>
          <w:szCs w:val="24"/>
        </w:rPr>
        <w:t xml:space="preserve"> and public service. This demonstrates a commitment to being accountable for decisions made and standing against anything that could bring the policing profession into disrepute, listening to and understanding the views of others and to work in the best interest of the public.</w:t>
      </w:r>
    </w:p>
    <w:p w14:paraId="613FAC0D" w14:textId="0B2A3FFE" w:rsidR="00AE5E07" w:rsidRPr="00021247" w:rsidRDefault="00AE5E07" w:rsidP="00021247">
      <w:pPr>
        <w:spacing w:line="360" w:lineRule="auto"/>
        <w:rPr>
          <w:rFonts w:ascii="Arial" w:hAnsi="Arial" w:cs="Arial"/>
          <w:sz w:val="24"/>
          <w:szCs w:val="24"/>
        </w:rPr>
      </w:pPr>
      <w:r w:rsidRPr="00021247">
        <w:rPr>
          <w:rFonts w:ascii="Arial" w:hAnsi="Arial" w:cs="Arial"/>
          <w:sz w:val="24"/>
          <w:szCs w:val="24"/>
        </w:rPr>
        <w:t>The college of Policing (2024) also set out their standards of behaviour and what</w:t>
      </w:r>
      <w:r w:rsidR="00096C82">
        <w:rPr>
          <w:rFonts w:ascii="Arial" w:hAnsi="Arial" w:cs="Arial"/>
          <w:sz w:val="24"/>
          <w:szCs w:val="24"/>
        </w:rPr>
        <w:t>’s</w:t>
      </w:r>
      <w:r w:rsidRPr="00021247">
        <w:rPr>
          <w:rFonts w:ascii="Arial" w:hAnsi="Arial" w:cs="Arial"/>
          <w:sz w:val="24"/>
          <w:szCs w:val="24"/>
        </w:rPr>
        <w:t xml:space="preserve"> expected of their employees. They state that as policing professionals, officers are expected to treat all people and their property with fairness, dignity, and respect without prejudice regardless of their background or circumstances. Staff are actively encouraged to challenge and report any improper conduct to ensure that the standards of behaviour is upheld at all times.</w:t>
      </w:r>
    </w:p>
    <w:p w14:paraId="62B8634F" w14:textId="77777777" w:rsidR="00AE5E07" w:rsidRPr="00021247" w:rsidRDefault="00AE5E07" w:rsidP="00021247">
      <w:pPr>
        <w:spacing w:line="360" w:lineRule="auto"/>
        <w:rPr>
          <w:rFonts w:ascii="Arial" w:hAnsi="Arial" w:cs="Arial"/>
          <w:sz w:val="24"/>
          <w:szCs w:val="24"/>
        </w:rPr>
      </w:pPr>
      <w:r w:rsidRPr="00021247">
        <w:rPr>
          <w:rFonts w:ascii="Arial" w:hAnsi="Arial" w:cs="Arial"/>
          <w:sz w:val="24"/>
          <w:szCs w:val="24"/>
        </w:rPr>
        <w:t xml:space="preserve">If the behaviour of an officer falls short of the standards of behaviour underpinned by the code of ethics, then there are processes in place to deal with those individuals. By not meeting the expectations and demands placed on the individuals then this can have a serious negative impact on the relationship between the police and the community. Within the police service there is a professional standards department who will investigate such incidents to establish whether these standards of </w:t>
      </w:r>
      <w:r w:rsidRPr="00021247">
        <w:rPr>
          <w:rFonts w:ascii="Arial" w:hAnsi="Arial" w:cs="Arial"/>
          <w:sz w:val="24"/>
          <w:szCs w:val="24"/>
        </w:rPr>
        <w:lastRenderedPageBreak/>
        <w:t>behaviours have been breached and determine an outcome whether that will be a learning outcome, a written warning or in some cases dismissal from the service.</w:t>
      </w:r>
    </w:p>
    <w:p w14:paraId="56C6BFD0" w14:textId="77777777" w:rsidR="00AE5E07" w:rsidRPr="00021247" w:rsidRDefault="00AE5E07" w:rsidP="00021247">
      <w:pPr>
        <w:spacing w:line="360" w:lineRule="auto"/>
        <w:rPr>
          <w:rFonts w:ascii="Arial" w:hAnsi="Arial" w:cs="Arial"/>
          <w:sz w:val="24"/>
          <w:szCs w:val="24"/>
        </w:rPr>
      </w:pPr>
      <w:r w:rsidRPr="00021247">
        <w:rPr>
          <w:rFonts w:ascii="Arial" w:hAnsi="Arial" w:cs="Arial"/>
          <w:sz w:val="24"/>
          <w:szCs w:val="24"/>
        </w:rPr>
        <w:t>According to the research carried out by BGM (2018) approximately two-thirds of the respondents agreed that their local police force would treat them fairly if they needed to contact them. They also state that they would treat people fairly and with respect. This highlights that some of the measures that are put in place to ensure the public are treated fairly and with respect are working. Despite there being numerous measures in place, there are arguments that suggest there should be more done to ensure that the public are treated more fairly and with respect.</w:t>
      </w:r>
    </w:p>
    <w:p w14:paraId="21B980E8" w14:textId="77777777" w:rsidR="00AE5E07" w:rsidRPr="00021247" w:rsidRDefault="00AE5E07" w:rsidP="00021247">
      <w:pPr>
        <w:spacing w:line="360" w:lineRule="auto"/>
        <w:rPr>
          <w:rFonts w:ascii="Arial" w:hAnsi="Arial" w:cs="Arial"/>
          <w:sz w:val="24"/>
          <w:szCs w:val="24"/>
        </w:rPr>
      </w:pPr>
      <w:r w:rsidRPr="00021247">
        <w:rPr>
          <w:rFonts w:ascii="Arial" w:hAnsi="Arial" w:cs="Arial"/>
          <w:sz w:val="24"/>
          <w:szCs w:val="24"/>
        </w:rPr>
        <w:t>Professional policing has changed dramatically over the years since its inception in 1829, however Sir Robert Peel’s 9 principles of policing remain at the core of the UK policing philosophy. One of the 9 principles of policing set out by Sir Robert Peel as outlined by Home Office (2012) is that the police should offer individual service and friendship to all members of the public without regard to their wealth or social standing by ready exercise of courtesy and friendly good humour.  With having this as a core philosophy within policing in the UK allows historic traditions to play a part in modern policing, ensuring that the public are treated fairly and with equal opportunities regardless of their socio-economic status.</w:t>
      </w:r>
    </w:p>
    <w:p w14:paraId="7A76004F" w14:textId="458A2276" w:rsidR="00E92197" w:rsidRDefault="00AE5E07" w:rsidP="00021247">
      <w:pPr>
        <w:spacing w:line="360" w:lineRule="auto"/>
        <w:rPr>
          <w:rFonts w:ascii="Arial" w:hAnsi="Arial" w:cs="Arial"/>
          <w:sz w:val="24"/>
          <w:szCs w:val="24"/>
        </w:rPr>
      </w:pPr>
      <w:r w:rsidRPr="00021247">
        <w:rPr>
          <w:rFonts w:ascii="Arial" w:hAnsi="Arial" w:cs="Arial"/>
          <w:sz w:val="24"/>
          <w:szCs w:val="24"/>
        </w:rPr>
        <w:t>Skogan et al. (2004) state that research by police in the United States of America shows that police are held more accountable by opening themselves to outside opinions by creating partnerships with independent observers assisting the public and representatives to judge whether the police are fulfilling their duties. This can be applied to policing within the United Kingdom, where there is an independent body, the “Independent Office for Police Conduct” (IPOC). The IOPC (2024) state that they are independent from the police, and they investigate the most serious complaints and conduct involving police whilst also setting the standards in which the police should handle complaints. By having this independent body separate from the police it demonstrates to the public that the police can be held accountable and that there is an independent body who investigate matters. Th</w:t>
      </w:r>
      <w:r w:rsidR="00385702">
        <w:rPr>
          <w:rFonts w:ascii="Arial" w:hAnsi="Arial" w:cs="Arial"/>
          <w:sz w:val="24"/>
          <w:szCs w:val="24"/>
        </w:rPr>
        <w:t>e</w:t>
      </w:r>
      <w:r w:rsidR="00E92197">
        <w:rPr>
          <w:rFonts w:ascii="Arial" w:hAnsi="Arial" w:cs="Arial"/>
          <w:sz w:val="24"/>
          <w:szCs w:val="24"/>
        </w:rPr>
        <w:t xml:space="preserve"> aim is to</w:t>
      </w:r>
      <w:r w:rsidRPr="00021247">
        <w:rPr>
          <w:rFonts w:ascii="Arial" w:hAnsi="Arial" w:cs="Arial"/>
          <w:sz w:val="24"/>
          <w:szCs w:val="24"/>
        </w:rPr>
        <w:t xml:space="preserve"> provide the public </w:t>
      </w:r>
      <w:r w:rsidR="00E92197">
        <w:rPr>
          <w:rFonts w:ascii="Arial" w:hAnsi="Arial" w:cs="Arial"/>
          <w:sz w:val="24"/>
          <w:szCs w:val="24"/>
        </w:rPr>
        <w:t xml:space="preserve">with </w:t>
      </w:r>
      <w:r w:rsidRPr="00021247">
        <w:rPr>
          <w:rFonts w:ascii="Arial" w:hAnsi="Arial" w:cs="Arial"/>
          <w:sz w:val="24"/>
          <w:szCs w:val="24"/>
        </w:rPr>
        <w:t xml:space="preserve">confidence that </w:t>
      </w:r>
      <w:r w:rsidR="00385702">
        <w:rPr>
          <w:rFonts w:ascii="Arial" w:hAnsi="Arial" w:cs="Arial"/>
          <w:sz w:val="24"/>
          <w:szCs w:val="24"/>
        </w:rPr>
        <w:t xml:space="preserve">any </w:t>
      </w:r>
      <w:r w:rsidRPr="00021247">
        <w:rPr>
          <w:rFonts w:ascii="Arial" w:hAnsi="Arial" w:cs="Arial"/>
          <w:sz w:val="24"/>
          <w:szCs w:val="24"/>
        </w:rPr>
        <w:t>complaints are being conducted independently away from the police so that they feel the process is fair</w:t>
      </w:r>
      <w:r w:rsidR="00E92197">
        <w:rPr>
          <w:rFonts w:ascii="Arial" w:hAnsi="Arial" w:cs="Arial"/>
          <w:sz w:val="24"/>
          <w:szCs w:val="24"/>
        </w:rPr>
        <w:t xml:space="preserve"> and to increase public trust.</w:t>
      </w:r>
      <w:r w:rsidR="007A183E">
        <w:rPr>
          <w:rFonts w:ascii="Arial" w:hAnsi="Arial" w:cs="Arial"/>
          <w:sz w:val="24"/>
          <w:szCs w:val="24"/>
        </w:rPr>
        <w:t xml:space="preserve"> When the original Police Complaints Authority was created in 2004 to increase public trust (De Jonge, 2020) states that it made no difference to the way the police investigated complaints with 95% </w:t>
      </w:r>
      <w:r w:rsidR="0031069B">
        <w:rPr>
          <w:rFonts w:ascii="Arial" w:hAnsi="Arial" w:cs="Arial"/>
          <w:sz w:val="24"/>
          <w:szCs w:val="24"/>
        </w:rPr>
        <w:t xml:space="preserve">of cases </w:t>
      </w:r>
      <w:r w:rsidR="007A183E">
        <w:rPr>
          <w:rFonts w:ascii="Arial" w:hAnsi="Arial" w:cs="Arial"/>
          <w:sz w:val="24"/>
          <w:szCs w:val="24"/>
        </w:rPr>
        <w:t>handled exactly as there were previously.</w:t>
      </w:r>
      <w:r w:rsidR="00B8644D">
        <w:rPr>
          <w:rFonts w:ascii="Arial" w:hAnsi="Arial" w:cs="Arial"/>
          <w:sz w:val="24"/>
          <w:szCs w:val="24"/>
        </w:rPr>
        <w:t xml:space="preserve"> </w:t>
      </w:r>
      <w:r w:rsidR="00580061">
        <w:rPr>
          <w:rFonts w:ascii="Arial" w:hAnsi="Arial" w:cs="Arial"/>
          <w:sz w:val="24"/>
          <w:szCs w:val="24"/>
        </w:rPr>
        <w:t>Although the IOPC is an independent body separate from the police a</w:t>
      </w:r>
      <w:r w:rsidR="007A183E">
        <w:rPr>
          <w:rFonts w:ascii="Arial" w:hAnsi="Arial" w:cs="Arial"/>
          <w:sz w:val="24"/>
          <w:szCs w:val="24"/>
        </w:rPr>
        <w:t xml:space="preserve"> report by</w:t>
      </w:r>
      <w:r w:rsidR="00D26815">
        <w:rPr>
          <w:rFonts w:ascii="Arial" w:hAnsi="Arial" w:cs="Arial"/>
          <w:sz w:val="24"/>
          <w:szCs w:val="24"/>
        </w:rPr>
        <w:t xml:space="preserve"> (</w:t>
      </w:r>
      <w:r w:rsidR="00E92197">
        <w:rPr>
          <w:rFonts w:ascii="Arial" w:hAnsi="Arial" w:cs="Arial"/>
          <w:sz w:val="24"/>
          <w:szCs w:val="24"/>
        </w:rPr>
        <w:t>House of Commons Committee, 2022</w:t>
      </w:r>
      <w:r w:rsidR="00D26815">
        <w:rPr>
          <w:rFonts w:ascii="Arial" w:hAnsi="Arial" w:cs="Arial"/>
          <w:sz w:val="24"/>
          <w:szCs w:val="24"/>
        </w:rPr>
        <w:t>)</w:t>
      </w:r>
      <w:r w:rsidR="00580061">
        <w:rPr>
          <w:rFonts w:ascii="Arial" w:hAnsi="Arial" w:cs="Arial"/>
          <w:sz w:val="24"/>
          <w:szCs w:val="24"/>
        </w:rPr>
        <w:t xml:space="preserve"> </w:t>
      </w:r>
      <w:r w:rsidR="00D26815">
        <w:rPr>
          <w:rFonts w:ascii="Arial" w:hAnsi="Arial" w:cs="Arial"/>
          <w:sz w:val="24"/>
          <w:szCs w:val="24"/>
        </w:rPr>
        <w:t>highlighted concerns regarding the strength of investigations by the IOPC and the qualifications of its investigators and the transparency of its operations.</w:t>
      </w:r>
      <w:r w:rsidR="00580061">
        <w:rPr>
          <w:rFonts w:ascii="Arial" w:hAnsi="Arial" w:cs="Arial"/>
          <w:sz w:val="24"/>
          <w:szCs w:val="24"/>
        </w:rPr>
        <w:t xml:space="preserve"> Despite concerns over its transparency (Sheldon and Williams, 2022) state that the IOPC have the power to conduct investigations without a referral from the police with the additional power to present cases at misconduct hearings.</w:t>
      </w:r>
      <w:r w:rsidR="0099032A">
        <w:rPr>
          <w:rFonts w:ascii="Arial" w:hAnsi="Arial" w:cs="Arial"/>
          <w:sz w:val="24"/>
          <w:szCs w:val="24"/>
        </w:rPr>
        <w:t xml:space="preserve"> This illustrates that the police can be held accountable for their actions at any time without referring themselves to the IOPC.</w:t>
      </w:r>
    </w:p>
    <w:p w14:paraId="1CEB8653" w14:textId="373BF17D" w:rsidR="00AE5E07" w:rsidRPr="0099032A" w:rsidRDefault="0099032A" w:rsidP="00021247">
      <w:pPr>
        <w:spacing w:line="360" w:lineRule="auto"/>
        <w:rPr>
          <w:rFonts w:ascii="Arial" w:hAnsi="Arial" w:cs="Arial"/>
          <w:sz w:val="24"/>
          <w:szCs w:val="24"/>
        </w:rPr>
      </w:pPr>
      <w:r>
        <w:rPr>
          <w:rFonts w:ascii="Arial" w:hAnsi="Arial" w:cs="Arial"/>
          <w:sz w:val="24"/>
          <w:szCs w:val="24"/>
        </w:rPr>
        <w:t xml:space="preserve">In conclusion, considering the measures in place to ensure officers act with integrity, fairness, and respect there are numerous effective measures in place such as the code of ethics and the IOPC and barring officers from the police who fall below the standards expected from them. </w:t>
      </w:r>
      <w:r w:rsidR="00AE5E07" w:rsidRPr="00021247">
        <w:rPr>
          <w:rFonts w:ascii="Arial" w:hAnsi="Arial" w:cs="Arial"/>
          <w:sz w:val="24"/>
          <w:szCs w:val="24"/>
        </w:rPr>
        <w:t>With the measures in place the College of Policing (2023) claim that there were 394 Police officers placed on the barred list between 1</w:t>
      </w:r>
      <w:r w:rsidR="00385702">
        <w:rPr>
          <w:rFonts w:ascii="Arial" w:hAnsi="Arial" w:cs="Arial"/>
          <w:sz w:val="24"/>
          <w:szCs w:val="24"/>
        </w:rPr>
        <w:t>st</w:t>
      </w:r>
      <w:r w:rsidR="00AE5E07" w:rsidRPr="00021247">
        <w:rPr>
          <w:rFonts w:ascii="Arial" w:hAnsi="Arial" w:cs="Arial"/>
          <w:sz w:val="24"/>
          <w:szCs w:val="24"/>
        </w:rPr>
        <w:t xml:space="preserve"> April 2022 and 31</w:t>
      </w:r>
      <w:r w:rsidR="00AE5E07" w:rsidRPr="00021247">
        <w:rPr>
          <w:rFonts w:ascii="Arial" w:hAnsi="Arial" w:cs="Arial"/>
          <w:sz w:val="24"/>
          <w:szCs w:val="24"/>
          <w:vertAlign w:val="superscript"/>
        </w:rPr>
        <w:t>st</w:t>
      </w:r>
      <w:r w:rsidR="00AE5E07" w:rsidRPr="00021247">
        <w:rPr>
          <w:rFonts w:ascii="Arial" w:hAnsi="Arial" w:cs="Arial"/>
          <w:sz w:val="24"/>
          <w:szCs w:val="24"/>
        </w:rPr>
        <w:t xml:space="preserve"> March 2023. This demonstrates that there are strict measures in place to build and uphold public trust with anyone falling short of this, being dismissed from the service, and placed on the barred list. The research carried out by BGM (2018) on behalf of HMICFRS shows that 40% of the respondents spoke highly of the police in 2018, compared to only 32% in 2015. This is an indication that the measures in place are effective and by dismissing anyone from the service who does not act with integrity or treat the public fairly demonstrates the commitment to achieving the National Police Chief’s Council (n.d) Policing Vision 2030 of becoming the most trusted and engaged service in the world working together to make communities safer and stronger.</w:t>
      </w:r>
    </w:p>
    <w:p w14:paraId="4246DD26" w14:textId="77777777" w:rsidR="00AE5E07" w:rsidRDefault="00AE5E07">
      <w:pPr>
        <w:rPr>
          <w:b/>
          <w:bCs/>
          <w:u w:val="single"/>
        </w:rPr>
      </w:pPr>
    </w:p>
    <w:p w14:paraId="6DCC8112" w14:textId="5C4CC5D3" w:rsidR="00AE5E07" w:rsidRDefault="0099032A">
      <w:pPr>
        <w:rPr>
          <w:b/>
          <w:bCs/>
          <w:u w:val="single"/>
        </w:rPr>
      </w:pPr>
      <w:r>
        <w:rPr>
          <w:b/>
          <w:bCs/>
          <w:u w:val="single"/>
        </w:rPr>
        <w:t xml:space="preserve">Word count: </w:t>
      </w:r>
      <w:r w:rsidR="00096C82">
        <w:rPr>
          <w:b/>
          <w:bCs/>
          <w:u w:val="single"/>
        </w:rPr>
        <w:t>1,100</w:t>
      </w:r>
    </w:p>
    <w:p w14:paraId="3128FF9A" w14:textId="77777777" w:rsidR="00AE5E07" w:rsidRDefault="00AE5E07">
      <w:pPr>
        <w:rPr>
          <w:b/>
          <w:bCs/>
          <w:u w:val="single"/>
        </w:rPr>
      </w:pPr>
    </w:p>
    <w:p w14:paraId="6755892B" w14:textId="77777777" w:rsidR="00AE5E07" w:rsidRDefault="00AE5E07">
      <w:pPr>
        <w:rPr>
          <w:b/>
          <w:bCs/>
          <w:u w:val="single"/>
        </w:rPr>
      </w:pPr>
    </w:p>
    <w:p w14:paraId="5114080F" w14:textId="77777777" w:rsidR="00AE5E07" w:rsidRDefault="00AE5E07">
      <w:pPr>
        <w:rPr>
          <w:b/>
          <w:bCs/>
          <w:u w:val="single"/>
        </w:rPr>
      </w:pPr>
    </w:p>
    <w:p w14:paraId="1A05CD60" w14:textId="77777777" w:rsidR="00AE5E07" w:rsidRDefault="00AE5E07">
      <w:pPr>
        <w:rPr>
          <w:b/>
          <w:bCs/>
          <w:u w:val="single"/>
        </w:rPr>
      </w:pPr>
    </w:p>
    <w:p w14:paraId="2C19AEA8" w14:textId="77777777" w:rsidR="001604BE" w:rsidRDefault="001604BE" w:rsidP="00021247">
      <w:pPr>
        <w:spacing w:line="360" w:lineRule="auto"/>
        <w:rPr>
          <w:b/>
          <w:bCs/>
          <w:u w:val="single"/>
        </w:rPr>
      </w:pPr>
    </w:p>
    <w:p w14:paraId="7C8350BA" w14:textId="1AA7A2B5" w:rsidR="00021247" w:rsidRPr="00021247" w:rsidRDefault="00021247" w:rsidP="00021247">
      <w:pPr>
        <w:spacing w:line="360" w:lineRule="auto"/>
        <w:rPr>
          <w:rFonts w:ascii="Arial" w:hAnsi="Arial" w:cs="Arial"/>
          <w:b/>
          <w:bCs/>
          <w:sz w:val="24"/>
          <w:szCs w:val="24"/>
          <w:u w:val="single"/>
        </w:rPr>
      </w:pPr>
      <w:r w:rsidRPr="00021247">
        <w:rPr>
          <w:rFonts w:ascii="Arial" w:hAnsi="Arial" w:cs="Arial"/>
          <w:b/>
          <w:bCs/>
          <w:sz w:val="24"/>
          <w:szCs w:val="24"/>
          <w:u w:val="single"/>
        </w:rPr>
        <w:t>Essay 2:</w:t>
      </w:r>
    </w:p>
    <w:p w14:paraId="448A23B0" w14:textId="77777777" w:rsidR="001604BE" w:rsidRDefault="001604BE" w:rsidP="00021247">
      <w:pPr>
        <w:spacing w:line="360" w:lineRule="auto"/>
        <w:rPr>
          <w:rFonts w:ascii="Arial" w:hAnsi="Arial" w:cs="Arial"/>
          <w:sz w:val="24"/>
          <w:szCs w:val="24"/>
        </w:rPr>
      </w:pPr>
      <w:r>
        <w:rPr>
          <w:rFonts w:ascii="Arial" w:hAnsi="Arial" w:cs="Arial"/>
          <w:sz w:val="24"/>
          <w:szCs w:val="24"/>
        </w:rPr>
        <w:t>This essay will explore</w:t>
      </w:r>
      <w:r w:rsidR="00021247" w:rsidRPr="00021247">
        <w:rPr>
          <w:rFonts w:ascii="Arial" w:hAnsi="Arial" w:cs="Arial"/>
          <w:sz w:val="24"/>
          <w:szCs w:val="24"/>
        </w:rPr>
        <w:t xml:space="preserve"> why partnership working is the most effective strategy for improving community engagement. </w:t>
      </w:r>
    </w:p>
    <w:p w14:paraId="6EA3781F" w14:textId="1825C280"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‘Community policing is viewed fundamentally a</w:t>
      </w:r>
      <w:r w:rsidR="00660E80">
        <w:rPr>
          <w:rFonts w:ascii="Arial" w:hAnsi="Arial" w:cs="Arial"/>
          <w:sz w:val="24"/>
          <w:szCs w:val="24"/>
        </w:rPr>
        <w:t>s a</w:t>
      </w:r>
      <w:r w:rsidRPr="00021247">
        <w:rPr>
          <w:rFonts w:ascii="Arial" w:hAnsi="Arial" w:cs="Arial"/>
          <w:sz w:val="24"/>
          <w:szCs w:val="24"/>
        </w:rPr>
        <w:t xml:space="preserve"> policing philosophy or paradigm which specifies a new kind of relationship between the police and the public.’ Brigitte Koch &amp; Trevor Benntt. (1993). In the United Kingdom, the Police service Police the public by consent which is a philosophy outlined by UK Government (2012) who list Sir Robert Peels 9 Principles of Policing. One of the principles which underpins the philosophy of policing is the notion that the police are the public and the public are the police. Considering this principle, it is important for the police to build and maintain positive working relations within the communities that they serve.</w:t>
      </w:r>
    </w:p>
    <w:p w14:paraId="10442950" w14:textId="157342FA"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 xml:space="preserve">Working with partner agencies to prevent and reduce crime can be intrinsic to achieve this which is a view supported by the Home Office when reducing juvenile offending. “If the police are to succeed in preventing or reducing juvenile crime, it is essential that they should work in close co-operation at the local youth level with all the various agencies concerned with juvenile crime and its consequences.” (Home Office, 1980). MARAC (Multi Agency Risk Assessment Conferences) are a </w:t>
      </w:r>
      <w:r w:rsidR="00071D47" w:rsidRPr="00021247">
        <w:rPr>
          <w:rFonts w:ascii="Arial" w:hAnsi="Arial" w:cs="Arial"/>
          <w:sz w:val="24"/>
          <w:szCs w:val="24"/>
        </w:rPr>
        <w:t>key</w:t>
      </w:r>
      <w:r w:rsidR="00071D47">
        <w:rPr>
          <w:rFonts w:ascii="Arial" w:hAnsi="Arial" w:cs="Arial"/>
          <w:sz w:val="24"/>
          <w:szCs w:val="24"/>
        </w:rPr>
        <w:t xml:space="preserve"> </w:t>
      </w:r>
      <w:r w:rsidR="00071D47" w:rsidRPr="00021247">
        <w:rPr>
          <w:rFonts w:ascii="Arial" w:hAnsi="Arial" w:cs="Arial"/>
          <w:sz w:val="24"/>
          <w:szCs w:val="24"/>
        </w:rPr>
        <w:t>way</w:t>
      </w:r>
      <w:r w:rsidRPr="00021247">
        <w:rPr>
          <w:rFonts w:ascii="Arial" w:hAnsi="Arial" w:cs="Arial"/>
          <w:sz w:val="24"/>
          <w:szCs w:val="24"/>
        </w:rPr>
        <w:t xml:space="preserve"> for partner agencies to work collaboratively with the police in an effort to discuss the issue at hand and work together to develop a strategy to resolve the issues.</w:t>
      </w:r>
    </w:p>
    <w:p w14:paraId="21F192D8"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An example of effective community engagement with the public which helps to build and maintain relationships between police, partner agencies and the community is the PACT (Partners and Communities Together) initiative. This is where a meeting is held in a neutral venue away from the police station where the police, partner agencies such as Town Councils and community councillors along with members of the public attend to raise and discuss any issues or concerns affecting their neighbourhood. “The sharing of responsibility involves providing a mechanism for the community to collaborate with the police both in the identification of community problems and determining the most appropriate strategies for resolving them.” (U.S.DOJ, 2003)</w:t>
      </w:r>
    </w:p>
    <w:p w14:paraId="4B9B2576"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The College of Policing (2013) describe how communities should adopt engagement that reflects the how that community feels most comfortable in interacting with the police and partner agencies having a consistent dialogue with all sections of the community and acting upon and reporting back on any action that is taken as a result of the partnership working. Other initiatives that encourage members of the community and partner agencies to collaborate with the police include ‘Cuppa with a Copper’ which can just be an informal discussion which helps break down barriers to communication and makes the police more accessible.</w:t>
      </w:r>
    </w:p>
    <w:p w14:paraId="19F8F42A" w14:textId="3936A04A" w:rsidR="00021247" w:rsidRPr="00021247" w:rsidRDefault="00021247" w:rsidP="00021247">
      <w:pPr>
        <w:spacing w:line="360" w:lineRule="auto"/>
        <w:rPr>
          <w:rFonts w:ascii="Arial" w:hAnsi="Arial" w:cs="Arial"/>
          <w:sz w:val="24"/>
          <w:szCs w:val="24"/>
        </w:rPr>
      </w:pPr>
      <w:r w:rsidRPr="00021247">
        <w:rPr>
          <w:rFonts w:ascii="Arial" w:hAnsi="Arial" w:cs="Arial"/>
          <w:color w:val="000000"/>
          <w:sz w:val="24"/>
          <w:szCs w:val="24"/>
        </w:rPr>
        <w:t>Each community will have different needs</w:t>
      </w:r>
      <w:r w:rsidR="00071D47">
        <w:rPr>
          <w:rFonts w:ascii="Arial" w:hAnsi="Arial" w:cs="Arial"/>
          <w:color w:val="000000"/>
          <w:sz w:val="24"/>
          <w:szCs w:val="24"/>
        </w:rPr>
        <w:t xml:space="preserve"> </w:t>
      </w:r>
      <w:r w:rsidRPr="00021247">
        <w:rPr>
          <w:rFonts w:ascii="Arial" w:hAnsi="Arial" w:cs="Arial"/>
          <w:color w:val="000000"/>
          <w:sz w:val="24"/>
          <w:szCs w:val="24"/>
        </w:rPr>
        <w:t xml:space="preserve">so building those KINS (key individual networks) within the community is essential to being inclusive to the whole community it represents. The College of Policing (2013) describe how this can foster good relations withing the community which can lead to greater confidence is the service provided to the community. </w:t>
      </w:r>
      <w:r w:rsidRPr="00021247">
        <w:rPr>
          <w:rFonts w:ascii="Arial" w:hAnsi="Arial" w:cs="Arial"/>
          <w:sz w:val="24"/>
          <w:szCs w:val="24"/>
        </w:rPr>
        <w:t>“The Police are key players in these local partnerships, making the connections, encouraging communication with all groups and people within those neighbourhood communities, helping with problem-solving, and meeting local needs for social order and good behaviour.” (Harfield, 2014)</w:t>
      </w:r>
    </w:p>
    <w:p w14:paraId="015BA115" w14:textId="2797E820"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South Wales Police’s (2023) vision is to be the best at understanding and responding to our communities. To be able to be the best</w:t>
      </w:r>
      <w:r w:rsidR="00071D47">
        <w:rPr>
          <w:rFonts w:ascii="Arial" w:hAnsi="Arial" w:cs="Arial"/>
          <w:sz w:val="24"/>
          <w:szCs w:val="24"/>
        </w:rPr>
        <w:t xml:space="preserve">, </w:t>
      </w:r>
      <w:r w:rsidRPr="00021247">
        <w:rPr>
          <w:rFonts w:ascii="Arial" w:hAnsi="Arial" w:cs="Arial"/>
          <w:sz w:val="24"/>
          <w:szCs w:val="24"/>
        </w:rPr>
        <w:t xml:space="preserve">it is essential for that partnership working which in turn yields many benefits which have been outlined by the College of Policing (2020) as facilitating information and intelligence sharing, prompting agencies with community safety responsibilities to develop a safety package for actual and potential victims of hate crime, prevent duplication of service delivery by partner agencies and produce a consolidated approach to accessing additional resources. </w:t>
      </w:r>
    </w:p>
    <w:p w14:paraId="42342582" w14:textId="5652FAB4" w:rsidR="009C7A2C" w:rsidRDefault="00021247" w:rsidP="00021247">
      <w:pPr>
        <w:spacing w:line="360" w:lineRule="auto"/>
        <w:rPr>
          <w:rFonts w:ascii="Arial" w:hAnsi="Arial" w:cs="Arial"/>
          <w:sz w:val="24"/>
          <w:szCs w:val="24"/>
        </w:rPr>
      </w:pPr>
      <w:r w:rsidRPr="00021247">
        <w:rPr>
          <w:rFonts w:ascii="Arial" w:hAnsi="Arial" w:cs="Arial"/>
          <w:sz w:val="24"/>
          <w:szCs w:val="24"/>
        </w:rPr>
        <w:t>Further benefits of partnership working include involving other agencies to discuss problems that the police don’t necessarily have the solutions to which enables partners to have their input into potential solutions to the issues. For example, if there is a particular issue with hate crime working collaboratively with the local authority to deliver key messages in schools and community clubs involves other agencies to work alongside the police in collaboration to deliver these key messages and to raise awareness. The college of policing (2013) state that this will help achieve joint ownership of problems and solutions, providing an opportunity for partners to share hate crime initiatives, promoting further collaborative effort. College of Policing (2023) sates that evidence highlights that partnership working is important to problem-solving by aligning shared priorities with partner agencies which improves capacity for problem solving, create new ideas for problems that are faced and ensuring that non-crime issues can be passed to the relevant agency to deal with.</w:t>
      </w:r>
      <w:r w:rsidR="001604BE">
        <w:rPr>
          <w:rFonts w:ascii="Arial" w:hAnsi="Arial" w:cs="Arial"/>
          <w:sz w:val="24"/>
          <w:szCs w:val="24"/>
        </w:rPr>
        <w:t xml:space="preserve"> Despite the many positive benefits of this approach </w:t>
      </w:r>
      <w:r w:rsidR="00121624" w:rsidRPr="00121624">
        <w:rPr>
          <w:rFonts w:ascii="Arial" w:hAnsi="Arial" w:cs="Arial"/>
          <w:sz w:val="24"/>
          <w:szCs w:val="24"/>
        </w:rPr>
        <w:t>Bullock, Erol and Tilley (2013)</w:t>
      </w:r>
      <w:r w:rsidR="00121624">
        <w:rPr>
          <w:rFonts w:ascii="Arial" w:hAnsi="Arial" w:cs="Arial"/>
          <w:sz w:val="24"/>
          <w:szCs w:val="24"/>
        </w:rPr>
        <w:t xml:space="preserve"> </w:t>
      </w:r>
      <w:r w:rsidR="001604BE">
        <w:rPr>
          <w:rFonts w:ascii="Arial" w:hAnsi="Arial" w:cs="Arial"/>
          <w:sz w:val="24"/>
          <w:szCs w:val="24"/>
        </w:rPr>
        <w:t xml:space="preserve">explain </w:t>
      </w:r>
      <w:r w:rsidR="00121624">
        <w:rPr>
          <w:rFonts w:ascii="Arial" w:hAnsi="Arial" w:cs="Arial"/>
          <w:sz w:val="24"/>
          <w:szCs w:val="24"/>
        </w:rPr>
        <w:t>state</w:t>
      </w:r>
      <w:r w:rsidR="001604BE">
        <w:rPr>
          <w:rFonts w:ascii="Arial" w:hAnsi="Arial" w:cs="Arial"/>
          <w:sz w:val="24"/>
          <w:szCs w:val="24"/>
        </w:rPr>
        <w:t xml:space="preserve"> certain partner agencies such as youth services can be very hard to engage, with some having a negative view towards the police.</w:t>
      </w:r>
      <w:r w:rsidR="00121624">
        <w:rPr>
          <w:rFonts w:ascii="Arial" w:hAnsi="Arial" w:cs="Arial"/>
          <w:sz w:val="24"/>
          <w:szCs w:val="24"/>
        </w:rPr>
        <w:t xml:space="preserve"> </w:t>
      </w:r>
      <w:r w:rsidR="009C7A2C">
        <w:rPr>
          <w:rFonts w:ascii="Arial" w:hAnsi="Arial" w:cs="Arial"/>
          <w:sz w:val="24"/>
          <w:szCs w:val="24"/>
        </w:rPr>
        <w:t>Another challenge that can be encountered can be the finances and resources available to partner agencies. This was highlighted by (FitzGerald et al., 2014) who concluded that the time and effort of setting up and liaising on partnership issues were a drain on their limited resources resulting in little measurable return.</w:t>
      </w:r>
    </w:p>
    <w:p w14:paraId="1FB49D09" w14:textId="7FB01510" w:rsidR="00021247" w:rsidRDefault="00021247" w:rsidP="00021247">
      <w:pPr>
        <w:spacing w:line="360" w:lineRule="auto"/>
        <w:rPr>
          <w:rFonts w:ascii="Arial" w:hAnsi="Arial" w:cs="Arial"/>
          <w:sz w:val="24"/>
          <w:szCs w:val="24"/>
        </w:rPr>
      </w:pPr>
      <w:r w:rsidRPr="00021247">
        <w:rPr>
          <w:rFonts w:ascii="Arial" w:hAnsi="Arial" w:cs="Arial"/>
          <w:sz w:val="24"/>
          <w:szCs w:val="24"/>
        </w:rPr>
        <w:t xml:space="preserve">The Home Office (2004) recognises that effective engagement between the police and communities is allowing its priorities and service delivery strategies to be influences, changed and driven by community concerns and priorities. This putting the communities at the heart of the discussions and solutions regarding the issues they are faced with </w:t>
      </w:r>
      <w:r w:rsidR="001567B7">
        <w:rPr>
          <w:rFonts w:ascii="Arial" w:hAnsi="Arial" w:cs="Arial"/>
          <w:sz w:val="24"/>
          <w:szCs w:val="24"/>
        </w:rPr>
        <w:t>and providing the police with the opportunity to spread their resources in other areas. A study carried out by (Barton and Valero-Silva, 2013) identified that as a result of integrated multi-agency approaches to crime prevention, the police are able to save resources in terms of time spent investigating crime.</w:t>
      </w:r>
    </w:p>
    <w:p w14:paraId="77152D7B" w14:textId="531FFA7E" w:rsidR="00AE5E07" w:rsidRDefault="001567B7" w:rsidP="00071D47">
      <w:pPr>
        <w:spacing w:line="360" w:lineRule="auto"/>
        <w:rPr>
          <w:b/>
          <w:bCs/>
          <w:u w:val="single"/>
        </w:rPr>
      </w:pPr>
      <w:r>
        <w:rPr>
          <w:rFonts w:ascii="Arial" w:hAnsi="Arial" w:cs="Arial"/>
          <w:sz w:val="24"/>
          <w:szCs w:val="24"/>
        </w:rPr>
        <w:t>In conclusion, it is evident that drawing the support of partner agencies is key to building and maintaining engagement with the community by including them in discussions and problem solving surrounding the issues that are affecting the</w:t>
      </w:r>
      <w:r w:rsidR="00071D47">
        <w:rPr>
          <w:rFonts w:ascii="Arial" w:hAnsi="Arial" w:cs="Arial"/>
          <w:sz w:val="24"/>
          <w:szCs w:val="24"/>
        </w:rPr>
        <w:t xml:space="preserve">m. </w:t>
      </w:r>
      <w:r>
        <w:rPr>
          <w:rFonts w:ascii="Arial" w:hAnsi="Arial" w:cs="Arial"/>
          <w:sz w:val="24"/>
          <w:szCs w:val="24"/>
        </w:rPr>
        <w:t xml:space="preserve">Partner agencies can often be better placed than the police to </w:t>
      </w:r>
      <w:r w:rsidR="00071D47">
        <w:rPr>
          <w:rFonts w:ascii="Arial" w:hAnsi="Arial" w:cs="Arial"/>
          <w:sz w:val="24"/>
          <w:szCs w:val="24"/>
        </w:rPr>
        <w:t xml:space="preserve">resolve some of the issues that are experienced and can help to break down barriers between the police and the communities. </w:t>
      </w:r>
      <w:r w:rsidR="00021247" w:rsidRPr="00021247">
        <w:rPr>
          <w:rFonts w:ascii="Arial" w:hAnsi="Arial" w:cs="Arial"/>
          <w:sz w:val="24"/>
          <w:szCs w:val="24"/>
        </w:rPr>
        <w:t>This in t</w:t>
      </w:r>
      <w:r w:rsidR="00021247">
        <w:rPr>
          <w:rFonts w:ascii="Arial" w:hAnsi="Arial" w:cs="Arial"/>
          <w:sz w:val="24"/>
          <w:szCs w:val="24"/>
        </w:rPr>
        <w:t>u</w:t>
      </w:r>
      <w:r w:rsidR="00021247" w:rsidRPr="00021247">
        <w:rPr>
          <w:rFonts w:ascii="Arial" w:hAnsi="Arial" w:cs="Arial"/>
          <w:sz w:val="24"/>
          <w:szCs w:val="24"/>
        </w:rPr>
        <w:t>rn can lead to increased information and intelligence being gathered from the community and partners which helps to build a bigger picture of the key issues faced within the communities.</w:t>
      </w:r>
      <w:r w:rsidR="00071D47">
        <w:rPr>
          <w:rFonts w:ascii="Arial" w:hAnsi="Arial" w:cs="Arial"/>
          <w:sz w:val="24"/>
          <w:szCs w:val="24"/>
        </w:rPr>
        <w:t xml:space="preserve"> It also allows the police to direct the resources to other areas if another partner agency takes ownership for an issue faced within the community.</w:t>
      </w:r>
    </w:p>
    <w:p w14:paraId="54D2A0B2" w14:textId="7934AC4F" w:rsidR="00AE5E07" w:rsidRDefault="00071D47">
      <w:pPr>
        <w:rPr>
          <w:b/>
          <w:bCs/>
          <w:u w:val="single"/>
        </w:rPr>
      </w:pPr>
      <w:r>
        <w:rPr>
          <w:b/>
          <w:bCs/>
          <w:u w:val="single"/>
        </w:rPr>
        <w:t>Word count: 1098</w:t>
      </w:r>
    </w:p>
    <w:p w14:paraId="4E613CBD" w14:textId="77777777" w:rsidR="00AE5E07" w:rsidRDefault="00AE5E07">
      <w:pPr>
        <w:rPr>
          <w:b/>
          <w:bCs/>
          <w:u w:val="single"/>
        </w:rPr>
      </w:pPr>
    </w:p>
    <w:p w14:paraId="2D7A9596" w14:textId="77777777" w:rsidR="00AE5E07" w:rsidRDefault="00AE5E07">
      <w:pPr>
        <w:rPr>
          <w:b/>
          <w:bCs/>
          <w:u w:val="single"/>
        </w:rPr>
      </w:pPr>
    </w:p>
    <w:p w14:paraId="42418B34" w14:textId="77777777" w:rsidR="00021247" w:rsidRDefault="00021247">
      <w:pPr>
        <w:rPr>
          <w:b/>
          <w:bCs/>
          <w:u w:val="single"/>
        </w:rPr>
      </w:pPr>
    </w:p>
    <w:p w14:paraId="02A10D11" w14:textId="77777777" w:rsidR="00071D47" w:rsidRDefault="00071D47" w:rsidP="00021247">
      <w:pPr>
        <w:spacing w:line="360" w:lineRule="auto"/>
        <w:rPr>
          <w:b/>
          <w:bCs/>
          <w:u w:val="single"/>
        </w:rPr>
      </w:pPr>
    </w:p>
    <w:p w14:paraId="1E9C9493" w14:textId="74C347A9" w:rsidR="00021247" w:rsidRPr="00021247" w:rsidRDefault="00021247" w:rsidP="00021247">
      <w:pPr>
        <w:spacing w:line="360" w:lineRule="auto"/>
        <w:rPr>
          <w:rFonts w:ascii="Arial" w:hAnsi="Arial" w:cs="Arial"/>
          <w:b/>
          <w:bCs/>
          <w:sz w:val="24"/>
          <w:szCs w:val="24"/>
          <w:u w:val="single"/>
        </w:rPr>
      </w:pPr>
      <w:r w:rsidRPr="00021247">
        <w:rPr>
          <w:rFonts w:ascii="Arial" w:hAnsi="Arial" w:cs="Arial"/>
          <w:b/>
          <w:bCs/>
          <w:sz w:val="24"/>
          <w:szCs w:val="24"/>
          <w:u w:val="single"/>
        </w:rPr>
        <w:t>Essay 3</w:t>
      </w:r>
    </w:p>
    <w:p w14:paraId="7E76A99A" w14:textId="77777777" w:rsidR="008E439B" w:rsidRPr="00021247" w:rsidRDefault="008E439B" w:rsidP="008E439B">
      <w:pPr>
        <w:spacing w:line="360" w:lineRule="auto"/>
        <w:rPr>
          <w:rFonts w:ascii="Arial" w:hAnsi="Arial" w:cs="Arial"/>
          <w:sz w:val="24"/>
          <w:szCs w:val="24"/>
        </w:rPr>
      </w:pPr>
      <w:r>
        <w:rPr>
          <w:rFonts w:ascii="Arial" w:hAnsi="Arial" w:cs="Arial"/>
          <w:sz w:val="24"/>
          <w:szCs w:val="24"/>
        </w:rPr>
        <w:t xml:space="preserve">This paper will explore </w:t>
      </w:r>
      <w:r w:rsidRPr="00021247">
        <w:rPr>
          <w:rFonts w:ascii="Arial" w:hAnsi="Arial" w:cs="Arial"/>
          <w:sz w:val="24"/>
          <w:szCs w:val="24"/>
        </w:rPr>
        <w:t>how effective cognitive interviews</w:t>
      </w:r>
      <w:r>
        <w:rPr>
          <w:rFonts w:ascii="Arial" w:hAnsi="Arial" w:cs="Arial"/>
          <w:sz w:val="24"/>
          <w:szCs w:val="24"/>
        </w:rPr>
        <w:t xml:space="preserve"> are and how this method can be beneficial when obtaining initial accounts from victims and witnesses.</w:t>
      </w:r>
    </w:p>
    <w:p w14:paraId="29556598" w14:textId="77777777" w:rsidR="008E439B" w:rsidRDefault="008E439B" w:rsidP="008E439B">
      <w:pPr>
        <w:spacing w:line="360" w:lineRule="auto"/>
        <w:rPr>
          <w:rFonts w:ascii="Arial" w:hAnsi="Arial" w:cs="Arial"/>
          <w:sz w:val="24"/>
          <w:szCs w:val="24"/>
        </w:rPr>
      </w:pPr>
      <w:r w:rsidRPr="00021247">
        <w:rPr>
          <w:rFonts w:ascii="Arial" w:hAnsi="Arial" w:cs="Arial"/>
          <w:sz w:val="24"/>
          <w:szCs w:val="24"/>
        </w:rPr>
        <w:t>Firstly, the cognitive interview is a method of enhancing memory through improving the process of recall. McLeod (2021) describes the cognitive interview</w:t>
      </w:r>
      <w:r>
        <w:rPr>
          <w:rFonts w:ascii="Arial" w:hAnsi="Arial" w:cs="Arial"/>
          <w:sz w:val="24"/>
          <w:szCs w:val="24"/>
        </w:rPr>
        <w:t xml:space="preserve"> (CI)</w:t>
      </w:r>
      <w:r w:rsidRPr="00021247">
        <w:rPr>
          <w:rFonts w:ascii="Arial" w:hAnsi="Arial" w:cs="Arial"/>
          <w:sz w:val="24"/>
          <w:szCs w:val="24"/>
        </w:rPr>
        <w:t xml:space="preserve"> as a questioning technique used by the police to enhance the retrieval of information. McNeil et al (2019) also describe cognitive interviewing as a formal process to interview witnesses and victims, prompting the interviewee to remember more detail about an event. When conducting a cognitive witness or victim interview it is important to be flexible in your approach and consider a range of techniques to use for different scenarios face. “The CI should not be thought of as a recipe with a fixed set of questions and instructions, but rather as a toolbox of techniques, only some of which will be used in any specific interview.”  (Fisher et al, 2010)</w:t>
      </w:r>
      <w:r>
        <w:rPr>
          <w:rFonts w:ascii="Arial" w:hAnsi="Arial" w:cs="Arial"/>
          <w:sz w:val="24"/>
          <w:szCs w:val="24"/>
        </w:rPr>
        <w:t xml:space="preserve"> </w:t>
      </w:r>
    </w:p>
    <w:p w14:paraId="4C273A61" w14:textId="77777777" w:rsidR="008E439B" w:rsidRDefault="008E439B" w:rsidP="008E439B">
      <w:pPr>
        <w:spacing w:line="360" w:lineRule="auto"/>
        <w:rPr>
          <w:rFonts w:ascii="Arial" w:hAnsi="Arial" w:cs="Arial"/>
          <w:sz w:val="24"/>
          <w:szCs w:val="24"/>
        </w:rPr>
      </w:pPr>
      <w:r w:rsidRPr="00021247">
        <w:rPr>
          <w:rFonts w:ascii="Arial" w:hAnsi="Arial" w:cs="Arial"/>
          <w:sz w:val="24"/>
          <w:szCs w:val="24"/>
        </w:rPr>
        <w:t>When asking a witness to recall events which sometimes can be traumatic to them, it is often difficult for them to recall the incident with such accuracy. This information can be vital to assist officers in investigating and can have an impact of the outcome of the investigation. “The ability to obtain full and accurate information is critical in an investigation – it may determine whether or not a case is solved, yet the eyewitness literature reveals that such recall is difficult to achieve.” (Hargie, 2018. P.551)</w:t>
      </w:r>
    </w:p>
    <w:p w14:paraId="17F783FE" w14:textId="77777777" w:rsidR="008E439B" w:rsidRPr="00021247" w:rsidRDefault="008E439B" w:rsidP="008E439B">
      <w:pPr>
        <w:spacing w:line="360" w:lineRule="auto"/>
        <w:rPr>
          <w:rFonts w:ascii="Arial" w:hAnsi="Arial" w:cs="Arial"/>
          <w:sz w:val="24"/>
          <w:szCs w:val="24"/>
        </w:rPr>
      </w:pPr>
      <w:r>
        <w:rPr>
          <w:rFonts w:ascii="Arial" w:hAnsi="Arial" w:cs="Arial"/>
          <w:sz w:val="24"/>
          <w:szCs w:val="24"/>
        </w:rPr>
        <w:t xml:space="preserve"> Research carried out by Wright (2004) found that during a study cognitive interviewing increased the number of correct details recorded without increasing the number of incorrect or confabulated details recalled. This highlights that the method of cognitive interviewing can have an important role to play in an investigation as this demonstrates that despite an increase in the correct details being recorded from witnesses and victims, there is also no increase in inaccurate details being recorded. Despite this, there is some</w:t>
      </w:r>
      <w:r w:rsidRPr="003A5797">
        <w:rPr>
          <w:rFonts w:ascii="Arial" w:hAnsi="Arial" w:cs="Arial"/>
          <w:sz w:val="24"/>
          <w:szCs w:val="24"/>
        </w:rPr>
        <w:t xml:space="preserve"> criticisms of the cognitive interview technique </w:t>
      </w:r>
      <w:r>
        <w:rPr>
          <w:rFonts w:ascii="Arial" w:hAnsi="Arial" w:cs="Arial"/>
          <w:sz w:val="24"/>
          <w:szCs w:val="24"/>
        </w:rPr>
        <w:t>who believe that the process can lead to the recording of inaccurate information and that it is too time consuming to complete for each investigation and impractical to train each officer as it requires specialist training as described by Mcleod (2023).</w:t>
      </w:r>
    </w:p>
    <w:p w14:paraId="0D8F5834" w14:textId="77777777" w:rsidR="008E439B" w:rsidRPr="00021247" w:rsidRDefault="008E439B" w:rsidP="008E439B">
      <w:pPr>
        <w:spacing w:before="240" w:line="360" w:lineRule="auto"/>
        <w:rPr>
          <w:rFonts w:ascii="Arial" w:hAnsi="Arial" w:cs="Arial"/>
          <w:sz w:val="24"/>
          <w:szCs w:val="24"/>
        </w:rPr>
      </w:pPr>
      <w:r w:rsidRPr="00021247">
        <w:rPr>
          <w:rFonts w:ascii="Arial" w:hAnsi="Arial" w:cs="Arial"/>
          <w:sz w:val="24"/>
          <w:szCs w:val="24"/>
        </w:rPr>
        <w:t xml:space="preserve">There are four main components to cognitive interviewing: Reconstruct the circumstances, Report everything, recall the event in different order and change perspectives. Geiselman and Ronald </w:t>
      </w:r>
      <w:r>
        <w:rPr>
          <w:rFonts w:ascii="Arial" w:hAnsi="Arial" w:cs="Arial"/>
          <w:sz w:val="24"/>
          <w:szCs w:val="24"/>
        </w:rPr>
        <w:t>(</w:t>
      </w:r>
      <w:r w:rsidRPr="00021247">
        <w:rPr>
          <w:rFonts w:ascii="Arial" w:hAnsi="Arial" w:cs="Arial"/>
          <w:sz w:val="24"/>
          <w:szCs w:val="24"/>
        </w:rPr>
        <w:t>1985) claim that some people do not report everything and will withhold some information, but the investigator needs to reiterate that the information provided might be relevant even if they do not think so themselves. The final technique is changing the perspective. (Geiselman and Ronald, 1985) describes this technique as recalling the incident from a different perspective by placing themselves in the role of another who was also present at the incident. This is described as having two key benefits. The first being not every person will understand what information has investigative value and the second benefit is that it can sometimes lead to remembering an important detail by associating it with something that may be considered unimportant. “A memory is composed of several elements. The more elements a memory jogging aid has in common with the memory, the more effective the aid is likely to be” (Geiselman and Fisher, 1988)</w:t>
      </w:r>
    </w:p>
    <w:p w14:paraId="4F378DD1" w14:textId="77777777" w:rsidR="008E439B" w:rsidRDefault="008E439B" w:rsidP="008E439B">
      <w:pPr>
        <w:spacing w:line="360" w:lineRule="auto"/>
        <w:rPr>
          <w:rFonts w:ascii="Arial" w:hAnsi="Arial" w:cs="Arial"/>
          <w:sz w:val="24"/>
          <w:szCs w:val="24"/>
        </w:rPr>
      </w:pPr>
      <w:r w:rsidRPr="00021247">
        <w:rPr>
          <w:rFonts w:ascii="Arial" w:hAnsi="Arial" w:cs="Arial"/>
          <w:sz w:val="24"/>
          <w:szCs w:val="24"/>
        </w:rPr>
        <w:t>To establish the effectiveness of the Cognitive Interview process a study was carried out by (Dando et al, 2006) where they compared the number of facts elicited before and after training for detectives and comparing them against the number of facts elicited by the trained versus untrained detectives. The study concluded that Cognitive Interviewing was effective in both the trained and untrained and in the before and after comparison. The research showed that seven of the trained detectives elicited 47% more information after the training compared to prior to the training.</w:t>
      </w:r>
    </w:p>
    <w:p w14:paraId="21487D58" w14:textId="77777777" w:rsidR="008E439B" w:rsidRPr="00021247" w:rsidRDefault="008E439B" w:rsidP="008E439B">
      <w:pPr>
        <w:spacing w:line="360" w:lineRule="auto"/>
        <w:rPr>
          <w:rFonts w:ascii="Arial" w:hAnsi="Arial" w:cs="Arial"/>
          <w:sz w:val="24"/>
          <w:szCs w:val="24"/>
        </w:rPr>
      </w:pPr>
      <w:r>
        <w:rPr>
          <w:rFonts w:ascii="Arial" w:hAnsi="Arial" w:cs="Arial"/>
          <w:sz w:val="24"/>
          <w:szCs w:val="24"/>
        </w:rPr>
        <w:t>The r</w:t>
      </w:r>
      <w:r w:rsidRPr="00021247">
        <w:rPr>
          <w:rFonts w:ascii="Arial" w:hAnsi="Arial" w:cs="Arial"/>
          <w:sz w:val="24"/>
          <w:szCs w:val="24"/>
        </w:rPr>
        <w:t xml:space="preserve">esearch conducted by (Dando et al, 2006) showed that 18% of officers surveyed felt that there was a pressure from senior management to complete a victim/witness interview, with two of the respondents stating senior management had a distain for long interviews and a lack of understanding of the witness interviewing process who hindered them from completing a good interview. </w:t>
      </w:r>
    </w:p>
    <w:p w14:paraId="74FD5A74" w14:textId="77777777" w:rsidR="008E439B" w:rsidRPr="00021247" w:rsidRDefault="008E439B" w:rsidP="008E439B">
      <w:pPr>
        <w:spacing w:line="360" w:lineRule="auto"/>
        <w:rPr>
          <w:rFonts w:ascii="Arial" w:hAnsi="Arial" w:cs="Arial"/>
          <w:sz w:val="24"/>
          <w:szCs w:val="24"/>
        </w:rPr>
      </w:pPr>
      <w:r>
        <w:rPr>
          <w:rFonts w:ascii="Arial" w:hAnsi="Arial" w:cs="Arial"/>
          <w:sz w:val="24"/>
          <w:szCs w:val="24"/>
        </w:rPr>
        <w:t xml:space="preserve">A </w:t>
      </w:r>
      <w:r w:rsidRPr="00021247">
        <w:rPr>
          <w:rFonts w:ascii="Arial" w:hAnsi="Arial" w:cs="Arial"/>
          <w:sz w:val="24"/>
          <w:szCs w:val="24"/>
        </w:rPr>
        <w:t>study conducted by Dando et al. (2009) investigated novice police officers witness interview practices immediately post investigative interview training with reference to the cognitive interview components taught. Dando, Wilcock and Milne (2009) concluded that during the study, the cognitive interview procedure currently taught to novice police officers is too complex at so early a stage in their police career and/or that the current training may be insufficient to equip them with the skills necessary to effectively apply the procedure.</w:t>
      </w:r>
    </w:p>
    <w:p w14:paraId="36840AE7" w14:textId="77777777" w:rsidR="008E439B" w:rsidRDefault="008E439B" w:rsidP="008E439B">
      <w:pPr>
        <w:spacing w:line="360" w:lineRule="auto"/>
        <w:rPr>
          <w:rFonts w:ascii="Arial" w:hAnsi="Arial" w:cs="Arial"/>
          <w:sz w:val="24"/>
          <w:szCs w:val="24"/>
        </w:rPr>
      </w:pPr>
      <w:r w:rsidRPr="00021247">
        <w:rPr>
          <w:rFonts w:ascii="Arial" w:hAnsi="Arial" w:cs="Arial"/>
          <w:sz w:val="24"/>
          <w:szCs w:val="24"/>
        </w:rPr>
        <w:t>Research carried out by McNeil et al (2019) suggested that the evidence gathered suggested that rapport building can have a positive impact on the accuracy and amount of information gathered from victims and witnesses with there being no evidence to indicate that rapport building has a negative impact. Research conducted by Geiselman and Fisher (1988) showed that 35% more information was produced when compared to where witnesses were asked for the facts by experienced interviews.</w:t>
      </w:r>
    </w:p>
    <w:p w14:paraId="02A31604" w14:textId="77777777" w:rsidR="008E439B" w:rsidRPr="003A5797" w:rsidRDefault="008E439B" w:rsidP="008E439B">
      <w:pPr>
        <w:spacing w:line="360" w:lineRule="auto"/>
        <w:rPr>
          <w:rFonts w:ascii="Arial" w:hAnsi="Arial" w:cs="Arial"/>
          <w:sz w:val="24"/>
          <w:szCs w:val="24"/>
        </w:rPr>
      </w:pPr>
      <w:r>
        <w:rPr>
          <w:rFonts w:ascii="Arial" w:hAnsi="Arial" w:cs="Arial"/>
          <w:sz w:val="24"/>
          <w:szCs w:val="24"/>
        </w:rPr>
        <w:t xml:space="preserve">In conclusion, a number of studies have been carried out and despite there being barriers to the success of cognitive interviewing, overall there is clear evidence that highlights the benefits and positive impact on the amount of information that can be yielded from victim and witness interviews. The research shows that if officers were afforded more time to spend on the rapport building stage and preparing for interview by considering a number of interview techniques then this can have a positive impact on the information that can be gathered as part of the investigation which will impact on the success of the investigation. </w:t>
      </w:r>
      <w:r w:rsidRPr="003A5797">
        <w:rPr>
          <w:rFonts w:ascii="Arial" w:hAnsi="Arial" w:cs="Arial"/>
          <w:sz w:val="24"/>
          <w:szCs w:val="24"/>
        </w:rPr>
        <w:t>According to Fisher and Geiselman (2010) Police officers receive little training to conduct interviews with a witness who is cooperative, resulting in them conducting interviews poorly. If further training was implemented for officers to learn how to conduct a cognitive interview, then there is scope to enhance the performance and results from interviewing both witnesses and victims</w:t>
      </w:r>
      <w:r>
        <w:rPr>
          <w:rFonts w:ascii="Arial" w:hAnsi="Arial" w:cs="Arial"/>
          <w:sz w:val="24"/>
          <w:szCs w:val="24"/>
        </w:rPr>
        <w:t xml:space="preserve"> even further.</w:t>
      </w:r>
    </w:p>
    <w:p w14:paraId="440FFDC8" w14:textId="6982473C" w:rsidR="00021247" w:rsidRDefault="008E439B">
      <w:pPr>
        <w:rPr>
          <w:b/>
          <w:bCs/>
          <w:u w:val="single"/>
        </w:rPr>
      </w:pPr>
      <w:r>
        <w:rPr>
          <w:b/>
          <w:bCs/>
          <w:u w:val="single"/>
        </w:rPr>
        <w:t>Word Count: 1014</w:t>
      </w:r>
    </w:p>
    <w:p w14:paraId="53AA05E8" w14:textId="77777777" w:rsidR="00021247" w:rsidRDefault="00021247">
      <w:pPr>
        <w:rPr>
          <w:b/>
          <w:bCs/>
          <w:u w:val="single"/>
        </w:rPr>
      </w:pPr>
    </w:p>
    <w:p w14:paraId="7EE99F74" w14:textId="77777777" w:rsidR="00021247" w:rsidRDefault="00021247">
      <w:pPr>
        <w:rPr>
          <w:b/>
          <w:bCs/>
          <w:u w:val="single"/>
        </w:rPr>
      </w:pPr>
    </w:p>
    <w:p w14:paraId="3A26FFC8" w14:textId="77777777" w:rsidR="00021247" w:rsidRDefault="00021247">
      <w:pPr>
        <w:rPr>
          <w:b/>
          <w:bCs/>
          <w:u w:val="single"/>
        </w:rPr>
      </w:pPr>
    </w:p>
    <w:p w14:paraId="063497E9" w14:textId="77777777" w:rsidR="00021247" w:rsidRDefault="00021247">
      <w:pPr>
        <w:rPr>
          <w:b/>
          <w:bCs/>
          <w:u w:val="single"/>
        </w:rPr>
      </w:pPr>
    </w:p>
    <w:p w14:paraId="69804175" w14:textId="77777777" w:rsidR="00021247" w:rsidRDefault="00021247">
      <w:pPr>
        <w:rPr>
          <w:b/>
          <w:bCs/>
          <w:u w:val="single"/>
        </w:rPr>
      </w:pPr>
    </w:p>
    <w:p w14:paraId="7E0631A0" w14:textId="77777777" w:rsidR="00021247" w:rsidRDefault="00021247">
      <w:pPr>
        <w:rPr>
          <w:b/>
          <w:bCs/>
          <w:u w:val="single"/>
        </w:rPr>
      </w:pPr>
    </w:p>
    <w:p w14:paraId="44271ED0" w14:textId="77777777" w:rsidR="00021247" w:rsidRDefault="00021247">
      <w:pPr>
        <w:rPr>
          <w:b/>
          <w:bCs/>
          <w:u w:val="single"/>
        </w:rPr>
      </w:pPr>
    </w:p>
    <w:p w14:paraId="14BB5A29" w14:textId="77777777" w:rsidR="00AE5E07" w:rsidRDefault="00AE5E07">
      <w:pPr>
        <w:rPr>
          <w:b/>
          <w:bCs/>
          <w:u w:val="single"/>
        </w:rPr>
      </w:pPr>
    </w:p>
    <w:p w14:paraId="325C2EBA" w14:textId="77777777" w:rsidR="008E439B" w:rsidRDefault="008E439B" w:rsidP="00021247">
      <w:pPr>
        <w:spacing w:line="360" w:lineRule="auto"/>
        <w:rPr>
          <w:rFonts w:ascii="Arial" w:hAnsi="Arial" w:cs="Arial"/>
          <w:b/>
          <w:bCs/>
          <w:sz w:val="24"/>
          <w:szCs w:val="24"/>
          <w:u w:val="single"/>
        </w:rPr>
      </w:pPr>
    </w:p>
    <w:p w14:paraId="3BC7F186" w14:textId="45F3BB10" w:rsidR="002146DA" w:rsidRDefault="00021247" w:rsidP="00021247">
      <w:pPr>
        <w:spacing w:line="360" w:lineRule="auto"/>
        <w:rPr>
          <w:rFonts w:ascii="Arial" w:hAnsi="Arial" w:cs="Arial"/>
          <w:b/>
          <w:bCs/>
          <w:sz w:val="24"/>
          <w:szCs w:val="24"/>
          <w:u w:val="single"/>
        </w:rPr>
      </w:pPr>
      <w:r w:rsidRPr="00021247">
        <w:rPr>
          <w:rFonts w:ascii="Arial" w:hAnsi="Arial" w:cs="Arial"/>
          <w:b/>
          <w:bCs/>
          <w:sz w:val="24"/>
          <w:szCs w:val="24"/>
          <w:u w:val="single"/>
        </w:rPr>
        <w:t>Essay 5:</w:t>
      </w:r>
    </w:p>
    <w:p w14:paraId="389BD169" w14:textId="77777777" w:rsidR="00251A81" w:rsidRDefault="00251A81" w:rsidP="00251A81">
      <w:pPr>
        <w:spacing w:line="360" w:lineRule="auto"/>
        <w:rPr>
          <w:rFonts w:ascii="Arial" w:hAnsi="Arial" w:cs="Arial"/>
          <w:sz w:val="24"/>
          <w:szCs w:val="24"/>
        </w:rPr>
      </w:pPr>
      <w:r>
        <w:rPr>
          <w:rFonts w:ascii="Arial" w:hAnsi="Arial" w:cs="Arial"/>
          <w:sz w:val="24"/>
          <w:szCs w:val="24"/>
        </w:rPr>
        <w:t>This essay will critically assess the effectiveness of the different options available to reduce re-offending while exploring the options that are available to police to reduce re-offending specific to knife related crime.</w:t>
      </w:r>
    </w:p>
    <w:p w14:paraId="4CBD87DA" w14:textId="77777777" w:rsidR="00251A81" w:rsidRPr="00021247" w:rsidRDefault="00251A81" w:rsidP="00251A81">
      <w:pPr>
        <w:spacing w:line="360" w:lineRule="auto"/>
        <w:rPr>
          <w:rFonts w:ascii="Arial" w:hAnsi="Arial" w:cs="Arial"/>
          <w:sz w:val="24"/>
          <w:szCs w:val="24"/>
        </w:rPr>
      </w:pPr>
      <w:r w:rsidRPr="00021247">
        <w:rPr>
          <w:rFonts w:ascii="Arial" w:hAnsi="Arial" w:cs="Arial"/>
          <w:sz w:val="24"/>
          <w:szCs w:val="24"/>
        </w:rPr>
        <w:t>The UK parliament (2023) describe a knife crime to be a crime involving an object with a blade or a sharp instrument. Knife crime is a serious issue which is prevalent across the United Kingdom. Alarmingly the amount of knife related crimes recorded in Wales and England has increased. “Knife-enabled crime recorded by the police in the year ending September 2023 increased by 5% (48,716 offences) compared with the year ending September 2022 (46,367 offences).” (Office for National Statistics. 2024). These numbers demonstrate how important early intervention is, making it essential that processes are put in place to reduce offending and reduce the amount of knife related crime.</w:t>
      </w:r>
    </w:p>
    <w:p w14:paraId="1E11A6D1" w14:textId="77777777" w:rsidR="00251A81" w:rsidRPr="00021247" w:rsidRDefault="00251A81" w:rsidP="00251A81">
      <w:pPr>
        <w:spacing w:line="360" w:lineRule="auto"/>
        <w:rPr>
          <w:rFonts w:ascii="Arial" w:hAnsi="Arial" w:cs="Arial"/>
          <w:sz w:val="24"/>
          <w:szCs w:val="24"/>
        </w:rPr>
      </w:pPr>
      <w:r w:rsidRPr="00021247">
        <w:rPr>
          <w:rFonts w:ascii="Arial" w:hAnsi="Arial" w:cs="Arial"/>
          <w:sz w:val="24"/>
          <w:szCs w:val="24"/>
        </w:rPr>
        <w:t xml:space="preserve">One initiative </w:t>
      </w:r>
      <w:r>
        <w:rPr>
          <w:rFonts w:ascii="Arial" w:hAnsi="Arial" w:cs="Arial"/>
          <w:sz w:val="24"/>
          <w:szCs w:val="24"/>
        </w:rPr>
        <w:t xml:space="preserve">that was </w:t>
      </w:r>
      <w:r w:rsidRPr="00021247">
        <w:rPr>
          <w:rFonts w:ascii="Arial" w:hAnsi="Arial" w:cs="Arial"/>
          <w:sz w:val="24"/>
          <w:szCs w:val="24"/>
        </w:rPr>
        <w:t>set up and funded by the ministry of justice with the purpose of reducing youth offending and serious violence</w:t>
      </w:r>
      <w:r>
        <w:rPr>
          <w:rFonts w:ascii="Arial" w:hAnsi="Arial" w:cs="Arial"/>
          <w:sz w:val="24"/>
          <w:szCs w:val="24"/>
        </w:rPr>
        <w:t xml:space="preserve"> </w:t>
      </w:r>
      <w:r w:rsidRPr="00021247">
        <w:rPr>
          <w:rFonts w:ascii="Arial" w:hAnsi="Arial" w:cs="Arial"/>
          <w:sz w:val="24"/>
          <w:szCs w:val="24"/>
        </w:rPr>
        <w:t>is the Street Games Youth Impact Programme. According to Street Games Youth Impact Programme (2023) sport has a role to play in the prevention and early intervention work with children at risk of offending behaviour. The National Youth Agency (2019) explain that this program was accomplished by offering long-term action and ensuring the program’s youth work philosophy was at its core. The youth work approach built trust and shortened the social gap between the coaches and the youths breaking down the barriers. Although the success in measuring a reduction of knife crime and re-offending could not be established, this initiative is a good intervention method to break down barriers between police, partner agencies and local youths. The success of this intervention method to reduce re-offending relies on the voluntary attendance of an offender, meaning that the initiative would not be beneficial if the target demographic does not engage with them.</w:t>
      </w:r>
    </w:p>
    <w:p w14:paraId="263953A1" w14:textId="77777777" w:rsidR="00251A81" w:rsidRPr="00021247" w:rsidRDefault="00251A81" w:rsidP="00251A81">
      <w:pPr>
        <w:spacing w:line="360" w:lineRule="auto"/>
        <w:rPr>
          <w:rFonts w:ascii="Arial" w:hAnsi="Arial" w:cs="Arial"/>
          <w:sz w:val="24"/>
          <w:szCs w:val="24"/>
        </w:rPr>
      </w:pPr>
      <w:r w:rsidRPr="00021247">
        <w:rPr>
          <w:rFonts w:ascii="Arial" w:hAnsi="Arial" w:cs="Arial"/>
          <w:sz w:val="24"/>
          <w:szCs w:val="24"/>
        </w:rPr>
        <w:t>The UK Youth Parliament (2019) express their ideology of getting everyone involved in tackling knife crime from the parliament to the playground, highlighting how it is essential that everyone engages in the conversation surrounding knife crime. One of the aims of this is to prevent youths from carrying knives by establishing platforms for them to engage within the communities they live.</w:t>
      </w:r>
      <w:r>
        <w:rPr>
          <w:rFonts w:ascii="Arial" w:hAnsi="Arial" w:cs="Arial"/>
          <w:sz w:val="24"/>
          <w:szCs w:val="24"/>
        </w:rPr>
        <w:t xml:space="preserve"> Youth clubs and youth centres play a vital role in encouraging young children into their facilities which in turn provides them with a safe space and can keep them off the street and away from gang related violence. Despite these safe havens for youths the YMCA (2019) state that a</w:t>
      </w:r>
      <w:r w:rsidRPr="005920EA">
        <w:rPr>
          <w:rFonts w:ascii="Arial" w:hAnsi="Arial" w:cs="Arial"/>
          <w:sz w:val="24"/>
          <w:szCs w:val="24"/>
        </w:rPr>
        <w:t xml:space="preserve"> third of local authorities have seen a decline of 80% in youth services and almost all have</w:t>
      </w:r>
      <w:r>
        <w:rPr>
          <w:rFonts w:ascii="Arial" w:hAnsi="Arial" w:cs="Arial"/>
          <w:sz w:val="24"/>
          <w:szCs w:val="24"/>
        </w:rPr>
        <w:t xml:space="preserve"> had cuts to their funding meaning they have to scale back on the services provided which play a vital role in the prevention of crime and re-offending.</w:t>
      </w:r>
    </w:p>
    <w:p w14:paraId="004A07B5" w14:textId="77777777" w:rsidR="00251A81" w:rsidRPr="00021247" w:rsidRDefault="00251A81" w:rsidP="00251A81">
      <w:pPr>
        <w:spacing w:line="360" w:lineRule="auto"/>
        <w:rPr>
          <w:rFonts w:ascii="Arial" w:hAnsi="Arial" w:cs="Arial"/>
          <w:sz w:val="24"/>
          <w:szCs w:val="24"/>
        </w:rPr>
      </w:pPr>
      <w:r w:rsidRPr="00021247">
        <w:rPr>
          <w:rFonts w:ascii="Arial" w:hAnsi="Arial" w:cs="Arial"/>
          <w:sz w:val="24"/>
          <w:szCs w:val="24"/>
        </w:rPr>
        <w:t>Another method adopted to tackle knife crime is police interventions. Grimshaw and Ford (2018) explains that some people have linked significant reductions in stop and search since the peak in 2008/2009 to the recent upturn in knife crime. Another initiative set up was to create a knife amnesty giving people the opportunity to hand in and dispose their knives to a safe location without any repercussions. Grimshaw and FORD (2018) claim that this method has little research on the effectiveness of reducing knife crime, however they explain that during a five-week knife amnesty conducted by Metropolitan Police in 2006 found there was a marginal decrease in knife-enabled offences.</w:t>
      </w:r>
    </w:p>
    <w:p w14:paraId="3316516B" w14:textId="77777777" w:rsidR="00251A81" w:rsidRPr="00021247" w:rsidRDefault="00251A81" w:rsidP="00251A81">
      <w:pPr>
        <w:spacing w:line="360" w:lineRule="auto"/>
        <w:rPr>
          <w:rFonts w:ascii="Arial" w:hAnsi="Arial" w:cs="Arial"/>
          <w:sz w:val="24"/>
          <w:szCs w:val="24"/>
        </w:rPr>
      </w:pPr>
      <w:r w:rsidRPr="00021247">
        <w:rPr>
          <w:rFonts w:ascii="Arial" w:hAnsi="Arial" w:cs="Arial"/>
          <w:sz w:val="24"/>
          <w:szCs w:val="24"/>
        </w:rPr>
        <w:t>An out of court disposal such as restorative justice can play a role in the reduction of reoffending instead of imposing a custodial sentence. Livingstone et al. (2013) claim that by providing the offending with an opportunity to make amends for what they have done, along with the victim’s forgiveness it can reduce the likelihood of reoffending. This can provide the offender with accountability for the offence committed and provides the opportunity to understand their actions from the victim’s perspective.</w:t>
      </w:r>
    </w:p>
    <w:p w14:paraId="7A3E4538" w14:textId="77777777" w:rsidR="00251A81" w:rsidRPr="00021247" w:rsidRDefault="00251A81" w:rsidP="00251A81">
      <w:pPr>
        <w:spacing w:line="360" w:lineRule="auto"/>
        <w:rPr>
          <w:rFonts w:ascii="Arial" w:hAnsi="Arial" w:cs="Arial"/>
          <w:sz w:val="24"/>
          <w:szCs w:val="24"/>
        </w:rPr>
      </w:pPr>
      <w:r w:rsidRPr="00021247">
        <w:rPr>
          <w:rFonts w:ascii="Arial" w:hAnsi="Arial" w:cs="Arial"/>
          <w:sz w:val="24"/>
          <w:szCs w:val="24"/>
        </w:rPr>
        <w:t xml:space="preserve">Tougher sentencing guidelines were introduced as a preventative measure to try and decrease the amount of people re-offending in relation to knife crime outlined in Section 28 and Schedule 5 Criminal Justice and Courts Act 2015 amending sections 1 &amp; 2 Prevention of Crime Act 1953 and section 139 Criminal Justice Act 19881. If a 16-17 year old is convicted of a second knife offence then a minimum of a four month detention and training order will be imposed on them, with adults receiving the mandatory six months incarceration as outlined by Youth Justice Legal Centre (n.d). Despite this a study carried out by McNeill and Wheller (2019) in relation to knife crime found that a custodial sentence imposed on 10–18-year-olds significantly increases reoffending compared to non-custodial sanctions such as community supervision with victim reparation. </w:t>
      </w:r>
    </w:p>
    <w:p w14:paraId="41F26B48" w14:textId="77777777" w:rsidR="00251A81" w:rsidRPr="00021247" w:rsidRDefault="00251A81" w:rsidP="00251A81">
      <w:pPr>
        <w:spacing w:line="360" w:lineRule="auto"/>
        <w:rPr>
          <w:rFonts w:ascii="Arial" w:hAnsi="Arial" w:cs="Arial"/>
          <w:sz w:val="24"/>
          <w:szCs w:val="24"/>
        </w:rPr>
      </w:pPr>
      <w:r w:rsidRPr="00021247">
        <w:rPr>
          <w:rFonts w:ascii="Arial" w:hAnsi="Arial" w:cs="Arial"/>
          <w:sz w:val="24"/>
          <w:szCs w:val="24"/>
        </w:rPr>
        <w:t>McNeill and Wheller (2019) conclude</w:t>
      </w:r>
      <w:r>
        <w:rPr>
          <w:rFonts w:ascii="Arial" w:hAnsi="Arial" w:cs="Arial"/>
          <w:sz w:val="24"/>
          <w:szCs w:val="24"/>
        </w:rPr>
        <w:t>d</w:t>
      </w:r>
      <w:r w:rsidRPr="00021247">
        <w:rPr>
          <w:rFonts w:ascii="Arial" w:hAnsi="Arial" w:cs="Arial"/>
          <w:sz w:val="24"/>
          <w:szCs w:val="24"/>
        </w:rPr>
        <w:t xml:space="preserve"> that prevention work with individuals who fall into the at-risk category, as well as law enforcement which is directed at offenders have shown to have a positive impact, with the most successful approaches to reducing violence include well-implemented problem-solving and focused deterrence strategies (FDS).</w:t>
      </w:r>
    </w:p>
    <w:p w14:paraId="0C0A7F67" w14:textId="77777777" w:rsidR="00251A81" w:rsidRPr="00021247" w:rsidRDefault="00251A81" w:rsidP="00251A81">
      <w:pPr>
        <w:spacing w:line="360" w:lineRule="auto"/>
        <w:rPr>
          <w:rFonts w:ascii="Arial" w:hAnsi="Arial" w:cs="Arial"/>
          <w:sz w:val="24"/>
          <w:szCs w:val="24"/>
        </w:rPr>
      </w:pPr>
      <w:r w:rsidRPr="00021247">
        <w:rPr>
          <w:rFonts w:ascii="Arial" w:hAnsi="Arial" w:cs="Arial"/>
          <w:sz w:val="24"/>
          <w:szCs w:val="24"/>
        </w:rPr>
        <w:t>The purpose of focused deterrence strategies is to target prolific or repeat offenders by combining enforcement with improved access to support. A study carried out by College of Policing (2022) found that there was a decrease in crime where the programme was designed to reduce serious violence among gangs and criminally active groups by targeting high risk individuals.</w:t>
      </w:r>
    </w:p>
    <w:p w14:paraId="09C64885" w14:textId="77777777" w:rsidR="00251A81" w:rsidRPr="00021247" w:rsidRDefault="00251A81" w:rsidP="00251A81">
      <w:pPr>
        <w:spacing w:line="360" w:lineRule="auto"/>
        <w:rPr>
          <w:rFonts w:ascii="Arial" w:hAnsi="Arial" w:cs="Arial"/>
          <w:b/>
          <w:bCs/>
          <w:sz w:val="24"/>
          <w:szCs w:val="24"/>
          <w:u w:val="single"/>
        </w:rPr>
      </w:pPr>
      <w:r w:rsidRPr="00021247">
        <w:rPr>
          <w:rFonts w:ascii="Arial" w:hAnsi="Arial" w:cs="Arial"/>
          <w:sz w:val="24"/>
          <w:szCs w:val="24"/>
        </w:rPr>
        <w:t>In conclusion, there are a number of strategies and approaches which offer various benefits which lead to the reduction on re-offending in relation to knife crime. Although stop and search is an effective way of identifying and dealing with individuals who carry knifes, this can be seen as a short-term fix to a long-term issue. With custodial sentences being shown to have little effect of the reduction of re-offending it is clear that early intervention and a targeted approach is key to the reduction of knife related crime by adopting strategies such as FDS’s. Youth offending services also have a massive role to play in the early intervention where a juvenile has committed a knife related offence by liaising with partner agencies such as education and local authorities to divert them away from re-offending. Restorative justice is also another approach which can be beneficial in the reduction of re-offending by making the offender take accountability for their actions and understanding the impact their actions have had on the victim.</w:t>
      </w:r>
    </w:p>
    <w:p w14:paraId="36682338" w14:textId="77777777" w:rsidR="00021247" w:rsidRDefault="00021247">
      <w:pPr>
        <w:rPr>
          <w:b/>
          <w:bCs/>
          <w:u w:val="single"/>
        </w:rPr>
      </w:pPr>
    </w:p>
    <w:p w14:paraId="40EA67A8" w14:textId="24CD7457" w:rsidR="00021247" w:rsidRDefault="00251A81">
      <w:pPr>
        <w:rPr>
          <w:b/>
          <w:bCs/>
          <w:u w:val="single"/>
        </w:rPr>
      </w:pPr>
      <w:r>
        <w:rPr>
          <w:b/>
          <w:bCs/>
          <w:u w:val="single"/>
        </w:rPr>
        <w:t>Word count: 1,068</w:t>
      </w:r>
    </w:p>
    <w:p w14:paraId="7C3786D6" w14:textId="77777777" w:rsidR="00021247" w:rsidRDefault="00021247">
      <w:pPr>
        <w:rPr>
          <w:b/>
          <w:bCs/>
          <w:u w:val="single"/>
        </w:rPr>
      </w:pPr>
    </w:p>
    <w:p w14:paraId="2874917E" w14:textId="77777777" w:rsidR="00021247" w:rsidRDefault="00021247">
      <w:pPr>
        <w:rPr>
          <w:b/>
          <w:bCs/>
          <w:u w:val="single"/>
        </w:rPr>
      </w:pPr>
    </w:p>
    <w:p w14:paraId="66770845" w14:textId="77777777" w:rsidR="00251A81" w:rsidRDefault="00251A81" w:rsidP="002146DA">
      <w:pPr>
        <w:spacing w:line="360" w:lineRule="auto"/>
        <w:rPr>
          <w:b/>
          <w:bCs/>
          <w:u w:val="single"/>
        </w:rPr>
      </w:pPr>
    </w:p>
    <w:p w14:paraId="35D90BBD" w14:textId="77777777" w:rsidR="00251A81" w:rsidRDefault="00251A81" w:rsidP="002146DA">
      <w:pPr>
        <w:spacing w:line="360" w:lineRule="auto"/>
        <w:rPr>
          <w:b/>
          <w:bCs/>
          <w:u w:val="single"/>
        </w:rPr>
      </w:pPr>
    </w:p>
    <w:p w14:paraId="3C236C20" w14:textId="02562445" w:rsidR="00FC63BA" w:rsidRPr="002146DA" w:rsidRDefault="00AE5E07" w:rsidP="00FC63BA">
      <w:pPr>
        <w:spacing w:line="360" w:lineRule="auto"/>
        <w:rPr>
          <w:rFonts w:ascii="Arial" w:hAnsi="Arial" w:cs="Arial"/>
        </w:rPr>
      </w:pPr>
      <w:r w:rsidRPr="002146DA">
        <w:rPr>
          <w:rFonts w:ascii="Arial" w:hAnsi="Arial" w:cs="Arial"/>
          <w:b/>
          <w:bCs/>
          <w:sz w:val="24"/>
          <w:szCs w:val="24"/>
          <w:u w:val="single"/>
        </w:rPr>
        <w:t>Bibliography</w:t>
      </w:r>
      <w:r w:rsidR="00FC63BA">
        <w:rPr>
          <w:rFonts w:ascii="Arial" w:hAnsi="Arial" w:cs="Arial"/>
          <w:b/>
          <w:bCs/>
          <w:sz w:val="24"/>
          <w:szCs w:val="24"/>
          <w:u w:val="single"/>
        </w:rPr>
        <w:t>:</w:t>
      </w:r>
    </w:p>
    <w:p w14:paraId="35F7DEFE" w14:textId="77777777" w:rsidR="00FC63BA" w:rsidRPr="001567B7" w:rsidRDefault="00FC63BA" w:rsidP="001567B7">
      <w:pPr>
        <w:pStyle w:val="NormalWeb"/>
        <w:spacing w:before="0" w:beforeAutospacing="0" w:after="240" w:afterAutospacing="0" w:line="360" w:lineRule="auto"/>
        <w:rPr>
          <w:rFonts w:ascii="Arial" w:hAnsi="Arial" w:cs="Arial"/>
        </w:rPr>
      </w:pPr>
      <w:r w:rsidRPr="001567B7">
        <w:rPr>
          <w:rFonts w:ascii="Arial" w:hAnsi="Arial" w:cs="Arial"/>
        </w:rPr>
        <w:t xml:space="preserve">Barton, H. and Valero-Silva, N. (2013). Policing in partnership: a case study in crime prevention. </w:t>
      </w:r>
      <w:r w:rsidRPr="001567B7">
        <w:rPr>
          <w:rFonts w:ascii="Arial" w:hAnsi="Arial" w:cs="Arial"/>
          <w:i/>
          <w:iCs/>
        </w:rPr>
        <w:t>International Journal of Public Sector Management</w:t>
      </w:r>
      <w:r w:rsidRPr="001567B7">
        <w:rPr>
          <w:rFonts w:ascii="Arial" w:hAnsi="Arial" w:cs="Arial"/>
        </w:rPr>
        <w:t>, 26(7).</w:t>
      </w:r>
    </w:p>
    <w:p w14:paraId="0132882D"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BGM Research (2019). </w:t>
      </w:r>
      <w:r w:rsidRPr="002146DA">
        <w:rPr>
          <w:rFonts w:ascii="Arial" w:hAnsi="Arial" w:cs="Arial"/>
          <w:i/>
          <w:iCs/>
        </w:rPr>
        <w:t>Public Perceptions of Policing in England and Wales 2018</w:t>
      </w:r>
      <w:r w:rsidRPr="002146DA">
        <w:rPr>
          <w:rFonts w:ascii="Arial" w:hAnsi="Arial" w:cs="Arial"/>
        </w:rPr>
        <w:t xml:space="preserve">. </w:t>
      </w:r>
      <w:r w:rsidRPr="002146DA">
        <w:rPr>
          <w:rFonts w:ascii="Arial" w:hAnsi="Arial" w:cs="Arial"/>
          <w:i/>
          <w:iCs/>
        </w:rPr>
        <w:t>hmicfrs.justiceinspectorates.gov.uk</w:t>
      </w:r>
      <w:r w:rsidRPr="002146DA">
        <w:rPr>
          <w:rFonts w:ascii="Arial" w:hAnsi="Arial" w:cs="Arial"/>
        </w:rPr>
        <w:t>. BMG Research.</w:t>
      </w:r>
    </w:p>
    <w:p w14:paraId="0A9EC7EB"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Brigitte C.M. Koch (2019). </w:t>
      </w:r>
      <w:r w:rsidRPr="002146DA">
        <w:rPr>
          <w:rFonts w:ascii="Arial" w:hAnsi="Arial" w:cs="Arial"/>
          <w:i/>
          <w:iCs/>
        </w:rPr>
        <w:t>The Politics of Crime Prevention</w:t>
      </w:r>
      <w:r w:rsidRPr="002146DA">
        <w:rPr>
          <w:rFonts w:ascii="Arial" w:hAnsi="Arial" w:cs="Arial"/>
        </w:rPr>
        <w:t>. Routledge.</w:t>
      </w:r>
    </w:p>
    <w:p w14:paraId="0868443D" w14:textId="77777777" w:rsidR="00FC63BA" w:rsidRDefault="00FC63BA" w:rsidP="00121624">
      <w:pPr>
        <w:pStyle w:val="NormalWeb"/>
        <w:spacing w:before="0" w:beforeAutospacing="0" w:after="240" w:afterAutospacing="0" w:line="360" w:lineRule="auto"/>
        <w:rPr>
          <w:rFonts w:ascii="Arial" w:hAnsi="Arial" w:cs="Arial"/>
        </w:rPr>
      </w:pPr>
      <w:r w:rsidRPr="00121624">
        <w:rPr>
          <w:rFonts w:ascii="Arial" w:hAnsi="Arial" w:cs="Arial"/>
        </w:rPr>
        <w:t xml:space="preserve">Bullock, K., Erol, R. and Tilley, N. (2013). </w:t>
      </w:r>
      <w:r w:rsidRPr="00121624">
        <w:rPr>
          <w:rFonts w:ascii="Arial" w:hAnsi="Arial" w:cs="Arial"/>
          <w:i/>
          <w:iCs/>
        </w:rPr>
        <w:t>Problem-oriented policing and partnerships: implementing an evidence-based approach to crime reduction</w:t>
      </w:r>
      <w:r w:rsidRPr="00121624">
        <w:rPr>
          <w:rFonts w:ascii="Arial" w:hAnsi="Arial" w:cs="Arial"/>
        </w:rPr>
        <w:t>. London: Routledge.</w:t>
      </w:r>
    </w:p>
    <w:p w14:paraId="230E8A2D"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College of Policing (2020). </w:t>
      </w:r>
      <w:r w:rsidRPr="002146DA">
        <w:rPr>
          <w:rFonts w:ascii="Arial" w:hAnsi="Arial" w:cs="Arial"/>
          <w:i/>
          <w:iCs/>
        </w:rPr>
        <w:t>Partnership working</w:t>
      </w:r>
      <w:r w:rsidRPr="002146DA">
        <w:rPr>
          <w:rFonts w:ascii="Arial" w:hAnsi="Arial" w:cs="Arial"/>
        </w:rPr>
        <w:t xml:space="preserve">. [online] College of Policing. Available at: </w:t>
      </w:r>
      <w:hyperlink r:id="rId4" w:history="1">
        <w:r w:rsidRPr="002146DA">
          <w:rPr>
            <w:rStyle w:val="Hyperlink"/>
            <w:rFonts w:ascii="Arial" w:hAnsi="Arial" w:cs="Arial"/>
          </w:rPr>
          <w:t>https://www.college.police.uk/app/major-investigation-and-public-protection/hate-crime/partnership-working</w:t>
        </w:r>
      </w:hyperlink>
      <w:r w:rsidRPr="002146DA">
        <w:rPr>
          <w:rFonts w:ascii="Arial" w:hAnsi="Arial" w:cs="Arial"/>
        </w:rPr>
        <w:t>.</w:t>
      </w:r>
    </w:p>
    <w:p w14:paraId="7FD7B068"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College of Policing (2022). </w:t>
      </w:r>
      <w:r w:rsidRPr="002146DA">
        <w:rPr>
          <w:rFonts w:ascii="Arial" w:hAnsi="Arial" w:cs="Arial"/>
          <w:i/>
          <w:iCs/>
        </w:rPr>
        <w:t>Focused deterrence strategies</w:t>
      </w:r>
      <w:r w:rsidRPr="002146DA">
        <w:rPr>
          <w:rFonts w:ascii="Arial" w:hAnsi="Arial" w:cs="Arial"/>
        </w:rPr>
        <w:t>. Available at: https://www.college.police.uk/research/crime-reduction-toolkit/focused-deterrence-strategies#:~:text=Focused%20deterrence%20strategies%20(FDSs)%20%E2%80%93 [Accessed 26 Apr. 2024].</w:t>
      </w:r>
    </w:p>
    <w:p w14:paraId="109775FD"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College Of Policing (2024). </w:t>
      </w:r>
      <w:r w:rsidRPr="002146DA">
        <w:rPr>
          <w:rFonts w:ascii="Arial" w:hAnsi="Arial" w:cs="Arial"/>
          <w:i/>
          <w:iCs/>
        </w:rPr>
        <w:t>Guidance for ethical and professional behaviour in policing | College of Policing</w:t>
      </w:r>
      <w:r w:rsidRPr="002146DA">
        <w:rPr>
          <w:rFonts w:ascii="Arial" w:hAnsi="Arial" w:cs="Arial"/>
        </w:rPr>
        <w:t>. Available at: https://www.college.police.uk/ethics/code-of-ethics/guidance [Accessed 29 Apr. 2024].</w:t>
      </w:r>
    </w:p>
    <w:p w14:paraId="1D9631DF"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College of policing. (2013). </w:t>
      </w:r>
      <w:r w:rsidRPr="002146DA">
        <w:rPr>
          <w:rFonts w:ascii="Arial" w:hAnsi="Arial" w:cs="Arial"/>
          <w:i/>
          <w:iCs/>
        </w:rPr>
        <w:t>Communication | College of Policing</w:t>
      </w:r>
      <w:r w:rsidRPr="002146DA">
        <w:rPr>
          <w:rFonts w:ascii="Arial" w:hAnsi="Arial" w:cs="Arial"/>
        </w:rPr>
        <w:t>. [online] Available at: https://www.college.police.uk/app/engagement-and-communication/communication#partnership-working [Accessed 29 Nov. 2023].</w:t>
      </w:r>
    </w:p>
    <w:p w14:paraId="2603EC04"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College of Policing. (2023). </w:t>
      </w:r>
      <w:r w:rsidRPr="002146DA">
        <w:rPr>
          <w:rFonts w:ascii="Arial" w:hAnsi="Arial" w:cs="Arial"/>
          <w:i/>
          <w:iCs/>
        </w:rPr>
        <w:t>Latest police barred list released</w:t>
      </w:r>
      <w:r w:rsidRPr="002146DA">
        <w:rPr>
          <w:rFonts w:ascii="Arial" w:hAnsi="Arial" w:cs="Arial"/>
        </w:rPr>
        <w:t>. Available at: https://www.college.police.uk/article/barred-list [Accessed 29 Apr. 2024].</w:t>
      </w:r>
    </w:p>
    <w:p w14:paraId="7F820B2C" w14:textId="77777777" w:rsidR="00FC63BA" w:rsidRDefault="00FC63BA"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College of Policing. “Partnerships | College of Policing.” </w:t>
      </w:r>
      <w:r w:rsidRPr="002146DA">
        <w:rPr>
          <w:rFonts w:ascii="Arial" w:hAnsi="Arial" w:cs="Arial"/>
          <w:i/>
          <w:iCs/>
        </w:rPr>
        <w:t>Www.college.police.uk</w:t>
      </w:r>
      <w:r w:rsidRPr="002146DA">
        <w:rPr>
          <w:rFonts w:ascii="Arial" w:hAnsi="Arial" w:cs="Arial"/>
        </w:rPr>
        <w:t xml:space="preserve">, 4 Sept. 2023, </w:t>
      </w:r>
      <w:hyperlink r:id="rId5" w:history="1">
        <w:r w:rsidRPr="002146DA">
          <w:rPr>
            <w:rStyle w:val="Hyperlink"/>
            <w:rFonts w:ascii="Arial" w:hAnsi="Arial" w:cs="Arial"/>
          </w:rPr>
          <w:t>www.college.police.uk/guidance/effective-implementation-problem-oriented-policing/partnerships</w:t>
        </w:r>
      </w:hyperlink>
      <w:r w:rsidRPr="002146DA">
        <w:rPr>
          <w:rFonts w:ascii="Arial" w:hAnsi="Arial" w:cs="Arial"/>
        </w:rPr>
        <w:t>. [Accessed 8 April. 2024]</w:t>
      </w:r>
    </w:p>
    <w:p w14:paraId="3AF3A041"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Dando, C., Wilcock, R. and Milne, R. (2009). The Cognitive Interview: novice police officers’ witness/victim interviewing practices. </w:t>
      </w:r>
      <w:r w:rsidRPr="002146DA">
        <w:rPr>
          <w:rFonts w:ascii="Arial" w:hAnsi="Arial" w:cs="Arial"/>
          <w:i/>
          <w:iCs/>
        </w:rPr>
        <w:t>Psychology, Crime &amp; Law</w:t>
      </w:r>
      <w:r w:rsidRPr="002146DA">
        <w:rPr>
          <w:rFonts w:ascii="Arial" w:hAnsi="Arial" w:cs="Arial"/>
        </w:rPr>
        <w:t>, 15(8), pp.679–696. doi:https://doi.org/10.1080/10683160802203963.</w:t>
      </w:r>
    </w:p>
    <w:p w14:paraId="2F57AE76" w14:textId="77777777" w:rsidR="00FC63BA" w:rsidRDefault="00FC63BA"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Dando, Coral, et al. “The Cognitive Interview: Inexperienced Police Officers’ Perceptions of Their Witness/Victim Interviewing Practices.” </w:t>
      </w:r>
      <w:r w:rsidRPr="002146DA">
        <w:rPr>
          <w:rFonts w:ascii="Arial" w:hAnsi="Arial" w:cs="Arial"/>
          <w:i/>
          <w:iCs/>
        </w:rPr>
        <w:t>Legal and Criminological Psychology</w:t>
      </w:r>
      <w:r w:rsidRPr="002146DA">
        <w:rPr>
          <w:rFonts w:ascii="Arial" w:hAnsi="Arial" w:cs="Arial"/>
        </w:rPr>
        <w:t xml:space="preserve">, vol. 13, no. 1, 2006, pp. 59–70, </w:t>
      </w:r>
      <w:hyperlink r:id="rId6" w:history="1">
        <w:r w:rsidRPr="002146DA">
          <w:rPr>
            <w:rStyle w:val="Hyperlink"/>
            <w:rFonts w:ascii="Arial" w:hAnsi="Arial" w:cs="Arial"/>
          </w:rPr>
          <w:t>https://doi.org/10.1348/135532506x162498</w:t>
        </w:r>
      </w:hyperlink>
      <w:r w:rsidRPr="002146DA">
        <w:rPr>
          <w:rFonts w:ascii="Arial" w:hAnsi="Arial" w:cs="Arial"/>
        </w:rPr>
        <w:t>.</w:t>
      </w:r>
    </w:p>
    <w:p w14:paraId="51CCBE55" w14:textId="77777777" w:rsidR="00FC63BA" w:rsidRPr="007A183E" w:rsidRDefault="00FC63BA" w:rsidP="007A183E">
      <w:pPr>
        <w:pStyle w:val="NormalWeb"/>
        <w:spacing w:before="0" w:beforeAutospacing="0" w:after="240" w:afterAutospacing="0" w:line="360" w:lineRule="auto"/>
        <w:rPr>
          <w:rFonts w:ascii="Arial" w:hAnsi="Arial" w:cs="Arial"/>
        </w:rPr>
      </w:pPr>
      <w:r w:rsidRPr="007A183E">
        <w:rPr>
          <w:rFonts w:ascii="Arial" w:hAnsi="Arial" w:cs="Arial"/>
        </w:rPr>
        <w:t xml:space="preserve">Eccy de Jonge (2020). </w:t>
      </w:r>
      <w:r w:rsidRPr="007A183E">
        <w:rPr>
          <w:rFonts w:ascii="Arial" w:hAnsi="Arial" w:cs="Arial"/>
          <w:i/>
          <w:iCs/>
        </w:rPr>
        <w:t>Policing and Public Trust</w:t>
      </w:r>
      <w:r w:rsidRPr="007A183E">
        <w:rPr>
          <w:rFonts w:ascii="Arial" w:hAnsi="Arial" w:cs="Arial"/>
        </w:rPr>
        <w:t>. Rowman &amp; Littlefield Publishers.</w:t>
      </w:r>
    </w:p>
    <w:p w14:paraId="36AE9813" w14:textId="77777777" w:rsidR="00FC63BA" w:rsidRDefault="00FC63BA"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Edward Geiselman, R., and Ronald P. Fisher. “The Cognitive Interview: An Innovative Technique for Questioning Witnesses of Crime.” </w:t>
      </w:r>
      <w:r w:rsidRPr="002146DA">
        <w:rPr>
          <w:rFonts w:ascii="Arial" w:hAnsi="Arial" w:cs="Arial"/>
          <w:i/>
          <w:iCs/>
        </w:rPr>
        <w:t>Journal of Police and Criminal Psychology</w:t>
      </w:r>
      <w:r w:rsidRPr="002146DA">
        <w:rPr>
          <w:rFonts w:ascii="Arial" w:hAnsi="Arial" w:cs="Arial"/>
        </w:rPr>
        <w:t>, vol. 4, no. 2, Oct. 1988, p. 2.</w:t>
      </w:r>
    </w:p>
    <w:p w14:paraId="630CD888" w14:textId="77777777" w:rsidR="00FC63BA" w:rsidRDefault="00FC63BA"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Fisher, Ronald P. “Interviewing Victims and Witnesses of Crime.” </w:t>
      </w:r>
      <w:r w:rsidRPr="002146DA">
        <w:rPr>
          <w:rFonts w:ascii="Arial" w:hAnsi="Arial" w:cs="Arial"/>
          <w:i/>
          <w:iCs/>
        </w:rPr>
        <w:t>National Institute of Justice: Research in Brief</w:t>
      </w:r>
      <w:r w:rsidRPr="002146DA">
        <w:rPr>
          <w:rFonts w:ascii="Arial" w:hAnsi="Arial" w:cs="Arial"/>
        </w:rPr>
        <w:t>, 1985, p. 2.</w:t>
      </w:r>
    </w:p>
    <w:p w14:paraId="7EDBCC1E" w14:textId="77777777" w:rsidR="00FC63BA" w:rsidRDefault="00FC63BA"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Fisher, Ronald P., and R. Edward Geiselman. “The Cognitive Interview Method of Conducting Police Interviews: Eliciting Extensive Information and Promoting Therapeutic Jurisprudence.” </w:t>
      </w:r>
      <w:r w:rsidRPr="002146DA">
        <w:rPr>
          <w:rFonts w:ascii="Arial" w:hAnsi="Arial" w:cs="Arial"/>
          <w:i/>
          <w:iCs/>
        </w:rPr>
        <w:t>International Journal of Law and Psychiatry</w:t>
      </w:r>
      <w:r w:rsidRPr="002146DA">
        <w:rPr>
          <w:rFonts w:ascii="Arial" w:hAnsi="Arial" w:cs="Arial"/>
        </w:rPr>
        <w:t xml:space="preserve">, vol. 33, no. 5-6, Nov. 2010, pp. 321–328, </w:t>
      </w:r>
      <w:hyperlink r:id="rId7" w:history="1">
        <w:r w:rsidRPr="00662F4D">
          <w:rPr>
            <w:rStyle w:val="Hyperlink"/>
            <w:rFonts w:ascii="Arial" w:hAnsi="Arial" w:cs="Arial"/>
          </w:rPr>
          <w:t>https://doi.org/10.1016/j.ijlp.2010.09.004</w:t>
        </w:r>
      </w:hyperlink>
      <w:r w:rsidRPr="002146DA">
        <w:rPr>
          <w:rFonts w:ascii="Arial" w:hAnsi="Arial" w:cs="Arial"/>
        </w:rPr>
        <w:t>.</w:t>
      </w:r>
    </w:p>
    <w:p w14:paraId="51329E9F" w14:textId="77777777" w:rsidR="00FC63BA" w:rsidRDefault="00FC63BA"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Fisher, Ronald P., et al. “Field Test of the Cognitive Interview: Enhancing the Recollection of Actual Victims and Witnesses of Crime.” </w:t>
      </w:r>
      <w:r w:rsidRPr="002146DA">
        <w:rPr>
          <w:rFonts w:ascii="Arial" w:hAnsi="Arial" w:cs="Arial"/>
          <w:i/>
          <w:iCs/>
        </w:rPr>
        <w:t>Journal of Applied Psychology</w:t>
      </w:r>
      <w:r w:rsidRPr="002146DA">
        <w:rPr>
          <w:rFonts w:ascii="Arial" w:hAnsi="Arial" w:cs="Arial"/>
        </w:rPr>
        <w:t xml:space="preserve">, vol. 74, no. 5, 1989, pp. 722–727, </w:t>
      </w:r>
      <w:hyperlink r:id="rId8" w:history="1">
        <w:r w:rsidRPr="002146DA">
          <w:rPr>
            <w:rStyle w:val="Hyperlink"/>
            <w:rFonts w:ascii="Arial" w:hAnsi="Arial" w:cs="Arial"/>
          </w:rPr>
          <w:t>https://doi.org/10.1037/0021-9010.74.5.722</w:t>
        </w:r>
      </w:hyperlink>
      <w:r w:rsidRPr="002146DA">
        <w:rPr>
          <w:rFonts w:ascii="Arial" w:hAnsi="Arial" w:cs="Arial"/>
        </w:rPr>
        <w:t>.</w:t>
      </w:r>
    </w:p>
    <w:p w14:paraId="1DFC2031" w14:textId="77777777" w:rsidR="00FC63BA" w:rsidRDefault="00FC63BA"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Fisher, Ronald, et al. </w:t>
      </w:r>
      <w:r w:rsidRPr="002146DA">
        <w:rPr>
          <w:rFonts w:ascii="Arial" w:hAnsi="Arial" w:cs="Arial"/>
          <w:i/>
          <w:iCs/>
        </w:rPr>
        <w:t>Forensic Psychology in Context: Interviewing Witnesses and Victims</w:t>
      </w:r>
      <w:r w:rsidRPr="002146DA">
        <w:rPr>
          <w:rFonts w:ascii="Arial" w:hAnsi="Arial" w:cs="Arial"/>
        </w:rPr>
        <w:t>. Edited by P.A Granhag, 1st ed., 2010.</w:t>
      </w:r>
    </w:p>
    <w:p w14:paraId="6C6BB6E3" w14:textId="77777777" w:rsidR="00FC63BA" w:rsidRPr="00FC63BA" w:rsidRDefault="00FC63BA" w:rsidP="002146DA">
      <w:pPr>
        <w:spacing w:line="360" w:lineRule="auto"/>
        <w:rPr>
          <w:rFonts w:ascii="Arial" w:hAnsi="Arial" w:cs="Arial"/>
          <w:sz w:val="24"/>
          <w:szCs w:val="24"/>
        </w:rPr>
      </w:pPr>
      <w:r w:rsidRPr="00FC63BA">
        <w:rPr>
          <w:rFonts w:ascii="Arial" w:hAnsi="Arial" w:cs="Arial"/>
          <w:sz w:val="24"/>
          <w:szCs w:val="24"/>
        </w:rPr>
        <w:t>Frater, Alison, and Lorraine Gamman. Beyond Knife Crime: Towards a Design-Led Approach to Reducing Youth Violence. 2020.</w:t>
      </w:r>
    </w:p>
    <w:p w14:paraId="7B54206A"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Grimshaw, R. and Ford, M. (2018). </w:t>
      </w:r>
      <w:r w:rsidRPr="002146DA">
        <w:rPr>
          <w:rFonts w:ascii="Arial" w:hAnsi="Arial" w:cs="Arial"/>
          <w:i/>
          <w:iCs/>
        </w:rPr>
        <w:t>Young people, violence and knives - revisiting the evidence and policy discussions</w:t>
      </w:r>
      <w:r w:rsidRPr="002146DA">
        <w:rPr>
          <w:rFonts w:ascii="Arial" w:hAnsi="Arial" w:cs="Arial"/>
        </w:rPr>
        <w:t xml:space="preserve">. </w:t>
      </w:r>
      <w:hyperlink r:id="rId9" w:history="1">
        <w:r w:rsidRPr="002146DA">
          <w:rPr>
            <w:rStyle w:val="Hyperlink"/>
            <w:rFonts w:ascii="Arial" w:hAnsi="Arial" w:cs="Arial"/>
          </w:rPr>
          <w:t>https://www.crimeandjustice.org.uk/sites/crimeandjustice.org.uk/files/Knife%20crime.%20November.pdf</w:t>
        </w:r>
      </w:hyperlink>
      <w:r w:rsidRPr="002146DA">
        <w:rPr>
          <w:rFonts w:ascii="Arial" w:hAnsi="Arial" w:cs="Arial"/>
        </w:rPr>
        <w:t>. (Accessed 26/04/24)</w:t>
      </w:r>
    </w:p>
    <w:p w14:paraId="656C8FBF"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Hall, N. (2019). </w:t>
      </w:r>
      <w:r w:rsidRPr="002146DA">
        <w:rPr>
          <w:rFonts w:ascii="Arial" w:hAnsi="Arial" w:cs="Arial"/>
          <w:i/>
          <w:iCs/>
        </w:rPr>
        <w:t>British Youth Council | UK Youth Parliament Campaigns | Action Against Knife Crime</w:t>
      </w:r>
      <w:r w:rsidRPr="002146DA">
        <w:rPr>
          <w:rFonts w:ascii="Arial" w:hAnsi="Arial" w:cs="Arial"/>
        </w:rPr>
        <w:t xml:space="preserve">. Available at: </w:t>
      </w:r>
      <w:hyperlink r:id="rId10" w:history="1">
        <w:r w:rsidRPr="002146DA">
          <w:rPr>
            <w:rStyle w:val="Hyperlink"/>
            <w:rFonts w:ascii="Arial" w:hAnsi="Arial" w:cs="Arial"/>
          </w:rPr>
          <w:t>https://www.byc.org.uk/uk-youth-parliament/uk-youth-parliament-campaigns/2019/action-against-knife-crime</w:t>
        </w:r>
      </w:hyperlink>
      <w:r w:rsidRPr="002146DA">
        <w:rPr>
          <w:rFonts w:ascii="Arial" w:hAnsi="Arial" w:cs="Arial"/>
        </w:rPr>
        <w:t>. [Accessed 26/04/24]</w:t>
      </w:r>
    </w:p>
    <w:p w14:paraId="10D37B5D"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Harfield, Clive (2014). Blackstone’s Police Operational Handbook : Practice and Procedure. Oxford, Oxford University Press.</w:t>
      </w:r>
    </w:p>
    <w:p w14:paraId="1C30649F" w14:textId="77777777" w:rsidR="00FC63BA" w:rsidRDefault="00FC63BA"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Hargie, Owen. </w:t>
      </w:r>
      <w:r w:rsidRPr="002146DA">
        <w:rPr>
          <w:rFonts w:ascii="Arial" w:hAnsi="Arial" w:cs="Arial"/>
          <w:i/>
          <w:iCs/>
        </w:rPr>
        <w:t>The Handbook of Communication Skills</w:t>
      </w:r>
      <w:r w:rsidRPr="002146DA">
        <w:rPr>
          <w:rFonts w:ascii="Arial" w:hAnsi="Arial" w:cs="Arial"/>
        </w:rPr>
        <w:t>. 4th ed., Abingdon, Oxon ; New York, Ny, Routledge, 2018.</w:t>
      </w:r>
    </w:p>
    <w:p w14:paraId="0790E655" w14:textId="77777777" w:rsidR="00FC63BA" w:rsidRPr="00E92197" w:rsidRDefault="00FC63BA" w:rsidP="00E92197">
      <w:pPr>
        <w:pStyle w:val="NormalWeb"/>
        <w:spacing w:before="0" w:beforeAutospacing="0" w:after="240" w:afterAutospacing="0" w:line="360" w:lineRule="auto"/>
        <w:rPr>
          <w:rFonts w:ascii="Arial" w:hAnsi="Arial" w:cs="Arial"/>
        </w:rPr>
      </w:pPr>
      <w:r w:rsidRPr="00E92197">
        <w:rPr>
          <w:rFonts w:ascii="Arial" w:hAnsi="Arial" w:cs="Arial"/>
        </w:rPr>
        <w:t xml:space="preserve">Home affairs committee (2022). </w:t>
      </w:r>
      <w:r w:rsidRPr="00E92197">
        <w:rPr>
          <w:rFonts w:ascii="Arial" w:hAnsi="Arial" w:cs="Arial"/>
          <w:i/>
          <w:iCs/>
        </w:rPr>
        <w:t>Police Conduct and Complaints - Report Summary</w:t>
      </w:r>
      <w:r w:rsidRPr="00E92197">
        <w:rPr>
          <w:rFonts w:ascii="Arial" w:hAnsi="Arial" w:cs="Arial"/>
        </w:rPr>
        <w:t>.</w:t>
      </w:r>
      <w:r>
        <w:rPr>
          <w:rFonts w:ascii="Arial" w:hAnsi="Arial" w:cs="Arial"/>
        </w:rPr>
        <w:t xml:space="preserve"> </w:t>
      </w:r>
      <w:r w:rsidRPr="00E92197">
        <w:rPr>
          <w:rFonts w:ascii="Arial" w:hAnsi="Arial" w:cs="Arial"/>
        </w:rPr>
        <w:t>www.committees.parliment.uk. Available at: https://publications.parliament.uk/pa/cm5802/cmselect/cmhaff/140/summary.html [Accessed 25 May 2024].</w:t>
      </w:r>
    </w:p>
    <w:p w14:paraId="5CE0F1B1"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Home Office (2012). </w:t>
      </w:r>
      <w:r w:rsidRPr="002146DA">
        <w:rPr>
          <w:rFonts w:ascii="Arial" w:hAnsi="Arial" w:cs="Arial"/>
          <w:i/>
          <w:iCs/>
        </w:rPr>
        <w:t>Definition of Policing by Consent</w:t>
      </w:r>
      <w:r w:rsidRPr="002146DA">
        <w:rPr>
          <w:rFonts w:ascii="Arial" w:hAnsi="Arial" w:cs="Arial"/>
        </w:rPr>
        <w:t xml:space="preserve">. Available at: </w:t>
      </w:r>
      <w:hyperlink r:id="rId11" w:history="1">
        <w:r w:rsidRPr="002146DA">
          <w:rPr>
            <w:rStyle w:val="Hyperlink"/>
            <w:rFonts w:ascii="Arial" w:hAnsi="Arial" w:cs="Arial"/>
          </w:rPr>
          <w:t>https://www.gov.uk/government/publications/policing-by-consent/definition-of-policing-by-consent</w:t>
        </w:r>
      </w:hyperlink>
      <w:r w:rsidRPr="002146DA">
        <w:rPr>
          <w:rFonts w:ascii="Arial" w:hAnsi="Arial" w:cs="Arial"/>
        </w:rPr>
        <w:t>.</w:t>
      </w:r>
    </w:p>
    <w:p w14:paraId="3CA4F096" w14:textId="77777777" w:rsidR="00FC63BA" w:rsidRDefault="00FC63BA"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Home Office. </w:t>
      </w:r>
      <w:r w:rsidRPr="002146DA">
        <w:rPr>
          <w:rFonts w:ascii="Arial" w:hAnsi="Arial" w:cs="Arial"/>
          <w:i/>
          <w:iCs/>
        </w:rPr>
        <w:t>Building Communities, Beating Crime : A Better Police Service for the 21st Century.</w:t>
      </w:r>
      <w:r w:rsidRPr="002146DA">
        <w:rPr>
          <w:rFonts w:ascii="Arial" w:hAnsi="Arial" w:cs="Arial"/>
        </w:rPr>
        <w:t xml:space="preserve"> 2004.</w:t>
      </w:r>
    </w:p>
    <w:p w14:paraId="1EAE89CE"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IOPC (2020). </w:t>
      </w:r>
      <w:r w:rsidRPr="002146DA">
        <w:rPr>
          <w:rFonts w:ascii="Arial" w:hAnsi="Arial" w:cs="Arial"/>
          <w:i/>
          <w:iCs/>
        </w:rPr>
        <w:t>Independent Office for Police Conduct</w:t>
      </w:r>
      <w:r w:rsidRPr="002146DA">
        <w:rPr>
          <w:rFonts w:ascii="Arial" w:hAnsi="Arial" w:cs="Arial"/>
        </w:rPr>
        <w:t>. Available at: https://www.policeconduct.gov.uk/ [Accessed 29 Apr. 2024].</w:t>
      </w:r>
    </w:p>
    <w:p w14:paraId="28E9591D"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Livingstone, N. and Carr, N. (2013). </w:t>
      </w:r>
      <w:r w:rsidRPr="002146DA">
        <w:rPr>
          <w:rFonts w:ascii="Arial" w:hAnsi="Arial" w:cs="Arial"/>
          <w:i/>
          <w:iCs/>
        </w:rPr>
        <w:t>Restorative justice conferencing for reducing recidivism in young offenders (aged 7 to 21) (Review)</w:t>
      </w:r>
      <w:r w:rsidRPr="002146DA">
        <w:rPr>
          <w:rFonts w:ascii="Arial" w:hAnsi="Arial" w:cs="Arial"/>
        </w:rPr>
        <w:t xml:space="preserve">. </w:t>
      </w:r>
      <w:r w:rsidRPr="002146DA">
        <w:rPr>
          <w:rFonts w:ascii="Arial" w:hAnsi="Arial" w:cs="Arial"/>
          <w:i/>
          <w:iCs/>
        </w:rPr>
        <w:t>Cochrane Database of Systematic Reviews 2013</w:t>
      </w:r>
      <w:r w:rsidRPr="002146DA">
        <w:rPr>
          <w:rFonts w:ascii="Arial" w:hAnsi="Arial" w:cs="Arial"/>
        </w:rPr>
        <w:t>,.</w:t>
      </w:r>
    </w:p>
    <w:p w14:paraId="1B0C66A2"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Mcleod, S. (2021). </w:t>
      </w:r>
      <w:r w:rsidRPr="002146DA">
        <w:rPr>
          <w:rFonts w:ascii="Arial" w:hAnsi="Arial" w:cs="Arial"/>
          <w:i/>
          <w:iCs/>
        </w:rPr>
        <w:t>Cognitive Interview Technique | Simply Psychology</w:t>
      </w:r>
      <w:r w:rsidRPr="002146DA">
        <w:rPr>
          <w:rFonts w:ascii="Arial" w:hAnsi="Arial" w:cs="Arial"/>
        </w:rPr>
        <w:t xml:space="preserve">. [online] Simplypsychology.org. Available at: </w:t>
      </w:r>
      <w:hyperlink r:id="rId12" w:history="1">
        <w:r w:rsidRPr="002146DA">
          <w:rPr>
            <w:rStyle w:val="Hyperlink"/>
            <w:rFonts w:ascii="Arial" w:hAnsi="Arial" w:cs="Arial"/>
          </w:rPr>
          <w:t>https://www.simplypsychology.org/cognitive-interview.html</w:t>
        </w:r>
      </w:hyperlink>
      <w:r w:rsidRPr="002146DA">
        <w:rPr>
          <w:rFonts w:ascii="Arial" w:hAnsi="Arial" w:cs="Arial"/>
        </w:rPr>
        <w:t>.</w:t>
      </w:r>
    </w:p>
    <w:p w14:paraId="45CA1810" w14:textId="77777777" w:rsidR="00FC63BA" w:rsidRDefault="00FC63BA" w:rsidP="002146DA">
      <w:pPr>
        <w:pStyle w:val="NormalWeb"/>
        <w:spacing w:before="0" w:beforeAutospacing="0" w:after="240" w:afterAutospacing="0" w:line="360" w:lineRule="auto"/>
        <w:rPr>
          <w:rFonts w:ascii="Arial" w:hAnsi="Arial" w:cs="Arial"/>
        </w:rPr>
      </w:pPr>
      <w:r w:rsidRPr="008E439B">
        <w:rPr>
          <w:rFonts w:ascii="Arial" w:hAnsi="Arial" w:cs="Arial"/>
        </w:rPr>
        <w:t xml:space="preserve">Mcleod, Saul. “Cognitive Interview Technique | Simply Psychology.” Simplypsychology.org, 15 June 2023, </w:t>
      </w:r>
      <w:hyperlink r:id="rId13" w:history="1">
        <w:r w:rsidRPr="00BE6B11">
          <w:rPr>
            <w:rStyle w:val="Hyperlink"/>
            <w:rFonts w:ascii="Arial" w:hAnsi="Arial" w:cs="Arial"/>
          </w:rPr>
          <w:t>www.simplypsychology.org/cognitive-interview.html</w:t>
        </w:r>
      </w:hyperlink>
      <w:r w:rsidRPr="008E439B">
        <w:rPr>
          <w:rFonts w:ascii="Arial" w:hAnsi="Arial" w:cs="Arial"/>
        </w:rPr>
        <w:t>.</w:t>
      </w:r>
      <w:r>
        <w:rPr>
          <w:rFonts w:ascii="Arial" w:hAnsi="Arial" w:cs="Arial"/>
        </w:rPr>
        <w:t xml:space="preserve"> Accessed 26 May 2024.</w:t>
      </w:r>
    </w:p>
    <w:p w14:paraId="7509F507"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Mcneill, A. and Mclean, F. (2019). </w:t>
      </w:r>
      <w:r w:rsidRPr="002146DA">
        <w:rPr>
          <w:rFonts w:ascii="Arial" w:hAnsi="Arial" w:cs="Arial"/>
          <w:i/>
          <w:iCs/>
        </w:rPr>
        <w:t>Obtaining initial accounts from victims and witnesses A Rapid Evidence Assessment to support the development of College guidelines on obtaining initial accounts from victims and witnesses Version 1.0 Will Finn</w:t>
      </w:r>
      <w:r w:rsidRPr="002146DA">
        <w:rPr>
          <w:rFonts w:ascii="Arial" w:hAnsi="Arial" w:cs="Arial"/>
        </w:rPr>
        <w:t xml:space="preserve">. Available at: </w:t>
      </w:r>
      <w:hyperlink r:id="rId14" w:history="1">
        <w:r w:rsidRPr="002146DA">
          <w:rPr>
            <w:rStyle w:val="Hyperlink"/>
            <w:rFonts w:ascii="Arial" w:hAnsi="Arial" w:cs="Arial"/>
          </w:rPr>
          <w:t>https://assets.college.police.uk/s3fs-public/2020-11/Initial_Accounts_REA.pdf</w:t>
        </w:r>
      </w:hyperlink>
      <w:r w:rsidRPr="002146DA">
        <w:rPr>
          <w:rFonts w:ascii="Arial" w:hAnsi="Arial" w:cs="Arial"/>
        </w:rPr>
        <w:t>.</w:t>
      </w:r>
    </w:p>
    <w:p w14:paraId="1A09F7DE"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McNeill, A. and Wheller, L. (2019). </w:t>
      </w:r>
      <w:r w:rsidRPr="002146DA">
        <w:rPr>
          <w:rFonts w:ascii="Arial" w:hAnsi="Arial" w:cs="Arial"/>
          <w:i/>
          <w:iCs/>
        </w:rPr>
        <w:t>Interventions to reduce knife crime</w:t>
      </w:r>
      <w:r w:rsidRPr="002146DA">
        <w:rPr>
          <w:rFonts w:ascii="Arial" w:hAnsi="Arial" w:cs="Arial"/>
        </w:rPr>
        <w:t>. College of Policing. Available at: https://www.college.police.uk/guidance/knife-crime-evidence-briefing/interventions-reduce-knife-crime [Accessed 26 Apr. 2024].</w:t>
      </w:r>
    </w:p>
    <w:p w14:paraId="0B76CFE6"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National Police Chief’s Council. (2016). </w:t>
      </w:r>
      <w:r w:rsidRPr="002146DA">
        <w:rPr>
          <w:rFonts w:ascii="Arial" w:hAnsi="Arial" w:cs="Arial"/>
          <w:i/>
          <w:iCs/>
        </w:rPr>
        <w:t>Policing Vision 2030</w:t>
      </w:r>
      <w:r w:rsidRPr="002146DA">
        <w:rPr>
          <w:rFonts w:ascii="Arial" w:hAnsi="Arial" w:cs="Arial"/>
        </w:rPr>
        <w:t>. Available at: https://www.npcc.police.uk/publications/policing-vision-2030/ [Accessed 29 Apr. 2024].</w:t>
      </w:r>
    </w:p>
    <w:p w14:paraId="681272A2"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Office for National Statistics (2024). </w:t>
      </w:r>
      <w:r w:rsidRPr="002146DA">
        <w:rPr>
          <w:rFonts w:ascii="Arial" w:hAnsi="Arial" w:cs="Arial"/>
          <w:i/>
          <w:iCs/>
        </w:rPr>
        <w:t>Crime in England and Wales - Office for National Statistics</w:t>
      </w:r>
      <w:r w:rsidRPr="002146DA">
        <w:rPr>
          <w:rFonts w:ascii="Arial" w:hAnsi="Arial" w:cs="Arial"/>
        </w:rPr>
        <w:t xml:space="preserve">. Available at: </w:t>
      </w:r>
      <w:hyperlink r:id="rId15" w:anchor=":~:text=Knife%2Denabled%20crime%20recorded%20by" w:history="1">
        <w:r w:rsidRPr="002146DA">
          <w:rPr>
            <w:rStyle w:val="Hyperlink"/>
            <w:rFonts w:ascii="Arial" w:hAnsi="Arial" w:cs="Arial"/>
          </w:rPr>
          <w:t>https://www.ons.gov.uk/peoplepopulationandcommunity/crimeandjustice/bulletins/crimeinenglandandwales/yearendingseptember2023#:~:text=Knife%2Denabled%20crime%20recorded%20by</w:t>
        </w:r>
      </w:hyperlink>
      <w:r w:rsidRPr="002146DA">
        <w:rPr>
          <w:rFonts w:ascii="Arial" w:hAnsi="Arial" w:cs="Arial"/>
        </w:rPr>
        <w:t>. [Accessed 26/04/24]</w:t>
      </w:r>
    </w:p>
    <w:p w14:paraId="26C4A704" w14:textId="77777777" w:rsidR="00FC63BA" w:rsidRPr="00580061" w:rsidRDefault="00FC63BA" w:rsidP="00580061">
      <w:pPr>
        <w:pStyle w:val="NormalWeb"/>
        <w:spacing w:before="0" w:beforeAutospacing="0" w:after="240" w:afterAutospacing="0" w:line="360" w:lineRule="auto"/>
        <w:rPr>
          <w:rFonts w:ascii="Arial" w:hAnsi="Arial" w:cs="Arial"/>
        </w:rPr>
      </w:pPr>
      <w:r w:rsidRPr="00580061">
        <w:rPr>
          <w:rFonts w:ascii="Arial" w:hAnsi="Arial" w:cs="Arial"/>
        </w:rPr>
        <w:t xml:space="preserve">Sheldon, B. and Williams, P. (2022). </w:t>
      </w:r>
      <w:r w:rsidRPr="00580061">
        <w:rPr>
          <w:rFonts w:ascii="Arial" w:hAnsi="Arial" w:cs="Arial"/>
          <w:i/>
          <w:iCs/>
        </w:rPr>
        <w:t>Understanding policing and professional practice</w:t>
      </w:r>
      <w:r w:rsidRPr="00580061">
        <w:rPr>
          <w:rFonts w:ascii="Arial" w:hAnsi="Arial" w:cs="Arial"/>
        </w:rPr>
        <w:t>. Critical Publishing.</w:t>
      </w:r>
    </w:p>
    <w:p w14:paraId="61480916"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Skogan, W.G. and Frydl, K. (2004). </w:t>
      </w:r>
      <w:r w:rsidRPr="002146DA">
        <w:rPr>
          <w:rFonts w:ascii="Arial" w:hAnsi="Arial" w:cs="Arial"/>
          <w:i/>
          <w:iCs/>
        </w:rPr>
        <w:t>Fairness and effectiveness in policing the evidence</w:t>
      </w:r>
      <w:r w:rsidRPr="002146DA">
        <w:rPr>
          <w:rFonts w:ascii="Arial" w:hAnsi="Arial" w:cs="Arial"/>
        </w:rPr>
        <w:t>. Washington, Dc National Academies Press.</w:t>
      </w:r>
    </w:p>
    <w:p w14:paraId="23917985" w14:textId="77777777" w:rsidR="00FC63BA" w:rsidRDefault="00FC63BA"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States., United. </w:t>
      </w:r>
      <w:r w:rsidRPr="002146DA">
        <w:rPr>
          <w:rFonts w:ascii="Arial" w:hAnsi="Arial" w:cs="Arial"/>
          <w:i/>
          <w:iCs/>
        </w:rPr>
        <w:t>Principles of Good Policing : Avoiding Violence between Police and Citizens.</w:t>
      </w:r>
      <w:r w:rsidRPr="002146DA">
        <w:rPr>
          <w:rFonts w:ascii="Arial" w:hAnsi="Arial" w:cs="Arial"/>
        </w:rPr>
        <w:t xml:space="preserve"> Washington, D.C., U.S. Department Of Justice, Community Relations Service, 2003.</w:t>
      </w:r>
    </w:p>
    <w:p w14:paraId="1EEFA5B5"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Stevens, P. and Yach, D.M. (1995). </w:t>
      </w:r>
      <w:r w:rsidRPr="002146DA">
        <w:rPr>
          <w:rFonts w:ascii="Arial" w:hAnsi="Arial" w:cs="Arial"/>
          <w:i/>
          <w:iCs/>
        </w:rPr>
        <w:t>Community policing in action : a practitioner’s guide</w:t>
      </w:r>
      <w:r w:rsidRPr="002146DA">
        <w:rPr>
          <w:rFonts w:ascii="Arial" w:hAnsi="Arial" w:cs="Arial"/>
        </w:rPr>
        <w:t>. Kenwyn: Juta &amp; Co.</w:t>
      </w:r>
    </w:p>
    <w:p w14:paraId="6AB4C1AE"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UK parliament, H. of C.L. (2023). </w:t>
      </w:r>
      <w:r w:rsidRPr="002146DA">
        <w:rPr>
          <w:rFonts w:ascii="Arial" w:hAnsi="Arial" w:cs="Arial"/>
          <w:i/>
          <w:iCs/>
        </w:rPr>
        <w:t>Knife Crime statistics England and Wales</w:t>
      </w:r>
      <w:r w:rsidRPr="002146DA">
        <w:rPr>
          <w:rFonts w:ascii="Arial" w:hAnsi="Arial" w:cs="Arial"/>
        </w:rPr>
        <w:t>. Available at: https://commonslibrary.parliament.uk/research-briefings/sn04304/#:~:text=Knife%20crime%20is%20a%20crime,a%20blade%20or%20sharp%20instrument. [Accessed 19 Apr. 2024].</w:t>
      </w:r>
    </w:p>
    <w:p w14:paraId="33772181" w14:textId="77777777" w:rsidR="00FC63BA" w:rsidRDefault="00FC63BA" w:rsidP="002146DA">
      <w:pPr>
        <w:pStyle w:val="NormalWeb"/>
        <w:spacing w:before="0" w:beforeAutospacing="0" w:after="240" w:afterAutospacing="0" w:line="360" w:lineRule="auto"/>
        <w:rPr>
          <w:rFonts w:ascii="Arial" w:hAnsi="Arial" w:cs="Arial"/>
        </w:rPr>
      </w:pPr>
      <w:r w:rsidRPr="00174ADC">
        <w:rPr>
          <w:rFonts w:ascii="Arial" w:hAnsi="Arial" w:cs="Arial"/>
        </w:rPr>
        <w:t>Wright, Allison. Use of the Enhanced Cognitive Interview and a Modified Cognitive Interview to Improve the Eyewitness Recall of Older Adults. 2004, kar.kent.ac.uk/86295/. Accessed 26 May 2024.</w:t>
      </w:r>
    </w:p>
    <w:p w14:paraId="7C4D1DEA" w14:textId="77777777" w:rsidR="00FC63BA" w:rsidRPr="002146D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Youth Justice Legal Centre. (n.d.). </w:t>
      </w:r>
      <w:r w:rsidRPr="002146DA">
        <w:rPr>
          <w:rFonts w:ascii="Arial" w:hAnsi="Arial" w:cs="Arial"/>
          <w:i/>
          <w:iCs/>
        </w:rPr>
        <w:t>Knife crime – new minimum custodial sentences for children aged 16 and 17</w:t>
      </w:r>
      <w:r w:rsidRPr="002146DA">
        <w:rPr>
          <w:rFonts w:ascii="Arial" w:hAnsi="Arial" w:cs="Arial"/>
        </w:rPr>
        <w:t>. https://yjlc.uk/resources/legal-updates/knife-crime-new-minimum-custodial-sentences-children-aged-16-and-17#:~:text=16%20and%2017%20year%20olds%20will%20now%20face%20a%20minimum [Accessed 26 Apr. 2024].</w:t>
      </w:r>
    </w:p>
    <w:p w14:paraId="358181DC" w14:textId="77777777" w:rsidR="00FC63BA" w:rsidRDefault="00FC63BA" w:rsidP="002146DA">
      <w:pPr>
        <w:pStyle w:val="NormalWeb"/>
        <w:spacing w:before="0" w:beforeAutospacing="0" w:after="240" w:afterAutospacing="0" w:line="360" w:lineRule="auto"/>
        <w:rPr>
          <w:rFonts w:ascii="Arial" w:hAnsi="Arial" w:cs="Arial"/>
        </w:rPr>
      </w:pPr>
      <w:r w:rsidRPr="002146DA">
        <w:rPr>
          <w:rFonts w:ascii="Arial" w:hAnsi="Arial" w:cs="Arial"/>
        </w:rPr>
        <w:t xml:space="preserve">Youth Justice Sport Fund (2023). </w:t>
      </w:r>
      <w:r w:rsidRPr="002146DA">
        <w:rPr>
          <w:rFonts w:ascii="Arial" w:hAnsi="Arial" w:cs="Arial"/>
          <w:i/>
          <w:iCs/>
        </w:rPr>
        <w:t>Youth Justice Sport Fund</w:t>
      </w:r>
      <w:r w:rsidRPr="002146DA">
        <w:rPr>
          <w:rFonts w:ascii="Arial" w:hAnsi="Arial" w:cs="Arial"/>
        </w:rPr>
        <w:t>. StreetGames. Available at: https://www.streetgames.org/live-projects/youth-justice-sport-fund/#:~:text=Support%20vulnerable%20young%20people%2C%20aged [Accessed 19 Apr. 2024].</w:t>
      </w:r>
    </w:p>
    <w:p w14:paraId="03E37374" w14:textId="77777777" w:rsidR="00AE5E07" w:rsidRPr="002146DA" w:rsidRDefault="00AE5E07" w:rsidP="002146DA">
      <w:pPr>
        <w:pStyle w:val="NormalWeb"/>
        <w:spacing w:before="0" w:beforeAutospacing="0" w:after="240" w:afterAutospacing="0" w:line="360" w:lineRule="auto"/>
        <w:rPr>
          <w:rFonts w:ascii="Arial" w:hAnsi="Arial" w:cs="Arial"/>
        </w:rPr>
      </w:pPr>
    </w:p>
    <w:p w14:paraId="0BA2E6F3" w14:textId="77777777" w:rsidR="00AE5E07" w:rsidRPr="002146DA" w:rsidRDefault="00AE5E07" w:rsidP="002146DA">
      <w:pPr>
        <w:pStyle w:val="NormalWeb"/>
        <w:spacing w:before="0" w:beforeAutospacing="0" w:after="240" w:afterAutospacing="0" w:line="360" w:lineRule="auto"/>
        <w:rPr>
          <w:rFonts w:ascii="Arial" w:hAnsi="Arial" w:cs="Arial"/>
        </w:rPr>
      </w:pPr>
    </w:p>
    <w:p w14:paraId="56B07F16" w14:textId="77777777" w:rsidR="00AE5E07" w:rsidRPr="002146DA" w:rsidRDefault="00AE5E07" w:rsidP="002146DA">
      <w:pPr>
        <w:spacing w:line="360" w:lineRule="auto"/>
        <w:rPr>
          <w:rFonts w:ascii="Arial" w:hAnsi="Arial" w:cs="Arial"/>
          <w:sz w:val="24"/>
          <w:szCs w:val="24"/>
        </w:rPr>
      </w:pPr>
    </w:p>
    <w:sectPr w:rsidR="00AE5E07" w:rsidRPr="002146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E07"/>
    <w:rsid w:val="00021247"/>
    <w:rsid w:val="00071D47"/>
    <w:rsid w:val="00096C82"/>
    <w:rsid w:val="000B10CC"/>
    <w:rsid w:val="00114949"/>
    <w:rsid w:val="00121624"/>
    <w:rsid w:val="001567B7"/>
    <w:rsid w:val="001604BE"/>
    <w:rsid w:val="00174ADC"/>
    <w:rsid w:val="002146DA"/>
    <w:rsid w:val="00251A81"/>
    <w:rsid w:val="0031069B"/>
    <w:rsid w:val="00385702"/>
    <w:rsid w:val="00580061"/>
    <w:rsid w:val="005C6AAE"/>
    <w:rsid w:val="00660E80"/>
    <w:rsid w:val="007A183E"/>
    <w:rsid w:val="007D2E03"/>
    <w:rsid w:val="008E439B"/>
    <w:rsid w:val="0099032A"/>
    <w:rsid w:val="009C7A2C"/>
    <w:rsid w:val="00AC4B58"/>
    <w:rsid w:val="00AE5E07"/>
    <w:rsid w:val="00B8644D"/>
    <w:rsid w:val="00D26815"/>
    <w:rsid w:val="00E13CF9"/>
    <w:rsid w:val="00E92197"/>
    <w:rsid w:val="00F14FB2"/>
    <w:rsid w:val="00FC6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5EF88"/>
  <w15:chartTrackingRefBased/>
  <w15:docId w15:val="{9018B668-915A-460B-8E65-FA20812E3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E5E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E5E07"/>
    <w:rPr>
      <w:color w:val="0563C1" w:themeColor="hyperlink"/>
      <w:u w:val="single"/>
    </w:rPr>
  </w:style>
  <w:style w:type="character" w:styleId="UnresolvedMention">
    <w:name w:val="Unresolved Mention"/>
    <w:basedOn w:val="DefaultParagraphFont"/>
    <w:uiPriority w:val="99"/>
    <w:semiHidden/>
    <w:unhideWhenUsed/>
    <w:rsid w:val="002146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8088628">
      <w:bodyDiv w:val="1"/>
      <w:marLeft w:val="0"/>
      <w:marRight w:val="0"/>
      <w:marTop w:val="0"/>
      <w:marBottom w:val="0"/>
      <w:divBdr>
        <w:top w:val="none" w:sz="0" w:space="0" w:color="auto"/>
        <w:left w:val="none" w:sz="0" w:space="0" w:color="auto"/>
        <w:bottom w:val="none" w:sz="0" w:space="0" w:color="auto"/>
        <w:right w:val="none" w:sz="0" w:space="0" w:color="auto"/>
      </w:divBdr>
      <w:divsChild>
        <w:div w:id="2003461909">
          <w:marLeft w:val="0"/>
          <w:marRight w:val="0"/>
          <w:marTop w:val="0"/>
          <w:marBottom w:val="0"/>
          <w:divBdr>
            <w:top w:val="none" w:sz="0" w:space="0" w:color="auto"/>
            <w:left w:val="none" w:sz="0" w:space="0" w:color="auto"/>
            <w:bottom w:val="none" w:sz="0" w:space="0" w:color="auto"/>
            <w:right w:val="none" w:sz="0" w:space="0" w:color="auto"/>
          </w:divBdr>
        </w:div>
      </w:divsChild>
    </w:div>
    <w:div w:id="1220751919">
      <w:bodyDiv w:val="1"/>
      <w:marLeft w:val="0"/>
      <w:marRight w:val="0"/>
      <w:marTop w:val="0"/>
      <w:marBottom w:val="0"/>
      <w:divBdr>
        <w:top w:val="none" w:sz="0" w:space="0" w:color="auto"/>
        <w:left w:val="none" w:sz="0" w:space="0" w:color="auto"/>
        <w:bottom w:val="none" w:sz="0" w:space="0" w:color="auto"/>
        <w:right w:val="none" w:sz="0" w:space="0" w:color="auto"/>
      </w:divBdr>
      <w:divsChild>
        <w:div w:id="1962415314">
          <w:marLeft w:val="0"/>
          <w:marRight w:val="0"/>
          <w:marTop w:val="0"/>
          <w:marBottom w:val="0"/>
          <w:divBdr>
            <w:top w:val="none" w:sz="0" w:space="0" w:color="auto"/>
            <w:left w:val="none" w:sz="0" w:space="0" w:color="auto"/>
            <w:bottom w:val="none" w:sz="0" w:space="0" w:color="auto"/>
            <w:right w:val="none" w:sz="0" w:space="0" w:color="auto"/>
          </w:divBdr>
        </w:div>
      </w:divsChild>
    </w:div>
    <w:div w:id="1336961133">
      <w:bodyDiv w:val="1"/>
      <w:marLeft w:val="0"/>
      <w:marRight w:val="0"/>
      <w:marTop w:val="0"/>
      <w:marBottom w:val="0"/>
      <w:divBdr>
        <w:top w:val="none" w:sz="0" w:space="0" w:color="auto"/>
        <w:left w:val="none" w:sz="0" w:space="0" w:color="auto"/>
        <w:bottom w:val="none" w:sz="0" w:space="0" w:color="auto"/>
        <w:right w:val="none" w:sz="0" w:space="0" w:color="auto"/>
      </w:divBdr>
      <w:divsChild>
        <w:div w:id="121266024">
          <w:marLeft w:val="0"/>
          <w:marRight w:val="0"/>
          <w:marTop w:val="0"/>
          <w:marBottom w:val="0"/>
          <w:divBdr>
            <w:top w:val="none" w:sz="0" w:space="0" w:color="auto"/>
            <w:left w:val="none" w:sz="0" w:space="0" w:color="auto"/>
            <w:bottom w:val="none" w:sz="0" w:space="0" w:color="auto"/>
            <w:right w:val="none" w:sz="0" w:space="0" w:color="auto"/>
          </w:divBdr>
        </w:div>
      </w:divsChild>
    </w:div>
    <w:div w:id="1562016592">
      <w:bodyDiv w:val="1"/>
      <w:marLeft w:val="0"/>
      <w:marRight w:val="0"/>
      <w:marTop w:val="0"/>
      <w:marBottom w:val="0"/>
      <w:divBdr>
        <w:top w:val="none" w:sz="0" w:space="0" w:color="auto"/>
        <w:left w:val="none" w:sz="0" w:space="0" w:color="auto"/>
        <w:bottom w:val="none" w:sz="0" w:space="0" w:color="auto"/>
        <w:right w:val="none" w:sz="0" w:space="0" w:color="auto"/>
      </w:divBdr>
      <w:divsChild>
        <w:div w:id="457459973">
          <w:marLeft w:val="0"/>
          <w:marRight w:val="0"/>
          <w:marTop w:val="0"/>
          <w:marBottom w:val="0"/>
          <w:divBdr>
            <w:top w:val="none" w:sz="0" w:space="0" w:color="auto"/>
            <w:left w:val="none" w:sz="0" w:space="0" w:color="auto"/>
            <w:bottom w:val="none" w:sz="0" w:space="0" w:color="auto"/>
            <w:right w:val="none" w:sz="0" w:space="0" w:color="auto"/>
          </w:divBdr>
        </w:div>
      </w:divsChild>
    </w:div>
    <w:div w:id="1954894666">
      <w:bodyDiv w:val="1"/>
      <w:marLeft w:val="0"/>
      <w:marRight w:val="0"/>
      <w:marTop w:val="0"/>
      <w:marBottom w:val="0"/>
      <w:divBdr>
        <w:top w:val="none" w:sz="0" w:space="0" w:color="auto"/>
        <w:left w:val="none" w:sz="0" w:space="0" w:color="auto"/>
        <w:bottom w:val="none" w:sz="0" w:space="0" w:color="auto"/>
        <w:right w:val="none" w:sz="0" w:space="0" w:color="auto"/>
      </w:divBdr>
      <w:divsChild>
        <w:div w:id="997031241">
          <w:marLeft w:val="0"/>
          <w:marRight w:val="0"/>
          <w:marTop w:val="0"/>
          <w:marBottom w:val="0"/>
          <w:divBdr>
            <w:top w:val="none" w:sz="0" w:space="0" w:color="auto"/>
            <w:left w:val="none" w:sz="0" w:space="0" w:color="auto"/>
            <w:bottom w:val="none" w:sz="0" w:space="0" w:color="auto"/>
            <w:right w:val="none" w:sz="0" w:space="0" w:color="auto"/>
          </w:divBdr>
        </w:div>
      </w:divsChild>
    </w:div>
    <w:div w:id="200620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21-9010.74.5.722" TargetMode="External"/><Relationship Id="rId13" Type="http://schemas.openxmlformats.org/officeDocument/2006/relationships/hyperlink" Target="http://www.simplypsychology.org/cognitive-interview.html" TargetMode="External"/><Relationship Id="rId3" Type="http://schemas.openxmlformats.org/officeDocument/2006/relationships/webSettings" Target="webSettings.xml"/><Relationship Id="rId7" Type="http://schemas.openxmlformats.org/officeDocument/2006/relationships/hyperlink" Target="https://doi.org/10.1016/j.ijlp.2010.09.004" TargetMode="External"/><Relationship Id="rId12" Type="http://schemas.openxmlformats.org/officeDocument/2006/relationships/hyperlink" Target="https://www.simplypsychology.org/cognitive-interview.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348/135532506x162498" TargetMode="External"/><Relationship Id="rId11" Type="http://schemas.openxmlformats.org/officeDocument/2006/relationships/hyperlink" Target="https://www.gov.uk/government/publications/policing-by-consent/definition-of-policing-by-consent" TargetMode="External"/><Relationship Id="rId5" Type="http://schemas.openxmlformats.org/officeDocument/2006/relationships/hyperlink" Target="http://www.college.police.uk/guidance/effective-implementation-problem-oriented-policing/partnerships" TargetMode="External"/><Relationship Id="rId15" Type="http://schemas.openxmlformats.org/officeDocument/2006/relationships/hyperlink" Target="https://www.ons.gov.uk/peoplepopulationandcommunity/crimeandjustice/bulletins/crimeinenglandandwales/yearendingseptember2023" TargetMode="External"/><Relationship Id="rId10" Type="http://schemas.openxmlformats.org/officeDocument/2006/relationships/hyperlink" Target="https://www.byc.org.uk/uk-youth-parliament/uk-youth-parliament-campaigns/2019/action-against-knife-crime" TargetMode="External"/><Relationship Id="rId4" Type="http://schemas.openxmlformats.org/officeDocument/2006/relationships/hyperlink" Target="https://www.college.police.uk/app/major-investigation-and-public-protection/hate-crime/partnership-working" TargetMode="External"/><Relationship Id="rId9" Type="http://schemas.openxmlformats.org/officeDocument/2006/relationships/hyperlink" Target="https://www.crimeandjustice.org.uk/sites/crimeandjustice.org.uk/files/Knife%20crime.%20November.pdf" TargetMode="External"/><Relationship Id="rId14" Type="http://schemas.openxmlformats.org/officeDocument/2006/relationships/hyperlink" Target="https://assets.college.police.uk/s3fs-public/2020-11/Initial_Accounts_RE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17</Pages>
  <Words>5439</Words>
  <Characters>31006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Hopkins,Joel swp8475</dc:creator>
  <cp:keywords/>
  <dc:description/>
  <cp:lastModifiedBy>Hopkins,Joel swp8475</cp:lastModifiedBy>
  <cp:revision>3</cp:revision>
  <dcterms:created xsi:type="dcterms:W3CDTF">2024-05-26T20:10:00Z</dcterms:created>
  <dcterms:modified xsi:type="dcterms:W3CDTF">2024-05-26T20:16:00Z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2024-04-29T13:25:40Z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d5f7d4ee-7062-4ffb-a6a4-11798ffa1b45</vt:lpwstr>
  </property>
  <property fmtid="{D5CDD505-2E9C-101B-9397-08002B2CF9AE}" pid="8" name="MSIP_Label_66cf8fe5-b7b7-4df7-b38d-1c61ac2f6639_ContentBits">
    <vt:lpwstr>0</vt:lpwstr>
  </property>
</Properties>
</file>