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D1E07" w14:textId="278955F3" w:rsidR="005F24C3" w:rsidRDefault="007A7979" w:rsidP="007A7979">
      <w:pPr>
        <w:pStyle w:val="Title"/>
      </w:pPr>
      <w:r>
        <w:t>The architecture and Material Culture of the Tomb of Senneferi (TT99)</w:t>
      </w:r>
    </w:p>
    <w:p w14:paraId="2305FFB5" w14:textId="6883DB09" w:rsidR="007A7979" w:rsidRDefault="00D645A5" w:rsidP="00D645A5">
      <w:pPr>
        <w:pStyle w:val="Subtitle"/>
      </w:pPr>
      <w:r>
        <w:t>Lillian Mary C York 2317170</w:t>
      </w:r>
    </w:p>
    <w:p w14:paraId="5BEF9094" w14:textId="265C7360" w:rsidR="00D645A5" w:rsidRPr="00D645A5" w:rsidRDefault="008250C0" w:rsidP="008250C0">
      <w:pPr>
        <w:pStyle w:val="Heading2"/>
      </w:pPr>
      <w:r>
        <w:t>Introduction</w:t>
      </w:r>
    </w:p>
    <w:p w14:paraId="77591FF1" w14:textId="4952F2C4" w:rsidR="00EC5D20" w:rsidRDefault="00EC5D20" w:rsidP="00EC5D20">
      <w:r>
        <w:t xml:space="preserve">The tomb </w:t>
      </w:r>
      <w:r w:rsidR="0059758B">
        <w:t xml:space="preserve">of Senneferi (TT99) </w:t>
      </w:r>
      <w:r w:rsidR="008F1BB9">
        <w:t>is in</w:t>
      </w:r>
      <w:r w:rsidR="0059758B">
        <w:t xml:space="preserve"> the Theban </w:t>
      </w:r>
      <w:r w:rsidR="00C82EB4">
        <w:t>t</w:t>
      </w:r>
      <w:r w:rsidR="00242BB7">
        <w:t xml:space="preserve">omb sites on the West Bank of </w:t>
      </w:r>
      <w:r w:rsidR="006F1CA0">
        <w:t xml:space="preserve">the </w:t>
      </w:r>
      <w:r w:rsidR="003D6C8E">
        <w:t>Nile at Thebes. The site is one of the most important buri</w:t>
      </w:r>
      <w:r w:rsidR="0071511A">
        <w:t xml:space="preserve">al landscapes of the New Kingdom and </w:t>
      </w:r>
      <w:bookmarkStart w:id="0" w:name="_Int_IN24UaiT"/>
      <w:r w:rsidR="0071511A">
        <w:t>contains</w:t>
      </w:r>
      <w:bookmarkEnd w:id="0"/>
      <w:r w:rsidR="0071511A">
        <w:t xml:space="preserve"> hundreds of tombs which </w:t>
      </w:r>
      <w:r w:rsidR="008F1BB9">
        <w:t>belonged to</w:t>
      </w:r>
      <w:r w:rsidR="0071511A">
        <w:t xml:space="preserve"> elites who served the pharaohs o</w:t>
      </w:r>
      <w:r w:rsidR="00733489">
        <w:t xml:space="preserve">f the Eighteenth Dynasty (Strudwick, 2016). </w:t>
      </w:r>
    </w:p>
    <w:p w14:paraId="6E21F006" w14:textId="3911AED5" w:rsidR="00733489" w:rsidRDefault="00CE276B" w:rsidP="00EC5D20">
      <w:r>
        <w:t xml:space="preserve">Private tombs in the Theban site functioned not only as a </w:t>
      </w:r>
      <w:r w:rsidR="00972794">
        <w:t>b</w:t>
      </w:r>
      <w:r w:rsidR="00C6493B">
        <w:t xml:space="preserve">urial place but also as commemorative monuments that was able to express </w:t>
      </w:r>
      <w:r w:rsidR="006C7AF0">
        <w:t>identity, social status, and religious beliefs of t</w:t>
      </w:r>
      <w:r w:rsidR="00ED0C8E">
        <w:t xml:space="preserve">heir owners. </w:t>
      </w:r>
      <w:r w:rsidR="00C00E64">
        <w:t xml:space="preserve">The structures of the tombs allowed for funerary rituals to </w:t>
      </w:r>
      <w:bookmarkStart w:id="1" w:name="_Int_Ra1CYFe9"/>
      <w:r w:rsidR="00C00E64">
        <w:t>be preformed</w:t>
      </w:r>
      <w:bookmarkEnd w:id="1"/>
      <w:r w:rsidR="00C00E64">
        <w:t xml:space="preserve"> </w:t>
      </w:r>
      <w:r w:rsidR="00354623">
        <w:t xml:space="preserve">which allowed for the dead to </w:t>
      </w:r>
      <w:bookmarkStart w:id="2" w:name="_Int_NPuUWpqc"/>
      <w:r w:rsidR="00354623">
        <w:t>be commemorated</w:t>
      </w:r>
      <w:bookmarkEnd w:id="2"/>
      <w:r w:rsidR="00354623">
        <w:t xml:space="preserve"> (</w:t>
      </w:r>
      <w:r w:rsidR="004C2FA0">
        <w:t xml:space="preserve">Reeves and Wilkinson, 1996). </w:t>
      </w:r>
      <w:r w:rsidR="00ED0C8E">
        <w:t>Through looking at the architecture, decoration, and material culture</w:t>
      </w:r>
      <w:r w:rsidR="00F03D15">
        <w:t>, w</w:t>
      </w:r>
      <w:r w:rsidR="00650171">
        <w:t>hich provide</w:t>
      </w:r>
      <w:r w:rsidR="00063DD1">
        <w:t xml:space="preserve">s </w:t>
      </w:r>
      <w:r w:rsidR="00D7187C">
        <w:t>insight into the social standings of the elite officials. TT99 is a signi</w:t>
      </w:r>
      <w:r w:rsidR="00537644">
        <w:t xml:space="preserve">ficant example because it belonged to Senneferi, </w:t>
      </w:r>
      <w:r w:rsidR="00661792">
        <w:t xml:space="preserve">who was </w:t>
      </w:r>
      <w:r w:rsidR="00537644">
        <w:t xml:space="preserve">a </w:t>
      </w:r>
      <w:r w:rsidR="00270244">
        <w:t>high-ranking</w:t>
      </w:r>
      <w:r w:rsidR="00537644">
        <w:t xml:space="preserve"> officia</w:t>
      </w:r>
      <w:r w:rsidR="00661792">
        <w:t xml:space="preserve">l, who </w:t>
      </w:r>
      <w:r w:rsidR="00537644">
        <w:t xml:space="preserve">served within </w:t>
      </w:r>
      <w:r w:rsidR="00EB2CE8">
        <w:t xml:space="preserve">the royal </w:t>
      </w:r>
      <w:r w:rsidR="00270244">
        <w:t xml:space="preserve">administration during the reign of Thutmose III (Strudwick, </w:t>
      </w:r>
      <w:r w:rsidR="004C2FA0">
        <w:t>no date</w:t>
      </w:r>
      <w:r w:rsidR="00270244">
        <w:t xml:space="preserve">). </w:t>
      </w:r>
    </w:p>
    <w:p w14:paraId="6E5523BC" w14:textId="31A98601" w:rsidR="008C1C5F" w:rsidRDefault="008C1C5F" w:rsidP="00EC5D20">
      <w:r>
        <w:t xml:space="preserve">The </w:t>
      </w:r>
      <w:r w:rsidR="007E27E4">
        <w:t>lay</w:t>
      </w:r>
      <w:r w:rsidR="004367E7">
        <w:t>out of the tomb complex has a courtyard, a chapel</w:t>
      </w:r>
      <w:r w:rsidR="009C086D">
        <w:t xml:space="preserve"> with a typical T-shaped plan, with burial chambers which holds the coffin and the fu</w:t>
      </w:r>
      <w:r w:rsidR="00C74CB6">
        <w:t xml:space="preserve">nerary belongings of the deceased. </w:t>
      </w:r>
      <w:r w:rsidR="00A94454">
        <w:t>The architecture and decoration of the to</w:t>
      </w:r>
      <w:r w:rsidR="001067F2">
        <w:t xml:space="preserve">mb </w:t>
      </w:r>
      <w:r w:rsidR="00377B7B">
        <w:t>reflect</w:t>
      </w:r>
      <w:r w:rsidR="001067F2">
        <w:t xml:space="preserve"> the beliefs of the elites of the New </w:t>
      </w:r>
      <w:r w:rsidR="00377B7B">
        <w:t xml:space="preserve">Kingdom and their funerary </w:t>
      </w:r>
      <w:r w:rsidR="00CC0130">
        <w:t>architecture while also providing information about the professional identity and status of the tomb owner (St</w:t>
      </w:r>
      <w:r w:rsidR="00D34B3B">
        <w:t xml:space="preserve">rudwick, 2016). </w:t>
      </w:r>
    </w:p>
    <w:p w14:paraId="78AE4269" w14:textId="7CE74CF1" w:rsidR="00D34B3B" w:rsidRDefault="00814615" w:rsidP="00EC5D20">
      <w:r>
        <w:t>However,</w:t>
      </w:r>
      <w:r w:rsidR="00D34B3B">
        <w:t xml:space="preserve"> like many tombs in the </w:t>
      </w:r>
      <w:r w:rsidR="00805488">
        <w:t xml:space="preserve">Theban site, TT99 has suffered from looting and deterioration over </w:t>
      </w:r>
      <w:r w:rsidR="00A93625">
        <w:t>time.</w:t>
      </w:r>
      <w:r w:rsidR="001409EC">
        <w:t xml:space="preserve"> Many of the objects originally </w:t>
      </w:r>
      <w:r w:rsidR="004565D2">
        <w:t xml:space="preserve">within the burial chambers </w:t>
      </w:r>
      <w:bookmarkStart w:id="3" w:name="_Int_vnsqDvlz"/>
      <w:r w:rsidR="004565D2">
        <w:t>were removed</w:t>
      </w:r>
      <w:bookmarkEnd w:id="3"/>
      <w:r w:rsidR="004565D2">
        <w:t xml:space="preserve"> in antiq</w:t>
      </w:r>
      <w:r w:rsidR="001C216A">
        <w:t xml:space="preserve">uity, meaning that the </w:t>
      </w:r>
      <w:r w:rsidR="001D0482">
        <w:t xml:space="preserve">surviving </w:t>
      </w:r>
      <w:r w:rsidR="001C216A">
        <w:t>evidence is very much fragmentary (Str</w:t>
      </w:r>
      <w:r w:rsidR="00B85A27">
        <w:t>udwick, 2016). Despite these losses, the architecture, inscriptions</w:t>
      </w:r>
      <w:r w:rsidR="00941329">
        <w:t xml:space="preserve">, and </w:t>
      </w:r>
      <w:r w:rsidR="00723A79">
        <w:t>surviving</w:t>
      </w:r>
      <w:r w:rsidR="00941329">
        <w:t xml:space="preserve"> artefacts still </w:t>
      </w:r>
      <w:r w:rsidR="00DB385C">
        <w:t>offer</w:t>
      </w:r>
      <w:r w:rsidR="00941329">
        <w:t xml:space="preserve"> valuable insights into the position of Senneferi with</w:t>
      </w:r>
      <w:r>
        <w:t>in ancient Egyptian society</w:t>
      </w:r>
      <w:r w:rsidR="001E79F4">
        <w:t>.</w:t>
      </w:r>
    </w:p>
    <w:p w14:paraId="28DD32E6" w14:textId="77777777" w:rsidR="008250C0" w:rsidRDefault="008250C0" w:rsidP="00EC5D20"/>
    <w:p w14:paraId="3128378A" w14:textId="77777777" w:rsidR="008250C0" w:rsidRDefault="008250C0" w:rsidP="00EC5D20"/>
    <w:p w14:paraId="4122ACF1" w14:textId="77777777" w:rsidR="008250C0" w:rsidRDefault="008250C0" w:rsidP="00EC5D20"/>
    <w:p w14:paraId="517F981A" w14:textId="77777777" w:rsidR="008250C0" w:rsidRDefault="008250C0" w:rsidP="00EC5D20"/>
    <w:p w14:paraId="082F17B1" w14:textId="77777777" w:rsidR="008250C0" w:rsidRDefault="008250C0" w:rsidP="00EC5D20"/>
    <w:p w14:paraId="23E2F2D5" w14:textId="77777777" w:rsidR="008250C0" w:rsidRDefault="008250C0" w:rsidP="00EC5D20"/>
    <w:p w14:paraId="61C24A74" w14:textId="794F170B" w:rsidR="008250C0" w:rsidRDefault="008250C0" w:rsidP="008250C0">
      <w:pPr>
        <w:pStyle w:val="Heading2"/>
      </w:pPr>
      <w:r>
        <w:lastRenderedPageBreak/>
        <w:t xml:space="preserve">Senneferi and His Roles in Egyptian Society </w:t>
      </w:r>
    </w:p>
    <w:p w14:paraId="04F8428E" w14:textId="5DBFCD77" w:rsidR="008C1C5F" w:rsidRDefault="003C503E" w:rsidP="00EC5D20">
      <w:r>
        <w:t>S</w:t>
      </w:r>
      <w:r w:rsidR="00283087">
        <w:t xml:space="preserve">enneferi was a high-ranking official who served during the reign of Thutmose III. The </w:t>
      </w:r>
      <w:r w:rsidR="00102E9D">
        <w:t xml:space="preserve">titles recorded within the tomb </w:t>
      </w:r>
      <w:bookmarkStart w:id="4" w:name="_Int_4sRRpUw3"/>
      <w:r w:rsidR="00102E9D">
        <w:t>indicate</w:t>
      </w:r>
      <w:bookmarkEnd w:id="4"/>
      <w:r w:rsidR="00102E9D">
        <w:t xml:space="preserve"> that he held an important administrative role within the ro</w:t>
      </w:r>
      <w:r w:rsidR="00B066BC">
        <w:t xml:space="preserve">yal government. He </w:t>
      </w:r>
      <w:bookmarkStart w:id="5" w:name="_Int_w35DeQiK"/>
      <w:r w:rsidR="00B066BC">
        <w:t>was described</w:t>
      </w:r>
      <w:bookmarkEnd w:id="5"/>
      <w:r w:rsidR="00B066BC">
        <w:t xml:space="preserve"> as the </w:t>
      </w:r>
      <w:r w:rsidR="00EA0A58">
        <w:t>‘</w:t>
      </w:r>
      <w:r w:rsidR="00B066BC">
        <w:t>Overseer of Seal B</w:t>
      </w:r>
      <w:r w:rsidR="00945EF6">
        <w:t xml:space="preserve">earers’. </w:t>
      </w:r>
      <w:r w:rsidR="00E210B6">
        <w:t>Which</w:t>
      </w:r>
      <w:r w:rsidR="00770E6D">
        <w:t xml:space="preserve"> is </w:t>
      </w:r>
      <w:r w:rsidR="00634580">
        <w:t xml:space="preserve">associated with </w:t>
      </w:r>
      <w:r w:rsidR="006F4F3A">
        <w:t>official's</w:t>
      </w:r>
      <w:r w:rsidR="008A3BA3">
        <w:t xml:space="preserve"> responsibilities for supervising the sealing and the control of goods and administrative documents within the royal </w:t>
      </w:r>
      <w:r w:rsidR="007213B2">
        <w:t xml:space="preserve">and elite community (Strudwick, 2016). </w:t>
      </w:r>
    </w:p>
    <w:p w14:paraId="215FB9FE" w14:textId="227A310E" w:rsidR="009E6232" w:rsidRDefault="00735498" w:rsidP="00EC5D20">
      <w:r>
        <w:t xml:space="preserve">This position which </w:t>
      </w:r>
      <w:bookmarkStart w:id="6" w:name="_Int_MVPr2eeP"/>
      <w:r>
        <w:t>was given</w:t>
      </w:r>
      <w:bookmarkEnd w:id="6"/>
      <w:r>
        <w:t xml:space="preserve"> to Senneferi withi</w:t>
      </w:r>
      <w:r w:rsidR="00891E16">
        <w:t xml:space="preserve">n the </w:t>
      </w:r>
      <w:r w:rsidR="000A22D8">
        <w:t>ro</w:t>
      </w:r>
      <w:r w:rsidR="004118D8">
        <w:t xml:space="preserve">yal structure of the Egyptian </w:t>
      </w:r>
      <w:r w:rsidR="00E81288">
        <w:t>state, had responsibilities for overseeing economic trans</w:t>
      </w:r>
      <w:r w:rsidR="004B655C">
        <w:t>actions</w:t>
      </w:r>
      <w:r w:rsidR="00546A31">
        <w:t xml:space="preserve">, </w:t>
      </w:r>
      <w:r w:rsidR="007C6B9B">
        <w:t xml:space="preserve">taxes, and the </w:t>
      </w:r>
      <w:r w:rsidR="004E354E">
        <w:t xml:space="preserve">tracking </w:t>
      </w:r>
      <w:r w:rsidR="005202F4">
        <w:t xml:space="preserve">of goods within the royal institutions. </w:t>
      </w:r>
      <w:r w:rsidR="00D54788">
        <w:t>Hav</w:t>
      </w:r>
      <w:r w:rsidR="00BA05A1">
        <w:t xml:space="preserve">ing </w:t>
      </w:r>
      <w:r w:rsidR="00DB385C">
        <w:t>all</w:t>
      </w:r>
      <w:r w:rsidR="00BA05A1">
        <w:t xml:space="preserve"> these titles indicates a high level of trust from the king and </w:t>
      </w:r>
      <w:r w:rsidR="00500A30">
        <w:t>shows Senneferi’s importance within the governmen</w:t>
      </w:r>
      <w:r w:rsidR="002D0F29">
        <w:t xml:space="preserve">t hierarchy (Strudwick, 2016). </w:t>
      </w:r>
      <w:r w:rsidR="000034C4">
        <w:t xml:space="preserve">The development of the administrative system was a </w:t>
      </w:r>
      <w:r w:rsidR="0089172A">
        <w:t>defining feature of the New Kingdom. As Egypt expanded its terri</w:t>
      </w:r>
      <w:r w:rsidR="003E4C9A">
        <w:t xml:space="preserve">tory and the economic activity increased, the </w:t>
      </w:r>
      <w:r w:rsidR="001F014F">
        <w:t>elites relied on officials to manage taxation, the disruption of resources</w:t>
      </w:r>
      <w:r w:rsidR="00FA5A48">
        <w:t xml:space="preserve">, and record keeping (Moreno García, 2013). </w:t>
      </w:r>
    </w:p>
    <w:p w14:paraId="17DB25C2" w14:textId="23916A74" w:rsidR="00E86AD9" w:rsidRDefault="00DF7D2E" w:rsidP="00EC5D20">
      <w:r>
        <w:t>I</w:t>
      </w:r>
      <w:r w:rsidR="00895C15">
        <w:t xml:space="preserve">nscriptions within the tomb also refer to different members of Senneferi’s family, </w:t>
      </w:r>
      <w:r w:rsidR="0043245D">
        <w:t xml:space="preserve">including his parents and other relatives. His father </w:t>
      </w:r>
      <w:bookmarkStart w:id="7" w:name="_Int_XC2eQadb"/>
      <w:r w:rsidR="0043245D">
        <w:t>is described</w:t>
      </w:r>
      <w:bookmarkEnd w:id="7"/>
      <w:r w:rsidR="0043245D">
        <w:t xml:space="preserve"> </w:t>
      </w:r>
      <w:r w:rsidR="00397B3A">
        <w:t xml:space="preserve">with the title ‘Zab’, while his mother held the title </w:t>
      </w:r>
      <w:r w:rsidR="00F94BDA">
        <w:t>of</w:t>
      </w:r>
      <w:r w:rsidR="00397B3A">
        <w:t xml:space="preserve"> ‘lady of the house’. These titles all suggest that Se</w:t>
      </w:r>
      <w:r w:rsidR="00FF69FF">
        <w:t xml:space="preserve">nneferi did not </w:t>
      </w:r>
      <w:r w:rsidR="00343A1D">
        <w:t>necessarily come</w:t>
      </w:r>
      <w:r w:rsidR="00F94BDA">
        <w:t xml:space="preserve"> from a high elite </w:t>
      </w:r>
      <w:r w:rsidR="00343A1D">
        <w:t>family but</w:t>
      </w:r>
      <w:r w:rsidR="00F94BDA">
        <w:t xml:space="preserve"> was able to </w:t>
      </w:r>
      <w:r w:rsidR="002139E6">
        <w:t>rise within the administrative system through his career (Strudwick, 2016</w:t>
      </w:r>
      <w:r w:rsidR="00343A1D">
        <w:t xml:space="preserve">). </w:t>
      </w:r>
    </w:p>
    <w:p w14:paraId="4B399316" w14:textId="43ED7448" w:rsidR="00343A1D" w:rsidRDefault="006523F0" w:rsidP="00EC5D20">
      <w:r>
        <w:t xml:space="preserve">With having a rock-cut tomb in the cemetery </w:t>
      </w:r>
      <w:r w:rsidR="00DB385C">
        <w:t>shows</w:t>
      </w:r>
      <w:r>
        <w:t xml:space="preserve"> that </w:t>
      </w:r>
      <w:r w:rsidR="000D6BA5">
        <w:t xml:space="preserve">Senneferi </w:t>
      </w:r>
      <w:r w:rsidR="00176897">
        <w:t>a</w:t>
      </w:r>
      <w:r w:rsidR="00737B8C">
        <w:t xml:space="preserve">chieved </w:t>
      </w:r>
      <w:r w:rsidR="002354E0">
        <w:t>high wealth</w:t>
      </w:r>
      <w:r w:rsidR="00737B8C">
        <w:t xml:space="preserve"> and social status </w:t>
      </w:r>
      <w:r w:rsidR="003A1037">
        <w:t xml:space="preserve">during his life. Tombs in this area </w:t>
      </w:r>
      <w:bookmarkStart w:id="8" w:name="_Int_fWFVMgMf"/>
      <w:r w:rsidR="00953088">
        <w:t>were reserved</w:t>
      </w:r>
      <w:bookmarkEnd w:id="8"/>
      <w:r w:rsidR="00953088">
        <w:t xml:space="preserve"> for elite officials </w:t>
      </w:r>
      <w:r w:rsidR="00DB385C">
        <w:t>connected</w:t>
      </w:r>
      <w:r w:rsidR="00953088">
        <w:t xml:space="preserve"> to the royal court, and the size of the decoration reflected the </w:t>
      </w:r>
      <w:r w:rsidR="002354E0">
        <w:t>social position of their owners (Strudwick, 2016).</w:t>
      </w:r>
      <w:r w:rsidR="00953088">
        <w:t xml:space="preserve"> </w:t>
      </w:r>
      <w:r w:rsidR="008C0BEC">
        <w:t>T</w:t>
      </w:r>
      <w:r w:rsidR="00801DC9">
        <w:t xml:space="preserve">his shows that Senneferi had significant wealth and status by the end of this life (Shaw, 2000). </w:t>
      </w:r>
    </w:p>
    <w:p w14:paraId="358C368C" w14:textId="70CCC275" w:rsidR="00343A1D" w:rsidRDefault="001B2A46" w:rsidP="008250C0">
      <w:pPr>
        <w:pStyle w:val="Heading2"/>
      </w:pPr>
      <w:r>
        <w:t>Arch</w:t>
      </w:r>
      <w:r w:rsidR="006B436F">
        <w:t>itecture of the Tomb</w:t>
      </w:r>
    </w:p>
    <w:p w14:paraId="735D1A50" w14:textId="7102C021" w:rsidR="006B436F" w:rsidRDefault="006B436F" w:rsidP="006B436F">
      <w:r>
        <w:t xml:space="preserve">The </w:t>
      </w:r>
      <w:r w:rsidR="003C477F">
        <w:t xml:space="preserve">layout of the </w:t>
      </w:r>
      <w:r w:rsidR="00360AB3">
        <w:t xml:space="preserve">tomb </w:t>
      </w:r>
      <w:r w:rsidR="003C477F">
        <w:t xml:space="preserve">starts with an </w:t>
      </w:r>
      <w:r w:rsidR="00EE3AC9">
        <w:t xml:space="preserve">open forecourt that </w:t>
      </w:r>
      <w:r w:rsidR="000306E1">
        <w:t xml:space="preserve">is around ten metres across. This courtyard forms </w:t>
      </w:r>
      <w:r w:rsidR="00C17E9C">
        <w:t xml:space="preserve">the </w:t>
      </w:r>
      <w:r w:rsidR="00DE061A">
        <w:t xml:space="preserve">external approach to the tomb and </w:t>
      </w:r>
      <w:bookmarkStart w:id="9" w:name="_Int_oW58dppJ"/>
      <w:r w:rsidR="00DE061A">
        <w:t>represents</w:t>
      </w:r>
      <w:bookmarkEnd w:id="9"/>
      <w:r w:rsidR="00DE061A">
        <w:t xml:space="preserve"> the transistor between the outside world and the sacred spa</w:t>
      </w:r>
      <w:r w:rsidR="00B4454B">
        <w:t>ce of the funerary monument (Strudwick, no date).</w:t>
      </w:r>
    </w:p>
    <w:p w14:paraId="74A4B9C6" w14:textId="4DFA8CA7" w:rsidR="00315F05" w:rsidRDefault="00883325" w:rsidP="006B436F">
      <w:r>
        <w:t xml:space="preserve">In Anceint Egyptian funerary architecture, </w:t>
      </w:r>
      <w:r w:rsidR="00A11598">
        <w:t>forecourts</w:t>
      </w:r>
      <w:r>
        <w:t xml:space="preserve"> </w:t>
      </w:r>
      <w:r w:rsidR="00A27C12">
        <w:t xml:space="preserve">placed </w:t>
      </w:r>
      <w:r w:rsidR="004E312D">
        <w:t>a key role</w:t>
      </w:r>
      <w:r w:rsidR="00A27C12">
        <w:t xml:space="preserve"> in ritual practices. These spaces could </w:t>
      </w:r>
      <w:bookmarkStart w:id="10" w:name="_Int_OLFi2X43"/>
      <w:r w:rsidR="00A27C12">
        <w:t>be used</w:t>
      </w:r>
      <w:bookmarkEnd w:id="10"/>
      <w:r w:rsidR="00A27C12">
        <w:t xml:space="preserve"> for funerary ceremonies </w:t>
      </w:r>
      <w:r w:rsidR="00AD0120">
        <w:t>associated with the burials. Including offering rituals and commemorative activities carr</w:t>
      </w:r>
      <w:r w:rsidR="00010624">
        <w:t>ied out by the priests and family members (Strudw</w:t>
      </w:r>
      <w:r w:rsidR="004D3E22">
        <w:t>ick, 2016).</w:t>
      </w:r>
      <w:r w:rsidR="00A11598">
        <w:t xml:space="preserve"> </w:t>
      </w:r>
      <w:r w:rsidR="00713DF1">
        <w:t>Family</w:t>
      </w:r>
      <w:r w:rsidR="00A11598">
        <w:t xml:space="preserve"> members, priests, and visitors could </w:t>
      </w:r>
      <w:r w:rsidR="0001272E">
        <w:t xml:space="preserve">gather in this space to perform offering rituals and commemorative ceremonies dedicated to the deceased </w:t>
      </w:r>
      <w:r w:rsidR="0031242C">
        <w:t>(Reeves and Wilkinson, 1996).</w:t>
      </w:r>
    </w:p>
    <w:p w14:paraId="17E27772" w14:textId="1CC96141" w:rsidR="006000FC" w:rsidRDefault="0031242C" w:rsidP="006B436F">
      <w:r>
        <w:lastRenderedPageBreak/>
        <w:t xml:space="preserve"> These rituals were essential to ensuring that the deceased </w:t>
      </w:r>
      <w:bookmarkStart w:id="11" w:name="_Int_SMb1428B"/>
      <w:r>
        <w:t>would</w:t>
      </w:r>
      <w:bookmarkEnd w:id="11"/>
      <w:r>
        <w:t xml:space="preserve"> </w:t>
      </w:r>
      <w:r w:rsidR="00D90263">
        <w:t>continue</w:t>
      </w:r>
      <w:r>
        <w:t xml:space="preserve"> to revive the sustenance they needed within the afterlife. </w:t>
      </w:r>
    </w:p>
    <w:p w14:paraId="4DEC797B" w14:textId="5B54DCFF" w:rsidR="00936272" w:rsidRDefault="00936272" w:rsidP="006B436F">
      <w:r>
        <w:t>The open</w:t>
      </w:r>
      <w:r w:rsidR="000C7453">
        <w:t xml:space="preserve"> design of the courtyard allows light to enter the tomb complex, which created a symb</w:t>
      </w:r>
      <w:r w:rsidR="008A69A2">
        <w:t xml:space="preserve">olic connection with the sun and the cycle of rebirth. Solar symbolism was a key </w:t>
      </w:r>
      <w:r w:rsidR="004E312D">
        <w:t xml:space="preserve">part </w:t>
      </w:r>
      <w:r w:rsidR="008A69A2">
        <w:t xml:space="preserve">of Egyptian beliefs about the afterlife, and the </w:t>
      </w:r>
      <w:r w:rsidR="009E4A62">
        <w:t xml:space="preserve">architectural iron station of tombs often reflected these religious concepts (Strudwick, 2016). </w:t>
      </w:r>
    </w:p>
    <w:p w14:paraId="7FC35834" w14:textId="61AF0A30" w:rsidR="009E1628" w:rsidRDefault="009E1628" w:rsidP="006B436F">
      <w:r>
        <w:t xml:space="preserve">The open design of the courtyard also allowed sunlight to enter the tomb complex. </w:t>
      </w:r>
      <w:r w:rsidR="00CC4935">
        <w:t>Solar symbolism was associated with the concepts of rebirth within Ancient Egyptian beliefs</w:t>
      </w:r>
      <w:r w:rsidR="00E8051A">
        <w:t xml:space="preserve">, and the presence of sunlight within funerary architecture may have reinforced these symbolic meanings (Shaw, 2000). </w:t>
      </w:r>
    </w:p>
    <w:p w14:paraId="07459263" w14:textId="1B18715F" w:rsidR="001873A4" w:rsidRDefault="00AE4C7E" w:rsidP="006B436F">
      <w:r>
        <w:t xml:space="preserve">Beyond the courtyard lies the cult chapel, which </w:t>
      </w:r>
      <w:bookmarkStart w:id="12" w:name="_Int_1qpntXSn"/>
      <w:r>
        <w:t>represents</w:t>
      </w:r>
      <w:bookmarkEnd w:id="12"/>
      <w:r>
        <w:t xml:space="preserve"> the central architectural feature of the tomb. The </w:t>
      </w:r>
      <w:r w:rsidR="00ED7989">
        <w:t>chapel follows the standard inverted T-shaped plan that is typical of many private tombs from the E</w:t>
      </w:r>
      <w:r w:rsidR="005122C3">
        <w:t xml:space="preserve">ighteenth Dynasty (Strudwick, no date). </w:t>
      </w:r>
    </w:p>
    <w:p w14:paraId="18887FBE" w14:textId="70B6DC23" w:rsidR="005122C3" w:rsidRDefault="005122C3" w:rsidP="006B436F">
      <w:r>
        <w:t>This layout consists of a tr</w:t>
      </w:r>
      <w:r w:rsidR="008D6999">
        <w:t xml:space="preserve">ansverse hall, an axial corridor, and an inner hall supported by pillars. The arrangement of these spaces </w:t>
      </w:r>
      <w:r w:rsidR="003C5311">
        <w:t xml:space="preserve">created a processional route through the tomb and structured the movement of visitors within the monument. </w:t>
      </w:r>
      <w:r w:rsidR="008E3FD5">
        <w:t xml:space="preserve">This type of space </w:t>
      </w:r>
      <w:r w:rsidR="007B496A">
        <w:t xml:space="preserve">reflects the symbolic journey from the world of the living to the afterlife (Reeves and Wilkinson, 1996). </w:t>
      </w:r>
    </w:p>
    <w:p w14:paraId="3AB906D8" w14:textId="2D8F9DF9" w:rsidR="003C5311" w:rsidRDefault="003C5311" w:rsidP="006B436F">
      <w:r>
        <w:t>The trans</w:t>
      </w:r>
      <w:r w:rsidR="008F2381">
        <w:t xml:space="preserve">verse hall is the first interior space after entering the tomb. It runs </w:t>
      </w:r>
      <w:r w:rsidR="007257D3">
        <w:t xml:space="preserve">horizontally across the width of the tomb and provided a large area for wall decoration. The walls of this hall </w:t>
      </w:r>
      <w:bookmarkStart w:id="13" w:name="_Int_PP3NBXWL"/>
      <w:r w:rsidR="007257D3">
        <w:t>were de</w:t>
      </w:r>
      <w:r w:rsidR="00124098">
        <w:t>corated</w:t>
      </w:r>
      <w:bookmarkEnd w:id="13"/>
      <w:r w:rsidR="00124098">
        <w:t xml:space="preserve"> with scenes showing Senneferi’s life, including scenes of offerings and depictions of his </w:t>
      </w:r>
      <w:r w:rsidR="00E97D35">
        <w:t xml:space="preserve">official duties (Strudwick, 2016). </w:t>
      </w:r>
    </w:p>
    <w:p w14:paraId="5F2586EB" w14:textId="42F6F448" w:rsidR="00441001" w:rsidRDefault="00E97D35" w:rsidP="006B436F">
      <w:r>
        <w:t>These scenes served both commemorative and religious p</w:t>
      </w:r>
      <w:r w:rsidR="00184C88">
        <w:t xml:space="preserve">urposes. They celebrated the achievements of the tomb owner while also ensuring that the activities represented within the tomb </w:t>
      </w:r>
      <w:r w:rsidR="00CF3039">
        <w:t xml:space="preserve">would continue into the afterlife. In Egyptian belief, images and </w:t>
      </w:r>
      <w:r w:rsidR="0026139B">
        <w:t xml:space="preserve">texts within tombs could function as substitutes for real actions and offerings (Strudwick, 2016). </w:t>
      </w:r>
      <w:r w:rsidR="001E7B84">
        <w:t xml:space="preserve">The transverse hall stands as both a memorial space and a location where visitors could </w:t>
      </w:r>
      <w:r w:rsidR="004E312D">
        <w:t>take part</w:t>
      </w:r>
      <w:r w:rsidR="006E1A55">
        <w:t xml:space="preserve"> in rituals dedicated to the deceased</w:t>
      </w:r>
      <w:r w:rsidR="007D12D9">
        <w:t xml:space="preserve"> (Robins, 2008). </w:t>
      </w:r>
    </w:p>
    <w:p w14:paraId="78A1306A" w14:textId="3A5EA98A" w:rsidR="00F61229" w:rsidRDefault="00F61229" w:rsidP="006B436F">
      <w:r>
        <w:t xml:space="preserve">These imagines served both as commemorative and spiritual </w:t>
      </w:r>
      <w:r w:rsidR="00A05C91">
        <w:t xml:space="preserve">purposes. By </w:t>
      </w:r>
      <w:bookmarkStart w:id="14" w:name="_Int_fAbivsed"/>
      <w:r w:rsidR="00A05C91">
        <w:t>representing</w:t>
      </w:r>
      <w:bookmarkEnd w:id="14"/>
      <w:r w:rsidR="00A05C91">
        <w:t xml:space="preserve"> these activities visually, the tomb owner </w:t>
      </w:r>
      <w:r w:rsidR="00FF5F9B">
        <w:t xml:space="preserve">ensured that they would continue to </w:t>
      </w:r>
      <w:r w:rsidR="000A3B80">
        <w:t>live</w:t>
      </w:r>
      <w:r w:rsidR="00FF5F9B">
        <w:t xml:space="preserve"> eternally, providing him with food, status, and comfort in the afterlife (Robins, 2008). </w:t>
      </w:r>
    </w:p>
    <w:p w14:paraId="3BCC3E4F" w14:textId="52BB3A2E" w:rsidR="00C0061C" w:rsidRDefault="00441001" w:rsidP="006B436F">
      <w:r>
        <w:t xml:space="preserve">The axial corridor extends from the centre of the transverse hall </w:t>
      </w:r>
      <w:r w:rsidR="00EF10D8">
        <w:t xml:space="preserve">and </w:t>
      </w:r>
      <w:r>
        <w:t>leads deeper into the tomb. This co</w:t>
      </w:r>
      <w:r w:rsidR="00093703">
        <w:t>rridor forms the central axis of the chapel and guides visitors toward the inner chamber (S</w:t>
      </w:r>
      <w:r w:rsidR="00C0061C">
        <w:t>trudwick</w:t>
      </w:r>
      <w:r w:rsidR="00093703">
        <w:t xml:space="preserve">, no date). </w:t>
      </w:r>
    </w:p>
    <w:p w14:paraId="34B03FC7" w14:textId="4E24A344" w:rsidR="00C0061C" w:rsidRDefault="00C0061C" w:rsidP="006B436F">
      <w:r>
        <w:t>Architecturally, this corridor create</w:t>
      </w:r>
      <w:r w:rsidR="00ED0F4B">
        <w:t xml:space="preserve">s a sense of movement and progression within the tomb. As visitors move further into the monument, the spaces become more </w:t>
      </w:r>
      <w:r w:rsidR="009D604E">
        <w:t xml:space="preserve">enclosed and symbolically closer to the burial chamber. This progression refracts the Egyptian </w:t>
      </w:r>
      <w:r w:rsidR="009D604E">
        <w:lastRenderedPageBreak/>
        <w:t xml:space="preserve">concept of the journey from the </w:t>
      </w:r>
      <w:r w:rsidR="005412EB">
        <w:t xml:space="preserve">world of the living into the </w:t>
      </w:r>
      <w:r w:rsidR="00C70913">
        <w:t xml:space="preserve">afterlife. (Reeves and Wilkinson, 1996). </w:t>
      </w:r>
    </w:p>
    <w:p w14:paraId="4E5C1F78" w14:textId="778A60D4" w:rsidR="00FD78D9" w:rsidRDefault="005412EB" w:rsidP="006B436F">
      <w:r>
        <w:t xml:space="preserve">At the end of the corridor lies the inner hall, which contains </w:t>
      </w:r>
      <w:r w:rsidR="0029762A">
        <w:t xml:space="preserve">pillars that support the ceiling. The presence of pillars allowed the </w:t>
      </w:r>
      <w:r w:rsidR="00FD78D9">
        <w:t>construction</w:t>
      </w:r>
      <w:r w:rsidR="0029762A">
        <w:t xml:space="preserve"> of a large interior space and provided </w:t>
      </w:r>
      <w:r w:rsidR="004E312D">
        <w:t>more</w:t>
      </w:r>
      <w:r w:rsidR="0029762A">
        <w:t xml:space="preserve"> s</w:t>
      </w:r>
      <w:r w:rsidR="00FD78D9">
        <w:t>urfaces for decoration (Strudwick, no date</w:t>
      </w:r>
      <w:r w:rsidR="00AC2D3C">
        <w:t xml:space="preserve">, </w:t>
      </w:r>
      <w:r w:rsidR="004E312D">
        <w:t>Nicholson,</w:t>
      </w:r>
      <w:r w:rsidR="00AC2D3C">
        <w:t xml:space="preserve"> and Shaw, 2000). </w:t>
      </w:r>
    </w:p>
    <w:p w14:paraId="2ADE7B25" w14:textId="548E8387" w:rsidR="0026690F" w:rsidRDefault="00FD78D9" w:rsidP="006B436F">
      <w:r>
        <w:t xml:space="preserve">The decoration of this hall </w:t>
      </w:r>
      <w:r w:rsidR="00564EC0">
        <w:t xml:space="preserve">focused primarily on </w:t>
      </w:r>
      <w:r w:rsidR="00F71250">
        <w:t>offering</w:t>
      </w:r>
      <w:r w:rsidR="00564EC0">
        <w:t xml:space="preserve"> scenes and religious imagery associated with the afterlife. These </w:t>
      </w:r>
      <w:r w:rsidR="00116D58">
        <w:t>scenes emphasised the importance of ensuring that the deceased would continu</w:t>
      </w:r>
      <w:r w:rsidR="00CB58C6">
        <w:t>e</w:t>
      </w:r>
      <w:r w:rsidR="00116D58">
        <w:t xml:space="preserve"> to </w:t>
      </w:r>
      <w:r w:rsidR="0026690F">
        <w:t xml:space="preserve">revive offerings and sustenance after death. </w:t>
      </w:r>
      <w:r w:rsidR="001377F8">
        <w:t xml:space="preserve">The pillars also provided </w:t>
      </w:r>
      <w:r w:rsidR="004E312D">
        <w:t>added</w:t>
      </w:r>
      <w:r w:rsidR="001377F8">
        <w:t xml:space="preserve"> surfaces for decoration. In many New Kingdom tombs, these areas </w:t>
      </w:r>
      <w:bookmarkStart w:id="15" w:name="_Int_mF928Q4t"/>
      <w:r w:rsidR="001377F8">
        <w:t>were decorated</w:t>
      </w:r>
      <w:bookmarkEnd w:id="15"/>
      <w:r w:rsidR="001377F8">
        <w:t xml:space="preserve"> with offering scenes, religious texts, and images of the tomb owner </w:t>
      </w:r>
      <w:r w:rsidR="00137E28">
        <w:t>taking part</w:t>
      </w:r>
      <w:r w:rsidR="001377F8">
        <w:t xml:space="preserve"> in ritual activities (Robins, 2008). </w:t>
      </w:r>
    </w:p>
    <w:p w14:paraId="67D197B9" w14:textId="1FC9C34E" w:rsidR="005412EB" w:rsidRDefault="0026690F" w:rsidP="006B436F">
      <w:r>
        <w:t>The presence of such an elaborate in</w:t>
      </w:r>
      <w:r w:rsidR="00903035">
        <w:t xml:space="preserve">terior hall suggests that Senneferi possessed significant resources and social status, as the construction and decoration of such spaces </w:t>
      </w:r>
      <w:r w:rsidR="00F71250">
        <w:t xml:space="preserve">required considerable labour </w:t>
      </w:r>
      <w:r w:rsidR="006D1E16">
        <w:t xml:space="preserve">from skilled </w:t>
      </w:r>
      <w:r w:rsidR="00AB23FF">
        <w:t xml:space="preserve">workers </w:t>
      </w:r>
      <w:r w:rsidR="00F71250">
        <w:t xml:space="preserve">and </w:t>
      </w:r>
      <w:r w:rsidR="00AB23FF">
        <w:t xml:space="preserve">would have had great </w:t>
      </w:r>
      <w:r w:rsidR="00F71250">
        <w:t>expense</w:t>
      </w:r>
      <w:r w:rsidR="00B16266">
        <w:t>s</w:t>
      </w:r>
      <w:r w:rsidR="00AB23FF">
        <w:t xml:space="preserve">, this </w:t>
      </w:r>
      <w:r w:rsidR="002042AB">
        <w:t>demonstrates the wealth and resources available to the elite officials such as Senneferi</w:t>
      </w:r>
      <w:r w:rsidR="00F71250">
        <w:t xml:space="preserve"> (Strudwick, 2016</w:t>
      </w:r>
      <w:r w:rsidR="002042AB">
        <w:t>, Nicholson and Shaw, 2000</w:t>
      </w:r>
      <w:r w:rsidR="00F71250">
        <w:t xml:space="preserve">). </w:t>
      </w:r>
    </w:p>
    <w:p w14:paraId="4FA3DA17" w14:textId="225BEA9E" w:rsidR="002042AB" w:rsidRDefault="002042AB" w:rsidP="006B436F">
      <w:r>
        <w:t>Below the chapel complex were the burial chambers</w:t>
      </w:r>
      <w:r w:rsidR="00816A60">
        <w:t xml:space="preserve">, intended to house Senneferi’s coffin and funerary equipment. These chambers </w:t>
      </w:r>
      <w:bookmarkStart w:id="16" w:name="_Int_lVPdFqUb"/>
      <w:r w:rsidR="00816A60">
        <w:t>were separated</w:t>
      </w:r>
      <w:bookmarkEnd w:id="16"/>
      <w:r w:rsidR="00816A60">
        <w:t xml:space="preserve"> from the cult chapel above, which reflects the dual purpose of the tomb (Strudwick, 2016).</w:t>
      </w:r>
    </w:p>
    <w:p w14:paraId="4E26C848" w14:textId="37D754C6" w:rsidR="00816A60" w:rsidRDefault="00816A60" w:rsidP="006B436F">
      <w:r>
        <w:t xml:space="preserve">While the chapel served as a place for ritual activity and commemoration, the burial chamber </w:t>
      </w:r>
      <w:bookmarkStart w:id="17" w:name="_Int_I6qVJ9nd"/>
      <w:r>
        <w:t>was designed</w:t>
      </w:r>
      <w:bookmarkEnd w:id="17"/>
      <w:r>
        <w:t xml:space="preserve"> to protect the body of the deceased and the objects </w:t>
      </w:r>
      <w:r w:rsidR="00137E28">
        <w:t>needed</w:t>
      </w:r>
      <w:r w:rsidR="00FE1C2F">
        <w:t xml:space="preserve"> for the afterlife. These objects often included coffins, funerary </w:t>
      </w:r>
      <w:r w:rsidR="00406593">
        <w:t>equipment</w:t>
      </w:r>
      <w:r w:rsidR="00FE1C2F">
        <w:t xml:space="preserve">, shanti </w:t>
      </w:r>
      <w:r w:rsidR="00137E28">
        <w:t>figures,</w:t>
      </w:r>
      <w:r w:rsidR="00FE1C2F">
        <w:t xml:space="preserve"> and </w:t>
      </w:r>
      <w:r w:rsidR="00406593">
        <w:t xml:space="preserve">personal possessions which </w:t>
      </w:r>
      <w:bookmarkStart w:id="18" w:name="_Int_JUgLJLrr"/>
      <w:r w:rsidR="00406593">
        <w:t>were intended</w:t>
      </w:r>
      <w:bookmarkEnd w:id="18"/>
      <w:r w:rsidR="00406593">
        <w:t xml:space="preserve"> to </w:t>
      </w:r>
      <w:r w:rsidR="00137E28">
        <w:t>go with</w:t>
      </w:r>
      <w:r w:rsidR="00406593">
        <w:t xml:space="preserve"> the deceaseds into the afterlife (Shaw, 2000). </w:t>
      </w:r>
    </w:p>
    <w:p w14:paraId="05210F07" w14:textId="6D2151DE" w:rsidR="00752CE3" w:rsidRDefault="00752CE3" w:rsidP="006B436F">
      <w:r>
        <w:t xml:space="preserve">Unfortunately, many of these objects have been lost due to tomb robbery and later disturbances, the removal of burial goods was a common problem throughout the Theban </w:t>
      </w:r>
      <w:r w:rsidR="005D14F1">
        <w:t xml:space="preserve">necropolis, as tombs </w:t>
      </w:r>
      <w:r w:rsidR="003B5E55">
        <w:t xml:space="preserve">were frequently targeted by robbers who wanted valuable materials such as gold and precious stones </w:t>
      </w:r>
      <w:r w:rsidR="003D4275">
        <w:t xml:space="preserve">(Reeves and Wilkinson, 1996). </w:t>
      </w:r>
      <w:r>
        <w:t xml:space="preserve"> </w:t>
      </w:r>
    </w:p>
    <w:p w14:paraId="7132A32A" w14:textId="77777777" w:rsidR="00B216A4" w:rsidRDefault="00B216A4" w:rsidP="00287F21">
      <w:pPr>
        <w:pStyle w:val="Heading2"/>
      </w:pPr>
    </w:p>
    <w:p w14:paraId="2A98C5DD" w14:textId="77777777" w:rsidR="00B216A4" w:rsidRDefault="00B216A4" w:rsidP="00287F21">
      <w:pPr>
        <w:pStyle w:val="Heading2"/>
      </w:pPr>
    </w:p>
    <w:p w14:paraId="03D303FB" w14:textId="77777777" w:rsidR="00B216A4" w:rsidRDefault="00B216A4" w:rsidP="00287F21">
      <w:pPr>
        <w:pStyle w:val="Heading2"/>
      </w:pPr>
    </w:p>
    <w:p w14:paraId="45169F09" w14:textId="41EB8826" w:rsidR="00287F21" w:rsidRDefault="00287F21" w:rsidP="00287F21">
      <w:pPr>
        <w:pStyle w:val="Heading2"/>
      </w:pPr>
      <w:r>
        <w:t>Material Culture and Artefacts</w:t>
      </w:r>
    </w:p>
    <w:p w14:paraId="705CB61A" w14:textId="141B5F72" w:rsidR="0082493E" w:rsidRDefault="006C47DB" w:rsidP="006B436F">
      <w:r>
        <w:rPr>
          <w:noProof/>
        </w:rPr>
        <w:drawing>
          <wp:anchor distT="0" distB="0" distL="114300" distR="114300" simplePos="0" relativeHeight="251659264" behindDoc="0" locked="0" layoutInCell="1" allowOverlap="1" wp14:anchorId="3635676E" wp14:editId="19AD361E">
            <wp:simplePos x="0" y="0"/>
            <wp:positionH relativeFrom="column">
              <wp:posOffset>-37465</wp:posOffset>
            </wp:positionH>
            <wp:positionV relativeFrom="paragraph">
              <wp:posOffset>971013</wp:posOffset>
            </wp:positionV>
            <wp:extent cx="5906770" cy="3766820"/>
            <wp:effectExtent l="0" t="0" r="0" b="5080"/>
            <wp:wrapTopAndBottom/>
            <wp:docPr id="1485948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948250" name="Picture 1485948250"/>
                    <pic:cNvPicPr/>
                  </pic:nvPicPr>
                  <pic:blipFill>
                    <a:blip r:embed="rId5">
                      <a:extLst>
                        <a:ext uri="{28A0092B-C50C-407E-A947-70E740481C1C}">
                          <a14:useLocalDpi xmlns:a14="http://schemas.microsoft.com/office/drawing/2010/main" val="0"/>
                        </a:ext>
                      </a:extLst>
                    </a:blip>
                    <a:stretch>
                      <a:fillRect/>
                    </a:stretch>
                  </pic:blipFill>
                  <pic:spPr>
                    <a:xfrm>
                      <a:off x="0" y="0"/>
                      <a:ext cx="5906770" cy="3766820"/>
                    </a:xfrm>
                    <a:prstGeom prst="rect">
                      <a:avLst/>
                    </a:prstGeom>
                  </pic:spPr>
                </pic:pic>
              </a:graphicData>
            </a:graphic>
            <wp14:sizeRelH relativeFrom="margin">
              <wp14:pctWidth>0</wp14:pctWidth>
            </wp14:sizeRelH>
            <wp14:sizeRelV relativeFrom="margin">
              <wp14:pctHeight>0</wp14:pctHeight>
            </wp14:sizeRelV>
          </wp:anchor>
        </w:drawing>
      </w:r>
      <w:r w:rsidR="001C014A">
        <w:t xml:space="preserve">One of the most significant artefacts associated with </w:t>
      </w:r>
      <w:r w:rsidR="00737F96">
        <w:t xml:space="preserve">TT99 is a limestone ostracon inscribed with </w:t>
      </w:r>
      <w:r w:rsidR="003D6E49">
        <w:t xml:space="preserve">writing in both hieratic and hieroglyphic scripts. The text </w:t>
      </w:r>
      <w:r w:rsidR="00137E28">
        <w:t>represents</w:t>
      </w:r>
      <w:r w:rsidR="003D6E49">
        <w:t xml:space="preserve"> an early alphabetic se</w:t>
      </w:r>
      <w:r w:rsidR="003E5C16">
        <w:t xml:space="preserve">quence which </w:t>
      </w:r>
      <w:bookmarkStart w:id="19" w:name="_Int_hmuRPHRg"/>
      <w:r w:rsidR="003E5C16">
        <w:t>is sometimes referred</w:t>
      </w:r>
      <w:bookmarkEnd w:id="19"/>
      <w:r w:rsidR="003E5C16">
        <w:t xml:space="preserve"> to the “Halaham’ </w:t>
      </w:r>
      <w:r w:rsidR="00AD5C3F">
        <w:rPr>
          <w:noProof/>
        </w:rPr>
        <mc:AlternateContent>
          <mc:Choice Requires="wps">
            <w:drawing>
              <wp:anchor distT="45720" distB="45720" distL="114300" distR="114300" simplePos="0" relativeHeight="251660288" behindDoc="0" locked="0" layoutInCell="1" allowOverlap="1" wp14:anchorId="7200AA86" wp14:editId="1A6DC875">
                <wp:simplePos x="0" y="0"/>
                <wp:positionH relativeFrom="column">
                  <wp:posOffset>3177394</wp:posOffset>
                </wp:positionH>
                <wp:positionV relativeFrom="paragraph">
                  <wp:posOffset>3822107</wp:posOffset>
                </wp:positionV>
                <wp:extent cx="1648460" cy="449580"/>
                <wp:effectExtent l="0" t="0" r="15240" b="7620"/>
                <wp:wrapSquare wrapText="bothSides"/>
                <wp:docPr id="431831749" name="Text Box 1"/>
                <wp:cNvGraphicFramePr/>
                <a:graphic xmlns:a="http://schemas.openxmlformats.org/drawingml/2006/main">
                  <a:graphicData uri="http://schemas.microsoft.com/office/word/2010/wordprocessingShape">
                    <wps:wsp>
                      <wps:cNvSpPr txBox="1"/>
                      <wps:spPr>
                        <a:xfrm>
                          <a:off x="0" y="0"/>
                          <a:ext cx="1648460" cy="449580"/>
                        </a:xfrm>
                        <a:prstGeom prst="rect">
                          <a:avLst/>
                        </a:prstGeom>
                        <a:solidFill>
                          <a:prstClr val="white"/>
                        </a:solidFill>
                        <a:ln w="6350">
                          <a:solidFill>
                            <a:prstClr val="black"/>
                          </a:solidFill>
                        </a:ln>
                      </wps:spPr>
                      <wps:txbx>
                        <w:txbxContent>
                          <w:p w14:paraId="0EDAD90E" w14:textId="6056D77E" w:rsidR="00AD5C3F" w:rsidRDefault="00AD5C3F">
                            <w:r w:rsidRPr="00AD5C3F">
                              <w:t>https://share.google/WPcWY5vFFkVSE0OP1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00AA86" id="_x0000_t202" coordsize="21600,21600" o:spt="202" path="m,l,21600r21600,l21600,xe">
                <v:stroke joinstyle="miter"/>
                <v:path gradientshapeok="t" o:connecttype="rect"/>
              </v:shapetype>
              <v:shape id="Text Box 1" o:spid="_x0000_s1026" type="#_x0000_t202" style="position:absolute;margin-left:250.2pt;margin-top:300.95pt;width:129.8pt;height:35.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" strokeweight=".5pt">
                <v:textbox>
                  <w:txbxContent>
                    <w:p w14:paraId="0EDAD90E" w14:textId="6056D77E" w:rsidR="00AD5C3F" w:rsidRDefault="00AD5C3F">
                      <w:r w:rsidRPr="00AD5C3F">
                        <w:t>https://share.google/WPcWY5vFFkVSE0OP1</w:t>
                      </w:r>
                    </w:p>
                  </w:txbxContent>
                </v:textbox>
                <w10:wrap type="square"/>
              </v:shape>
            </w:pict>
          </mc:Fallback>
        </mc:AlternateContent>
      </w:r>
      <w:r w:rsidR="003E5C16">
        <w:t xml:space="preserve">order (Strudwick, 2016). </w:t>
      </w:r>
    </w:p>
    <w:p w14:paraId="2E93A6C3" w14:textId="20A2A95A" w:rsidR="00EC0ADA" w:rsidRDefault="00EC0ADA" w:rsidP="006B436F">
      <w:r>
        <w:t xml:space="preserve">This ostracon is important because it provides evidence for </w:t>
      </w:r>
      <w:r w:rsidR="00792225">
        <w:t xml:space="preserve">early alphabetic writing traditions. </w:t>
      </w:r>
      <w:bookmarkStart w:id="20" w:name="_Int_f9uIVnPX"/>
      <w:r w:rsidR="00792225">
        <w:t>It’s</w:t>
      </w:r>
      <w:bookmarkEnd w:id="20"/>
      <w:r w:rsidR="00792225">
        <w:t xml:space="preserve"> presence within the tomb suggests a connection between Senneferi and scribal texture, reinforcing the idea that he was involved in administrative activities </w:t>
      </w:r>
      <w:r w:rsidR="00111039">
        <w:t>requiring</w:t>
      </w:r>
      <w:r w:rsidR="00792225">
        <w:t xml:space="preserve"> literacy and record keeping </w:t>
      </w:r>
      <w:r w:rsidR="00111039">
        <w:t xml:space="preserve">(Moreno Gracía, 2013). </w:t>
      </w:r>
    </w:p>
    <w:p w14:paraId="36FA76AA" w14:textId="6D8965AF" w:rsidR="00DD7F75" w:rsidRDefault="00D60D6B" w:rsidP="006B436F">
      <w:r>
        <w:t xml:space="preserve">One important category of artefacts associated with the tomb of Senneferi is the funerary cone. Funerary cones were small conical objects made of clay, typically stamped with inscriptions </w:t>
      </w:r>
      <w:r w:rsidR="00137E28">
        <w:t>holding</w:t>
      </w:r>
      <w:r>
        <w:t xml:space="preserve"> the name and titles of the tomb owner. These objects </w:t>
      </w:r>
      <w:bookmarkStart w:id="21" w:name="_Int_Z1Ody9wj"/>
      <w:r>
        <w:t>were commonly embedded</w:t>
      </w:r>
      <w:bookmarkEnd w:id="21"/>
      <w:r>
        <w:t xml:space="preserve"> in rows above the entrances of tomb chapels in the Theban necropolis </w:t>
      </w:r>
      <w:r w:rsidR="00842F97">
        <w:t xml:space="preserve">(Strudwick, 2016). </w:t>
      </w:r>
    </w:p>
    <w:p w14:paraId="79968211" w14:textId="64EC80A3" w:rsidR="00842F97" w:rsidRDefault="00B17BA7" w:rsidP="006B436F">
      <w:r>
        <w:t xml:space="preserve">The funerary cones from TT99 </w:t>
      </w:r>
      <w:bookmarkStart w:id="22" w:name="_Int_gupKfeUw"/>
      <w:r w:rsidR="00AC1BA0">
        <w:t>has</w:t>
      </w:r>
      <w:bookmarkEnd w:id="22"/>
      <w:r>
        <w:t xml:space="preserve"> inscriptions naming Senneferi and recording his official titles. Such inscriptions functioned as a public declaration of identity and status, </w:t>
      </w:r>
      <w:r>
        <w:lastRenderedPageBreak/>
        <w:t xml:space="preserve">ensuring that the </w:t>
      </w:r>
      <w:r w:rsidR="00147C2F">
        <w:t>visitors</w:t>
      </w:r>
      <w:r>
        <w:t xml:space="preserve"> of the tomb would recognise the importance of its owner. The placement of funerary cones above the entrance also served </w:t>
      </w:r>
      <w:r w:rsidR="00DD234D">
        <w:t xml:space="preserve">as a commemorative function, marking the tomb within the necropolis and reinforcing the connection between the monument and the </w:t>
      </w:r>
      <w:r w:rsidR="00147C2F">
        <w:t>individual</w:t>
      </w:r>
      <w:r w:rsidR="00DD234D">
        <w:t xml:space="preserve"> </w:t>
      </w:r>
      <w:r w:rsidR="00147C2F">
        <w:t xml:space="preserve">buried within it (Shaw, 2000). </w:t>
      </w:r>
    </w:p>
    <w:p w14:paraId="554CDF3D" w14:textId="1659A443" w:rsidR="00374BA0" w:rsidRDefault="002349F4" w:rsidP="006B436F">
      <w:r>
        <w:rPr>
          <w:noProof/>
        </w:rPr>
        <mc:AlternateContent>
          <mc:Choice Requires="wps">
            <w:drawing>
              <wp:anchor distT="45720" distB="45720" distL="114300" distR="114300" simplePos="0" relativeHeight="251662336" behindDoc="0" locked="0" layoutInCell="1" allowOverlap="1" wp14:anchorId="50AFF235" wp14:editId="315C7533">
                <wp:simplePos x="0" y="0"/>
                <wp:positionH relativeFrom="column">
                  <wp:posOffset>4467048</wp:posOffset>
                </wp:positionH>
                <wp:positionV relativeFrom="paragraph">
                  <wp:posOffset>3477260</wp:posOffset>
                </wp:positionV>
                <wp:extent cx="1857375" cy="1270000"/>
                <wp:effectExtent l="0" t="0" r="9525" b="17145"/>
                <wp:wrapSquare wrapText="bothSides"/>
                <wp:docPr id="1401958543" name="Text Box 3"/>
                <wp:cNvGraphicFramePr/>
                <a:graphic xmlns:a="http://schemas.openxmlformats.org/drawingml/2006/main">
                  <a:graphicData uri="http://schemas.microsoft.com/office/word/2010/wordprocessingShape">
                    <wps:wsp>
                      <wps:cNvSpPr txBox="1"/>
                      <wps:spPr>
                        <a:xfrm>
                          <a:off x="0" y="0"/>
                          <a:ext cx="1857375" cy="1270000"/>
                        </a:xfrm>
                        <a:prstGeom prst="rect">
                          <a:avLst/>
                        </a:prstGeom>
                        <a:solidFill>
                          <a:prstClr val="white"/>
                        </a:solidFill>
                        <a:ln w="6350">
                          <a:solidFill>
                            <a:prstClr val="black"/>
                          </a:solidFill>
                        </a:ln>
                      </wps:spPr>
                      <wps:txbx>
                        <w:txbxContent>
                          <w:p w14:paraId="5283BA7A" w14:textId="2A169885" w:rsidR="002349F4" w:rsidRDefault="002349F4">
                            <w:r w:rsidRPr="002349F4">
                              <w:t>https://share.google/Ssw2A5yQpep97BuDQ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50AFF235" id="Text Box 3" o:spid="_x0000_s1027" type="#_x0000_t202" style="position:absolute;margin-left:351.75pt;margin-top:273.8pt;width:146.25pt;height:100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" strokeweight=".5pt">
                <v:textbox style="mso-fit-shape-to-text:t">
                  <w:txbxContent>
                    <w:p w14:paraId="5283BA7A" w14:textId="2A169885" w:rsidR="002349F4" w:rsidRDefault="002349F4">
                      <w:r w:rsidRPr="002349F4">
                        <w:t>https://share.google/Ssw2A5yQpep97BuDQ</w:t>
                      </w:r>
                    </w:p>
                  </w:txbxContent>
                </v:textbox>
                <w10:wrap type="square"/>
              </v:shape>
            </w:pict>
          </mc:Fallback>
        </mc:AlternateContent>
      </w:r>
      <w:r w:rsidR="008979C9">
        <w:rPr>
          <w:noProof/>
        </w:rPr>
        <w:drawing>
          <wp:anchor distT="0" distB="0" distL="114300" distR="114300" simplePos="0" relativeHeight="251661312" behindDoc="0" locked="0" layoutInCell="1" allowOverlap="1" wp14:anchorId="3D7FEBF1" wp14:editId="7ACEAE78">
            <wp:simplePos x="0" y="0"/>
            <wp:positionH relativeFrom="column">
              <wp:posOffset>90617</wp:posOffset>
            </wp:positionH>
            <wp:positionV relativeFrom="paragraph">
              <wp:posOffset>14605</wp:posOffset>
            </wp:positionV>
            <wp:extent cx="5731510" cy="3806190"/>
            <wp:effectExtent l="0" t="0" r="0" b="3810"/>
            <wp:wrapTopAndBottom/>
            <wp:docPr id="13614899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489946" name="Picture 1361489946"/>
                    <pic:cNvPicPr/>
                  </pic:nvPicPr>
                  <pic:blipFill>
                    <a:blip r:embed="rId6">
                      <a:extLst>
                        <a:ext uri="{28A0092B-C50C-407E-A947-70E740481C1C}">
                          <a14:useLocalDpi xmlns:a14="http://schemas.microsoft.com/office/drawing/2010/main" val="0"/>
                        </a:ext>
                      </a:extLst>
                    </a:blip>
                    <a:stretch>
                      <a:fillRect/>
                    </a:stretch>
                  </pic:blipFill>
                  <pic:spPr>
                    <a:xfrm>
                      <a:off x="0" y="0"/>
                      <a:ext cx="5731510" cy="3806190"/>
                    </a:xfrm>
                    <a:prstGeom prst="rect">
                      <a:avLst/>
                    </a:prstGeom>
                  </pic:spPr>
                </pic:pic>
              </a:graphicData>
            </a:graphic>
          </wp:anchor>
        </w:drawing>
      </w:r>
      <w:r w:rsidR="00933E0C">
        <w:t xml:space="preserve">Funerary cones wee associated with elite tombs of the New Kingdom and therefore provide </w:t>
      </w:r>
      <w:r w:rsidR="00CD4A56">
        <w:t>more</w:t>
      </w:r>
      <w:r w:rsidR="00124EC4">
        <w:t xml:space="preserve"> evidence</w:t>
      </w:r>
      <w:r w:rsidR="00933E0C">
        <w:t xml:space="preserve"> of </w:t>
      </w:r>
      <w:r w:rsidR="00124EC4">
        <w:t>Senneferi’s</w:t>
      </w:r>
      <w:r w:rsidR="00933E0C">
        <w:t xml:space="preserve"> </w:t>
      </w:r>
      <w:r w:rsidR="00124EC4">
        <w:t>high social standing.</w:t>
      </w:r>
    </w:p>
    <w:p w14:paraId="3EACC2D2" w14:textId="5CE5ABAA" w:rsidR="00111039" w:rsidRDefault="00C244AF" w:rsidP="006B436F">
      <w:r>
        <w:t>The decorative programme of TT99 provides further evidence of Senneferi’s identity and status. Sc</w:t>
      </w:r>
      <w:r w:rsidR="007A00D0">
        <w:t>enes</w:t>
      </w:r>
      <w:r>
        <w:t xml:space="preserve"> within the tomb depict offering rituals, family members, and aspects of the </w:t>
      </w:r>
      <w:r w:rsidR="00D97905">
        <w:t xml:space="preserve">tomb owner’s life and career (Strudwick, 2016). </w:t>
      </w:r>
    </w:p>
    <w:p w14:paraId="12AD9EEF" w14:textId="651A0705" w:rsidR="00D97905" w:rsidRDefault="00D97905" w:rsidP="006B436F">
      <w:r>
        <w:t xml:space="preserve">In Egyptian funerary belief, images and texts within tombs were not simply decorative but </w:t>
      </w:r>
      <w:bookmarkStart w:id="23" w:name="_Int_7JpqOHCS"/>
      <w:r>
        <w:t xml:space="preserve">were </w:t>
      </w:r>
      <w:r w:rsidR="007A00D0">
        <w:t>believed</w:t>
      </w:r>
      <w:bookmarkEnd w:id="23"/>
      <w:r>
        <w:t xml:space="preserve"> to </w:t>
      </w:r>
      <w:r w:rsidR="007A00D0">
        <w:t>have</w:t>
      </w:r>
      <w:r>
        <w:t xml:space="preserve"> spiritual power. By depicting offerings and ritual activities, the tomb owner ensured that these actions would continue to occur eternally in the afterlife (Robins, 2008). </w:t>
      </w:r>
    </w:p>
    <w:p w14:paraId="690B301E" w14:textId="73B219F8" w:rsidR="00E96831" w:rsidRDefault="00E96831" w:rsidP="006B436F">
      <w:r>
        <w:t>Inscriptions within the tomb record Senneferi</w:t>
      </w:r>
      <w:r w:rsidR="00D56012">
        <w:t>’</w:t>
      </w:r>
      <w:r>
        <w:t>s official titles and emphasises his position within the royal administration. Titles were an important indicator of status in ancient Egyptian society, and their inclusion in the tomb decoration served to reinforce the social identity of the tomb owner (Moreno Gracía, 2013). By dis</w:t>
      </w:r>
      <w:r w:rsidR="00D56012">
        <w:t xml:space="preserve">playing these titles, Senneferi ensured that his achievements and authority would </w:t>
      </w:r>
      <w:bookmarkStart w:id="24" w:name="_Int_xQWRPLIL"/>
      <w:r w:rsidR="00D56012">
        <w:t>be remembered</w:t>
      </w:r>
      <w:bookmarkEnd w:id="24"/>
      <w:r w:rsidR="00D56012">
        <w:t xml:space="preserve"> long after his death. </w:t>
      </w:r>
    </w:p>
    <w:p w14:paraId="644CC9C6" w14:textId="4A14A3D1" w:rsidR="00083899" w:rsidRDefault="00083899" w:rsidP="00083899">
      <w:pPr>
        <w:pStyle w:val="Heading2"/>
      </w:pPr>
      <w:r>
        <w:lastRenderedPageBreak/>
        <w:t>Social Status and Identity</w:t>
      </w:r>
    </w:p>
    <w:p w14:paraId="118F31E2" w14:textId="485F3E4D" w:rsidR="00D97905" w:rsidRDefault="00D50E06" w:rsidP="006B436F">
      <w:r>
        <w:t>The arch</w:t>
      </w:r>
      <w:r w:rsidR="00705619">
        <w:t>itecture</w:t>
      </w:r>
      <w:r>
        <w:t xml:space="preserve"> and material culture of TT99 demonstrates that Senneferi occupied </w:t>
      </w:r>
      <w:r w:rsidR="00CD4A56">
        <w:t>a prominent position</w:t>
      </w:r>
      <w:r>
        <w:t xml:space="preserve"> within the administrative hierarchy of the Egyptian state. </w:t>
      </w:r>
    </w:p>
    <w:p w14:paraId="00152E6F" w14:textId="7895133B" w:rsidR="001377F8" w:rsidRDefault="00031CF3" w:rsidP="006B436F">
      <w:r>
        <w:t xml:space="preserve">Firstly, the inscriptions and the artefacts associated with scribal practices highlight the importance of literacy and bureaucratic administration during the </w:t>
      </w:r>
      <w:bookmarkStart w:id="25" w:name="_Int_Fpw3LsOs"/>
      <w:r>
        <w:t>New</w:t>
      </w:r>
      <w:bookmarkEnd w:id="25"/>
      <w:r>
        <w:t xml:space="preserve"> </w:t>
      </w:r>
      <w:r w:rsidR="00CD4A56">
        <w:t>K</w:t>
      </w:r>
      <w:r>
        <w:t xml:space="preserve">ingdom. Officials such as Senneferi played a crucial role in managing the economic and administrative systems that supported the Egyptian state (Moreno Gracía, 2013).  Together these elements illustrate how tomb architecture and material culture functioned as expressions of both religious belief and social status. </w:t>
      </w:r>
    </w:p>
    <w:p w14:paraId="0BDAEE1D" w14:textId="1892FCF9" w:rsidR="00083899" w:rsidRDefault="00083899" w:rsidP="00083899">
      <w:pPr>
        <w:pStyle w:val="Heading2"/>
      </w:pPr>
      <w:r>
        <w:t xml:space="preserve">Conclusion </w:t>
      </w:r>
    </w:p>
    <w:p w14:paraId="4F87813F" w14:textId="49D092C0" w:rsidR="00CF13C9" w:rsidRDefault="00CF13C9" w:rsidP="006B436F">
      <w:r>
        <w:t xml:space="preserve">The tomb of Senneferi </w:t>
      </w:r>
      <w:bookmarkStart w:id="26" w:name="_Int_1MWUayTA"/>
      <w:r w:rsidR="006939F8">
        <w:t>represents</w:t>
      </w:r>
      <w:bookmarkEnd w:id="26"/>
      <w:r>
        <w:t xml:space="preserve"> a significant example of elite private funerary architure from </w:t>
      </w:r>
      <w:r w:rsidR="003C43CF">
        <w:t>the</w:t>
      </w:r>
      <w:r>
        <w:t xml:space="preserve"> </w:t>
      </w:r>
      <w:r w:rsidR="003C43CF">
        <w:t>Eighteenth</w:t>
      </w:r>
      <w:r>
        <w:t xml:space="preserve"> </w:t>
      </w:r>
      <w:r w:rsidR="003C43CF">
        <w:t>Dynasty</w:t>
      </w:r>
      <w:r>
        <w:t xml:space="preserve">. Located within the Theban necropolis, the tomb combines an open forecourt, a T-shaped cult </w:t>
      </w:r>
      <w:r w:rsidR="003C43CF">
        <w:t>chapel, and</w:t>
      </w:r>
      <w:r>
        <w:t xml:space="preserve"> </w:t>
      </w:r>
      <w:r w:rsidR="003C43CF">
        <w:t xml:space="preserve">burial chambers in a layout typical of high-status tombs from this period. </w:t>
      </w:r>
    </w:p>
    <w:p w14:paraId="0019EE9B" w14:textId="030A52D2" w:rsidR="005D4528" w:rsidRDefault="005D4528" w:rsidP="006B436F">
      <w:r>
        <w:t xml:space="preserve">The architecture of the tomb </w:t>
      </w:r>
      <w:r w:rsidR="00850D2A">
        <w:t>structured</w:t>
      </w:r>
      <w:r>
        <w:t xml:space="preserve"> the movement of </w:t>
      </w:r>
      <w:r w:rsidR="00850D2A">
        <w:t>visitors</w:t>
      </w:r>
      <w:r>
        <w:t xml:space="preserve"> and </w:t>
      </w:r>
      <w:r w:rsidR="00824503">
        <w:t>helped</w:t>
      </w:r>
      <w:r>
        <w:t xml:space="preserve"> the performance of funerary rituals, while the decoration commemorated the life and achievements of the tomb owner. Artefacts such as the inscribed ostracon further highlights Senne</w:t>
      </w:r>
      <w:r w:rsidR="00F83D52">
        <w:t xml:space="preserve">feri’s </w:t>
      </w:r>
      <w:r w:rsidR="00850D2A">
        <w:t xml:space="preserve">connection to administrative and scribal activities within the Egyptian state. </w:t>
      </w:r>
    </w:p>
    <w:p w14:paraId="3790CC35" w14:textId="3C126E6D" w:rsidR="00850D2A" w:rsidRDefault="00850D2A" w:rsidP="006B436F">
      <w:r>
        <w:t xml:space="preserve">Although many original objects have </w:t>
      </w:r>
      <w:bookmarkStart w:id="27" w:name="_Int_Ssw7U0ri"/>
      <w:r>
        <w:t>been lost</w:t>
      </w:r>
      <w:bookmarkEnd w:id="27"/>
      <w:r>
        <w:t xml:space="preserve"> through looting and later disturbances, the surviving architure and inscriptions still provide valuable evidence for understating Senneferi’s social </w:t>
      </w:r>
      <w:r w:rsidR="00FC3806">
        <w:t>position</w:t>
      </w:r>
      <w:r>
        <w:t xml:space="preserve">. </w:t>
      </w:r>
      <w:r w:rsidR="00FC3806">
        <w:t>TT99</w:t>
      </w:r>
      <w:r>
        <w:t xml:space="preserve"> demonstrates how elite tombs served as monuments that expressed both religious beliefs about the afterlife and social identity of their owners within ancient Egyptian society. </w:t>
      </w:r>
    </w:p>
    <w:p w14:paraId="2C97093A" w14:textId="6B2F4058" w:rsidR="00FC0E6A" w:rsidRDefault="00FC0E6A" w:rsidP="00FC0E6A">
      <w:pPr>
        <w:pStyle w:val="Heading2"/>
      </w:pPr>
      <w:r>
        <w:t xml:space="preserve">References </w:t>
      </w:r>
    </w:p>
    <w:p w14:paraId="12347F3D" w14:textId="0D7F03AE" w:rsidR="00FC0E6A" w:rsidRPr="00D14945" w:rsidRDefault="00FC0E6A" w:rsidP="00FC0E6A">
      <w:pPr>
        <w:pStyle w:val="p1"/>
        <w:rPr>
          <w:rFonts w:asciiTheme="minorHAnsi" w:hAnsiTheme="minorHAnsi"/>
        </w:rPr>
      </w:pPr>
      <w:r w:rsidRPr="00D14945">
        <w:rPr>
          <w:rStyle w:val="s1"/>
          <w:rFonts w:asciiTheme="minorHAnsi" w:hAnsiTheme="minorHAnsi"/>
        </w:rPr>
        <w:t xml:space="preserve">Moreno García, J.C. (2013) </w:t>
      </w:r>
      <w:r w:rsidRPr="00D14945">
        <w:rPr>
          <w:rStyle w:val="s2"/>
          <w:rFonts w:asciiTheme="minorHAnsi" w:hAnsiTheme="minorHAnsi"/>
        </w:rPr>
        <w:t>Ancient Egyptian Administration.</w:t>
      </w:r>
      <w:r w:rsidRPr="00D14945">
        <w:rPr>
          <w:rStyle w:val="s1"/>
          <w:rFonts w:asciiTheme="minorHAnsi" w:hAnsiTheme="minorHAnsi"/>
        </w:rPr>
        <w:t xml:space="preserve"> Leiden: Brill.</w:t>
      </w:r>
    </w:p>
    <w:p w14:paraId="7E9729C5" w14:textId="42370503" w:rsidR="00FC0E6A" w:rsidRPr="00D14945" w:rsidRDefault="00FC0E6A" w:rsidP="00FC0E6A">
      <w:pPr>
        <w:pStyle w:val="p1"/>
        <w:rPr>
          <w:rFonts w:asciiTheme="minorHAnsi" w:hAnsiTheme="minorHAnsi"/>
        </w:rPr>
      </w:pPr>
      <w:r w:rsidRPr="00D14945">
        <w:rPr>
          <w:rStyle w:val="s1"/>
          <w:rFonts w:asciiTheme="minorHAnsi" w:hAnsiTheme="minorHAnsi"/>
        </w:rPr>
        <w:t xml:space="preserve">Nicholson, P. and Shaw, I. (2000) </w:t>
      </w:r>
      <w:r w:rsidRPr="00D14945">
        <w:rPr>
          <w:rStyle w:val="s2"/>
          <w:rFonts w:asciiTheme="minorHAnsi" w:hAnsiTheme="minorHAnsi"/>
        </w:rPr>
        <w:t>Ancient Egyptian Materials and Technology.</w:t>
      </w:r>
      <w:r w:rsidRPr="00D14945">
        <w:rPr>
          <w:rStyle w:val="s1"/>
          <w:rFonts w:asciiTheme="minorHAnsi" w:hAnsiTheme="minorHAnsi"/>
        </w:rPr>
        <w:t xml:space="preserve"> Cambridge: Cambridge University Press.</w:t>
      </w:r>
    </w:p>
    <w:p w14:paraId="5EC4CADD" w14:textId="1A14AA60" w:rsidR="00FC0E6A" w:rsidRPr="00D14945" w:rsidRDefault="00FC0E6A" w:rsidP="00FC0E6A">
      <w:pPr>
        <w:pStyle w:val="p1"/>
        <w:rPr>
          <w:rFonts w:asciiTheme="minorHAnsi" w:hAnsiTheme="minorHAnsi"/>
        </w:rPr>
      </w:pPr>
      <w:r w:rsidRPr="00D14945">
        <w:rPr>
          <w:rStyle w:val="s1"/>
          <w:rFonts w:asciiTheme="minorHAnsi" w:hAnsiTheme="minorHAnsi"/>
        </w:rPr>
        <w:t xml:space="preserve">Reeves, N. and Wilkinson, R. (1996) </w:t>
      </w:r>
      <w:r w:rsidRPr="00D14945">
        <w:rPr>
          <w:rStyle w:val="s2"/>
          <w:rFonts w:asciiTheme="minorHAnsi" w:hAnsiTheme="minorHAnsi"/>
        </w:rPr>
        <w:t>The Complete Valley of the Kings.</w:t>
      </w:r>
      <w:r w:rsidRPr="00D14945">
        <w:rPr>
          <w:rStyle w:val="s1"/>
          <w:rFonts w:asciiTheme="minorHAnsi" w:hAnsiTheme="minorHAnsi"/>
        </w:rPr>
        <w:t xml:space="preserve"> London: Thames &amp; Hudson.</w:t>
      </w:r>
    </w:p>
    <w:p w14:paraId="362DA44E" w14:textId="051D9EB3" w:rsidR="00FC0E6A" w:rsidRPr="00D14945" w:rsidRDefault="00FC0E6A" w:rsidP="00FC0E6A">
      <w:pPr>
        <w:pStyle w:val="p1"/>
        <w:rPr>
          <w:rFonts w:asciiTheme="minorHAnsi" w:hAnsiTheme="minorHAnsi"/>
        </w:rPr>
      </w:pPr>
      <w:r w:rsidRPr="00D14945">
        <w:rPr>
          <w:rStyle w:val="s1"/>
          <w:rFonts w:asciiTheme="minorHAnsi" w:hAnsiTheme="minorHAnsi"/>
        </w:rPr>
        <w:t xml:space="preserve">Robins, G. (2008) </w:t>
      </w:r>
      <w:r w:rsidRPr="00D14945">
        <w:rPr>
          <w:rStyle w:val="s2"/>
          <w:rFonts w:asciiTheme="minorHAnsi" w:hAnsiTheme="minorHAnsi"/>
        </w:rPr>
        <w:t>The Art of Ancient Egypt.</w:t>
      </w:r>
      <w:r w:rsidRPr="00D14945">
        <w:rPr>
          <w:rStyle w:val="s1"/>
          <w:rFonts w:asciiTheme="minorHAnsi" w:hAnsiTheme="minorHAnsi"/>
        </w:rPr>
        <w:t xml:space="preserve"> Cambridge, MA: Harvard University Press.</w:t>
      </w:r>
    </w:p>
    <w:p w14:paraId="100518B5" w14:textId="77777777" w:rsidR="00FC0E6A" w:rsidRPr="00D14945" w:rsidRDefault="00FC0E6A" w:rsidP="007D2B9F">
      <w:pPr>
        <w:pStyle w:val="p1"/>
        <w:rPr>
          <w:rFonts w:asciiTheme="minorHAnsi" w:hAnsiTheme="minorHAnsi"/>
        </w:rPr>
      </w:pPr>
      <w:r w:rsidRPr="00D14945">
        <w:rPr>
          <w:rStyle w:val="s1"/>
          <w:rFonts w:asciiTheme="minorHAnsi" w:hAnsiTheme="minorHAnsi"/>
        </w:rPr>
        <w:t xml:space="preserve">Shaw, I. (2000) </w:t>
      </w:r>
      <w:r w:rsidRPr="00D14945">
        <w:rPr>
          <w:rStyle w:val="s2"/>
          <w:rFonts w:asciiTheme="minorHAnsi" w:hAnsiTheme="minorHAnsi"/>
        </w:rPr>
        <w:t>The Oxford Handbook of Egyptology.</w:t>
      </w:r>
      <w:r w:rsidRPr="00D14945">
        <w:rPr>
          <w:rStyle w:val="s1"/>
          <w:rFonts w:asciiTheme="minorHAnsi" w:hAnsiTheme="minorHAnsi"/>
        </w:rPr>
        <w:t xml:space="preserve"> Oxford: Oxford University Press.</w:t>
      </w:r>
    </w:p>
    <w:p w14:paraId="302E1BAE" w14:textId="1503AB32" w:rsidR="00FC0E6A" w:rsidRPr="00D14945" w:rsidRDefault="00FC0E6A" w:rsidP="00FC0E6A">
      <w:pPr>
        <w:pStyle w:val="p1"/>
        <w:rPr>
          <w:rFonts w:asciiTheme="minorHAnsi" w:hAnsiTheme="minorHAnsi"/>
        </w:rPr>
      </w:pPr>
      <w:r w:rsidRPr="00D14945">
        <w:rPr>
          <w:rStyle w:val="s1"/>
          <w:rFonts w:asciiTheme="minorHAnsi" w:hAnsiTheme="minorHAnsi"/>
        </w:rPr>
        <w:lastRenderedPageBreak/>
        <w:t xml:space="preserve">Strudwick, N. (2016) </w:t>
      </w:r>
      <w:r w:rsidRPr="00D14945">
        <w:rPr>
          <w:rStyle w:val="s2"/>
          <w:rFonts w:asciiTheme="minorHAnsi" w:hAnsiTheme="minorHAnsi"/>
        </w:rPr>
        <w:t>The Tomb of Pharaoh’s Chancellor Senneferi at Thebes (TT99).</w:t>
      </w:r>
      <w:r w:rsidRPr="00D14945">
        <w:rPr>
          <w:rStyle w:val="s1"/>
          <w:rFonts w:asciiTheme="minorHAnsi" w:hAnsiTheme="minorHAnsi"/>
        </w:rPr>
        <w:t xml:space="preserve"> Oxford: Oxbow Books.</w:t>
      </w:r>
    </w:p>
    <w:p w14:paraId="73E8A27F" w14:textId="77777777" w:rsidR="00FC0E6A" w:rsidRPr="00D14945" w:rsidRDefault="00FC0E6A" w:rsidP="007D2B9F">
      <w:pPr>
        <w:pStyle w:val="p1"/>
        <w:rPr>
          <w:rFonts w:asciiTheme="minorHAnsi" w:hAnsiTheme="minorHAnsi"/>
        </w:rPr>
      </w:pPr>
      <w:r w:rsidRPr="00D14945">
        <w:rPr>
          <w:rStyle w:val="s1"/>
          <w:rFonts w:asciiTheme="minorHAnsi" w:hAnsiTheme="minorHAnsi"/>
        </w:rPr>
        <w:t xml:space="preserve">Strudwick, N. (n.d.) </w:t>
      </w:r>
      <w:r w:rsidRPr="00D14945">
        <w:rPr>
          <w:rStyle w:val="s2"/>
          <w:rFonts w:asciiTheme="minorHAnsi" w:hAnsiTheme="minorHAnsi"/>
        </w:rPr>
        <w:t>The Tomb of Senneferi (TT99): Architecture.</w:t>
      </w:r>
      <w:r w:rsidRPr="00D14945">
        <w:rPr>
          <w:rStyle w:val="s1"/>
          <w:rFonts w:asciiTheme="minorHAnsi" w:hAnsiTheme="minorHAnsi"/>
        </w:rPr>
        <w:t xml:space="preserve"> Available at: https://tt99.fitz.ms/architecture.html (Accessed: 16 March 2026).</w:t>
      </w:r>
    </w:p>
    <w:p w14:paraId="3EAEDC7F" w14:textId="77777777" w:rsidR="00FC0E6A" w:rsidRPr="00D14945" w:rsidRDefault="00FC0E6A" w:rsidP="007D2B9F"/>
    <w:p w14:paraId="1FC8687A" w14:textId="77777777" w:rsidR="00FC0E6A" w:rsidRPr="00FC0E6A" w:rsidRDefault="00FC0E6A" w:rsidP="00FC0E6A"/>
    <w:sectPr w:rsidR="00FC0E6A" w:rsidRPr="00FC0E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NPuUWpqc" int2:invalidationBookmarkName="" int2:hashCode="vN9cr3NcchTaX0" int2:id="BSrv4T5w">
      <int2:state int2:value="Rejected" int2:type="style"/>
    </int2:bookmark>
    <int2:bookmark int2:bookmarkName="_Int_Ra1CYFe9" int2:invalidationBookmarkName="" int2:hashCode="ljoooJB9ucQcqv" int2:id="ANuy7wiK">
      <int2:state int2:value="Rejected" int2:type="style"/>
    </int2:bookmark>
    <int2:bookmark int2:bookmarkName="_Int_SMb1428B" int2:invalidationBookmarkName="" int2:hashCode="CVXdgYIGpA6JEB" int2:id="5nIoEnhE">
      <int2:state int2:value="Rejected" int2:type="gram"/>
    </int2:bookmark>
    <int2:bookmark int2:bookmarkName="_Int_hmuRPHRg" int2:invalidationBookmarkName="" int2:hashCode="vCbxwi/Xt9Eixy" int2:id="ClY3wVS5">
      <int2:state int2:value="Rejected" int2:type="style"/>
    </int2:bookmark>
    <int2:bookmark int2:bookmarkName="_Int_gupKfeUw" int2:invalidationBookmarkName="" int2:hashCode="9vOfv2eNTAPKcv" int2:id="LKMI78OX">
      <int2:state int2:value="Rejected" int2:type="gram"/>
    </int2:bookmark>
    <int2:bookmark int2:bookmarkName="_Int_7JpqOHCS" int2:invalidationBookmarkName="" int2:hashCode="DfgrtfwKgAUk/M" int2:id="dqeksLqY">
      <int2:state int2:value="Rejected" int2:type="style"/>
    </int2:bookmark>
    <int2:bookmark int2:bookmarkName="_Int_1MWUayTA" int2:invalidationBookmarkName="" int2:hashCode="20lmumeNxO0dfa" int2:id="qWFacW0B">
      <int2:state int2:value="Rejected" int2:type="style"/>
    </int2:bookmark>
    <int2:bookmark int2:bookmarkName="_Int_Ssw7U0ri" int2:invalidationBookmarkName="" int2:hashCode="kXRDBhIBS8iUc6" int2:id="65ezC7xR">
      <int2:state int2:value="Rejected" int2:type="style"/>
    </int2:bookmark>
    <int2:bookmark int2:bookmarkName="_Int_Fpw3LsOs" int2:invalidationBookmarkName="" int2:hashCode="ZAPyt+sqqv5t40" int2:id="GcjNOM62">
      <int2:state int2:value="Rejected" int2:type="gram"/>
    </int2:bookmark>
    <int2:bookmark int2:bookmarkName="_Int_xQWRPLIL" int2:invalidationBookmarkName="" int2:hashCode="aupopgtTQLLEz1" int2:id="iz4cJFva">
      <int2:state int2:value="Rejected" int2:type="style"/>
    </int2:bookmark>
    <int2:bookmark int2:bookmarkName="_Int_Z1Ody9wj" int2:invalidationBookmarkName="" int2:hashCode="dYGii315bCGNAD" int2:id="wKUS2UEY">
      <int2:state int2:value="Rejected" int2:type="style"/>
    </int2:bookmark>
    <int2:bookmark int2:bookmarkName="_Int_f9uIVnPX" int2:invalidationBookmarkName="" int2:hashCode="KlBhJpMIAPgHzj" int2:id="milVQsRW">
      <int2:state int2:value="Rejected" int2:type="style"/>
    </int2:bookmark>
    <int2:bookmark int2:bookmarkName="_Int_JUgLJLrr" int2:invalidationBookmarkName="" int2:hashCode="UH80p758svwLv5" int2:id="tNpEMVcO">
      <int2:state int2:value="Rejected" int2:type="style"/>
    </int2:bookmark>
    <int2:bookmark int2:bookmarkName="_Int_lVPdFqUb" int2:invalidationBookmarkName="" int2:hashCode="/5leWvs4HsJjAo" int2:id="QXqBX1kv">
      <int2:state int2:value="Rejected" int2:type="style"/>
    </int2:bookmark>
    <int2:bookmark int2:bookmarkName="_Int_I6qVJ9nd" int2:invalidationBookmarkName="" int2:hashCode="icebchoUKg5ikG" int2:id="OMDOi3Q2">
      <int2:state int2:value="Rejected" int2:type="style"/>
    </int2:bookmark>
    <int2:bookmark int2:bookmarkName="_Int_mF928Q4t" int2:invalidationBookmarkName="" int2:hashCode="aceOkyd7IvcRdV" int2:id="nXyGVxFB">
      <int2:state int2:value="Rejected" int2:type="style"/>
    </int2:bookmark>
    <int2:bookmark int2:bookmarkName="_Int_PP3NBXWL" int2:invalidationBookmarkName="" int2:hashCode="aceOkyd7IvcRdV" int2:id="jh7QNk4i">
      <int2:state int2:value="Rejected" int2:type="style"/>
    </int2:bookmark>
    <int2:bookmark int2:bookmarkName="_Int_fAbivsed" int2:invalidationBookmarkName="" int2:hashCode="KDOsmJJ/iKuLvY" int2:id="7LkPfhU4">
      <int2:state int2:value="Rejected" int2:type="style"/>
    </int2:bookmark>
    <int2:bookmark int2:bookmarkName="_Int_1qpntXSn" int2:invalidationBookmarkName="" int2:hashCode="20lmumeNxO0dfa" int2:id="ICUd3T6H">
      <int2:state int2:value="Rejected" int2:type="style"/>
    </int2:bookmark>
    <int2:bookmark int2:bookmarkName="_Int_fWFVMgMf" int2:invalidationBookmarkName="" int2:hashCode="VTmSGv8dM3kfmQ" int2:id="Vc2sXoVO">
      <int2:state int2:value="Rejected" int2:type="style"/>
    </int2:bookmark>
    <int2:bookmark int2:bookmarkName="_Int_OLFi2X43" int2:invalidationBookmarkName="" int2:hashCode="2uW32/K8uBDHiu" int2:id="qeNqklIa">
      <int2:state int2:value="Rejected" int2:type="style"/>
    </int2:bookmark>
    <int2:bookmark int2:bookmarkName="_Int_oW58dppJ" int2:invalidationBookmarkName="" int2:hashCode="20lmumeNxO0dfa" int2:id="fnMGetzB">
      <int2:state int2:value="Rejected" int2:type="style"/>
    </int2:bookmark>
    <int2:bookmark int2:bookmarkName="_Int_XC2eQadb" int2:invalidationBookmarkName="" int2:hashCode="OggFje+3UVg8ZW" int2:id="Dyaz9RNC">
      <int2:state int2:value="Rejected" int2:type="style"/>
    </int2:bookmark>
    <int2:bookmark int2:bookmarkName="_Int_MVPr2eeP" int2:invalidationBookmarkName="" int2:hashCode="PyHsFY9Zi+c4M0" int2:id="0hfDQS7Q">
      <int2:state int2:value="Rejected" int2:type="style"/>
    </int2:bookmark>
    <int2:bookmark int2:bookmarkName="_Int_w35DeQiK" int2:invalidationBookmarkName="" int2:hashCode="PGZ3Cnphlfil5e" int2:id="L1stcluW">
      <int2:state int2:value="Rejected" int2:type="style"/>
    </int2:bookmark>
    <int2:bookmark int2:bookmarkName="_Int_4sRRpUw3" int2:invalidationBookmarkName="" int2:hashCode="9+2vMoLa+2CcfU" int2:id="6ebJTVcM">
      <int2:state int2:value="Rejected" int2:type="style"/>
    </int2:bookmark>
    <int2:bookmark int2:bookmarkName="_Int_vnsqDvlz" int2:invalidationBookmarkName="" int2:hashCode="ZrvEKqjFqDbqCF" int2:id="n7evH9ST">
      <int2:state int2:value="Rejected" int2:type="style"/>
    </int2:bookmark>
    <int2:bookmark int2:bookmarkName="_Int_IN24UaiT" int2:invalidationBookmarkName="" int2:hashCode="yuuQmuT/TuJaD/" int2:id="xbihjBe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42367"/>
    <w:multiLevelType w:val="hybridMultilevel"/>
    <w:tmpl w:val="CAACE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75F72"/>
    <w:multiLevelType w:val="hybridMultilevel"/>
    <w:tmpl w:val="B7E2E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77167">
    <w:abstractNumId w:val="0"/>
  </w:num>
  <w:num w:numId="2" w16cid:durableId="903372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8C9"/>
    <w:rsid w:val="000034C4"/>
    <w:rsid w:val="00010624"/>
    <w:rsid w:val="0001272E"/>
    <w:rsid w:val="000306E1"/>
    <w:rsid w:val="000318C9"/>
    <w:rsid w:val="00031CF3"/>
    <w:rsid w:val="00063DD1"/>
    <w:rsid w:val="00083899"/>
    <w:rsid w:val="00092D06"/>
    <w:rsid w:val="00093703"/>
    <w:rsid w:val="000A22D8"/>
    <w:rsid w:val="000A3B80"/>
    <w:rsid w:val="000C7453"/>
    <w:rsid w:val="000D6BA5"/>
    <w:rsid w:val="00102E9D"/>
    <w:rsid w:val="001067F2"/>
    <w:rsid w:val="00111039"/>
    <w:rsid w:val="00116D58"/>
    <w:rsid w:val="00124098"/>
    <w:rsid w:val="00124EC4"/>
    <w:rsid w:val="001377F8"/>
    <w:rsid w:val="00137E28"/>
    <w:rsid w:val="001409EC"/>
    <w:rsid w:val="00147C2F"/>
    <w:rsid w:val="00160353"/>
    <w:rsid w:val="00171A79"/>
    <w:rsid w:val="00176897"/>
    <w:rsid w:val="00184C88"/>
    <w:rsid w:val="001873A4"/>
    <w:rsid w:val="001B2A46"/>
    <w:rsid w:val="001C014A"/>
    <w:rsid w:val="001C216A"/>
    <w:rsid w:val="001D0482"/>
    <w:rsid w:val="001E79F4"/>
    <w:rsid w:val="001E7B84"/>
    <w:rsid w:val="001F014F"/>
    <w:rsid w:val="001F4304"/>
    <w:rsid w:val="002042AB"/>
    <w:rsid w:val="002139E6"/>
    <w:rsid w:val="002349F4"/>
    <w:rsid w:val="002354E0"/>
    <w:rsid w:val="00242BB7"/>
    <w:rsid w:val="0026139B"/>
    <w:rsid w:val="0026690F"/>
    <w:rsid w:val="00270244"/>
    <w:rsid w:val="00283087"/>
    <w:rsid w:val="00287F21"/>
    <w:rsid w:val="0029762A"/>
    <w:rsid w:val="002D0F29"/>
    <w:rsid w:val="002E2D72"/>
    <w:rsid w:val="002F0674"/>
    <w:rsid w:val="0031242C"/>
    <w:rsid w:val="00315F05"/>
    <w:rsid w:val="00327743"/>
    <w:rsid w:val="00343A1D"/>
    <w:rsid w:val="00354623"/>
    <w:rsid w:val="00360AB3"/>
    <w:rsid w:val="00374BA0"/>
    <w:rsid w:val="00377B7B"/>
    <w:rsid w:val="00397B3A"/>
    <w:rsid w:val="003A1037"/>
    <w:rsid w:val="003B5E55"/>
    <w:rsid w:val="003C43CF"/>
    <w:rsid w:val="003C477F"/>
    <w:rsid w:val="003C503E"/>
    <w:rsid w:val="003C5311"/>
    <w:rsid w:val="003D4275"/>
    <w:rsid w:val="003D6C8E"/>
    <w:rsid w:val="003D6E49"/>
    <w:rsid w:val="003E4C9A"/>
    <w:rsid w:val="003E5C16"/>
    <w:rsid w:val="00402C44"/>
    <w:rsid w:val="00406593"/>
    <w:rsid w:val="004118D8"/>
    <w:rsid w:val="0043245D"/>
    <w:rsid w:val="004325CC"/>
    <w:rsid w:val="004367E7"/>
    <w:rsid w:val="00441001"/>
    <w:rsid w:val="004565D2"/>
    <w:rsid w:val="00471481"/>
    <w:rsid w:val="004B655C"/>
    <w:rsid w:val="004C2FA0"/>
    <w:rsid w:val="004D3E22"/>
    <w:rsid w:val="004E312D"/>
    <w:rsid w:val="004E354E"/>
    <w:rsid w:val="00500A30"/>
    <w:rsid w:val="005122C3"/>
    <w:rsid w:val="005202F4"/>
    <w:rsid w:val="00537644"/>
    <w:rsid w:val="005412EB"/>
    <w:rsid w:val="00546A31"/>
    <w:rsid w:val="00564EC0"/>
    <w:rsid w:val="0056648B"/>
    <w:rsid w:val="0059758B"/>
    <w:rsid w:val="005D14F1"/>
    <w:rsid w:val="005D4528"/>
    <w:rsid w:val="005E7C44"/>
    <w:rsid w:val="005F24C3"/>
    <w:rsid w:val="006000FC"/>
    <w:rsid w:val="00634580"/>
    <w:rsid w:val="0063632A"/>
    <w:rsid w:val="00650171"/>
    <w:rsid w:val="006523F0"/>
    <w:rsid w:val="00661792"/>
    <w:rsid w:val="006939F8"/>
    <w:rsid w:val="006B436F"/>
    <w:rsid w:val="006C47DB"/>
    <w:rsid w:val="006C7AF0"/>
    <w:rsid w:val="006D1E16"/>
    <w:rsid w:val="006E1A55"/>
    <w:rsid w:val="006F1CA0"/>
    <w:rsid w:val="006F4F3A"/>
    <w:rsid w:val="00705619"/>
    <w:rsid w:val="00713DF1"/>
    <w:rsid w:val="0071465F"/>
    <w:rsid w:val="0071511A"/>
    <w:rsid w:val="007213B2"/>
    <w:rsid w:val="00723A79"/>
    <w:rsid w:val="007257D3"/>
    <w:rsid w:val="00733489"/>
    <w:rsid w:val="00735498"/>
    <w:rsid w:val="00737B8C"/>
    <w:rsid w:val="00737F96"/>
    <w:rsid w:val="0074136C"/>
    <w:rsid w:val="00752CE3"/>
    <w:rsid w:val="00770E6D"/>
    <w:rsid w:val="00792225"/>
    <w:rsid w:val="007A00D0"/>
    <w:rsid w:val="007A7979"/>
    <w:rsid w:val="007B496A"/>
    <w:rsid w:val="007C6B9B"/>
    <w:rsid w:val="007D12D9"/>
    <w:rsid w:val="007E27E4"/>
    <w:rsid w:val="00801DC9"/>
    <w:rsid w:val="00805488"/>
    <w:rsid w:val="00814615"/>
    <w:rsid w:val="00816A60"/>
    <w:rsid w:val="00824503"/>
    <w:rsid w:val="0082493E"/>
    <w:rsid w:val="008250C0"/>
    <w:rsid w:val="00842F97"/>
    <w:rsid w:val="00850D2A"/>
    <w:rsid w:val="00883325"/>
    <w:rsid w:val="0089172A"/>
    <w:rsid w:val="00891E16"/>
    <w:rsid w:val="00895C15"/>
    <w:rsid w:val="008979C9"/>
    <w:rsid w:val="008A3BA3"/>
    <w:rsid w:val="008A69A2"/>
    <w:rsid w:val="008C0BEC"/>
    <w:rsid w:val="008C1C5F"/>
    <w:rsid w:val="008D6999"/>
    <w:rsid w:val="008E3FD5"/>
    <w:rsid w:val="008F12E7"/>
    <w:rsid w:val="008F1BB9"/>
    <w:rsid w:val="008F2381"/>
    <w:rsid w:val="00903035"/>
    <w:rsid w:val="00925DE0"/>
    <w:rsid w:val="00933E0C"/>
    <w:rsid w:val="00936272"/>
    <w:rsid w:val="00941329"/>
    <w:rsid w:val="00945EF6"/>
    <w:rsid w:val="00953088"/>
    <w:rsid w:val="00970759"/>
    <w:rsid w:val="00972794"/>
    <w:rsid w:val="009B53F5"/>
    <w:rsid w:val="009C086D"/>
    <w:rsid w:val="009D604E"/>
    <w:rsid w:val="009E1628"/>
    <w:rsid w:val="009E4A62"/>
    <w:rsid w:val="009E6232"/>
    <w:rsid w:val="00A05C91"/>
    <w:rsid w:val="00A11598"/>
    <w:rsid w:val="00A27C12"/>
    <w:rsid w:val="00A522B7"/>
    <w:rsid w:val="00A755A9"/>
    <w:rsid w:val="00A93625"/>
    <w:rsid w:val="00A94454"/>
    <w:rsid w:val="00AA2016"/>
    <w:rsid w:val="00AB23FF"/>
    <w:rsid w:val="00AC1BA0"/>
    <w:rsid w:val="00AC2D3C"/>
    <w:rsid w:val="00AD0120"/>
    <w:rsid w:val="00AD5C3F"/>
    <w:rsid w:val="00AE4C7E"/>
    <w:rsid w:val="00B066BC"/>
    <w:rsid w:val="00B16266"/>
    <w:rsid w:val="00B17BA7"/>
    <w:rsid w:val="00B216A4"/>
    <w:rsid w:val="00B2222C"/>
    <w:rsid w:val="00B4454B"/>
    <w:rsid w:val="00B84118"/>
    <w:rsid w:val="00B85A27"/>
    <w:rsid w:val="00B87775"/>
    <w:rsid w:val="00BA05A1"/>
    <w:rsid w:val="00BE2E0A"/>
    <w:rsid w:val="00C0061C"/>
    <w:rsid w:val="00C00E64"/>
    <w:rsid w:val="00C022F4"/>
    <w:rsid w:val="00C17E9C"/>
    <w:rsid w:val="00C244AF"/>
    <w:rsid w:val="00C6493B"/>
    <w:rsid w:val="00C7001D"/>
    <w:rsid w:val="00C70913"/>
    <w:rsid w:val="00C74CB6"/>
    <w:rsid w:val="00C82EB4"/>
    <w:rsid w:val="00C86961"/>
    <w:rsid w:val="00CB58C6"/>
    <w:rsid w:val="00CC0130"/>
    <w:rsid w:val="00CC4935"/>
    <w:rsid w:val="00CD4A56"/>
    <w:rsid w:val="00CE276B"/>
    <w:rsid w:val="00CF13C9"/>
    <w:rsid w:val="00CF3039"/>
    <w:rsid w:val="00D1726F"/>
    <w:rsid w:val="00D338BC"/>
    <w:rsid w:val="00D34B3B"/>
    <w:rsid w:val="00D50E06"/>
    <w:rsid w:val="00D54788"/>
    <w:rsid w:val="00D56012"/>
    <w:rsid w:val="00D60D6B"/>
    <w:rsid w:val="00D645A5"/>
    <w:rsid w:val="00D7187C"/>
    <w:rsid w:val="00D90263"/>
    <w:rsid w:val="00D97905"/>
    <w:rsid w:val="00DB385C"/>
    <w:rsid w:val="00DD234D"/>
    <w:rsid w:val="00DD7F75"/>
    <w:rsid w:val="00DE061A"/>
    <w:rsid w:val="00DF7D2E"/>
    <w:rsid w:val="00E210B6"/>
    <w:rsid w:val="00E64C4E"/>
    <w:rsid w:val="00E8051A"/>
    <w:rsid w:val="00E81288"/>
    <w:rsid w:val="00E86AD9"/>
    <w:rsid w:val="00E96831"/>
    <w:rsid w:val="00E97D35"/>
    <w:rsid w:val="00EA0A58"/>
    <w:rsid w:val="00EB2CE8"/>
    <w:rsid w:val="00EC0ADA"/>
    <w:rsid w:val="00EC5D20"/>
    <w:rsid w:val="00ED0C8E"/>
    <w:rsid w:val="00ED0F4B"/>
    <w:rsid w:val="00ED7989"/>
    <w:rsid w:val="00EE3AC9"/>
    <w:rsid w:val="00EF10D8"/>
    <w:rsid w:val="00F03D15"/>
    <w:rsid w:val="00F53EFB"/>
    <w:rsid w:val="00F61229"/>
    <w:rsid w:val="00F71250"/>
    <w:rsid w:val="00F83D52"/>
    <w:rsid w:val="00F94BDA"/>
    <w:rsid w:val="00FA5A48"/>
    <w:rsid w:val="00FC0E6A"/>
    <w:rsid w:val="00FC3806"/>
    <w:rsid w:val="00FD78D9"/>
    <w:rsid w:val="00FE1C2F"/>
    <w:rsid w:val="00FF5F9B"/>
    <w:rsid w:val="00FF69FF"/>
    <w:rsid w:val="00FF7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364871"/>
  <w15:chartTrackingRefBased/>
  <w15:docId w15:val="{C847B245-022F-2645-80D2-42DFD1F4B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8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18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18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18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18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18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18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18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18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8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18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18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18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18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18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18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18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18C9"/>
    <w:rPr>
      <w:rFonts w:eastAsiaTheme="majorEastAsia" w:cstheme="majorBidi"/>
      <w:color w:val="272727" w:themeColor="text1" w:themeTint="D8"/>
    </w:rPr>
  </w:style>
  <w:style w:type="paragraph" w:styleId="Title">
    <w:name w:val="Title"/>
    <w:basedOn w:val="Normal"/>
    <w:next w:val="Normal"/>
    <w:link w:val="TitleChar"/>
    <w:uiPriority w:val="10"/>
    <w:qFormat/>
    <w:rsid w:val="000318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18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18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18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18C9"/>
    <w:pPr>
      <w:spacing w:before="160"/>
      <w:jc w:val="center"/>
    </w:pPr>
    <w:rPr>
      <w:i/>
      <w:iCs/>
      <w:color w:val="404040" w:themeColor="text1" w:themeTint="BF"/>
    </w:rPr>
  </w:style>
  <w:style w:type="character" w:customStyle="1" w:styleId="QuoteChar">
    <w:name w:val="Quote Char"/>
    <w:basedOn w:val="DefaultParagraphFont"/>
    <w:link w:val="Quote"/>
    <w:uiPriority w:val="29"/>
    <w:rsid w:val="000318C9"/>
    <w:rPr>
      <w:i/>
      <w:iCs/>
      <w:color w:val="404040" w:themeColor="text1" w:themeTint="BF"/>
    </w:rPr>
  </w:style>
  <w:style w:type="paragraph" w:styleId="ListParagraph">
    <w:name w:val="List Paragraph"/>
    <w:basedOn w:val="Normal"/>
    <w:uiPriority w:val="34"/>
    <w:qFormat/>
    <w:rsid w:val="000318C9"/>
    <w:pPr>
      <w:ind w:left="720"/>
      <w:contextualSpacing/>
    </w:pPr>
  </w:style>
  <w:style w:type="character" w:styleId="IntenseEmphasis">
    <w:name w:val="Intense Emphasis"/>
    <w:basedOn w:val="DefaultParagraphFont"/>
    <w:uiPriority w:val="21"/>
    <w:qFormat/>
    <w:rsid w:val="000318C9"/>
    <w:rPr>
      <w:i/>
      <w:iCs/>
      <w:color w:val="0F4761" w:themeColor="accent1" w:themeShade="BF"/>
    </w:rPr>
  </w:style>
  <w:style w:type="paragraph" w:styleId="IntenseQuote">
    <w:name w:val="Intense Quote"/>
    <w:basedOn w:val="Normal"/>
    <w:next w:val="Normal"/>
    <w:link w:val="IntenseQuoteChar"/>
    <w:uiPriority w:val="30"/>
    <w:qFormat/>
    <w:rsid w:val="000318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18C9"/>
    <w:rPr>
      <w:i/>
      <w:iCs/>
      <w:color w:val="0F4761" w:themeColor="accent1" w:themeShade="BF"/>
    </w:rPr>
  </w:style>
  <w:style w:type="character" w:styleId="IntenseReference">
    <w:name w:val="Intense Reference"/>
    <w:basedOn w:val="DefaultParagraphFont"/>
    <w:uiPriority w:val="32"/>
    <w:qFormat/>
    <w:rsid w:val="000318C9"/>
    <w:rPr>
      <w:b/>
      <w:bCs/>
      <w:smallCaps/>
      <w:color w:val="0F4761" w:themeColor="accent1" w:themeShade="BF"/>
      <w:spacing w:val="5"/>
    </w:rPr>
  </w:style>
  <w:style w:type="paragraph" w:customStyle="1" w:styleId="p1">
    <w:name w:val="p1"/>
    <w:basedOn w:val="Normal"/>
    <w:rsid w:val="00FC0E6A"/>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C0E6A"/>
  </w:style>
  <w:style w:type="character" w:customStyle="1" w:styleId="s2">
    <w:name w:val="s2"/>
    <w:basedOn w:val="DefaultParagraphFont"/>
    <w:rsid w:val="00FC0E6A"/>
  </w:style>
  <w:style w:type="paragraph" w:customStyle="1" w:styleId="p2">
    <w:name w:val="p2"/>
    <w:basedOn w:val="Normal"/>
    <w:rsid w:val="00FC0E6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8</Pages>
  <Words>2205</Words>
  <Characters>12572</Characters>
  <Application>Microsoft Office Word</Application>
  <DocSecurity>0</DocSecurity>
  <Lines>104</Lines>
  <Paragraphs>29</Paragraphs>
  <ScaleCrop>false</ScaleCrop>
  <Company/>
  <LinksUpToDate>false</LinksUpToDate>
  <CharactersWithSpaces>14748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York (2317170)</dc:creator>
  <cp:keywords/>
  <dc:description/>
  <cp:lastModifiedBy>Lilly York (2317170)</cp:lastModifiedBy>
  <cp:revision>39</cp:revision>
  <dcterms:created xsi:type="dcterms:W3CDTF">2026-03-16T12:25:00Z</dcterms:created>
  <dcterms:modified xsi:type="dcterms:W3CDTF">2026-03-20T14:07:00Z</dcterms:modified>
</cp:coreProperties>
</file>