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08C29B3" wp14:paraId="2C078E63" wp14:textId="7B8D60BE">
      <w:pPr>
        <w:pStyle w:val="Title"/>
        <w:rPr>
          <w:rFonts w:ascii="Calibri" w:hAnsi="Calibri" w:eastAsia="Calibri" w:cs="Calibri"/>
        </w:rPr>
      </w:pPr>
      <w:r w:rsidRPr="608C29B3" w:rsidR="706AED72">
        <w:rPr>
          <w:rFonts w:ascii="Calibri" w:hAnsi="Calibri" w:eastAsia="Calibri" w:cs="Calibri"/>
        </w:rPr>
        <w:t>A Critical Evaluation of The Effectiveness of Emerging Technologies to Enhance Pedagogy</w:t>
      </w:r>
    </w:p>
    <w:p w:rsidR="665BDFDF" w:rsidP="608C29B3" w:rsidRDefault="665BDFDF" w14:paraId="7D97BF59" w14:textId="110BDAE0">
      <w:pPr>
        <w:pStyle w:val="Subtitle"/>
        <w:rPr>
          <w:rFonts w:ascii="Calibri" w:hAnsi="Calibri" w:eastAsia="Calibri" w:cs="Calibri"/>
        </w:rPr>
      </w:pPr>
    </w:p>
    <w:p w:rsidR="2E907EB9" w:rsidP="608C29B3" w:rsidRDefault="2E907EB9" w14:paraId="0F78DC31" w14:textId="107F57A0">
      <w:pPr>
        <w:pStyle w:val="Normal"/>
        <w:rPr>
          <w:rFonts w:ascii="Calibri" w:hAnsi="Calibri" w:eastAsia="Calibri" w:cs="Calibri"/>
        </w:rPr>
      </w:pPr>
      <w:r w:rsidRPr="608C29B3" w:rsidR="2E907EB9">
        <w:rPr>
          <w:rFonts w:ascii="Calibri" w:hAnsi="Calibri" w:eastAsia="Calibri" w:cs="Calibri"/>
        </w:rPr>
        <w:t>Module Code: ECPT5006</w:t>
      </w:r>
    </w:p>
    <w:p w:rsidR="2E907EB9" w:rsidP="608C29B3" w:rsidRDefault="2E907EB9" w14:paraId="0F1AD0A2" w14:textId="3676F0AB">
      <w:pPr>
        <w:pStyle w:val="Normal"/>
        <w:rPr>
          <w:rFonts w:ascii="Calibri" w:hAnsi="Calibri" w:eastAsia="Calibri" w:cs="Calibri"/>
        </w:rPr>
      </w:pPr>
      <w:r w:rsidRPr="608C29B3" w:rsidR="2E907EB9">
        <w:rPr>
          <w:rFonts w:ascii="Calibri" w:hAnsi="Calibri" w:eastAsia="Calibri" w:cs="Calibri"/>
        </w:rPr>
        <w:t>Erin Heymann (1906811)</w:t>
      </w:r>
    </w:p>
    <w:p w:rsidR="665BDFDF" w:rsidP="665BDFDF" w:rsidRDefault="665BDFDF" w14:paraId="0B316376" w14:textId="2F1138C8">
      <w:pPr>
        <w:pStyle w:val="Normal"/>
      </w:pPr>
    </w:p>
    <w:p w:rsidR="665BDFDF" w:rsidP="665BDFDF" w:rsidRDefault="665BDFDF" w14:paraId="26178A00" w14:textId="6CD25728">
      <w:pPr>
        <w:pStyle w:val="Normal"/>
      </w:pPr>
    </w:p>
    <w:p w:rsidR="665BDFDF" w:rsidP="665BDFDF" w:rsidRDefault="665BDFDF" w14:paraId="56D08653" w14:textId="565DED4F">
      <w:pPr>
        <w:pStyle w:val="Normal"/>
      </w:pPr>
    </w:p>
    <w:p w:rsidR="665BDFDF" w:rsidP="665BDFDF" w:rsidRDefault="665BDFDF" w14:paraId="5B539E6A" w14:textId="50023AC9">
      <w:pPr>
        <w:pStyle w:val="Normal"/>
      </w:pPr>
    </w:p>
    <w:p w:rsidR="665BDFDF" w:rsidP="665BDFDF" w:rsidRDefault="665BDFDF" w14:paraId="396703E2" w14:textId="191EF9E8">
      <w:pPr>
        <w:pStyle w:val="Normal"/>
      </w:pPr>
    </w:p>
    <w:p w:rsidR="665BDFDF" w:rsidP="665BDFDF" w:rsidRDefault="665BDFDF" w14:paraId="01613437" w14:textId="273F0A5E">
      <w:pPr>
        <w:pStyle w:val="Normal"/>
      </w:pPr>
    </w:p>
    <w:p w:rsidR="665BDFDF" w:rsidP="665BDFDF" w:rsidRDefault="665BDFDF" w14:paraId="5813E869" w14:textId="6CD59E7A">
      <w:pPr>
        <w:pStyle w:val="Normal"/>
      </w:pPr>
    </w:p>
    <w:p w:rsidR="665BDFDF" w:rsidP="665BDFDF" w:rsidRDefault="665BDFDF" w14:paraId="584761CA" w14:textId="47D39C49">
      <w:pPr>
        <w:pStyle w:val="Normal"/>
      </w:pPr>
    </w:p>
    <w:p w:rsidR="665BDFDF" w:rsidP="665BDFDF" w:rsidRDefault="665BDFDF" w14:paraId="3C3D19AB" w14:textId="3F4D6AAD">
      <w:pPr>
        <w:pStyle w:val="Normal"/>
      </w:pPr>
    </w:p>
    <w:p w:rsidR="665BDFDF" w:rsidP="665BDFDF" w:rsidRDefault="665BDFDF" w14:paraId="4C4BE68B" w14:textId="165F0FE6">
      <w:pPr>
        <w:pStyle w:val="Normal"/>
      </w:pPr>
    </w:p>
    <w:p w:rsidR="665BDFDF" w:rsidP="665BDFDF" w:rsidRDefault="665BDFDF" w14:paraId="743EB672" w14:textId="6ECD3A50">
      <w:pPr>
        <w:pStyle w:val="Normal"/>
      </w:pPr>
    </w:p>
    <w:p w:rsidR="665BDFDF" w:rsidP="665BDFDF" w:rsidRDefault="665BDFDF" w14:paraId="2A7B3DDA" w14:textId="425CC712">
      <w:pPr>
        <w:pStyle w:val="Normal"/>
      </w:pPr>
    </w:p>
    <w:p w:rsidR="665BDFDF" w:rsidP="665BDFDF" w:rsidRDefault="665BDFDF" w14:paraId="7D5904B6" w14:textId="710BD7F4">
      <w:pPr>
        <w:pStyle w:val="Normal"/>
      </w:pPr>
    </w:p>
    <w:p w:rsidR="665BDFDF" w:rsidP="665BDFDF" w:rsidRDefault="665BDFDF" w14:paraId="4B78E029" w14:textId="07B94E20">
      <w:pPr>
        <w:pStyle w:val="Normal"/>
      </w:pPr>
    </w:p>
    <w:p w:rsidR="665BDFDF" w:rsidP="665BDFDF" w:rsidRDefault="665BDFDF" w14:paraId="2582D241" w14:textId="338AE12E">
      <w:pPr>
        <w:pStyle w:val="Normal"/>
      </w:pPr>
    </w:p>
    <w:p w:rsidR="665BDFDF" w:rsidP="665BDFDF" w:rsidRDefault="665BDFDF" w14:paraId="76D53C72" w14:textId="2DD6292E">
      <w:pPr>
        <w:pStyle w:val="Normal"/>
      </w:pPr>
    </w:p>
    <w:p w:rsidR="665BDFDF" w:rsidP="665BDFDF" w:rsidRDefault="665BDFDF" w14:paraId="417BAB9F" w14:textId="6EDDA153">
      <w:pPr>
        <w:pStyle w:val="Normal"/>
      </w:pPr>
    </w:p>
    <w:p w:rsidR="665BDFDF" w:rsidP="665BDFDF" w:rsidRDefault="665BDFDF" w14:paraId="6C8B8A0B" w14:textId="4607B321">
      <w:pPr>
        <w:pStyle w:val="Normal"/>
      </w:pPr>
    </w:p>
    <w:p w:rsidR="665BDFDF" w:rsidP="665BDFDF" w:rsidRDefault="665BDFDF" w14:paraId="091545FE" w14:textId="509D0CEA">
      <w:pPr>
        <w:pStyle w:val="Normal"/>
      </w:pPr>
    </w:p>
    <w:sdt>
      <w:sdtPr>
        <w:id w:val="190048349"/>
        <w:docPartObj>
          <w:docPartGallery w:val="Table of Contents"/>
          <w:docPartUnique/>
        </w:docPartObj>
      </w:sdtPr>
      <w:sdtContent>
        <w:p w:rsidR="665BDFDF" w:rsidP="665BDFDF" w:rsidRDefault="665BDFDF" w14:paraId="3CDC510C" w14:textId="47825E5C">
          <w:pPr>
            <w:pStyle w:val="TOC1"/>
            <w:tabs>
              <w:tab w:val="right" w:leader="dot" w:pos="9360"/>
            </w:tabs>
            <w:bidi w:val="0"/>
            <w:rPr>
              <w:rStyle w:val="Hyperlink"/>
            </w:rPr>
          </w:pPr>
          <w:r>
            <w:fldChar w:fldCharType="begin"/>
          </w:r>
          <w:r>
            <w:instrText xml:space="preserve">TOC \o "1-9" \z \u \h</w:instrText>
          </w:r>
          <w:r>
            <w:fldChar w:fldCharType="separate"/>
          </w:r>
          <w:hyperlink w:anchor="_Toc1375703727">
            <w:r w:rsidRPr="608C29B3" w:rsidR="608C29B3">
              <w:rPr>
                <w:rStyle w:val="Hyperlink"/>
              </w:rPr>
              <w:t>Introduction</w:t>
            </w:r>
            <w:r>
              <w:tab/>
            </w:r>
            <w:r>
              <w:fldChar w:fldCharType="begin"/>
            </w:r>
            <w:r>
              <w:instrText xml:space="preserve">PAGEREF _Toc1375703727 \h</w:instrText>
            </w:r>
            <w:r>
              <w:fldChar w:fldCharType="separate"/>
            </w:r>
            <w:r w:rsidRPr="608C29B3" w:rsidR="608C29B3">
              <w:rPr>
                <w:rStyle w:val="Hyperlink"/>
              </w:rPr>
              <w:t>2</w:t>
            </w:r>
            <w:r>
              <w:fldChar w:fldCharType="end"/>
            </w:r>
          </w:hyperlink>
        </w:p>
        <w:p w:rsidR="665BDFDF" w:rsidP="665BDFDF" w:rsidRDefault="665BDFDF" w14:paraId="42437958" w14:textId="3D8E7628">
          <w:pPr>
            <w:pStyle w:val="TOC1"/>
            <w:tabs>
              <w:tab w:val="right" w:leader="dot" w:pos="9360"/>
            </w:tabs>
            <w:bidi w:val="0"/>
            <w:rPr>
              <w:rStyle w:val="Hyperlink"/>
            </w:rPr>
          </w:pPr>
          <w:hyperlink w:anchor="_Toc1671263526">
            <w:r w:rsidRPr="608C29B3" w:rsidR="608C29B3">
              <w:rPr>
                <w:rStyle w:val="Hyperlink"/>
              </w:rPr>
              <w:t>The Effectiveness of Emerging Technologies to Enhance Pedagogy</w:t>
            </w:r>
            <w:r>
              <w:tab/>
            </w:r>
            <w:r>
              <w:fldChar w:fldCharType="begin"/>
            </w:r>
            <w:r>
              <w:instrText xml:space="preserve">PAGEREF _Toc1671263526 \h</w:instrText>
            </w:r>
            <w:r>
              <w:fldChar w:fldCharType="separate"/>
            </w:r>
            <w:r w:rsidRPr="608C29B3" w:rsidR="608C29B3">
              <w:rPr>
                <w:rStyle w:val="Hyperlink"/>
              </w:rPr>
              <w:t>3</w:t>
            </w:r>
            <w:r>
              <w:fldChar w:fldCharType="end"/>
            </w:r>
          </w:hyperlink>
        </w:p>
        <w:p w:rsidR="665BDFDF" w:rsidP="665BDFDF" w:rsidRDefault="665BDFDF" w14:paraId="5E4F2646" w14:textId="67AF8A1D">
          <w:pPr>
            <w:pStyle w:val="TOC2"/>
            <w:tabs>
              <w:tab w:val="right" w:leader="dot" w:pos="9360"/>
            </w:tabs>
            <w:bidi w:val="0"/>
            <w:rPr>
              <w:rStyle w:val="Hyperlink"/>
            </w:rPr>
          </w:pPr>
          <w:hyperlink w:anchor="_Toc1265316956">
            <w:r w:rsidRPr="608C29B3" w:rsidR="608C29B3">
              <w:rPr>
                <w:rStyle w:val="Hyperlink"/>
              </w:rPr>
              <w:t>The Impact of Emerging Technologies on Future Pedagogy</w:t>
            </w:r>
            <w:r>
              <w:tab/>
            </w:r>
            <w:r>
              <w:fldChar w:fldCharType="begin"/>
            </w:r>
            <w:r>
              <w:instrText xml:space="preserve">PAGEREF _Toc1265316956 \h</w:instrText>
            </w:r>
            <w:r>
              <w:fldChar w:fldCharType="separate"/>
            </w:r>
            <w:r w:rsidRPr="608C29B3" w:rsidR="608C29B3">
              <w:rPr>
                <w:rStyle w:val="Hyperlink"/>
              </w:rPr>
              <w:t>4</w:t>
            </w:r>
            <w:r>
              <w:fldChar w:fldCharType="end"/>
            </w:r>
          </w:hyperlink>
        </w:p>
        <w:p w:rsidR="665BDFDF" w:rsidP="665BDFDF" w:rsidRDefault="665BDFDF" w14:paraId="2BB26F20" w14:textId="3E7FB576">
          <w:pPr>
            <w:pStyle w:val="TOC4"/>
            <w:tabs>
              <w:tab w:val="right" w:leader="dot" w:pos="9360"/>
            </w:tabs>
            <w:bidi w:val="0"/>
            <w:rPr>
              <w:rStyle w:val="Hyperlink"/>
            </w:rPr>
          </w:pPr>
          <w:hyperlink w:anchor="_Toc1677478632">
            <w:r w:rsidRPr="608C29B3" w:rsidR="608C29B3">
              <w:rPr>
                <w:rStyle w:val="Hyperlink"/>
              </w:rPr>
              <w:t>Personalized Learning and AI</w:t>
            </w:r>
            <w:r>
              <w:tab/>
            </w:r>
            <w:r>
              <w:fldChar w:fldCharType="begin"/>
            </w:r>
            <w:r>
              <w:instrText xml:space="preserve">PAGEREF _Toc1677478632 \h</w:instrText>
            </w:r>
            <w:r>
              <w:fldChar w:fldCharType="separate"/>
            </w:r>
            <w:r w:rsidRPr="608C29B3" w:rsidR="608C29B3">
              <w:rPr>
                <w:rStyle w:val="Hyperlink"/>
              </w:rPr>
              <w:t>4</w:t>
            </w:r>
            <w:r>
              <w:fldChar w:fldCharType="end"/>
            </w:r>
          </w:hyperlink>
        </w:p>
        <w:p w:rsidR="665BDFDF" w:rsidP="665BDFDF" w:rsidRDefault="665BDFDF" w14:paraId="1B331727" w14:textId="1A8A00B5">
          <w:pPr>
            <w:pStyle w:val="TOC4"/>
            <w:tabs>
              <w:tab w:val="right" w:leader="dot" w:pos="9360"/>
            </w:tabs>
            <w:bidi w:val="0"/>
            <w:rPr>
              <w:rStyle w:val="Hyperlink"/>
            </w:rPr>
          </w:pPr>
          <w:hyperlink w:anchor="_Toc1809367625">
            <w:r w:rsidRPr="608C29B3" w:rsidR="608C29B3">
              <w:rPr>
                <w:rStyle w:val="Hyperlink"/>
              </w:rPr>
              <w:t>Collaborative Learning and Global Perspectives</w:t>
            </w:r>
            <w:r>
              <w:tab/>
            </w:r>
            <w:r>
              <w:fldChar w:fldCharType="begin"/>
            </w:r>
            <w:r>
              <w:instrText xml:space="preserve">PAGEREF _Toc1809367625 \h</w:instrText>
            </w:r>
            <w:r>
              <w:fldChar w:fldCharType="separate"/>
            </w:r>
            <w:r w:rsidRPr="608C29B3" w:rsidR="608C29B3">
              <w:rPr>
                <w:rStyle w:val="Hyperlink"/>
              </w:rPr>
              <w:t>5</w:t>
            </w:r>
            <w:r>
              <w:fldChar w:fldCharType="end"/>
            </w:r>
          </w:hyperlink>
        </w:p>
        <w:p w:rsidR="665BDFDF" w:rsidP="665BDFDF" w:rsidRDefault="665BDFDF" w14:paraId="3F74B656" w14:textId="1516A651">
          <w:pPr>
            <w:pStyle w:val="TOC4"/>
            <w:tabs>
              <w:tab w:val="right" w:leader="dot" w:pos="9360"/>
            </w:tabs>
            <w:bidi w:val="0"/>
            <w:rPr>
              <w:rStyle w:val="Hyperlink"/>
            </w:rPr>
          </w:pPr>
          <w:hyperlink w:anchor="_Toc1153416684">
            <w:r w:rsidRPr="608C29B3" w:rsidR="608C29B3">
              <w:rPr>
                <w:rStyle w:val="Hyperlink"/>
              </w:rPr>
              <w:t>Enhancing Student Engagement and Motivation</w:t>
            </w:r>
            <w:r>
              <w:tab/>
            </w:r>
            <w:r>
              <w:fldChar w:fldCharType="begin"/>
            </w:r>
            <w:r>
              <w:instrText xml:space="preserve">PAGEREF _Toc1153416684 \h</w:instrText>
            </w:r>
            <w:r>
              <w:fldChar w:fldCharType="separate"/>
            </w:r>
            <w:r w:rsidRPr="608C29B3" w:rsidR="608C29B3">
              <w:rPr>
                <w:rStyle w:val="Hyperlink"/>
              </w:rPr>
              <w:t>5</w:t>
            </w:r>
            <w:r>
              <w:fldChar w:fldCharType="end"/>
            </w:r>
          </w:hyperlink>
        </w:p>
        <w:p w:rsidR="665BDFDF" w:rsidP="665BDFDF" w:rsidRDefault="665BDFDF" w14:paraId="285AB3C1" w14:textId="4606B801">
          <w:pPr>
            <w:pStyle w:val="TOC2"/>
            <w:tabs>
              <w:tab w:val="right" w:leader="dot" w:pos="9360"/>
            </w:tabs>
            <w:bidi w:val="0"/>
            <w:rPr>
              <w:rStyle w:val="Hyperlink"/>
            </w:rPr>
          </w:pPr>
          <w:hyperlink w:anchor="_Toc1740588995">
            <w:r w:rsidRPr="608C29B3" w:rsidR="608C29B3">
              <w:rPr>
                <w:rStyle w:val="Hyperlink"/>
              </w:rPr>
              <w:t>Addressing Challenges and Limitations</w:t>
            </w:r>
            <w:r>
              <w:tab/>
            </w:r>
            <w:r>
              <w:fldChar w:fldCharType="begin"/>
            </w:r>
            <w:r>
              <w:instrText xml:space="preserve">PAGEREF _Toc1740588995 \h</w:instrText>
            </w:r>
            <w:r>
              <w:fldChar w:fldCharType="separate"/>
            </w:r>
            <w:r w:rsidRPr="608C29B3" w:rsidR="608C29B3">
              <w:rPr>
                <w:rStyle w:val="Hyperlink"/>
              </w:rPr>
              <w:t>6</w:t>
            </w:r>
            <w:r>
              <w:fldChar w:fldCharType="end"/>
            </w:r>
          </w:hyperlink>
        </w:p>
        <w:p w:rsidR="665BDFDF" w:rsidP="665BDFDF" w:rsidRDefault="665BDFDF" w14:paraId="153F30E4" w14:textId="3545B377">
          <w:pPr>
            <w:pStyle w:val="TOC4"/>
            <w:tabs>
              <w:tab w:val="right" w:leader="dot" w:pos="9360"/>
            </w:tabs>
            <w:bidi w:val="0"/>
            <w:rPr>
              <w:rStyle w:val="Hyperlink"/>
            </w:rPr>
          </w:pPr>
          <w:hyperlink w:anchor="_Toc612540995">
            <w:r w:rsidRPr="608C29B3" w:rsidR="608C29B3">
              <w:rPr>
                <w:rStyle w:val="Hyperlink"/>
              </w:rPr>
              <w:t>The Digital Divide and Access to Technology</w:t>
            </w:r>
            <w:r>
              <w:tab/>
            </w:r>
            <w:r>
              <w:fldChar w:fldCharType="begin"/>
            </w:r>
            <w:r>
              <w:instrText xml:space="preserve">PAGEREF _Toc612540995 \h</w:instrText>
            </w:r>
            <w:r>
              <w:fldChar w:fldCharType="separate"/>
            </w:r>
            <w:r w:rsidRPr="608C29B3" w:rsidR="608C29B3">
              <w:rPr>
                <w:rStyle w:val="Hyperlink"/>
              </w:rPr>
              <w:t>6</w:t>
            </w:r>
            <w:r>
              <w:fldChar w:fldCharType="end"/>
            </w:r>
          </w:hyperlink>
        </w:p>
        <w:p w:rsidR="665BDFDF" w:rsidP="665BDFDF" w:rsidRDefault="665BDFDF" w14:paraId="742985D7" w14:textId="55FA0F00">
          <w:pPr>
            <w:pStyle w:val="TOC4"/>
            <w:tabs>
              <w:tab w:val="right" w:leader="dot" w:pos="9360"/>
            </w:tabs>
            <w:bidi w:val="0"/>
            <w:rPr>
              <w:rStyle w:val="Hyperlink"/>
            </w:rPr>
          </w:pPr>
          <w:hyperlink w:anchor="_Toc838105357">
            <w:r w:rsidRPr="608C29B3" w:rsidR="608C29B3">
              <w:rPr>
                <w:rStyle w:val="Hyperlink"/>
              </w:rPr>
              <w:t>Ethical Concerns and Security Risks</w:t>
            </w:r>
            <w:r>
              <w:tab/>
            </w:r>
            <w:r>
              <w:fldChar w:fldCharType="begin"/>
            </w:r>
            <w:r>
              <w:instrText xml:space="preserve">PAGEREF _Toc838105357 \h</w:instrText>
            </w:r>
            <w:r>
              <w:fldChar w:fldCharType="separate"/>
            </w:r>
            <w:r w:rsidRPr="608C29B3" w:rsidR="608C29B3">
              <w:rPr>
                <w:rStyle w:val="Hyperlink"/>
              </w:rPr>
              <w:t>7</w:t>
            </w:r>
            <w:r>
              <w:fldChar w:fldCharType="end"/>
            </w:r>
          </w:hyperlink>
        </w:p>
        <w:p w:rsidR="665BDFDF" w:rsidP="665BDFDF" w:rsidRDefault="665BDFDF" w14:paraId="70A2E927" w14:textId="19D18CF1">
          <w:pPr>
            <w:pStyle w:val="TOC4"/>
            <w:tabs>
              <w:tab w:val="right" w:leader="dot" w:pos="9360"/>
            </w:tabs>
            <w:bidi w:val="0"/>
            <w:rPr>
              <w:rStyle w:val="Hyperlink"/>
            </w:rPr>
          </w:pPr>
          <w:hyperlink w:anchor="_Toc2123396708">
            <w:r w:rsidRPr="608C29B3" w:rsidR="608C29B3">
              <w:rPr>
                <w:rStyle w:val="Hyperlink"/>
              </w:rPr>
              <w:t>Challenges for Educators</w:t>
            </w:r>
            <w:r>
              <w:tab/>
            </w:r>
            <w:r>
              <w:fldChar w:fldCharType="begin"/>
            </w:r>
            <w:r>
              <w:instrText xml:space="preserve">PAGEREF _Toc2123396708 \h</w:instrText>
            </w:r>
            <w:r>
              <w:fldChar w:fldCharType="separate"/>
            </w:r>
            <w:r w:rsidRPr="608C29B3" w:rsidR="608C29B3">
              <w:rPr>
                <w:rStyle w:val="Hyperlink"/>
              </w:rPr>
              <w:t>7</w:t>
            </w:r>
            <w:r>
              <w:fldChar w:fldCharType="end"/>
            </w:r>
          </w:hyperlink>
        </w:p>
        <w:p w:rsidR="665BDFDF" w:rsidP="608C29B3" w:rsidRDefault="665BDFDF" w14:paraId="5A0CF13D" w14:textId="535FC327">
          <w:pPr>
            <w:pStyle w:val="TOC4"/>
            <w:tabs>
              <w:tab w:val="right" w:leader="dot" w:pos="9360"/>
            </w:tabs>
            <w:bidi w:val="0"/>
            <w:rPr>
              <w:rStyle w:val="Hyperlink"/>
            </w:rPr>
          </w:pPr>
          <w:hyperlink w:anchor="_Toc1694937905">
            <w:r w:rsidRPr="608C29B3" w:rsidR="608C29B3">
              <w:rPr>
                <w:rStyle w:val="Hyperlink"/>
              </w:rPr>
              <w:t>The Role of Well-being in Digital Technology</w:t>
            </w:r>
            <w:r>
              <w:tab/>
            </w:r>
            <w:r>
              <w:fldChar w:fldCharType="begin"/>
            </w:r>
            <w:r>
              <w:instrText xml:space="preserve">PAGEREF _Toc1694937905 \h</w:instrText>
            </w:r>
            <w:r>
              <w:fldChar w:fldCharType="separate"/>
            </w:r>
            <w:r w:rsidRPr="608C29B3" w:rsidR="608C29B3">
              <w:rPr>
                <w:rStyle w:val="Hyperlink"/>
              </w:rPr>
              <w:t>8</w:t>
            </w:r>
            <w:r>
              <w:fldChar w:fldCharType="end"/>
            </w:r>
          </w:hyperlink>
        </w:p>
        <w:p w:rsidR="665BDFDF" w:rsidP="665BDFDF" w:rsidRDefault="665BDFDF" w14:paraId="5A2E93B7" w14:textId="74586E1F">
          <w:pPr>
            <w:pStyle w:val="TOC2"/>
            <w:tabs>
              <w:tab w:val="right" w:leader="dot" w:pos="9360"/>
            </w:tabs>
            <w:bidi w:val="0"/>
            <w:rPr>
              <w:rStyle w:val="Hyperlink"/>
            </w:rPr>
          </w:pPr>
          <w:hyperlink w:anchor="_Toc1043317602">
            <w:r w:rsidRPr="608C29B3" w:rsidR="608C29B3">
              <w:rPr>
                <w:rStyle w:val="Hyperlink"/>
              </w:rPr>
              <w:t>Conclusion</w:t>
            </w:r>
            <w:r>
              <w:tab/>
            </w:r>
            <w:r>
              <w:fldChar w:fldCharType="begin"/>
            </w:r>
            <w:r>
              <w:instrText xml:space="preserve">PAGEREF _Toc1043317602 \h</w:instrText>
            </w:r>
            <w:r>
              <w:fldChar w:fldCharType="separate"/>
            </w:r>
            <w:r w:rsidRPr="608C29B3" w:rsidR="608C29B3">
              <w:rPr>
                <w:rStyle w:val="Hyperlink"/>
              </w:rPr>
              <w:t>9</w:t>
            </w:r>
            <w:r>
              <w:fldChar w:fldCharType="end"/>
            </w:r>
          </w:hyperlink>
        </w:p>
        <w:p w:rsidR="665BDFDF" w:rsidP="608C29B3" w:rsidRDefault="665BDFDF" w14:paraId="098C1BC4" w14:textId="5209A114">
          <w:pPr>
            <w:pStyle w:val="TOC1"/>
            <w:tabs>
              <w:tab w:val="right" w:leader="dot" w:pos="9360"/>
            </w:tabs>
            <w:bidi w:val="0"/>
            <w:rPr>
              <w:rStyle w:val="Hyperlink"/>
            </w:rPr>
          </w:pPr>
          <w:hyperlink w:anchor="_Toc190184697">
            <w:r w:rsidRPr="608C29B3" w:rsidR="608C29B3">
              <w:rPr>
                <w:rStyle w:val="Hyperlink"/>
              </w:rPr>
              <w:t>Explanation and Justification of the Chosen Learning Tool</w:t>
            </w:r>
            <w:r>
              <w:tab/>
            </w:r>
            <w:r>
              <w:fldChar w:fldCharType="begin"/>
            </w:r>
            <w:r>
              <w:instrText xml:space="preserve">PAGEREF _Toc190184697 \h</w:instrText>
            </w:r>
            <w:r>
              <w:fldChar w:fldCharType="separate"/>
            </w:r>
            <w:r w:rsidRPr="608C29B3" w:rsidR="608C29B3">
              <w:rPr>
                <w:rStyle w:val="Hyperlink"/>
              </w:rPr>
              <w:t>9</w:t>
            </w:r>
            <w:r>
              <w:fldChar w:fldCharType="end"/>
            </w:r>
          </w:hyperlink>
        </w:p>
        <w:p w:rsidR="665BDFDF" w:rsidP="608C29B3" w:rsidRDefault="665BDFDF" w14:paraId="4039262F" w14:textId="6C6564DA">
          <w:pPr>
            <w:pStyle w:val="TOC2"/>
            <w:tabs>
              <w:tab w:val="right" w:leader="dot" w:pos="9360"/>
            </w:tabs>
            <w:bidi w:val="0"/>
            <w:rPr>
              <w:rStyle w:val="Hyperlink"/>
            </w:rPr>
          </w:pPr>
          <w:hyperlink w:anchor="_Toc278085311">
            <w:r w:rsidRPr="608C29B3" w:rsidR="608C29B3">
              <w:rPr>
                <w:rStyle w:val="Hyperlink"/>
              </w:rPr>
              <w:t>ChatGPT and Its Alignment with Learning Theories</w:t>
            </w:r>
            <w:r>
              <w:tab/>
            </w:r>
            <w:r>
              <w:fldChar w:fldCharType="begin"/>
            </w:r>
            <w:r>
              <w:instrText xml:space="preserve">PAGEREF _Toc278085311 \h</w:instrText>
            </w:r>
            <w:r>
              <w:fldChar w:fldCharType="separate"/>
            </w:r>
            <w:r w:rsidRPr="608C29B3" w:rsidR="608C29B3">
              <w:rPr>
                <w:rStyle w:val="Hyperlink"/>
              </w:rPr>
              <w:t>10</w:t>
            </w:r>
            <w:r>
              <w:fldChar w:fldCharType="end"/>
            </w:r>
          </w:hyperlink>
        </w:p>
        <w:p w:rsidR="665BDFDF" w:rsidP="608C29B3" w:rsidRDefault="665BDFDF" w14:paraId="0BFD2EB2" w14:textId="5CBF6372">
          <w:pPr>
            <w:pStyle w:val="TOC4"/>
            <w:tabs>
              <w:tab w:val="right" w:leader="dot" w:pos="9360"/>
            </w:tabs>
            <w:bidi w:val="0"/>
            <w:rPr>
              <w:rStyle w:val="Hyperlink"/>
            </w:rPr>
          </w:pPr>
          <w:hyperlink w:anchor="_Toc1143401741">
            <w:r w:rsidRPr="608C29B3" w:rsidR="608C29B3">
              <w:rPr>
                <w:rStyle w:val="Hyperlink"/>
              </w:rPr>
              <w:t>Active Learning and Engaging with Diverse Characters</w:t>
            </w:r>
            <w:r>
              <w:tab/>
            </w:r>
            <w:r>
              <w:fldChar w:fldCharType="begin"/>
            </w:r>
            <w:r>
              <w:instrText xml:space="preserve">PAGEREF _Toc1143401741 \h</w:instrText>
            </w:r>
            <w:r>
              <w:fldChar w:fldCharType="separate"/>
            </w:r>
            <w:r w:rsidRPr="608C29B3" w:rsidR="608C29B3">
              <w:rPr>
                <w:rStyle w:val="Hyperlink"/>
              </w:rPr>
              <w:t>10</w:t>
            </w:r>
            <w:r>
              <w:fldChar w:fldCharType="end"/>
            </w:r>
          </w:hyperlink>
        </w:p>
        <w:p w:rsidR="665BDFDF" w:rsidP="608C29B3" w:rsidRDefault="665BDFDF" w14:paraId="30B2E4ED" w14:textId="03434F58">
          <w:pPr>
            <w:pStyle w:val="TOC4"/>
            <w:tabs>
              <w:tab w:val="right" w:leader="dot" w:pos="9360"/>
            </w:tabs>
            <w:bidi w:val="0"/>
            <w:rPr>
              <w:rStyle w:val="Hyperlink"/>
            </w:rPr>
          </w:pPr>
          <w:hyperlink w:anchor="_Toc1335519491">
            <w:r w:rsidRPr="608C29B3" w:rsidR="608C29B3">
              <w:rPr>
                <w:rStyle w:val="Hyperlink"/>
              </w:rPr>
              <w:t>Self-Directed Learning and Critical Thinking</w:t>
            </w:r>
            <w:r>
              <w:tab/>
            </w:r>
            <w:r>
              <w:fldChar w:fldCharType="begin"/>
            </w:r>
            <w:r>
              <w:instrText xml:space="preserve">PAGEREF _Toc1335519491 \h</w:instrText>
            </w:r>
            <w:r>
              <w:fldChar w:fldCharType="separate"/>
            </w:r>
            <w:r w:rsidRPr="608C29B3" w:rsidR="608C29B3">
              <w:rPr>
                <w:rStyle w:val="Hyperlink"/>
              </w:rPr>
              <w:t>11</w:t>
            </w:r>
            <w:r>
              <w:fldChar w:fldCharType="end"/>
            </w:r>
          </w:hyperlink>
        </w:p>
        <w:p w:rsidR="665BDFDF" w:rsidP="665BDFDF" w:rsidRDefault="665BDFDF" w14:paraId="7FC5A1AE" w14:textId="7FB10B05">
          <w:pPr>
            <w:pStyle w:val="TOC4"/>
            <w:tabs>
              <w:tab w:val="right" w:leader="dot" w:pos="9360"/>
            </w:tabs>
            <w:bidi w:val="0"/>
            <w:rPr>
              <w:rStyle w:val="Hyperlink"/>
            </w:rPr>
          </w:pPr>
          <w:hyperlink w:anchor="_Toc877928765">
            <w:r w:rsidRPr="608C29B3" w:rsidR="608C29B3">
              <w:rPr>
                <w:rStyle w:val="Hyperlink"/>
              </w:rPr>
              <w:t>Development of Digital Skills in Character Research</w:t>
            </w:r>
            <w:r>
              <w:tab/>
            </w:r>
            <w:r>
              <w:fldChar w:fldCharType="begin"/>
            </w:r>
            <w:r>
              <w:instrText xml:space="preserve">PAGEREF _Toc877928765 \h</w:instrText>
            </w:r>
            <w:r>
              <w:fldChar w:fldCharType="separate"/>
            </w:r>
            <w:r w:rsidRPr="608C29B3" w:rsidR="608C29B3">
              <w:rPr>
                <w:rStyle w:val="Hyperlink"/>
              </w:rPr>
              <w:t>11</w:t>
            </w:r>
            <w:r>
              <w:fldChar w:fldCharType="end"/>
            </w:r>
          </w:hyperlink>
        </w:p>
        <w:p w:rsidR="665BDFDF" w:rsidP="608C29B3" w:rsidRDefault="665BDFDF" w14:paraId="63057A48" w14:textId="624C7674">
          <w:pPr>
            <w:pStyle w:val="TOC2"/>
            <w:tabs>
              <w:tab w:val="right" w:leader="dot" w:pos="9360"/>
            </w:tabs>
            <w:bidi w:val="0"/>
            <w:rPr>
              <w:rStyle w:val="Hyperlink"/>
            </w:rPr>
          </w:pPr>
          <w:hyperlink w:anchor="_Toc491418987">
            <w:r w:rsidRPr="608C29B3" w:rsidR="608C29B3">
              <w:rPr>
                <w:rStyle w:val="Hyperlink"/>
              </w:rPr>
              <w:t>ChatGPT’s Practical Application in Film &amp; TV</w:t>
            </w:r>
            <w:r>
              <w:tab/>
            </w:r>
            <w:r>
              <w:fldChar w:fldCharType="begin"/>
            </w:r>
            <w:r>
              <w:instrText xml:space="preserve">PAGEREF _Toc491418987 \h</w:instrText>
            </w:r>
            <w:r>
              <w:fldChar w:fldCharType="separate"/>
            </w:r>
            <w:r w:rsidRPr="608C29B3" w:rsidR="608C29B3">
              <w:rPr>
                <w:rStyle w:val="Hyperlink"/>
              </w:rPr>
              <w:t>12</w:t>
            </w:r>
            <w:r>
              <w:fldChar w:fldCharType="end"/>
            </w:r>
          </w:hyperlink>
        </w:p>
        <w:p w:rsidR="665BDFDF" w:rsidP="665BDFDF" w:rsidRDefault="665BDFDF" w14:paraId="4E67C188" w14:textId="591E8218">
          <w:pPr>
            <w:pStyle w:val="TOC4"/>
            <w:tabs>
              <w:tab w:val="right" w:leader="dot" w:pos="9360"/>
            </w:tabs>
            <w:bidi w:val="0"/>
            <w:rPr>
              <w:rStyle w:val="Hyperlink"/>
            </w:rPr>
          </w:pPr>
          <w:hyperlink w:anchor="_Toc1654073964">
            <w:r w:rsidRPr="608C29B3" w:rsidR="608C29B3">
              <w:rPr>
                <w:rStyle w:val="Hyperlink"/>
              </w:rPr>
              <w:t>Personalized Learning Pathways for Character Research</w:t>
            </w:r>
            <w:r>
              <w:tab/>
            </w:r>
            <w:r>
              <w:fldChar w:fldCharType="begin"/>
            </w:r>
            <w:r>
              <w:instrText xml:space="preserve">PAGEREF _Toc1654073964 \h</w:instrText>
            </w:r>
            <w:r>
              <w:fldChar w:fldCharType="separate"/>
            </w:r>
            <w:r w:rsidRPr="608C29B3" w:rsidR="608C29B3">
              <w:rPr>
                <w:rStyle w:val="Hyperlink"/>
              </w:rPr>
              <w:t>12</w:t>
            </w:r>
            <w:r>
              <w:fldChar w:fldCharType="end"/>
            </w:r>
          </w:hyperlink>
        </w:p>
        <w:p w:rsidR="665BDFDF" w:rsidP="608C29B3" w:rsidRDefault="665BDFDF" w14:paraId="1FE0D885" w14:textId="5C7D4019">
          <w:pPr>
            <w:pStyle w:val="TOC4"/>
            <w:tabs>
              <w:tab w:val="right" w:leader="dot" w:pos="9360"/>
            </w:tabs>
            <w:bidi w:val="0"/>
            <w:rPr>
              <w:rStyle w:val="Hyperlink"/>
            </w:rPr>
          </w:pPr>
          <w:hyperlink w:anchor="_Toc273827000">
            <w:r w:rsidRPr="608C29B3" w:rsidR="608C29B3">
              <w:rPr>
                <w:rStyle w:val="Hyperlink"/>
              </w:rPr>
              <w:t>Encouraging Critical Reflection on Diversity</w:t>
            </w:r>
            <w:r>
              <w:tab/>
            </w:r>
            <w:r>
              <w:fldChar w:fldCharType="begin"/>
            </w:r>
            <w:r>
              <w:instrText xml:space="preserve">PAGEREF _Toc273827000 \h</w:instrText>
            </w:r>
            <w:r>
              <w:fldChar w:fldCharType="separate"/>
            </w:r>
            <w:r w:rsidRPr="608C29B3" w:rsidR="608C29B3">
              <w:rPr>
                <w:rStyle w:val="Hyperlink"/>
              </w:rPr>
              <w:t>12</w:t>
            </w:r>
            <w:r>
              <w:fldChar w:fldCharType="end"/>
            </w:r>
          </w:hyperlink>
        </w:p>
        <w:p w:rsidR="665BDFDF" w:rsidP="665BDFDF" w:rsidRDefault="665BDFDF" w14:paraId="3BDA2621" w14:textId="342E4A56">
          <w:pPr>
            <w:pStyle w:val="TOC4"/>
            <w:tabs>
              <w:tab w:val="right" w:leader="dot" w:pos="9360"/>
            </w:tabs>
            <w:bidi w:val="0"/>
            <w:rPr>
              <w:rStyle w:val="Hyperlink"/>
            </w:rPr>
          </w:pPr>
          <w:hyperlink w:anchor="_Toc279068476">
            <w:r w:rsidRPr="608C29B3" w:rsidR="608C29B3">
              <w:rPr>
                <w:rStyle w:val="Hyperlink"/>
              </w:rPr>
              <w:t>Real-Time Feedback for Character Development</w:t>
            </w:r>
            <w:r>
              <w:tab/>
            </w:r>
            <w:r>
              <w:fldChar w:fldCharType="begin"/>
            </w:r>
            <w:r>
              <w:instrText xml:space="preserve">PAGEREF _Toc279068476 \h</w:instrText>
            </w:r>
            <w:r>
              <w:fldChar w:fldCharType="separate"/>
            </w:r>
            <w:r w:rsidRPr="608C29B3" w:rsidR="608C29B3">
              <w:rPr>
                <w:rStyle w:val="Hyperlink"/>
              </w:rPr>
              <w:t>13</w:t>
            </w:r>
            <w:r>
              <w:fldChar w:fldCharType="end"/>
            </w:r>
          </w:hyperlink>
        </w:p>
        <w:p w:rsidR="665BDFDF" w:rsidP="608C29B3" w:rsidRDefault="665BDFDF" w14:paraId="67C603CE" w14:textId="4DE8F8BB">
          <w:pPr>
            <w:pStyle w:val="TOC2"/>
            <w:tabs>
              <w:tab w:val="right" w:leader="dot" w:pos="9360"/>
            </w:tabs>
            <w:bidi w:val="0"/>
            <w:rPr>
              <w:rStyle w:val="Hyperlink"/>
            </w:rPr>
          </w:pPr>
          <w:hyperlink w:anchor="_Toc1232979610">
            <w:r w:rsidRPr="608C29B3" w:rsidR="608C29B3">
              <w:rPr>
                <w:rStyle w:val="Hyperlink"/>
              </w:rPr>
              <w:t>Aligning ChatGPT with the Technology Integration Matrix (TIM)</w:t>
            </w:r>
            <w:r>
              <w:tab/>
            </w:r>
            <w:r>
              <w:fldChar w:fldCharType="begin"/>
            </w:r>
            <w:r>
              <w:instrText xml:space="preserve">PAGEREF _Toc1232979610 \h</w:instrText>
            </w:r>
            <w:r>
              <w:fldChar w:fldCharType="separate"/>
            </w:r>
            <w:r w:rsidRPr="608C29B3" w:rsidR="608C29B3">
              <w:rPr>
                <w:rStyle w:val="Hyperlink"/>
              </w:rPr>
              <w:t>13</w:t>
            </w:r>
            <w:r>
              <w:fldChar w:fldCharType="end"/>
            </w:r>
          </w:hyperlink>
        </w:p>
        <w:p w:rsidR="665BDFDF" w:rsidP="665BDFDF" w:rsidRDefault="665BDFDF" w14:paraId="005EB5CB" w14:textId="6BFD1674">
          <w:pPr>
            <w:pStyle w:val="TOC4"/>
            <w:tabs>
              <w:tab w:val="right" w:leader="dot" w:pos="9360"/>
            </w:tabs>
            <w:bidi w:val="0"/>
            <w:rPr>
              <w:rStyle w:val="Hyperlink"/>
            </w:rPr>
          </w:pPr>
          <w:hyperlink w:anchor="_Toc1509348666">
            <w:r w:rsidRPr="608C29B3" w:rsidR="608C29B3">
              <w:rPr>
                <w:rStyle w:val="Hyperlink"/>
              </w:rPr>
              <w:t>Entry Level: Basic Information Retrieval</w:t>
            </w:r>
            <w:r>
              <w:tab/>
            </w:r>
            <w:r>
              <w:fldChar w:fldCharType="begin"/>
            </w:r>
            <w:r>
              <w:instrText xml:space="preserve">PAGEREF _Toc1509348666 \h</w:instrText>
            </w:r>
            <w:r>
              <w:fldChar w:fldCharType="separate"/>
            </w:r>
            <w:r w:rsidRPr="608C29B3" w:rsidR="608C29B3">
              <w:rPr>
                <w:rStyle w:val="Hyperlink"/>
              </w:rPr>
              <w:t>14</w:t>
            </w:r>
            <w:r>
              <w:fldChar w:fldCharType="end"/>
            </w:r>
          </w:hyperlink>
        </w:p>
        <w:p w:rsidR="665BDFDF" w:rsidP="608C29B3" w:rsidRDefault="665BDFDF" w14:paraId="2CA0FA57" w14:textId="0FF21E72">
          <w:pPr>
            <w:pStyle w:val="TOC4"/>
            <w:tabs>
              <w:tab w:val="right" w:leader="dot" w:pos="9360"/>
            </w:tabs>
            <w:bidi w:val="0"/>
            <w:rPr>
              <w:rStyle w:val="Hyperlink"/>
            </w:rPr>
          </w:pPr>
          <w:hyperlink w:anchor="_Toc904731618">
            <w:r w:rsidRPr="608C29B3" w:rsidR="608C29B3">
              <w:rPr>
                <w:rStyle w:val="Hyperlink"/>
              </w:rPr>
              <w:t>Adoption Level: Structured Use in Research</w:t>
            </w:r>
            <w:r>
              <w:tab/>
            </w:r>
            <w:r>
              <w:fldChar w:fldCharType="begin"/>
            </w:r>
            <w:r>
              <w:instrText xml:space="preserve">PAGEREF _Toc904731618 \h</w:instrText>
            </w:r>
            <w:r>
              <w:fldChar w:fldCharType="separate"/>
            </w:r>
            <w:r w:rsidRPr="608C29B3" w:rsidR="608C29B3">
              <w:rPr>
                <w:rStyle w:val="Hyperlink"/>
              </w:rPr>
              <w:t>14</w:t>
            </w:r>
            <w:r>
              <w:fldChar w:fldCharType="end"/>
            </w:r>
          </w:hyperlink>
        </w:p>
        <w:p w:rsidR="665BDFDF" w:rsidP="665BDFDF" w:rsidRDefault="665BDFDF" w14:paraId="28A55370" w14:textId="573B0205">
          <w:pPr>
            <w:pStyle w:val="TOC4"/>
            <w:tabs>
              <w:tab w:val="right" w:leader="dot" w:pos="9360"/>
            </w:tabs>
            <w:bidi w:val="0"/>
            <w:rPr>
              <w:rStyle w:val="Hyperlink"/>
            </w:rPr>
          </w:pPr>
          <w:hyperlink w:anchor="_Toc1615616792">
            <w:r w:rsidRPr="608C29B3" w:rsidR="608C29B3">
              <w:rPr>
                <w:rStyle w:val="Hyperlink"/>
              </w:rPr>
              <w:t>Adaptation Level: Personalized and Adaptive Learning</w:t>
            </w:r>
            <w:r>
              <w:tab/>
            </w:r>
            <w:r>
              <w:fldChar w:fldCharType="begin"/>
            </w:r>
            <w:r>
              <w:instrText xml:space="preserve">PAGEREF _Toc1615616792 \h</w:instrText>
            </w:r>
            <w:r>
              <w:fldChar w:fldCharType="separate"/>
            </w:r>
            <w:r w:rsidRPr="608C29B3" w:rsidR="608C29B3">
              <w:rPr>
                <w:rStyle w:val="Hyperlink"/>
              </w:rPr>
              <w:t>14</w:t>
            </w:r>
            <w:r>
              <w:fldChar w:fldCharType="end"/>
            </w:r>
          </w:hyperlink>
        </w:p>
        <w:p w:rsidR="665BDFDF" w:rsidP="665BDFDF" w:rsidRDefault="665BDFDF" w14:paraId="5C0FB6AE" w14:textId="4E4BC9BE">
          <w:pPr>
            <w:pStyle w:val="TOC4"/>
            <w:tabs>
              <w:tab w:val="right" w:leader="dot" w:pos="9360"/>
            </w:tabs>
            <w:bidi w:val="0"/>
            <w:rPr>
              <w:rStyle w:val="Hyperlink"/>
            </w:rPr>
          </w:pPr>
          <w:hyperlink w:anchor="_Toc1347292148">
            <w:r w:rsidRPr="608C29B3" w:rsidR="608C29B3">
              <w:rPr>
                <w:rStyle w:val="Hyperlink"/>
              </w:rPr>
              <w:t>Infusion Level: Integrated into Creative Projects</w:t>
            </w:r>
            <w:r>
              <w:tab/>
            </w:r>
            <w:r>
              <w:fldChar w:fldCharType="begin"/>
            </w:r>
            <w:r>
              <w:instrText xml:space="preserve">PAGEREF _Toc1347292148 \h</w:instrText>
            </w:r>
            <w:r>
              <w:fldChar w:fldCharType="separate"/>
            </w:r>
            <w:r w:rsidRPr="608C29B3" w:rsidR="608C29B3">
              <w:rPr>
                <w:rStyle w:val="Hyperlink"/>
              </w:rPr>
              <w:t>14</w:t>
            </w:r>
            <w:r>
              <w:fldChar w:fldCharType="end"/>
            </w:r>
          </w:hyperlink>
        </w:p>
        <w:p w:rsidR="665BDFDF" w:rsidP="665BDFDF" w:rsidRDefault="665BDFDF" w14:paraId="44CE45D7" w14:textId="31D6FD41">
          <w:pPr>
            <w:pStyle w:val="TOC4"/>
            <w:tabs>
              <w:tab w:val="right" w:leader="dot" w:pos="9360"/>
            </w:tabs>
            <w:bidi w:val="0"/>
            <w:rPr>
              <w:rStyle w:val="Hyperlink"/>
            </w:rPr>
          </w:pPr>
          <w:hyperlink w:anchor="_Toc2123348590">
            <w:r w:rsidRPr="608C29B3" w:rsidR="608C29B3">
              <w:rPr>
                <w:rStyle w:val="Hyperlink"/>
              </w:rPr>
              <w:t>Transformation Level: Enabling Collaborative, Global Perspectives</w:t>
            </w:r>
            <w:r>
              <w:tab/>
            </w:r>
            <w:r>
              <w:fldChar w:fldCharType="begin"/>
            </w:r>
            <w:r>
              <w:instrText xml:space="preserve">PAGEREF _Toc2123348590 \h</w:instrText>
            </w:r>
            <w:r>
              <w:fldChar w:fldCharType="separate"/>
            </w:r>
            <w:r w:rsidRPr="608C29B3" w:rsidR="608C29B3">
              <w:rPr>
                <w:rStyle w:val="Hyperlink"/>
              </w:rPr>
              <w:t>15</w:t>
            </w:r>
            <w:r>
              <w:fldChar w:fldCharType="end"/>
            </w:r>
          </w:hyperlink>
        </w:p>
        <w:p w:rsidR="665BDFDF" w:rsidP="608C29B3" w:rsidRDefault="665BDFDF" w14:paraId="50068AB1" w14:textId="049BA2DE">
          <w:pPr>
            <w:pStyle w:val="TOC2"/>
            <w:tabs>
              <w:tab w:val="right" w:leader="dot" w:pos="9360"/>
            </w:tabs>
            <w:bidi w:val="0"/>
            <w:rPr>
              <w:rStyle w:val="Hyperlink"/>
            </w:rPr>
          </w:pPr>
          <w:hyperlink w:anchor="_Toc443712262">
            <w:r w:rsidRPr="608C29B3" w:rsidR="608C29B3">
              <w:rPr>
                <w:rStyle w:val="Hyperlink"/>
              </w:rPr>
              <w:t>Conclusion</w:t>
            </w:r>
            <w:r>
              <w:tab/>
            </w:r>
            <w:r>
              <w:fldChar w:fldCharType="begin"/>
            </w:r>
            <w:r>
              <w:instrText xml:space="preserve">PAGEREF _Toc443712262 \h</w:instrText>
            </w:r>
            <w:r>
              <w:fldChar w:fldCharType="separate"/>
            </w:r>
            <w:r w:rsidRPr="608C29B3" w:rsidR="608C29B3">
              <w:rPr>
                <w:rStyle w:val="Hyperlink"/>
              </w:rPr>
              <w:t>15</w:t>
            </w:r>
            <w:r>
              <w:fldChar w:fldCharType="end"/>
            </w:r>
          </w:hyperlink>
        </w:p>
        <w:p w:rsidR="665BDFDF" w:rsidP="608C29B3" w:rsidRDefault="665BDFDF" w14:paraId="1B448ED0" w14:textId="227D7E29">
          <w:pPr>
            <w:pStyle w:val="TOC1"/>
            <w:tabs>
              <w:tab w:val="right" w:leader="dot" w:pos="9360"/>
            </w:tabs>
            <w:bidi w:val="0"/>
            <w:rPr>
              <w:rStyle w:val="Hyperlink"/>
            </w:rPr>
          </w:pPr>
          <w:hyperlink w:anchor="_Toc934229468">
            <w:r w:rsidRPr="608C29B3" w:rsidR="608C29B3">
              <w:rPr>
                <w:rStyle w:val="Hyperlink"/>
              </w:rPr>
              <w:t>Application of ChatGPT as a learning tool</w:t>
            </w:r>
            <w:r>
              <w:tab/>
            </w:r>
            <w:r>
              <w:fldChar w:fldCharType="begin"/>
            </w:r>
            <w:r>
              <w:instrText xml:space="preserve">PAGEREF _Toc934229468 \h</w:instrText>
            </w:r>
            <w:r>
              <w:fldChar w:fldCharType="separate"/>
            </w:r>
            <w:r w:rsidRPr="608C29B3" w:rsidR="608C29B3">
              <w:rPr>
                <w:rStyle w:val="Hyperlink"/>
              </w:rPr>
              <w:t>15</w:t>
            </w:r>
            <w:r>
              <w:fldChar w:fldCharType="end"/>
            </w:r>
          </w:hyperlink>
        </w:p>
        <w:p w:rsidR="665BDFDF" w:rsidP="608C29B3" w:rsidRDefault="665BDFDF" w14:paraId="2D7B5330" w14:textId="7228DAF2">
          <w:pPr>
            <w:pStyle w:val="TOC1"/>
            <w:tabs>
              <w:tab w:val="right" w:leader="dot" w:pos="9360"/>
            </w:tabs>
            <w:bidi w:val="0"/>
            <w:rPr>
              <w:rStyle w:val="Hyperlink"/>
            </w:rPr>
          </w:pPr>
          <w:hyperlink w:anchor="_Toc264164955">
            <w:r w:rsidRPr="608C29B3" w:rsidR="608C29B3">
              <w:rPr>
                <w:rStyle w:val="Hyperlink"/>
              </w:rPr>
              <w:t>Evaluation and Reflection</w:t>
            </w:r>
            <w:r>
              <w:tab/>
            </w:r>
            <w:r>
              <w:fldChar w:fldCharType="begin"/>
            </w:r>
            <w:r>
              <w:instrText xml:space="preserve">PAGEREF _Toc264164955 \h</w:instrText>
            </w:r>
            <w:r>
              <w:fldChar w:fldCharType="separate"/>
            </w:r>
            <w:r w:rsidRPr="608C29B3" w:rsidR="608C29B3">
              <w:rPr>
                <w:rStyle w:val="Hyperlink"/>
              </w:rPr>
              <w:t>18</w:t>
            </w:r>
            <w:r>
              <w:fldChar w:fldCharType="end"/>
            </w:r>
          </w:hyperlink>
        </w:p>
        <w:p w:rsidR="665BDFDF" w:rsidP="608C29B3" w:rsidRDefault="665BDFDF" w14:paraId="65583629" w14:textId="06D5C707">
          <w:pPr>
            <w:pStyle w:val="TOC2"/>
            <w:tabs>
              <w:tab w:val="right" w:leader="dot" w:pos="9360"/>
            </w:tabs>
            <w:bidi w:val="0"/>
            <w:rPr>
              <w:rStyle w:val="Hyperlink"/>
            </w:rPr>
          </w:pPr>
          <w:hyperlink w:anchor="_Toc850593761">
            <w:r w:rsidRPr="608C29B3" w:rsidR="608C29B3">
              <w:rPr>
                <w:rStyle w:val="Hyperlink"/>
              </w:rPr>
              <w:t>What? The Plan</w:t>
            </w:r>
            <w:r>
              <w:tab/>
            </w:r>
            <w:r>
              <w:fldChar w:fldCharType="begin"/>
            </w:r>
            <w:r>
              <w:instrText xml:space="preserve">PAGEREF _Toc850593761 \h</w:instrText>
            </w:r>
            <w:r>
              <w:fldChar w:fldCharType="separate"/>
            </w:r>
            <w:r w:rsidRPr="608C29B3" w:rsidR="608C29B3">
              <w:rPr>
                <w:rStyle w:val="Hyperlink"/>
              </w:rPr>
              <w:t>19</w:t>
            </w:r>
            <w:r>
              <w:fldChar w:fldCharType="end"/>
            </w:r>
          </w:hyperlink>
        </w:p>
        <w:p w:rsidR="608C29B3" w:rsidP="608C29B3" w:rsidRDefault="608C29B3" w14:paraId="77E669AB" w14:textId="157F3240">
          <w:pPr>
            <w:pStyle w:val="TOC2"/>
            <w:tabs>
              <w:tab w:val="right" w:leader="dot" w:pos="9360"/>
            </w:tabs>
            <w:bidi w:val="0"/>
            <w:rPr>
              <w:rStyle w:val="Hyperlink"/>
            </w:rPr>
          </w:pPr>
          <w:hyperlink w:anchor="_Toc1642823705">
            <w:r w:rsidRPr="608C29B3" w:rsidR="608C29B3">
              <w:rPr>
                <w:rStyle w:val="Hyperlink"/>
              </w:rPr>
              <w:t>So What? The Outcome</w:t>
            </w:r>
            <w:r>
              <w:tab/>
            </w:r>
            <w:r>
              <w:fldChar w:fldCharType="begin"/>
            </w:r>
            <w:r>
              <w:instrText xml:space="preserve">PAGEREF _Toc1642823705 \h</w:instrText>
            </w:r>
            <w:r>
              <w:fldChar w:fldCharType="separate"/>
            </w:r>
            <w:r w:rsidRPr="608C29B3" w:rsidR="608C29B3">
              <w:rPr>
                <w:rStyle w:val="Hyperlink"/>
              </w:rPr>
              <w:t>20</w:t>
            </w:r>
            <w:r>
              <w:fldChar w:fldCharType="end"/>
            </w:r>
          </w:hyperlink>
        </w:p>
        <w:p w:rsidR="608C29B3" w:rsidP="608C29B3" w:rsidRDefault="608C29B3" w14:paraId="72507CAD" w14:textId="5AE1E7C3">
          <w:pPr>
            <w:pStyle w:val="TOC2"/>
            <w:tabs>
              <w:tab w:val="right" w:leader="dot" w:pos="9360"/>
            </w:tabs>
            <w:bidi w:val="0"/>
            <w:rPr>
              <w:rStyle w:val="Hyperlink"/>
            </w:rPr>
          </w:pPr>
          <w:hyperlink w:anchor="_Toc1364007942">
            <w:r w:rsidRPr="608C29B3" w:rsidR="608C29B3">
              <w:rPr>
                <w:rStyle w:val="Hyperlink"/>
              </w:rPr>
              <w:t>Now What? The Next Steps</w:t>
            </w:r>
            <w:r>
              <w:tab/>
            </w:r>
            <w:r>
              <w:fldChar w:fldCharType="begin"/>
            </w:r>
            <w:r>
              <w:instrText xml:space="preserve">PAGEREF _Toc1364007942 \h</w:instrText>
            </w:r>
            <w:r>
              <w:fldChar w:fldCharType="separate"/>
            </w:r>
            <w:r w:rsidRPr="608C29B3" w:rsidR="608C29B3">
              <w:rPr>
                <w:rStyle w:val="Hyperlink"/>
              </w:rPr>
              <w:t>22</w:t>
            </w:r>
            <w:r>
              <w:fldChar w:fldCharType="end"/>
            </w:r>
          </w:hyperlink>
        </w:p>
        <w:p w:rsidR="608C29B3" w:rsidP="608C29B3" w:rsidRDefault="608C29B3" w14:paraId="09BE88C1" w14:textId="08E44AA2">
          <w:pPr>
            <w:pStyle w:val="TOC1"/>
            <w:tabs>
              <w:tab w:val="right" w:leader="dot" w:pos="9360"/>
            </w:tabs>
            <w:bidi w:val="0"/>
            <w:rPr>
              <w:rStyle w:val="Hyperlink"/>
            </w:rPr>
          </w:pPr>
          <w:hyperlink w:anchor="_Toc853859736">
            <w:r w:rsidRPr="608C29B3" w:rsidR="608C29B3">
              <w:rPr>
                <w:rStyle w:val="Hyperlink"/>
              </w:rPr>
              <w:t>Lesson Plan</w:t>
            </w:r>
            <w:r>
              <w:tab/>
            </w:r>
            <w:r>
              <w:fldChar w:fldCharType="begin"/>
            </w:r>
            <w:r>
              <w:instrText xml:space="preserve">PAGEREF _Toc853859736 \h</w:instrText>
            </w:r>
            <w:r>
              <w:fldChar w:fldCharType="separate"/>
            </w:r>
            <w:r w:rsidRPr="608C29B3" w:rsidR="608C29B3">
              <w:rPr>
                <w:rStyle w:val="Hyperlink"/>
              </w:rPr>
              <w:t>23</w:t>
            </w:r>
            <w:r>
              <w:fldChar w:fldCharType="end"/>
            </w:r>
          </w:hyperlink>
        </w:p>
        <w:p w:rsidR="608C29B3" w:rsidP="608C29B3" w:rsidRDefault="608C29B3" w14:paraId="4283830C" w14:textId="7B787781">
          <w:pPr>
            <w:pStyle w:val="TOC1"/>
            <w:tabs>
              <w:tab w:val="right" w:leader="dot" w:pos="9360"/>
            </w:tabs>
            <w:bidi w:val="0"/>
            <w:rPr>
              <w:rStyle w:val="Hyperlink"/>
            </w:rPr>
          </w:pPr>
          <w:hyperlink w:anchor="_Toc741162697">
            <w:r w:rsidRPr="608C29B3" w:rsidR="608C29B3">
              <w:rPr>
                <w:rStyle w:val="Hyperlink"/>
              </w:rPr>
              <w:t>References</w:t>
            </w:r>
            <w:r>
              <w:tab/>
            </w:r>
            <w:r>
              <w:fldChar w:fldCharType="begin"/>
            </w:r>
            <w:r>
              <w:instrText xml:space="preserve">PAGEREF _Toc741162697 \h</w:instrText>
            </w:r>
            <w:r>
              <w:fldChar w:fldCharType="separate"/>
            </w:r>
            <w:r w:rsidRPr="608C29B3" w:rsidR="608C29B3">
              <w:rPr>
                <w:rStyle w:val="Hyperlink"/>
              </w:rPr>
              <w:t>25</w:t>
            </w:r>
            <w:r>
              <w:fldChar w:fldCharType="end"/>
            </w:r>
          </w:hyperlink>
          <w:r>
            <w:fldChar w:fldCharType="end"/>
          </w:r>
        </w:p>
      </w:sdtContent>
    </w:sdt>
    <w:p w:rsidR="665BDFDF" w:rsidP="608C29B3" w:rsidRDefault="665BDFDF" w14:paraId="6C97F8DD" w14:textId="05458603">
      <w:pPr>
        <w:pStyle w:val="Heading1"/>
        <w:spacing w:line="480" w:lineRule="auto"/>
        <w:rPr>
          <w:rFonts w:ascii="Calibri" w:hAnsi="Calibri" w:eastAsia="Calibri" w:cs="Calibri"/>
          <w:sz w:val="24"/>
          <w:szCs w:val="24"/>
        </w:rPr>
      </w:pPr>
    </w:p>
    <w:p w:rsidR="665BDFDF" w:rsidP="608C29B3" w:rsidRDefault="665BDFDF" w14:paraId="1360D1CE" w14:textId="6BCD30BA">
      <w:pPr>
        <w:pStyle w:val="Normal"/>
        <w:spacing w:line="480" w:lineRule="auto"/>
        <w:rPr>
          <w:rFonts w:ascii="Calibri" w:hAnsi="Calibri" w:eastAsia="Calibri" w:cs="Calibri"/>
          <w:sz w:val="24"/>
          <w:szCs w:val="24"/>
        </w:rPr>
      </w:pPr>
    </w:p>
    <w:p w:rsidR="665BDFDF" w:rsidP="608C29B3" w:rsidRDefault="665BDFDF" w14:paraId="05DCA7CF" w14:textId="5056D86B">
      <w:pPr>
        <w:pStyle w:val="Normal"/>
        <w:spacing w:line="480" w:lineRule="auto"/>
        <w:rPr>
          <w:rFonts w:ascii="Calibri" w:hAnsi="Calibri" w:eastAsia="Calibri" w:cs="Calibri"/>
          <w:sz w:val="24"/>
          <w:szCs w:val="24"/>
        </w:rPr>
      </w:pPr>
    </w:p>
    <w:p w:rsidR="665BDFDF" w:rsidP="608C29B3" w:rsidRDefault="665BDFDF" w14:paraId="49BD2A09" w14:textId="792A6EC9">
      <w:pPr>
        <w:pStyle w:val="Normal"/>
        <w:spacing w:line="480" w:lineRule="auto"/>
        <w:rPr>
          <w:rFonts w:ascii="Calibri" w:hAnsi="Calibri" w:eastAsia="Calibri" w:cs="Calibri"/>
          <w:sz w:val="24"/>
          <w:szCs w:val="24"/>
        </w:rPr>
      </w:pPr>
    </w:p>
    <w:p w:rsidR="665BDFDF" w:rsidP="608C29B3" w:rsidRDefault="665BDFDF" w14:paraId="11D046D1" w14:textId="19FC7E5C">
      <w:pPr>
        <w:pStyle w:val="Normal"/>
        <w:spacing w:line="480" w:lineRule="auto"/>
        <w:rPr>
          <w:rFonts w:ascii="Calibri" w:hAnsi="Calibri" w:eastAsia="Calibri" w:cs="Calibri"/>
          <w:sz w:val="24"/>
          <w:szCs w:val="24"/>
        </w:rPr>
      </w:pPr>
    </w:p>
    <w:p w:rsidR="665BDFDF" w:rsidP="608C29B3" w:rsidRDefault="665BDFDF" w14:paraId="0E288270" w14:textId="08DCB3C6">
      <w:pPr>
        <w:pStyle w:val="Normal"/>
        <w:spacing w:line="480" w:lineRule="auto"/>
        <w:rPr>
          <w:rFonts w:ascii="Calibri" w:hAnsi="Calibri" w:eastAsia="Calibri" w:cs="Calibri"/>
          <w:sz w:val="24"/>
          <w:szCs w:val="24"/>
        </w:rPr>
      </w:pPr>
    </w:p>
    <w:p w:rsidR="665BDFDF" w:rsidP="608C29B3" w:rsidRDefault="665BDFDF" w14:paraId="3E696801" w14:textId="4009D88D">
      <w:pPr>
        <w:pStyle w:val="Normal"/>
        <w:spacing w:line="480" w:lineRule="auto"/>
        <w:rPr>
          <w:rFonts w:ascii="Calibri" w:hAnsi="Calibri" w:eastAsia="Calibri" w:cs="Calibri"/>
          <w:sz w:val="24"/>
          <w:szCs w:val="24"/>
        </w:rPr>
      </w:pPr>
    </w:p>
    <w:p w:rsidR="665BDFDF" w:rsidP="608C29B3" w:rsidRDefault="665BDFDF" w14:paraId="5E5F89B6" w14:textId="7E8B4655">
      <w:pPr>
        <w:pStyle w:val="Normal"/>
        <w:spacing w:line="480" w:lineRule="auto"/>
        <w:rPr>
          <w:rFonts w:ascii="Calibri" w:hAnsi="Calibri" w:eastAsia="Calibri" w:cs="Calibri"/>
          <w:sz w:val="24"/>
          <w:szCs w:val="24"/>
        </w:rPr>
      </w:pPr>
    </w:p>
    <w:p w:rsidR="665BDFDF" w:rsidP="608C29B3" w:rsidRDefault="665BDFDF" w14:paraId="7C741F08" w14:textId="3FD10327">
      <w:pPr>
        <w:pStyle w:val="Normal"/>
        <w:spacing w:line="480" w:lineRule="auto"/>
        <w:rPr>
          <w:rFonts w:ascii="Calibri" w:hAnsi="Calibri" w:eastAsia="Calibri" w:cs="Calibri"/>
          <w:sz w:val="24"/>
          <w:szCs w:val="24"/>
        </w:rPr>
      </w:pPr>
    </w:p>
    <w:p w:rsidR="665BDFDF" w:rsidP="608C29B3" w:rsidRDefault="665BDFDF" w14:paraId="05956515" w14:textId="1F808C65">
      <w:pPr>
        <w:pStyle w:val="Normal"/>
        <w:spacing w:line="480" w:lineRule="auto"/>
        <w:rPr>
          <w:rFonts w:ascii="Calibri" w:hAnsi="Calibri" w:eastAsia="Calibri" w:cs="Calibri"/>
          <w:sz w:val="24"/>
          <w:szCs w:val="24"/>
        </w:rPr>
      </w:pPr>
    </w:p>
    <w:p w:rsidR="665BDFDF" w:rsidP="608C29B3" w:rsidRDefault="665BDFDF" w14:paraId="5E414E53" w14:textId="74331800">
      <w:pPr>
        <w:pStyle w:val="Normal"/>
        <w:spacing w:line="480" w:lineRule="auto"/>
        <w:rPr>
          <w:rFonts w:ascii="Calibri" w:hAnsi="Calibri" w:eastAsia="Calibri" w:cs="Calibri"/>
          <w:sz w:val="24"/>
          <w:szCs w:val="24"/>
        </w:rPr>
      </w:pPr>
    </w:p>
    <w:p w:rsidR="2E47A9CC" w:rsidP="608C29B3" w:rsidRDefault="2E47A9CC" w14:paraId="72270B25" w14:textId="01780933">
      <w:pPr>
        <w:pStyle w:val="Heading1"/>
        <w:rPr>
          <w:rFonts w:ascii="Calibri" w:hAnsi="Calibri" w:eastAsia="Calibri" w:cs="Calibri"/>
          <w:b w:val="1"/>
          <w:bCs w:val="1"/>
          <w:i w:val="0"/>
          <w:iCs w:val="0"/>
          <w:sz w:val="24"/>
          <w:szCs w:val="24"/>
          <w:u w:val="single"/>
        </w:rPr>
      </w:pPr>
      <w:bookmarkStart w:name="_Toc1375703727" w:id="560810408"/>
      <w:r w:rsidR="2E47A9CC">
        <w:rPr/>
        <w:t>Introduction</w:t>
      </w:r>
      <w:bookmarkEnd w:id="560810408"/>
    </w:p>
    <w:p w:rsidR="1B5E7D25" w:rsidP="608C29B3" w:rsidRDefault="1B5E7D25" w14:paraId="380045CD" w14:textId="0F0DFBDC">
      <w:pPr>
        <w:pStyle w:val="Normal"/>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08C29B3" w:rsidR="1B5E7D25">
        <w:rPr>
          <w:rFonts w:ascii="Calibri" w:hAnsi="Calibri" w:eastAsia="Calibri" w:cs="Calibri"/>
          <w:b w:val="0"/>
          <w:bCs w:val="0"/>
          <w:i w:val="0"/>
          <w:iCs w:val="0"/>
          <w:caps w:val="0"/>
          <w:smallCaps w:val="0"/>
          <w:noProof w:val="0"/>
          <w:color w:val="000000" w:themeColor="text1" w:themeTint="FF" w:themeShade="FF"/>
          <w:sz w:val="24"/>
          <w:szCs w:val="24"/>
          <w:lang w:val="en-US"/>
        </w:rPr>
        <w:t>The rise of emerging technologies in education is reshaping teaching and learning practices globally. Technologies such as Artificial Intelligence (AI), Virtual Reality (VR), Augmented Reality (AR), cloud-based platforms, and educational gamification present unique opportunities to personalize education, engage students more effectively, and prepare them for the digital future</w:t>
      </w:r>
      <w:r w:rsidRPr="608C29B3" w:rsidR="0C4802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08C29B3" w:rsidR="0C48028E">
        <w:rPr>
          <w:rFonts w:ascii="Calibri" w:hAnsi="Calibri" w:eastAsia="Calibri" w:cs="Calibri"/>
          <w:noProof w:val="0"/>
          <w:sz w:val="24"/>
          <w:szCs w:val="24"/>
          <w:lang w:val="en-US"/>
        </w:rPr>
        <w:t>(Johnson et al., 2016)</w:t>
      </w:r>
      <w:r w:rsidRPr="608C29B3" w:rsidR="1B5E7D25">
        <w:rPr>
          <w:rFonts w:ascii="Calibri" w:hAnsi="Calibri" w:eastAsia="Calibri" w:cs="Calibri"/>
          <w:b w:val="0"/>
          <w:bCs w:val="0"/>
          <w:i w:val="0"/>
          <w:iCs w:val="0"/>
          <w:caps w:val="0"/>
          <w:smallCaps w:val="0"/>
          <w:noProof w:val="0"/>
          <w:color w:val="000000" w:themeColor="text1" w:themeTint="FF" w:themeShade="FF"/>
          <w:sz w:val="24"/>
          <w:szCs w:val="24"/>
          <w:lang w:val="en-US"/>
        </w:rPr>
        <w:t>. In Wales, a country commi</w:t>
      </w:r>
      <w:r w:rsidRPr="608C29B3" w:rsidR="3C68A5CE">
        <w:rPr>
          <w:rFonts w:ascii="Calibri" w:hAnsi="Calibri" w:eastAsia="Calibri" w:cs="Calibri"/>
          <w:b w:val="0"/>
          <w:bCs w:val="0"/>
          <w:i w:val="0"/>
          <w:iCs w:val="0"/>
          <w:caps w:val="0"/>
          <w:smallCaps w:val="0"/>
          <w:noProof w:val="0"/>
          <w:color w:val="000000" w:themeColor="text1" w:themeTint="FF" w:themeShade="FF"/>
          <w:sz w:val="24"/>
          <w:szCs w:val="24"/>
          <w:lang w:val="en-US"/>
        </w:rPr>
        <w:t>tted</w:t>
      </w:r>
      <w:r w:rsidRPr="608C29B3" w:rsidR="1B5E7D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improving digital skills in education, the integration of such technologies is not only seen as a tool for innovation but also </w:t>
      </w:r>
      <w:r w:rsidRPr="608C29B3" w:rsidR="04F76DC8">
        <w:rPr>
          <w:rFonts w:ascii="Calibri" w:hAnsi="Calibri" w:eastAsia="Calibri" w:cs="Calibri"/>
          <w:b w:val="0"/>
          <w:bCs w:val="0"/>
          <w:i w:val="0"/>
          <w:iCs w:val="0"/>
          <w:caps w:val="0"/>
          <w:smallCaps w:val="0"/>
          <w:noProof w:val="0"/>
          <w:color w:val="000000" w:themeColor="text1" w:themeTint="FF" w:themeShade="FF"/>
          <w:sz w:val="24"/>
          <w:szCs w:val="24"/>
          <w:lang w:val="en-US"/>
        </w:rPr>
        <w:t>to</w:t>
      </w:r>
      <w:r w:rsidRPr="608C29B3" w:rsidR="1B5E7D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address existing educational inequities and enhance pedagogical practices (Welsh Government, 2019). </w:t>
      </w:r>
      <w:r w:rsidRPr="608C29B3" w:rsidR="1B5E7D25">
        <w:rPr>
          <w:rFonts w:ascii="Calibri" w:hAnsi="Calibri" w:eastAsia="Calibri" w:cs="Calibri"/>
          <w:b w:val="0"/>
          <w:bCs w:val="0"/>
          <w:i w:val="0"/>
          <w:iCs w:val="0"/>
          <w:caps w:val="0"/>
          <w:smallCaps w:val="0"/>
          <w:noProof w:val="0"/>
          <w:color w:val="000000" w:themeColor="text1" w:themeTint="FF" w:themeShade="FF"/>
          <w:sz w:val="24"/>
          <w:szCs w:val="24"/>
          <w:lang w:val="en-US"/>
        </w:rPr>
        <w:t>However, as with any innovation, the adoption of emerging technologies comes with both promises and challenges.</w:t>
      </w:r>
      <w:r w:rsidRPr="608C29B3" w:rsidR="1B5E7D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critical evaluation will explore the</w:t>
      </w:r>
      <w:r w:rsidRPr="608C29B3" w:rsidR="4AA6315A">
        <w:rPr>
          <w:rFonts w:ascii="Calibri" w:hAnsi="Calibri" w:eastAsia="Calibri" w:cs="Calibri"/>
          <w:b w:val="0"/>
          <w:bCs w:val="0"/>
          <w:i w:val="0"/>
          <w:iCs w:val="0"/>
          <w:caps w:val="0"/>
          <w:smallCaps w:val="0"/>
          <w:noProof w:val="0"/>
          <w:color w:val="000000" w:themeColor="text1" w:themeTint="FF" w:themeShade="FF"/>
          <w:sz w:val="24"/>
          <w:szCs w:val="24"/>
          <w:lang w:val="en-US"/>
        </w:rPr>
        <w:t>ir</w:t>
      </w:r>
      <w:r w:rsidRPr="608C29B3" w:rsidR="1B5E7D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effectiveness in pedagogy, focusing on the benefits, challenges, and the role of policy and strategy in their successful integration, particularly in the context of Wales.</w:t>
      </w:r>
    </w:p>
    <w:p w:rsidR="5F5DDB9E" w:rsidP="608C29B3" w:rsidRDefault="5F5DDB9E" w14:paraId="0209B600" w14:textId="658B33CC">
      <w:pPr>
        <w:pStyle w:val="Normal"/>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08C29B3" w:rsidR="5F5DDB9E">
        <w:rPr>
          <w:rFonts w:ascii="Calibri" w:hAnsi="Calibri" w:eastAsia="Calibri" w:cs="Calibri"/>
          <w:b w:val="0"/>
          <w:bCs w:val="0"/>
          <w:i w:val="0"/>
          <w:iCs w:val="0"/>
          <w:caps w:val="0"/>
          <w:smallCaps w:val="0"/>
          <w:noProof w:val="0"/>
          <w:color w:val="000000" w:themeColor="text1" w:themeTint="FF" w:themeShade="FF"/>
          <w:sz w:val="24"/>
          <w:szCs w:val="24"/>
          <w:lang w:val="en-GB"/>
        </w:rPr>
        <w:t>Following this,</w:t>
      </w:r>
      <w:r w:rsidRPr="608C29B3" w:rsidR="1EFB616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w:t>
      </w:r>
      <w:r w:rsidRPr="608C29B3" w:rsidR="1EFB6166">
        <w:rPr>
          <w:rFonts w:ascii="Calibri" w:hAnsi="Calibri" w:eastAsia="Calibri" w:cs="Calibri"/>
          <w:noProof w:val="0"/>
          <w:sz w:val="24"/>
          <w:szCs w:val="24"/>
          <w:lang w:val="en-GB"/>
        </w:rPr>
        <w:t xml:space="preserve">he </w:t>
      </w:r>
      <w:r w:rsidRPr="608C29B3" w:rsidR="1EFB6166">
        <w:rPr>
          <w:rFonts w:ascii="Calibri" w:hAnsi="Calibri" w:eastAsia="Calibri" w:cs="Calibri"/>
          <w:noProof w:val="0"/>
          <w:sz w:val="24"/>
          <w:szCs w:val="24"/>
          <w:lang w:val="en-GB"/>
        </w:rPr>
        <w:t>final section</w:t>
      </w:r>
      <w:r w:rsidRPr="608C29B3" w:rsidR="1EFB6166">
        <w:rPr>
          <w:rFonts w:ascii="Calibri" w:hAnsi="Calibri" w:eastAsia="Calibri" w:cs="Calibri"/>
          <w:noProof w:val="0"/>
          <w:sz w:val="24"/>
          <w:szCs w:val="24"/>
          <w:lang w:val="en-GB"/>
        </w:rPr>
        <w:t xml:space="preserve"> of this evaluation will delve deeper into the justification for selecting Artificial Intelligence (AI) as a digital learning tool for</w:t>
      </w:r>
      <w:r w:rsidRPr="608C29B3" w:rsidR="064344A5">
        <w:rPr>
          <w:rFonts w:ascii="Calibri" w:hAnsi="Calibri" w:eastAsia="Calibri" w:cs="Calibri"/>
          <w:noProof w:val="0"/>
          <w:sz w:val="24"/>
          <w:szCs w:val="24"/>
          <w:lang w:val="en-GB"/>
        </w:rPr>
        <w:t xml:space="preserve"> a</w:t>
      </w:r>
      <w:r w:rsidRPr="608C29B3" w:rsidR="1EFB6166">
        <w:rPr>
          <w:rFonts w:ascii="Calibri" w:hAnsi="Calibri" w:eastAsia="Calibri" w:cs="Calibri"/>
          <w:noProof w:val="0"/>
          <w:sz w:val="24"/>
          <w:szCs w:val="24"/>
          <w:lang w:val="en-GB"/>
        </w:rPr>
        <w:t xml:space="preserve"> </w:t>
      </w:r>
      <w:r w:rsidRPr="608C29B3" w:rsidR="1EFB6166">
        <w:rPr>
          <w:rFonts w:ascii="Calibri" w:hAnsi="Calibri" w:eastAsia="Calibri" w:cs="Calibri"/>
          <w:noProof w:val="0"/>
          <w:sz w:val="24"/>
          <w:szCs w:val="24"/>
          <w:lang w:val="en-GB"/>
        </w:rPr>
        <w:t>lesson</w:t>
      </w:r>
      <w:r w:rsidRPr="608C29B3" w:rsidR="1EFB6166">
        <w:rPr>
          <w:rFonts w:ascii="Calibri" w:hAnsi="Calibri" w:eastAsia="Calibri" w:cs="Calibri"/>
          <w:noProof w:val="0"/>
          <w:sz w:val="24"/>
          <w:szCs w:val="24"/>
          <w:lang w:val="en-GB"/>
        </w:rPr>
        <w:t>, and its potential effectiveness in enhancing pedagogy.</w:t>
      </w:r>
      <w:r w:rsidRPr="608C29B3" w:rsidR="560485B9">
        <w:rPr>
          <w:rFonts w:ascii="Calibri" w:hAnsi="Calibri" w:eastAsia="Calibri" w:cs="Calibri"/>
          <w:noProof w:val="0"/>
          <w:sz w:val="24"/>
          <w:szCs w:val="24"/>
          <w:lang w:val="en-GB"/>
        </w:rPr>
        <w:t xml:space="preserve"> </w:t>
      </w:r>
      <w:r w:rsidRPr="608C29B3" w:rsidR="57DFB62A">
        <w:rPr>
          <w:rFonts w:ascii="Calibri" w:hAnsi="Calibri" w:eastAsia="Calibri" w:cs="Calibri"/>
          <w:noProof w:val="0"/>
          <w:sz w:val="24"/>
          <w:szCs w:val="24"/>
          <w:lang w:val="en-GB"/>
        </w:rPr>
        <w:t>Evidence</w:t>
      </w:r>
      <w:r w:rsidRPr="608C29B3" w:rsidR="560485B9">
        <w:rPr>
          <w:rFonts w:ascii="Calibri" w:hAnsi="Calibri" w:eastAsia="Calibri" w:cs="Calibri"/>
          <w:noProof w:val="0"/>
          <w:sz w:val="24"/>
          <w:szCs w:val="24"/>
          <w:lang w:val="en-GB"/>
        </w:rPr>
        <w:t xml:space="preserve"> of how AI was implemented in</w:t>
      </w:r>
      <w:r w:rsidRPr="608C29B3" w:rsidR="47018B0A">
        <w:rPr>
          <w:rFonts w:ascii="Calibri" w:hAnsi="Calibri" w:eastAsia="Calibri" w:cs="Calibri"/>
          <w:noProof w:val="0"/>
          <w:sz w:val="24"/>
          <w:szCs w:val="24"/>
          <w:lang w:val="en-GB"/>
        </w:rPr>
        <w:t xml:space="preserve"> the</w:t>
      </w:r>
      <w:r w:rsidRPr="608C29B3" w:rsidR="560485B9">
        <w:rPr>
          <w:rFonts w:ascii="Calibri" w:hAnsi="Calibri" w:eastAsia="Calibri" w:cs="Calibri"/>
          <w:noProof w:val="0"/>
          <w:sz w:val="24"/>
          <w:szCs w:val="24"/>
          <w:lang w:val="en-GB"/>
        </w:rPr>
        <w:t xml:space="preserve"> lesson</w:t>
      </w:r>
      <w:r w:rsidRPr="608C29B3" w:rsidR="40E62419">
        <w:rPr>
          <w:rFonts w:ascii="Calibri" w:hAnsi="Calibri" w:eastAsia="Calibri" w:cs="Calibri"/>
          <w:noProof w:val="0"/>
          <w:sz w:val="24"/>
          <w:szCs w:val="24"/>
          <w:lang w:val="en-GB"/>
        </w:rPr>
        <w:t xml:space="preserve"> will be </w:t>
      </w:r>
      <w:r w:rsidRPr="608C29B3" w:rsidR="7FE9722C">
        <w:rPr>
          <w:rFonts w:ascii="Calibri" w:hAnsi="Calibri" w:eastAsia="Calibri" w:cs="Calibri"/>
          <w:noProof w:val="0"/>
          <w:sz w:val="24"/>
          <w:szCs w:val="24"/>
          <w:lang w:val="en-GB"/>
        </w:rPr>
        <w:t>provided</w:t>
      </w:r>
      <w:r w:rsidRPr="608C29B3" w:rsidR="560485B9">
        <w:rPr>
          <w:rFonts w:ascii="Calibri" w:hAnsi="Calibri" w:eastAsia="Calibri" w:cs="Calibri"/>
          <w:noProof w:val="0"/>
          <w:sz w:val="24"/>
          <w:szCs w:val="24"/>
          <w:lang w:val="en-GB"/>
        </w:rPr>
        <w:t xml:space="preserve">, detailing the specific AI tools used, the learning </w:t>
      </w:r>
      <w:r w:rsidRPr="608C29B3" w:rsidR="560485B9">
        <w:rPr>
          <w:rFonts w:ascii="Calibri" w:hAnsi="Calibri" w:eastAsia="Calibri" w:cs="Calibri"/>
          <w:noProof w:val="0"/>
          <w:sz w:val="24"/>
          <w:szCs w:val="24"/>
          <w:lang w:val="en-GB"/>
        </w:rPr>
        <w:t>objectives</w:t>
      </w:r>
      <w:r w:rsidRPr="608C29B3" w:rsidR="560485B9">
        <w:rPr>
          <w:rFonts w:ascii="Calibri" w:hAnsi="Calibri" w:eastAsia="Calibri" w:cs="Calibri"/>
          <w:noProof w:val="0"/>
          <w:sz w:val="24"/>
          <w:szCs w:val="24"/>
          <w:lang w:val="en-GB"/>
        </w:rPr>
        <w:t xml:space="preserve"> they aimed to achieve, and how they aligned with the broader goals of digital pedagogy.</w:t>
      </w:r>
    </w:p>
    <w:p w:rsidR="219E869C" w:rsidP="608C29B3" w:rsidRDefault="219E869C" w14:paraId="316330AD" w14:textId="27F45880">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219E869C">
        <w:rPr>
          <w:rFonts w:ascii="Calibri" w:hAnsi="Calibri" w:eastAsia="Calibri" w:cs="Calibri"/>
          <w:noProof w:val="0"/>
          <w:sz w:val="24"/>
          <w:szCs w:val="24"/>
          <w:lang w:val="en-GB"/>
        </w:rPr>
        <w:t xml:space="preserve">Lastly, </w:t>
      </w:r>
      <w:r w:rsidRPr="608C29B3" w:rsidR="79065703">
        <w:rPr>
          <w:rFonts w:ascii="Calibri" w:hAnsi="Calibri" w:eastAsia="Calibri" w:cs="Calibri"/>
          <w:noProof w:val="0"/>
          <w:sz w:val="24"/>
          <w:szCs w:val="24"/>
          <w:lang w:val="en-GB"/>
        </w:rPr>
        <w:t xml:space="preserve">the critical reflection of </w:t>
      </w:r>
      <w:r w:rsidRPr="608C29B3" w:rsidR="219E869C">
        <w:rPr>
          <w:rFonts w:ascii="Calibri" w:hAnsi="Calibri" w:eastAsia="Calibri" w:cs="Calibri"/>
          <w:noProof w:val="0"/>
          <w:sz w:val="24"/>
          <w:szCs w:val="24"/>
          <w:lang w:val="en-GB"/>
        </w:rPr>
        <w:t xml:space="preserve">the </w:t>
      </w:r>
      <w:r w:rsidRPr="608C29B3" w:rsidR="6137E693">
        <w:rPr>
          <w:rFonts w:ascii="Calibri" w:hAnsi="Calibri" w:eastAsia="Calibri" w:cs="Calibri"/>
          <w:noProof w:val="0"/>
          <w:sz w:val="24"/>
          <w:szCs w:val="24"/>
          <w:lang w:val="en-GB"/>
        </w:rPr>
        <w:t xml:space="preserve">application will </w:t>
      </w:r>
      <w:r w:rsidRPr="608C29B3" w:rsidR="219E869C">
        <w:rPr>
          <w:rFonts w:ascii="Calibri" w:hAnsi="Calibri" w:eastAsia="Calibri" w:cs="Calibri"/>
          <w:noProof w:val="0"/>
          <w:sz w:val="24"/>
          <w:szCs w:val="24"/>
          <w:lang w:val="en-GB"/>
        </w:rPr>
        <w:t>evaluat</w:t>
      </w:r>
      <w:r w:rsidRPr="608C29B3" w:rsidR="753AA959">
        <w:rPr>
          <w:rFonts w:ascii="Calibri" w:hAnsi="Calibri" w:eastAsia="Calibri" w:cs="Calibri"/>
          <w:noProof w:val="0"/>
          <w:sz w:val="24"/>
          <w:szCs w:val="24"/>
          <w:lang w:val="en-GB"/>
        </w:rPr>
        <w:t>e</w:t>
      </w:r>
      <w:r w:rsidRPr="608C29B3" w:rsidR="219E869C">
        <w:rPr>
          <w:rFonts w:ascii="Calibri" w:hAnsi="Calibri" w:eastAsia="Calibri" w:cs="Calibri"/>
          <w:noProof w:val="0"/>
          <w:sz w:val="24"/>
          <w:szCs w:val="24"/>
          <w:lang w:val="en-GB"/>
        </w:rPr>
        <w:t xml:space="preserve"> the overall effectiveness of AI in enhancing pedagogical </w:t>
      </w:r>
      <w:r w:rsidRPr="608C29B3" w:rsidR="219E869C">
        <w:rPr>
          <w:rFonts w:ascii="Calibri" w:hAnsi="Calibri" w:eastAsia="Calibri" w:cs="Calibri"/>
          <w:noProof w:val="0"/>
          <w:sz w:val="24"/>
          <w:szCs w:val="24"/>
          <w:lang w:val="en-GB"/>
        </w:rPr>
        <w:t>practices, and exploring how it could be integrated into future lessons to further refine and improve teaching and learning.</w:t>
      </w:r>
      <w:r w:rsidRPr="608C29B3" w:rsidR="219E869C">
        <w:rPr>
          <w:rFonts w:ascii="Calibri" w:hAnsi="Calibri" w:eastAsia="Calibri" w:cs="Calibri"/>
          <w:noProof w:val="0"/>
          <w:sz w:val="24"/>
          <w:szCs w:val="24"/>
          <w:lang w:val="en-GB"/>
        </w:rPr>
        <w:t xml:space="preserve"> By doing so, this evaluation will provide insights into the transformative potential of AI within the educational landscape, while also acknowledging the ethical, practical, and pedagogical considerations involved.</w:t>
      </w:r>
    </w:p>
    <w:p w:rsidR="5980153E" w:rsidP="608C29B3" w:rsidRDefault="5980153E" w14:paraId="4D628EF7" w14:textId="734F4FEF">
      <w:pPr>
        <w:pStyle w:val="Heading1"/>
        <w:rPr>
          <w:rFonts w:ascii="Calibri" w:hAnsi="Calibri" w:eastAsia="Calibri" w:cs="Calibri"/>
          <w:noProof w:val="0"/>
          <w:sz w:val="24"/>
          <w:szCs w:val="24"/>
          <w:lang w:val="en-GB"/>
        </w:rPr>
      </w:pPr>
      <w:bookmarkStart w:name="_Toc1671263526" w:id="112374409"/>
      <w:r w:rsidRPr="608C29B3" w:rsidR="5AF23BDD">
        <w:rPr>
          <w:noProof w:val="0"/>
          <w:lang w:val="en-GB"/>
        </w:rPr>
        <w:t>The Effectiveness of Emerging Technologies to Enhance Pedagogy</w:t>
      </w:r>
      <w:bookmarkEnd w:id="112374409"/>
    </w:p>
    <w:p w:rsidR="5980153E" w:rsidP="608C29B3" w:rsidRDefault="5980153E" w14:paraId="764F6129" w14:textId="686F811C">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5AF23BDD">
        <w:rPr>
          <w:rFonts w:ascii="Calibri" w:hAnsi="Calibri" w:eastAsia="Calibri" w:cs="Calibri"/>
          <w:noProof w:val="0"/>
          <w:sz w:val="24"/>
          <w:szCs w:val="24"/>
          <w:lang w:val="en-GB"/>
        </w:rPr>
        <w:t xml:space="preserve">Emerging technologies offer significant opportunities to reimagine teaching and learning processes, transforming traditional pedagogy by fostering creativity, flexibility, and personalized experiences. As education evolves, it is crucial to explore how digital innovation can enhance creativity in teaching and foster deeper learning outcomes, </w:t>
      </w:r>
      <w:r w:rsidRPr="608C29B3" w:rsidR="5AF23BDD">
        <w:rPr>
          <w:rFonts w:ascii="Calibri" w:hAnsi="Calibri" w:eastAsia="Calibri" w:cs="Calibri"/>
          <w:noProof w:val="0"/>
          <w:sz w:val="24"/>
          <w:szCs w:val="24"/>
          <w:lang w:val="en-GB"/>
        </w:rPr>
        <w:t>ultimately helping</w:t>
      </w:r>
      <w:r w:rsidRPr="608C29B3" w:rsidR="5AF23BDD">
        <w:rPr>
          <w:rFonts w:ascii="Calibri" w:hAnsi="Calibri" w:eastAsia="Calibri" w:cs="Calibri"/>
          <w:noProof w:val="0"/>
          <w:sz w:val="24"/>
          <w:szCs w:val="24"/>
          <w:lang w:val="en-GB"/>
        </w:rPr>
        <w:t xml:space="preserve"> students succeed in the modern workforce.</w:t>
      </w:r>
    </w:p>
    <w:p w:rsidR="5980153E" w:rsidP="608C29B3" w:rsidRDefault="5980153E" w14:paraId="44E02037" w14:textId="73DEA1DD">
      <w:pPr>
        <w:pStyle w:val="Heading2"/>
        <w:rPr>
          <w:rFonts w:ascii="Calibri" w:hAnsi="Calibri" w:eastAsia="Calibri" w:cs="Calibri"/>
          <w:noProof w:val="0"/>
          <w:sz w:val="24"/>
          <w:szCs w:val="24"/>
          <w:lang w:val="en-GB"/>
        </w:rPr>
      </w:pPr>
      <w:bookmarkStart w:name="_Toc1265316956" w:id="1557905954"/>
      <w:r w:rsidRPr="608C29B3" w:rsidR="5AF23BDD">
        <w:rPr>
          <w:noProof w:val="0"/>
          <w:lang w:val="en-GB"/>
        </w:rPr>
        <w:t>The Impact of Emerging Technologies on Future Pedagogy</w:t>
      </w:r>
      <w:bookmarkEnd w:id="1557905954"/>
    </w:p>
    <w:p w:rsidR="5980153E" w:rsidP="608C29B3" w:rsidRDefault="5980153E" w14:paraId="6DBC3552" w14:textId="26F9DFC9">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5AF23BDD">
        <w:rPr>
          <w:rFonts w:ascii="Calibri" w:hAnsi="Calibri" w:eastAsia="Calibri" w:cs="Calibri"/>
          <w:noProof w:val="0"/>
          <w:sz w:val="24"/>
          <w:szCs w:val="24"/>
          <w:lang w:val="en-GB"/>
        </w:rPr>
        <w:t xml:space="preserve">Emerging technologies are poised to revolutionize pedagogy by </w:t>
      </w:r>
      <w:r w:rsidRPr="608C29B3" w:rsidR="5AF23BDD">
        <w:rPr>
          <w:rFonts w:ascii="Calibri" w:hAnsi="Calibri" w:eastAsia="Calibri" w:cs="Calibri"/>
          <w:noProof w:val="0"/>
          <w:sz w:val="24"/>
          <w:szCs w:val="24"/>
          <w:lang w:val="en-GB"/>
        </w:rPr>
        <w:t>facilitating</w:t>
      </w:r>
      <w:r w:rsidRPr="608C29B3" w:rsidR="5AF23BDD">
        <w:rPr>
          <w:rFonts w:ascii="Calibri" w:hAnsi="Calibri" w:eastAsia="Calibri" w:cs="Calibri"/>
          <w:noProof w:val="0"/>
          <w:sz w:val="24"/>
          <w:szCs w:val="24"/>
          <w:lang w:val="en-GB"/>
        </w:rPr>
        <w:t xml:space="preserve"> creative, flexible, and personalized teaching (Bates, 2015). Traditional teaching methods, often critiqued for their rigidity, contrast with the dynamic, student-</w:t>
      </w:r>
      <w:r w:rsidRPr="608C29B3" w:rsidR="1877AF87">
        <w:rPr>
          <w:rFonts w:ascii="Calibri" w:hAnsi="Calibri" w:eastAsia="Calibri" w:cs="Calibri"/>
          <w:noProof w:val="0"/>
          <w:sz w:val="24"/>
          <w:szCs w:val="24"/>
          <w:lang w:val="en-GB"/>
        </w:rPr>
        <w:t>centred</w:t>
      </w:r>
      <w:r w:rsidRPr="608C29B3" w:rsidR="5AF23BDD">
        <w:rPr>
          <w:rFonts w:ascii="Calibri" w:hAnsi="Calibri" w:eastAsia="Calibri" w:cs="Calibri"/>
          <w:noProof w:val="0"/>
          <w:sz w:val="24"/>
          <w:szCs w:val="24"/>
          <w:lang w:val="en-GB"/>
        </w:rPr>
        <w:t xml:space="preserve"> possibilities that technology offers. The Welsh Government's Digital 2030 framework (2019) emphasizes the need for integrating digital skills into education, promoting personalized and inclusive learning to equip students with essential digital literacy for success. Technologies like VR and AR allow for immersive learning experiences, enabling students to engage with content and explore complex ideas in interactive, hands-on ways. For instance, VR enables students to conduct virtual lab experiments or explore historical sites, which deepens their understanding in ways that textbooks or lectures cannot replicate (Yuan &amp; Chia, 2020). These immersive technologies provide experiential learning, helping students understand real-world applications of complex concepts in fields such as science, history, and engineering.</w:t>
      </w:r>
    </w:p>
    <w:p w:rsidR="5980153E" w:rsidP="608C29B3" w:rsidRDefault="5980153E" w14:paraId="3236230A" w14:textId="03BD0458">
      <w:pPr>
        <w:pStyle w:val="Heading4"/>
        <w:rPr>
          <w:rFonts w:ascii="Calibri" w:hAnsi="Calibri" w:eastAsia="Calibri" w:cs="Calibri"/>
          <w:noProof w:val="0"/>
          <w:sz w:val="24"/>
          <w:szCs w:val="24"/>
          <w:lang w:val="en-GB"/>
        </w:rPr>
      </w:pPr>
      <w:bookmarkStart w:name="_Toc1677478632" w:id="754383656"/>
      <w:r w:rsidRPr="608C29B3" w:rsidR="5AF23BDD">
        <w:rPr>
          <w:noProof w:val="0"/>
          <w:lang w:val="en-GB"/>
        </w:rPr>
        <w:t>Personalized Learning and AI</w:t>
      </w:r>
      <w:bookmarkEnd w:id="754383656"/>
    </w:p>
    <w:p w:rsidR="5980153E" w:rsidP="608C29B3" w:rsidRDefault="5980153E" w14:paraId="4251D407" w14:textId="2113BC28">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5AF23BDD">
        <w:rPr>
          <w:rFonts w:ascii="Calibri" w:hAnsi="Calibri" w:eastAsia="Calibri" w:cs="Calibri"/>
          <w:noProof w:val="0"/>
          <w:sz w:val="24"/>
          <w:szCs w:val="24"/>
          <w:lang w:val="en-GB"/>
        </w:rPr>
        <w:t xml:space="preserve">Artificial intelligence (AI) has </w:t>
      </w:r>
      <w:r w:rsidRPr="608C29B3" w:rsidR="5AF23BDD">
        <w:rPr>
          <w:rFonts w:ascii="Calibri" w:hAnsi="Calibri" w:eastAsia="Calibri" w:cs="Calibri"/>
          <w:noProof w:val="0"/>
          <w:sz w:val="24"/>
          <w:szCs w:val="24"/>
          <w:lang w:val="en-GB"/>
        </w:rPr>
        <w:t>emerged</w:t>
      </w:r>
      <w:r w:rsidRPr="608C29B3" w:rsidR="5AF23BDD">
        <w:rPr>
          <w:rFonts w:ascii="Calibri" w:hAnsi="Calibri" w:eastAsia="Calibri" w:cs="Calibri"/>
          <w:noProof w:val="0"/>
          <w:sz w:val="24"/>
          <w:szCs w:val="24"/>
          <w:lang w:val="en-GB"/>
        </w:rPr>
        <w:t xml:space="preserve"> as a key tool in supporting personalized learning. AI-powered platforms can adapt learning pathways according to students' progress, </w:t>
      </w:r>
      <w:r w:rsidRPr="608C29B3" w:rsidR="5AF23BDD">
        <w:rPr>
          <w:rFonts w:ascii="Calibri" w:hAnsi="Calibri" w:eastAsia="Calibri" w:cs="Calibri"/>
          <w:noProof w:val="0"/>
          <w:sz w:val="24"/>
          <w:szCs w:val="24"/>
          <w:lang w:val="en-GB"/>
        </w:rPr>
        <w:t>identifying</w:t>
      </w:r>
      <w:r w:rsidRPr="608C29B3" w:rsidR="5AF23BDD">
        <w:rPr>
          <w:rFonts w:ascii="Calibri" w:hAnsi="Calibri" w:eastAsia="Calibri" w:cs="Calibri"/>
          <w:noProof w:val="0"/>
          <w:sz w:val="24"/>
          <w:szCs w:val="24"/>
          <w:lang w:val="en-GB"/>
        </w:rPr>
        <w:t xml:space="preserve"> areas where they need further support and providing tailored resources. These platforms enable teachers to </w:t>
      </w:r>
      <w:r w:rsidRPr="608C29B3" w:rsidR="5AF23BDD">
        <w:rPr>
          <w:rFonts w:ascii="Calibri" w:hAnsi="Calibri" w:eastAsia="Calibri" w:cs="Calibri"/>
          <w:noProof w:val="0"/>
          <w:sz w:val="24"/>
          <w:szCs w:val="24"/>
          <w:lang w:val="en-GB"/>
        </w:rPr>
        <w:t>monitor</w:t>
      </w:r>
      <w:r w:rsidRPr="608C29B3" w:rsidR="5AF23BDD">
        <w:rPr>
          <w:rFonts w:ascii="Calibri" w:hAnsi="Calibri" w:eastAsia="Calibri" w:cs="Calibri"/>
          <w:noProof w:val="0"/>
          <w:sz w:val="24"/>
          <w:szCs w:val="24"/>
          <w:lang w:val="en-GB"/>
        </w:rPr>
        <w:t xml:space="preserve"> students’ progress effectively, offering </w:t>
      </w:r>
      <w:r w:rsidRPr="608C29B3" w:rsidR="5AF23BDD">
        <w:rPr>
          <w:rFonts w:ascii="Calibri" w:hAnsi="Calibri" w:eastAsia="Calibri" w:cs="Calibri"/>
          <w:noProof w:val="0"/>
          <w:sz w:val="24"/>
          <w:szCs w:val="24"/>
          <w:lang w:val="en-GB"/>
        </w:rPr>
        <w:t>timely</w:t>
      </w:r>
      <w:r w:rsidRPr="608C29B3" w:rsidR="5AF23BDD">
        <w:rPr>
          <w:rFonts w:ascii="Calibri" w:hAnsi="Calibri" w:eastAsia="Calibri" w:cs="Calibri"/>
          <w:noProof w:val="0"/>
          <w:sz w:val="24"/>
          <w:szCs w:val="24"/>
          <w:lang w:val="en-GB"/>
        </w:rPr>
        <w:t xml:space="preserve"> feedback and helping to make data-driven instructional decisions (</w:t>
      </w:r>
      <w:r w:rsidRPr="608C29B3" w:rsidR="5AF23BDD">
        <w:rPr>
          <w:rFonts w:ascii="Calibri" w:hAnsi="Calibri" w:eastAsia="Calibri" w:cs="Calibri"/>
          <w:noProof w:val="0"/>
          <w:sz w:val="24"/>
          <w:szCs w:val="24"/>
          <w:lang w:val="en-GB"/>
        </w:rPr>
        <w:t>Luckin</w:t>
      </w:r>
      <w:r w:rsidRPr="608C29B3" w:rsidR="5AF23BDD">
        <w:rPr>
          <w:rFonts w:ascii="Calibri" w:hAnsi="Calibri" w:eastAsia="Calibri" w:cs="Calibri"/>
          <w:noProof w:val="0"/>
          <w:sz w:val="24"/>
          <w:szCs w:val="24"/>
          <w:lang w:val="en-GB"/>
        </w:rPr>
        <w:t xml:space="preserve"> &amp; </w:t>
      </w:r>
      <w:r w:rsidRPr="608C29B3" w:rsidR="5AF23BDD">
        <w:rPr>
          <w:rFonts w:ascii="Calibri" w:hAnsi="Calibri" w:eastAsia="Calibri" w:cs="Calibri"/>
          <w:noProof w:val="0"/>
          <w:sz w:val="24"/>
          <w:szCs w:val="24"/>
          <w:lang w:val="en-GB"/>
        </w:rPr>
        <w:t>Cukurova</w:t>
      </w:r>
      <w:r w:rsidRPr="608C29B3" w:rsidR="5AF23BDD">
        <w:rPr>
          <w:rFonts w:ascii="Calibri" w:hAnsi="Calibri" w:eastAsia="Calibri" w:cs="Calibri"/>
          <w:noProof w:val="0"/>
          <w:sz w:val="24"/>
          <w:szCs w:val="24"/>
          <w:lang w:val="en-GB"/>
        </w:rPr>
        <w:t>, 2020). This enhances the educator’s role by automating administrative tasks like grading, allowing more time for meaningful student-teacher interaction. Cloud-based platforms such as Google Classroom and Microsoft Teams foster real-time collaboration, promoting global perspectives and helping students from diverse backgrounds work together. These platforms support dynamic, inclusive learning environments that develop both cognitive and social skills (Williamson, 2017).</w:t>
      </w:r>
    </w:p>
    <w:p w:rsidR="5980153E" w:rsidP="608C29B3" w:rsidRDefault="5980153E" w14:paraId="7A8DB474" w14:textId="2F9B9F20">
      <w:pPr>
        <w:pStyle w:val="Heading4"/>
        <w:rPr>
          <w:rFonts w:ascii="Calibri" w:hAnsi="Calibri" w:eastAsia="Calibri" w:cs="Calibri"/>
          <w:noProof w:val="0"/>
          <w:sz w:val="24"/>
          <w:szCs w:val="24"/>
          <w:lang w:val="en-GB"/>
        </w:rPr>
      </w:pPr>
      <w:bookmarkStart w:name="_Toc1809367625" w:id="1520288315"/>
      <w:r w:rsidRPr="608C29B3" w:rsidR="5AF23BDD">
        <w:rPr>
          <w:noProof w:val="0"/>
          <w:lang w:val="en-GB"/>
        </w:rPr>
        <w:t>Collaborative Learning and Global Perspectives</w:t>
      </w:r>
      <w:bookmarkEnd w:id="1520288315"/>
    </w:p>
    <w:p w:rsidR="5980153E" w:rsidP="608C29B3" w:rsidRDefault="5980153E" w14:paraId="78B00488" w14:textId="259146D4">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5AF23BDD">
        <w:rPr>
          <w:rFonts w:ascii="Calibri" w:hAnsi="Calibri" w:eastAsia="Calibri" w:cs="Calibri"/>
          <w:noProof w:val="0"/>
          <w:sz w:val="24"/>
          <w:szCs w:val="24"/>
          <w:lang w:val="en-GB"/>
        </w:rPr>
        <w:t xml:space="preserve">Cloud-based platforms also </w:t>
      </w:r>
      <w:r w:rsidRPr="608C29B3" w:rsidR="5AF23BDD">
        <w:rPr>
          <w:rFonts w:ascii="Calibri" w:hAnsi="Calibri" w:eastAsia="Calibri" w:cs="Calibri"/>
          <w:noProof w:val="0"/>
          <w:sz w:val="24"/>
          <w:szCs w:val="24"/>
          <w:lang w:val="en-GB"/>
        </w:rPr>
        <w:t>facilitate</w:t>
      </w:r>
      <w:r w:rsidRPr="608C29B3" w:rsidR="5AF23BDD">
        <w:rPr>
          <w:rFonts w:ascii="Calibri" w:hAnsi="Calibri" w:eastAsia="Calibri" w:cs="Calibri"/>
          <w:noProof w:val="0"/>
          <w:sz w:val="24"/>
          <w:szCs w:val="24"/>
          <w:lang w:val="en-GB"/>
        </w:rPr>
        <w:t xml:space="preserve"> collaborative learning, allowing students to collaborate on projects in real time, regardless of their location. This encourages global learning, enabling students to engage with peers from diverse cultural and educational backgrounds. Such collaboration broadens students' perspectives and fosters teamwork, critical thinking, and problem-solving skills (Williamson, 2017). The Digital 2030 strategy in Wales highlights the importance of equipping students with digital skills to collaborate globally, in alignment with the United Nations Sustainable Development Goals (SDGs), which advocate for </w:t>
      </w:r>
      <w:r w:rsidRPr="608C29B3" w:rsidR="5AF23BDD">
        <w:rPr>
          <w:rFonts w:ascii="Calibri" w:hAnsi="Calibri" w:eastAsia="Calibri" w:cs="Calibri"/>
          <w:noProof w:val="0"/>
          <w:sz w:val="24"/>
          <w:szCs w:val="24"/>
          <w:lang w:val="en-GB"/>
        </w:rPr>
        <w:t>equitable</w:t>
      </w:r>
      <w:r w:rsidRPr="608C29B3" w:rsidR="5AF23BDD">
        <w:rPr>
          <w:rFonts w:ascii="Calibri" w:hAnsi="Calibri" w:eastAsia="Calibri" w:cs="Calibri"/>
          <w:noProof w:val="0"/>
          <w:sz w:val="24"/>
          <w:szCs w:val="24"/>
          <w:lang w:val="en-GB"/>
        </w:rPr>
        <w:t>, inclusive education (UN SDGs, 2021). Through digital collaboration tools, educators can promote global citizenship, preparing students for the interconnected world of the future.</w:t>
      </w:r>
    </w:p>
    <w:p w:rsidR="5980153E" w:rsidP="608C29B3" w:rsidRDefault="5980153E" w14:paraId="791B133C" w14:textId="47CF8204">
      <w:pPr>
        <w:pStyle w:val="Heading4"/>
        <w:rPr>
          <w:rFonts w:ascii="Calibri" w:hAnsi="Calibri" w:eastAsia="Calibri" w:cs="Calibri"/>
          <w:noProof w:val="0"/>
          <w:sz w:val="24"/>
          <w:szCs w:val="24"/>
          <w:lang w:val="en-GB"/>
        </w:rPr>
      </w:pPr>
      <w:bookmarkStart w:name="_Toc1153416684" w:id="1119088313"/>
      <w:r w:rsidRPr="608C29B3" w:rsidR="5AF23BDD">
        <w:rPr>
          <w:noProof w:val="0"/>
          <w:lang w:val="en-GB"/>
        </w:rPr>
        <w:t>Enhancing Student Engagement and Motivation</w:t>
      </w:r>
      <w:bookmarkEnd w:id="1119088313"/>
    </w:p>
    <w:p w:rsidR="5980153E" w:rsidP="608C29B3" w:rsidRDefault="5980153E" w14:paraId="56F988C9" w14:textId="56661E79">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5AF23BDD">
        <w:rPr>
          <w:rFonts w:ascii="Calibri" w:hAnsi="Calibri" w:eastAsia="Calibri" w:cs="Calibri"/>
          <w:noProof w:val="0"/>
          <w:sz w:val="24"/>
          <w:szCs w:val="24"/>
          <w:lang w:val="en-GB"/>
        </w:rPr>
        <w:t>Emerging technologies are also instrumental in increasing student engagement and motivation. Interactive learning tools like VR, AR, and gamified educational platforms provide more hands-on, engaging experiences compared to traditional teaching methods. Gamification, which integrates elements like rewards, competition, and achievement, has been shown to enhance motivation and increase engagement (</w:t>
      </w:r>
      <w:r w:rsidRPr="608C29B3" w:rsidR="5AF23BDD">
        <w:rPr>
          <w:rFonts w:ascii="Calibri" w:hAnsi="Calibri" w:eastAsia="Calibri" w:cs="Calibri"/>
          <w:noProof w:val="0"/>
          <w:sz w:val="24"/>
          <w:szCs w:val="24"/>
          <w:lang w:val="en-GB"/>
        </w:rPr>
        <w:t>Cagiltay</w:t>
      </w:r>
      <w:r w:rsidRPr="608C29B3" w:rsidR="5AF23BDD">
        <w:rPr>
          <w:rFonts w:ascii="Calibri" w:hAnsi="Calibri" w:eastAsia="Calibri" w:cs="Calibri"/>
          <w:noProof w:val="0"/>
          <w:sz w:val="24"/>
          <w:szCs w:val="24"/>
          <w:lang w:val="en-GB"/>
        </w:rPr>
        <w:t xml:space="preserve"> et al., 2019). Studies </w:t>
      </w:r>
      <w:r w:rsidRPr="608C29B3" w:rsidR="5AF23BDD">
        <w:rPr>
          <w:rFonts w:ascii="Calibri" w:hAnsi="Calibri" w:eastAsia="Calibri" w:cs="Calibri"/>
          <w:noProof w:val="0"/>
          <w:sz w:val="24"/>
          <w:szCs w:val="24"/>
          <w:lang w:val="en-GB"/>
        </w:rPr>
        <w:t>indicate</w:t>
      </w:r>
      <w:r w:rsidRPr="608C29B3" w:rsidR="5AF23BDD">
        <w:rPr>
          <w:rFonts w:ascii="Calibri" w:hAnsi="Calibri" w:eastAsia="Calibri" w:cs="Calibri"/>
          <w:noProof w:val="0"/>
          <w:sz w:val="24"/>
          <w:szCs w:val="24"/>
          <w:lang w:val="en-GB"/>
        </w:rPr>
        <w:t xml:space="preserve"> that students using gamified learning environments tend to </w:t>
      </w:r>
      <w:r w:rsidRPr="608C29B3" w:rsidR="5AF23BDD">
        <w:rPr>
          <w:rFonts w:ascii="Calibri" w:hAnsi="Calibri" w:eastAsia="Calibri" w:cs="Calibri"/>
          <w:noProof w:val="0"/>
          <w:sz w:val="24"/>
          <w:szCs w:val="24"/>
          <w:lang w:val="en-GB"/>
        </w:rPr>
        <w:t>exhibit</w:t>
      </w:r>
      <w:r w:rsidRPr="608C29B3" w:rsidR="5AF23BDD">
        <w:rPr>
          <w:rFonts w:ascii="Calibri" w:hAnsi="Calibri" w:eastAsia="Calibri" w:cs="Calibri"/>
          <w:noProof w:val="0"/>
          <w:sz w:val="24"/>
          <w:szCs w:val="24"/>
          <w:lang w:val="en-GB"/>
        </w:rPr>
        <w:t xml:space="preserve"> higher engagement and better retention than those in traditional learning settings. Similarly, VR and AR technologies transform abstract concepts into interactive, 3D models, enabling students to explore and engage in ways that are more tangible and memorable (Daniela, 2020). Active learning, enhanced by these technologies, has been shown to improve retention and deepen understanding, offering a more effective alternative to passive learning approaches.</w:t>
      </w:r>
    </w:p>
    <w:p w:rsidR="5980153E" w:rsidP="608C29B3" w:rsidRDefault="5980153E" w14:paraId="70E49BC8" w14:textId="5B50E871">
      <w:pPr>
        <w:pStyle w:val="Heading2"/>
        <w:rPr>
          <w:rFonts w:ascii="Calibri" w:hAnsi="Calibri" w:eastAsia="Calibri" w:cs="Calibri"/>
          <w:noProof w:val="0"/>
          <w:sz w:val="24"/>
          <w:szCs w:val="24"/>
          <w:lang w:val="en-GB"/>
        </w:rPr>
      </w:pPr>
      <w:bookmarkStart w:name="_Toc1740588995" w:id="1651385231"/>
      <w:r w:rsidRPr="608C29B3" w:rsidR="5AF23BDD">
        <w:rPr>
          <w:noProof w:val="0"/>
          <w:lang w:val="en-GB"/>
        </w:rPr>
        <w:t>Addressing Challenges and Limitations</w:t>
      </w:r>
      <w:bookmarkEnd w:id="1651385231"/>
    </w:p>
    <w:p w:rsidR="5980153E" w:rsidP="608C29B3" w:rsidRDefault="5980153E" w14:paraId="757468E1" w14:textId="15F06E67">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5AF23BDD">
        <w:rPr>
          <w:rFonts w:ascii="Calibri" w:hAnsi="Calibri" w:eastAsia="Calibri" w:cs="Calibri"/>
          <w:noProof w:val="0"/>
          <w:sz w:val="24"/>
          <w:szCs w:val="24"/>
          <w:lang w:val="en-GB"/>
        </w:rPr>
        <w:t>Despite the many benefits, several challenges hinder the successful integration of emerging technologies in education.</w:t>
      </w:r>
    </w:p>
    <w:p w:rsidR="5980153E" w:rsidP="608C29B3" w:rsidRDefault="5980153E" w14:paraId="2F5AECE8" w14:textId="3AF105C4">
      <w:pPr>
        <w:pStyle w:val="Heading4"/>
        <w:rPr>
          <w:rFonts w:ascii="Calibri" w:hAnsi="Calibri" w:eastAsia="Calibri" w:cs="Calibri"/>
          <w:noProof w:val="0"/>
          <w:sz w:val="24"/>
          <w:szCs w:val="24"/>
          <w:lang w:val="en-GB"/>
        </w:rPr>
      </w:pPr>
      <w:bookmarkStart w:name="_Toc612540995" w:id="321472172"/>
      <w:r w:rsidRPr="608C29B3" w:rsidR="5AF23BDD">
        <w:rPr>
          <w:noProof w:val="0"/>
          <w:lang w:val="en-GB"/>
        </w:rPr>
        <w:t>The Digital Divide and Access to Technology</w:t>
      </w:r>
      <w:bookmarkEnd w:id="321472172"/>
    </w:p>
    <w:p w:rsidR="5980153E" w:rsidP="608C29B3" w:rsidRDefault="5980153E" w14:paraId="54B57BDC" w14:textId="4789E603">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5AF23BDD">
        <w:rPr>
          <w:rFonts w:ascii="Calibri" w:hAnsi="Calibri" w:eastAsia="Calibri" w:cs="Calibri"/>
          <w:noProof w:val="0"/>
          <w:sz w:val="24"/>
          <w:szCs w:val="24"/>
          <w:lang w:val="en-GB"/>
        </w:rPr>
        <w:t xml:space="preserve">A significant barrier to integrating emerging technologies in education is the digital divide, which limits students’ access to necessary technology and internet connectivity. According to the Digital 2030 framework (2019), addressing this divide is essential for </w:t>
      </w:r>
      <w:r w:rsidRPr="608C29B3" w:rsidR="5AF23BDD">
        <w:rPr>
          <w:rFonts w:ascii="Calibri" w:hAnsi="Calibri" w:eastAsia="Calibri" w:cs="Calibri"/>
          <w:noProof w:val="0"/>
          <w:sz w:val="24"/>
          <w:szCs w:val="24"/>
          <w:lang w:val="en-GB"/>
        </w:rPr>
        <w:t>equitable</w:t>
      </w:r>
      <w:r w:rsidRPr="608C29B3" w:rsidR="5AF23BDD">
        <w:rPr>
          <w:rFonts w:ascii="Calibri" w:hAnsi="Calibri" w:eastAsia="Calibri" w:cs="Calibri"/>
          <w:noProof w:val="0"/>
          <w:sz w:val="24"/>
          <w:szCs w:val="24"/>
          <w:lang w:val="en-GB"/>
        </w:rPr>
        <w:t xml:space="preserve"> educational opportunities. Without affordable internet, digital devices, and literacy programs, underprivileged communities face a disadvantage, hindering their ability to </w:t>
      </w:r>
      <w:r w:rsidRPr="608C29B3" w:rsidR="5AF23BDD">
        <w:rPr>
          <w:rFonts w:ascii="Calibri" w:hAnsi="Calibri" w:eastAsia="Calibri" w:cs="Calibri"/>
          <w:noProof w:val="0"/>
          <w:sz w:val="24"/>
          <w:szCs w:val="24"/>
          <w:lang w:val="en-GB"/>
        </w:rPr>
        <w:t>benefit</w:t>
      </w:r>
      <w:r w:rsidRPr="608C29B3" w:rsidR="5AF23BDD">
        <w:rPr>
          <w:rFonts w:ascii="Calibri" w:hAnsi="Calibri" w:eastAsia="Calibri" w:cs="Calibri"/>
          <w:noProof w:val="0"/>
          <w:sz w:val="24"/>
          <w:szCs w:val="24"/>
          <w:lang w:val="en-GB"/>
        </w:rPr>
        <w:t xml:space="preserve"> from technology-enhanced learning. The COVID-19 pandemic highlighted these disparities, as students in lower-income areas were disproportionately affected by unreliable internet access, </w:t>
      </w:r>
      <w:r w:rsidRPr="608C29B3" w:rsidR="5AF23BDD">
        <w:rPr>
          <w:rFonts w:ascii="Calibri" w:hAnsi="Calibri" w:eastAsia="Calibri" w:cs="Calibri"/>
          <w:noProof w:val="0"/>
          <w:sz w:val="24"/>
          <w:szCs w:val="24"/>
          <w:lang w:val="en-GB"/>
        </w:rPr>
        <w:t>exacerbating</w:t>
      </w:r>
      <w:r w:rsidRPr="608C29B3" w:rsidR="5AF23BDD">
        <w:rPr>
          <w:rFonts w:ascii="Calibri" w:hAnsi="Calibri" w:eastAsia="Calibri" w:cs="Calibri"/>
          <w:noProof w:val="0"/>
          <w:sz w:val="24"/>
          <w:szCs w:val="24"/>
          <w:lang w:val="en-GB"/>
        </w:rPr>
        <w:t xml:space="preserve"> existing educational inequalities (Children’s Commissioner, 2020). In response, the Welsh Government's Digital Inclusion Strategy (2020) aims to bridge this gap by improving access to broadband, digital devices, and digital literacy programs. However, more efforts are needed to ensure that all students, particularly those from underserved communities, have access to the digital tools </w:t>
      </w:r>
      <w:r w:rsidRPr="608C29B3" w:rsidR="5AF23BDD">
        <w:rPr>
          <w:rFonts w:ascii="Calibri" w:hAnsi="Calibri" w:eastAsia="Calibri" w:cs="Calibri"/>
          <w:noProof w:val="0"/>
          <w:sz w:val="24"/>
          <w:szCs w:val="24"/>
          <w:lang w:val="en-GB"/>
        </w:rPr>
        <w:t>required</w:t>
      </w:r>
      <w:r w:rsidRPr="608C29B3" w:rsidR="5AF23BDD">
        <w:rPr>
          <w:rFonts w:ascii="Calibri" w:hAnsi="Calibri" w:eastAsia="Calibri" w:cs="Calibri"/>
          <w:noProof w:val="0"/>
          <w:sz w:val="24"/>
          <w:szCs w:val="24"/>
          <w:lang w:val="en-GB"/>
        </w:rPr>
        <w:t xml:space="preserve"> for success.</w:t>
      </w:r>
    </w:p>
    <w:p w:rsidR="5980153E" w:rsidP="608C29B3" w:rsidRDefault="5980153E" w14:paraId="28964B2B" w14:textId="31876271">
      <w:pPr>
        <w:pStyle w:val="Heading4"/>
        <w:rPr>
          <w:rFonts w:ascii="Calibri" w:hAnsi="Calibri" w:eastAsia="Calibri" w:cs="Calibri"/>
          <w:noProof w:val="0"/>
          <w:sz w:val="24"/>
          <w:szCs w:val="24"/>
          <w:lang w:val="en-GB"/>
        </w:rPr>
      </w:pPr>
      <w:bookmarkStart w:name="_Toc838105357" w:id="2100400831"/>
      <w:r w:rsidRPr="608C29B3" w:rsidR="5AF23BDD">
        <w:rPr>
          <w:noProof w:val="0"/>
          <w:lang w:val="en-GB"/>
        </w:rPr>
        <w:t>Ethical Concerns and Security Risks</w:t>
      </w:r>
      <w:bookmarkEnd w:id="2100400831"/>
    </w:p>
    <w:p w:rsidR="5980153E" w:rsidP="608C29B3" w:rsidRDefault="5980153E" w14:paraId="6FEDD4CC" w14:textId="0271149F">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5AF23BDD">
        <w:rPr>
          <w:rFonts w:ascii="Calibri" w:hAnsi="Calibri" w:eastAsia="Calibri" w:cs="Calibri"/>
          <w:noProof w:val="0"/>
          <w:sz w:val="24"/>
          <w:szCs w:val="24"/>
          <w:lang w:val="en-GB"/>
        </w:rPr>
        <w:t xml:space="preserve">Another issue arising with the increased use of emerging technologies in education is the collection of personal and academic data through AI and cloud-based platforms. These systems often collect sensitive information, which can be vulnerable to misuse or breaches if not properly secured. As such, it is critical for educational institutions to implement strong data protection policies and ensure that ethical guidelines are followed </w:t>
      </w:r>
      <w:r w:rsidRPr="608C29B3" w:rsidR="5AF23BDD">
        <w:rPr>
          <w:rFonts w:ascii="Calibri" w:hAnsi="Calibri" w:eastAsia="Calibri" w:cs="Calibri"/>
          <w:noProof w:val="0"/>
          <w:sz w:val="24"/>
          <w:szCs w:val="24"/>
          <w:lang w:val="en-GB"/>
        </w:rPr>
        <w:t>regarding</w:t>
      </w:r>
      <w:r w:rsidRPr="608C29B3" w:rsidR="5AF23BDD">
        <w:rPr>
          <w:rFonts w:ascii="Calibri" w:hAnsi="Calibri" w:eastAsia="Calibri" w:cs="Calibri"/>
          <w:noProof w:val="0"/>
          <w:sz w:val="24"/>
          <w:szCs w:val="24"/>
          <w:lang w:val="en-GB"/>
        </w:rPr>
        <w:t xml:space="preserve"> student privacy (Williamson, 2017). Additionally, the use of AI may inadvertently perpetuate biases, particularly when not properly </w:t>
      </w:r>
      <w:r w:rsidRPr="608C29B3" w:rsidR="5AF23BDD">
        <w:rPr>
          <w:rFonts w:ascii="Calibri" w:hAnsi="Calibri" w:eastAsia="Calibri" w:cs="Calibri"/>
          <w:noProof w:val="0"/>
          <w:sz w:val="24"/>
          <w:szCs w:val="24"/>
          <w:lang w:val="en-GB"/>
        </w:rPr>
        <w:t>monitored</w:t>
      </w:r>
      <w:r w:rsidRPr="608C29B3" w:rsidR="5AF23BDD">
        <w:rPr>
          <w:rFonts w:ascii="Calibri" w:hAnsi="Calibri" w:eastAsia="Calibri" w:cs="Calibri"/>
          <w:noProof w:val="0"/>
          <w:sz w:val="24"/>
          <w:szCs w:val="24"/>
          <w:lang w:val="en-GB"/>
        </w:rPr>
        <w:t>, potentially exacerbating inequalities in educational outcomes (Selwyn, 2016; Zhao et al., 2002). This underscores the need for robust ethical frameworks to guide the use of AI and data-driven tools in education, ensuring they serve the best interests of all students.</w:t>
      </w:r>
    </w:p>
    <w:p w:rsidR="5980153E" w:rsidP="608C29B3" w:rsidRDefault="5980153E" w14:paraId="78F80921" w14:textId="2D8DF9D5">
      <w:pPr>
        <w:pStyle w:val="Heading4"/>
        <w:rPr>
          <w:rFonts w:ascii="Calibri" w:hAnsi="Calibri" w:eastAsia="Calibri" w:cs="Calibri"/>
          <w:noProof w:val="0"/>
          <w:sz w:val="24"/>
          <w:szCs w:val="24"/>
          <w:lang w:val="en-GB"/>
        </w:rPr>
      </w:pPr>
      <w:bookmarkStart w:name="_Toc2123396708" w:id="56240386"/>
      <w:r w:rsidRPr="608C29B3" w:rsidR="5AF23BDD">
        <w:rPr>
          <w:noProof w:val="0"/>
          <w:lang w:val="en-GB"/>
        </w:rPr>
        <w:t>Challenges for Educators</w:t>
      </w:r>
      <w:bookmarkEnd w:id="56240386"/>
    </w:p>
    <w:p w:rsidR="5980153E" w:rsidP="608C29B3" w:rsidRDefault="5980153E" w14:paraId="25795043" w14:textId="4526E537">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5AF23BDD">
        <w:rPr>
          <w:rFonts w:ascii="Calibri" w:hAnsi="Calibri" w:eastAsia="Calibri" w:cs="Calibri"/>
          <w:noProof w:val="0"/>
          <w:sz w:val="24"/>
          <w:szCs w:val="24"/>
          <w:lang w:val="en-GB"/>
        </w:rPr>
        <w:t xml:space="preserve">Educators also face challenges in incorporating emerging technologies effectively into their teaching. One major concern is the over-reliance on technology, which can undermine the teacher-student relationship. Technology should complement, not replace, the human elements of teaching, which include emotional support, mentorship, and social interaction (Selwyn, 2016). Educators need to </w:t>
      </w:r>
      <w:r w:rsidRPr="608C29B3" w:rsidR="5AF23BDD">
        <w:rPr>
          <w:rFonts w:ascii="Calibri" w:hAnsi="Calibri" w:eastAsia="Calibri" w:cs="Calibri"/>
          <w:noProof w:val="0"/>
          <w:sz w:val="24"/>
          <w:szCs w:val="24"/>
          <w:lang w:val="en-GB"/>
        </w:rPr>
        <w:t>maintain</w:t>
      </w:r>
      <w:r w:rsidRPr="608C29B3" w:rsidR="5AF23BDD">
        <w:rPr>
          <w:rFonts w:ascii="Calibri" w:hAnsi="Calibri" w:eastAsia="Calibri" w:cs="Calibri"/>
          <w:noProof w:val="0"/>
          <w:sz w:val="24"/>
          <w:szCs w:val="24"/>
          <w:lang w:val="en-GB"/>
        </w:rPr>
        <w:t xml:space="preserve"> a balance between leveraging technology for personalized learning and fostering meaningful, personal connections with students. Additionally, a lack of sufficient teacher training and resistance to </w:t>
      </w:r>
      <w:r w:rsidRPr="608C29B3" w:rsidR="5AF23BDD">
        <w:rPr>
          <w:rFonts w:ascii="Calibri" w:hAnsi="Calibri" w:eastAsia="Calibri" w:cs="Calibri"/>
          <w:noProof w:val="0"/>
          <w:sz w:val="24"/>
          <w:szCs w:val="24"/>
          <w:lang w:val="en-GB"/>
        </w:rPr>
        <w:t>new technologies</w:t>
      </w:r>
      <w:r w:rsidRPr="608C29B3" w:rsidR="5AF23BDD">
        <w:rPr>
          <w:rFonts w:ascii="Calibri" w:hAnsi="Calibri" w:eastAsia="Calibri" w:cs="Calibri"/>
          <w:noProof w:val="0"/>
          <w:sz w:val="24"/>
          <w:szCs w:val="24"/>
          <w:lang w:val="en-GB"/>
        </w:rPr>
        <w:t xml:space="preserve"> can hinder the successful integration of digital tools. Many educators struggle to incorporate new tools into their practices due to unfamiliarity or a lack of professional development opportunities (Daniela, 2020). Ongoing training and support are essential to help educators feel confident and competent in using these tools effectively.</w:t>
      </w:r>
    </w:p>
    <w:p w:rsidR="5980153E" w:rsidP="608C29B3" w:rsidRDefault="5980153E" w14:paraId="2F92D2BB" w14:textId="4AB962F8">
      <w:pPr>
        <w:pStyle w:val="Heading4"/>
        <w:rPr>
          <w:rFonts w:ascii="Calibri" w:hAnsi="Calibri" w:eastAsia="Calibri" w:cs="Calibri"/>
          <w:noProof w:val="0"/>
          <w:sz w:val="24"/>
          <w:szCs w:val="24"/>
          <w:lang w:val="en-GB"/>
        </w:rPr>
      </w:pPr>
      <w:bookmarkStart w:name="_Toc1694937905" w:id="1810030619"/>
      <w:r w:rsidRPr="608C29B3" w:rsidR="5AF23BDD">
        <w:rPr>
          <w:noProof w:val="0"/>
          <w:lang w:val="en-GB"/>
        </w:rPr>
        <w:t>The Role of Well-being in Digital Technology</w:t>
      </w:r>
      <w:bookmarkEnd w:id="1810030619"/>
    </w:p>
    <w:p w:rsidR="5980153E" w:rsidP="608C29B3" w:rsidRDefault="5980153E" w14:paraId="62D12C24" w14:textId="2E673A60">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5AF23BDD">
        <w:rPr>
          <w:rFonts w:ascii="Calibri" w:hAnsi="Calibri" w:eastAsia="Calibri" w:cs="Calibri"/>
          <w:noProof w:val="0"/>
          <w:sz w:val="24"/>
          <w:szCs w:val="24"/>
          <w:lang w:val="en-GB"/>
        </w:rPr>
        <w:t xml:space="preserve">The integration of digital technologies into education has raised concerns about the mental and emotional well-being of both students and educators. Digital platforms can sometimes lead to stress, platform fatigue, and burnout, as educators and students manage multiple online tools and resources. A study by Beetham (2019) suggests that excessive use of digital technologies can contribute to mental exhaustion, diminishing the quality of the learning experience. Platform fatigue, caused by constant engagement with digital tools, can reduce the effectiveness of these technologies if not managed properly. To mitigate this, educators must ensure that technology use does not overwhelm students and should encourage breaks, limit screen time, and </w:t>
      </w:r>
      <w:r w:rsidRPr="608C29B3" w:rsidR="5AF23BDD">
        <w:rPr>
          <w:rFonts w:ascii="Calibri" w:hAnsi="Calibri" w:eastAsia="Calibri" w:cs="Calibri"/>
          <w:noProof w:val="0"/>
          <w:sz w:val="24"/>
          <w:szCs w:val="24"/>
          <w:lang w:val="en-GB"/>
        </w:rPr>
        <w:t>maintain</w:t>
      </w:r>
      <w:r w:rsidRPr="608C29B3" w:rsidR="5AF23BDD">
        <w:rPr>
          <w:rFonts w:ascii="Calibri" w:hAnsi="Calibri" w:eastAsia="Calibri" w:cs="Calibri"/>
          <w:noProof w:val="0"/>
          <w:sz w:val="24"/>
          <w:szCs w:val="24"/>
          <w:lang w:val="en-GB"/>
        </w:rPr>
        <w:t xml:space="preserve"> social connections beyond digital spaces. It is crucial that educators create a balance between digital and traditional teaching methods to prevent over-dependence on technology, which could harm students' mental health.</w:t>
      </w:r>
    </w:p>
    <w:p w:rsidR="5980153E" w:rsidP="608C29B3" w:rsidRDefault="5980153E" w14:paraId="20864BDD" w14:textId="2EC812A5">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5AF23BDD">
        <w:rPr>
          <w:rFonts w:ascii="Calibri" w:hAnsi="Calibri" w:eastAsia="Calibri" w:cs="Calibri"/>
          <w:noProof w:val="0"/>
          <w:sz w:val="24"/>
          <w:szCs w:val="24"/>
          <w:lang w:val="en-GB"/>
        </w:rPr>
        <w:t>Additionally, the Well-being of Future Generations (Wales) Act (2015) stresses the importance of well-being in education, encouraging educators to consider the emotional impact of their teaching practices. Prioritizing well-being helps to prevent burnout and fosters a positive learning environment for both students and teachers. Educators must be mindful of the stress caused by excessive digital workloads and take steps to support the mental health of all involved.</w:t>
      </w:r>
    </w:p>
    <w:p w:rsidR="5980153E" w:rsidP="608C29B3" w:rsidRDefault="5980153E" w14:paraId="633286F5" w14:textId="4D2BB8DE">
      <w:pPr>
        <w:pStyle w:val="Heading2"/>
        <w:rPr>
          <w:rFonts w:ascii="Calibri" w:hAnsi="Calibri" w:eastAsia="Calibri" w:cs="Calibri"/>
          <w:noProof w:val="0"/>
          <w:sz w:val="24"/>
          <w:szCs w:val="24"/>
          <w:lang w:val="en-GB"/>
        </w:rPr>
      </w:pPr>
      <w:bookmarkStart w:name="_Toc1043317602" w:id="1231358777"/>
      <w:r w:rsidRPr="608C29B3" w:rsidR="5AF23BDD">
        <w:rPr>
          <w:noProof w:val="0"/>
          <w:lang w:val="en-GB"/>
        </w:rPr>
        <w:t>Conclusion</w:t>
      </w:r>
      <w:bookmarkEnd w:id="1231358777"/>
    </w:p>
    <w:p w:rsidR="5980153E" w:rsidP="608C29B3" w:rsidRDefault="5980153E" w14:paraId="42DECE0C" w14:textId="37126CF4">
      <w:pPr>
        <w:pStyle w:val="Normal"/>
        <w:spacing w:before="240" w:beforeAutospacing="off" w:after="240" w:afterAutospacing="off" w:line="480" w:lineRule="auto"/>
        <w:rPr>
          <w:rFonts w:ascii="Calibri" w:hAnsi="Calibri" w:eastAsia="Calibri" w:cs="Calibri"/>
          <w:noProof w:val="0"/>
          <w:sz w:val="24"/>
          <w:szCs w:val="24"/>
          <w:lang w:val="en-GB"/>
        </w:rPr>
      </w:pPr>
      <w:r w:rsidRPr="608C29B3" w:rsidR="5AF23BDD">
        <w:rPr>
          <w:rFonts w:ascii="Calibri" w:hAnsi="Calibri" w:eastAsia="Calibri" w:cs="Calibri"/>
          <w:noProof w:val="0"/>
          <w:sz w:val="24"/>
          <w:szCs w:val="24"/>
          <w:lang w:val="en-GB"/>
        </w:rPr>
        <w:t>Emerging technologies have the potential to transform pedagogy by offering personalized, interactive, and engaging learning experiences that cater to individual students’ needs. In Wales, where digital inclusion and skills development are central to educational policy, the thoughtful integration of emerging technologies could significantly improve teaching and learning outcomes. However, challenges such as the digital divide, ethical concerns, and the well-being of both students and educators must be addressed for these technologies to reach their full potential. By carefully considering these factors, emerging technologies can play a transformative role in shaping the future of education, fostering inclusive, dynamic, and personalized learning environments.</w:t>
      </w:r>
    </w:p>
    <w:p w:rsidR="5980153E" w:rsidP="608C29B3" w:rsidRDefault="5980153E" w14:paraId="3746DC58" w14:textId="62864797">
      <w:pPr>
        <w:pStyle w:val="Heading1"/>
        <w:rPr>
          <w:noProof w:val="0"/>
          <w:lang w:val="en-GB"/>
        </w:rPr>
      </w:pPr>
      <w:bookmarkStart w:name="_Toc190184697" w:id="1156354574"/>
      <w:r w:rsidRPr="608C29B3" w:rsidR="6EB70D9C">
        <w:rPr>
          <w:noProof w:val="0"/>
          <w:lang w:val="en-GB"/>
        </w:rPr>
        <w:t>Explanation and Justification of the Chosen Learning Tool</w:t>
      </w:r>
      <w:bookmarkEnd w:id="1156354574"/>
    </w:p>
    <w:p w:rsidR="5980153E" w:rsidP="608C29B3" w:rsidRDefault="5980153E" w14:paraId="58656044" w14:textId="1B35487E">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 xml:space="preserve">Considering the literature on digital innovation and pedagogy, this section explores the </w:t>
      </w:r>
      <w:r w:rsidRPr="608C29B3" w:rsidR="6EB70D9C">
        <w:rPr>
          <w:rFonts w:ascii="Calibri" w:hAnsi="Calibri" w:eastAsia="Calibri" w:cs="Calibri"/>
          <w:noProof w:val="0"/>
          <w:lang w:val="en-GB"/>
        </w:rPr>
        <w:t>selection</w:t>
      </w:r>
      <w:r w:rsidRPr="608C29B3" w:rsidR="6EB70D9C">
        <w:rPr>
          <w:rFonts w:ascii="Calibri" w:hAnsi="Calibri" w:eastAsia="Calibri" w:cs="Calibri"/>
          <w:noProof w:val="0"/>
          <w:lang w:val="en-GB"/>
        </w:rPr>
        <w:t xml:space="preserve"> and justification of a teaching tool for use in a lesson on Character Writing in a Film &amp; TV course lecture. The chosen tool for this purpose is AI, specifically ChatGPT. ChatGPT is a sophisticated language model developed by OpenAI that uses advanced machine learning techniques to engage with users in a conversational manner. This tool will be evaluated based on its alignment with relevant learning theories, its practical application in teaching, and its potential to improve learning outcomes. Furthermore, ChatGPT will be considered in terms of its integration with the Technology Integration Matrix (TIM), a framework that can be used to assess the effectiveness of technology in enhancing pedagogy.</w:t>
      </w:r>
    </w:p>
    <w:p w:rsidR="5980153E" w:rsidP="608C29B3" w:rsidRDefault="5980153E" w14:paraId="2831930E" w14:textId="7CF64DB6">
      <w:pPr>
        <w:pStyle w:val="Heading2"/>
        <w:rPr>
          <w:rFonts w:ascii="Calibri" w:hAnsi="Calibri" w:eastAsia="Calibri" w:cs="Calibri"/>
          <w:noProof w:val="0"/>
          <w:lang w:val="en-GB"/>
        </w:rPr>
      </w:pPr>
      <w:bookmarkStart w:name="_Toc278085311" w:id="1391472653"/>
      <w:r w:rsidRPr="608C29B3" w:rsidR="6EB70D9C">
        <w:rPr>
          <w:noProof w:val="0"/>
          <w:lang w:val="en-GB"/>
        </w:rPr>
        <w:t>ChatGPT and Its Alignment with Learning Theories</w:t>
      </w:r>
      <w:bookmarkEnd w:id="1391472653"/>
    </w:p>
    <w:p w:rsidR="5980153E" w:rsidP="608C29B3" w:rsidRDefault="5980153E" w14:paraId="26EA70CE" w14:textId="502FBAB6">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ChatGPT’s capabilities align with several prominent learning theories that emphasize personalized, interactive, and self-directed learning, all of which are integral to character research in Film &amp; TV. For a course that aims to help students explore diverse characters and their unique narratives, the tool provides an innovative, flexible learning environment that fosters engagement, critical thinking, and creative exploration.</w:t>
      </w:r>
    </w:p>
    <w:p w:rsidR="5980153E" w:rsidP="608C29B3" w:rsidRDefault="5980153E" w14:paraId="4BC5399C" w14:textId="5B82E8DE">
      <w:pPr>
        <w:pStyle w:val="Heading4"/>
        <w:rPr>
          <w:rFonts w:ascii="Calibri" w:hAnsi="Calibri" w:eastAsia="Calibri" w:cs="Calibri"/>
          <w:noProof w:val="0"/>
          <w:lang w:val="en-GB"/>
        </w:rPr>
      </w:pPr>
      <w:bookmarkStart w:name="_Toc1143401741" w:id="181870904"/>
      <w:r w:rsidRPr="608C29B3" w:rsidR="6EB70D9C">
        <w:rPr>
          <w:noProof w:val="0"/>
          <w:lang w:val="en-GB"/>
        </w:rPr>
        <w:t>Active Learning and Engaging with Diverse Characters</w:t>
      </w:r>
      <w:bookmarkEnd w:id="181870904"/>
    </w:p>
    <w:p w:rsidR="5980153E" w:rsidP="608C29B3" w:rsidRDefault="5980153E" w14:paraId="3AE3DAEF" w14:textId="2B69242F">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 xml:space="preserve">Active learning is a core pedagogical principle that emphasizes student engagement in the learning process through interaction and critical thinking (Michalko, 2006). In the context of researching diverse characters in film and television, ChatGPT allows students to actively engage with the content by prompting them to ask questions, explore character motivations, and </w:t>
      </w:r>
      <w:r w:rsidRPr="608C29B3" w:rsidR="6EB70D9C">
        <w:rPr>
          <w:rFonts w:ascii="Calibri" w:hAnsi="Calibri" w:eastAsia="Calibri" w:cs="Calibri"/>
          <w:noProof w:val="0"/>
          <w:lang w:val="en-GB"/>
        </w:rPr>
        <w:t>analyze</w:t>
      </w:r>
      <w:r w:rsidRPr="608C29B3" w:rsidR="6EB70D9C">
        <w:rPr>
          <w:rFonts w:ascii="Calibri" w:hAnsi="Calibri" w:eastAsia="Calibri" w:cs="Calibri"/>
          <w:noProof w:val="0"/>
          <w:lang w:val="en-GB"/>
        </w:rPr>
        <w:t xml:space="preserve"> various aspects of a character's background. For example, students might use ChatGPT to help </w:t>
      </w:r>
      <w:r w:rsidRPr="608C29B3" w:rsidR="6EB70D9C">
        <w:rPr>
          <w:rFonts w:ascii="Calibri" w:hAnsi="Calibri" w:eastAsia="Calibri" w:cs="Calibri"/>
          <w:noProof w:val="0"/>
          <w:lang w:val="en-GB"/>
        </w:rPr>
        <w:t>identify</w:t>
      </w:r>
      <w:r w:rsidRPr="608C29B3" w:rsidR="6EB70D9C">
        <w:rPr>
          <w:rFonts w:ascii="Calibri" w:hAnsi="Calibri" w:eastAsia="Calibri" w:cs="Calibri"/>
          <w:noProof w:val="0"/>
          <w:lang w:val="en-GB"/>
        </w:rPr>
        <w:t xml:space="preserve"> characteristics, archetypes, and cultural contexts that influence a character’s portrayal. This approach encourages students to think critically about how diversity is represented and allows them to dive deeper into the complexities of a character's identity.</w:t>
      </w:r>
    </w:p>
    <w:p w:rsidR="5980153E" w:rsidP="608C29B3" w:rsidRDefault="5980153E" w14:paraId="45317B05" w14:textId="59883A9F">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 xml:space="preserve">ChatGPT supports the active learning process by acting as a conversational partner that guides students through their research. As students ask specific questions or explore broader themes related to race, gender, socio-economic background, or culture, the tool </w:t>
      </w:r>
      <w:r w:rsidRPr="608C29B3" w:rsidR="6EB70D9C">
        <w:rPr>
          <w:rFonts w:ascii="Calibri" w:hAnsi="Calibri" w:eastAsia="Calibri" w:cs="Calibri"/>
          <w:noProof w:val="0"/>
          <w:lang w:val="en-GB"/>
        </w:rPr>
        <w:t>provides</w:t>
      </w:r>
      <w:r w:rsidRPr="608C29B3" w:rsidR="6EB70D9C">
        <w:rPr>
          <w:rFonts w:ascii="Calibri" w:hAnsi="Calibri" w:eastAsia="Calibri" w:cs="Calibri"/>
          <w:noProof w:val="0"/>
          <w:lang w:val="en-GB"/>
        </w:rPr>
        <w:t xml:space="preserve"> personalized insights, resources, and suggestions that enhance their ability to understand and write diverse characters.</w:t>
      </w:r>
    </w:p>
    <w:p w:rsidR="5980153E" w:rsidP="608C29B3" w:rsidRDefault="5980153E" w14:paraId="36602E5D" w14:textId="24F5F254">
      <w:pPr>
        <w:pStyle w:val="Heading4"/>
        <w:rPr>
          <w:rFonts w:ascii="Calibri" w:hAnsi="Calibri" w:eastAsia="Calibri" w:cs="Calibri"/>
          <w:noProof w:val="0"/>
          <w:lang w:val="en-GB"/>
        </w:rPr>
      </w:pPr>
      <w:bookmarkStart w:name="_Toc1335519491" w:id="1706045762"/>
      <w:r w:rsidRPr="608C29B3" w:rsidR="6EB70D9C">
        <w:rPr>
          <w:noProof w:val="0"/>
          <w:lang w:val="en-GB"/>
        </w:rPr>
        <w:t>Self-Directed Learning and Critical Thinking</w:t>
      </w:r>
      <w:bookmarkEnd w:id="1706045762"/>
    </w:p>
    <w:p w:rsidR="5980153E" w:rsidP="608C29B3" w:rsidRDefault="5980153E" w14:paraId="1344C5E6" w14:textId="00E68177">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Self-directed learning is another key learning theory that underpins the use of ChatGPT in a Film &amp; TV lesson. ChatGPT encourages students to take ownership of their learning by enabling them to research and inquire about diverse characters independently. As students interact with ChatGPT, they can explore different perspectives, learn about underrepresented groups, and challenge assumptions about diversity in media. This self-directed exploration promotes critical thinking, a vital skill in understanding and writing multidimensional characters (Siemens, 2005).</w:t>
      </w:r>
    </w:p>
    <w:p w:rsidR="5980153E" w:rsidP="608C29B3" w:rsidRDefault="5980153E" w14:paraId="49965C27" w14:textId="0F09794A">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ChatGPT also supports connectivism, as proposed by Siemens (2005), which highlights the importance of technology in fostering networks of knowledge. ChatGPT functions as a central node within this network, offering students access to a wide variety of perspectives and enabling connections across cultural, historical, and social domains. This encourages students to engage with multiple sources of information to develop a more holistic understanding of character development.</w:t>
      </w:r>
    </w:p>
    <w:p w:rsidR="5980153E" w:rsidP="608C29B3" w:rsidRDefault="5980153E" w14:paraId="1A312265" w14:textId="06E69715">
      <w:pPr>
        <w:pStyle w:val="Heading4"/>
        <w:rPr>
          <w:rFonts w:ascii="Calibri" w:hAnsi="Calibri" w:eastAsia="Calibri" w:cs="Calibri"/>
          <w:noProof w:val="0"/>
          <w:lang w:val="en-GB"/>
        </w:rPr>
      </w:pPr>
      <w:bookmarkStart w:name="_Toc877928765" w:id="473664412"/>
      <w:r w:rsidRPr="608C29B3" w:rsidR="6EB70D9C">
        <w:rPr>
          <w:noProof w:val="0"/>
          <w:lang w:val="en-GB"/>
        </w:rPr>
        <w:t>Development of Digital Skills in Character Research</w:t>
      </w:r>
      <w:bookmarkEnd w:id="473664412"/>
    </w:p>
    <w:p w:rsidR="5980153E" w:rsidP="608C29B3" w:rsidRDefault="5980153E" w14:paraId="5CE2E31F" w14:textId="38759064">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 xml:space="preserve">Students must develop digital literacy skills that enable them to interact meaningfully with technology (Williamson, 2017). ChatGPT provides a platform for students to engage with AI in an educational setting, </w:t>
      </w:r>
      <w:r w:rsidRPr="608C29B3" w:rsidR="6EB70D9C">
        <w:rPr>
          <w:rFonts w:ascii="Calibri" w:hAnsi="Calibri" w:eastAsia="Calibri" w:cs="Calibri"/>
          <w:noProof w:val="0"/>
          <w:lang w:val="en-GB"/>
        </w:rPr>
        <w:t>facilitating</w:t>
      </w:r>
      <w:r w:rsidRPr="608C29B3" w:rsidR="6EB70D9C">
        <w:rPr>
          <w:rFonts w:ascii="Calibri" w:hAnsi="Calibri" w:eastAsia="Calibri" w:cs="Calibri"/>
          <w:noProof w:val="0"/>
          <w:lang w:val="en-GB"/>
        </w:rPr>
        <w:t xml:space="preserve"> the development of these skills. By using the AI tool to research and </w:t>
      </w:r>
      <w:r w:rsidRPr="608C29B3" w:rsidR="6EB70D9C">
        <w:rPr>
          <w:rFonts w:ascii="Calibri" w:hAnsi="Calibri" w:eastAsia="Calibri" w:cs="Calibri"/>
          <w:noProof w:val="0"/>
          <w:lang w:val="en-GB"/>
        </w:rPr>
        <w:t>analyze</w:t>
      </w:r>
      <w:r w:rsidRPr="608C29B3" w:rsidR="6EB70D9C">
        <w:rPr>
          <w:rFonts w:ascii="Calibri" w:hAnsi="Calibri" w:eastAsia="Calibri" w:cs="Calibri"/>
          <w:noProof w:val="0"/>
          <w:lang w:val="en-GB"/>
        </w:rPr>
        <w:t xml:space="preserve"> characters, students gain </w:t>
      </w:r>
      <w:r w:rsidRPr="608C29B3" w:rsidR="6EB70D9C">
        <w:rPr>
          <w:rFonts w:ascii="Calibri" w:hAnsi="Calibri" w:eastAsia="Calibri" w:cs="Calibri"/>
          <w:noProof w:val="0"/>
          <w:lang w:val="en-GB"/>
        </w:rPr>
        <w:t>proficiency</w:t>
      </w:r>
      <w:r w:rsidRPr="608C29B3" w:rsidR="6EB70D9C">
        <w:rPr>
          <w:rFonts w:ascii="Calibri" w:hAnsi="Calibri" w:eastAsia="Calibri" w:cs="Calibri"/>
          <w:noProof w:val="0"/>
          <w:lang w:val="en-GB"/>
        </w:rPr>
        <w:t xml:space="preserve"> in interacting with </w:t>
      </w:r>
      <w:r w:rsidRPr="608C29B3" w:rsidR="6EB70D9C">
        <w:rPr>
          <w:rFonts w:ascii="Calibri" w:hAnsi="Calibri" w:eastAsia="Calibri" w:cs="Calibri"/>
          <w:noProof w:val="0"/>
          <w:lang w:val="en-GB"/>
        </w:rPr>
        <w:t>cutting-edge</w:t>
      </w:r>
      <w:r w:rsidRPr="608C29B3" w:rsidR="6EB70D9C">
        <w:rPr>
          <w:rFonts w:ascii="Calibri" w:hAnsi="Calibri" w:eastAsia="Calibri" w:cs="Calibri"/>
          <w:noProof w:val="0"/>
          <w:lang w:val="en-GB"/>
        </w:rPr>
        <w:t xml:space="preserve"> digital tools that are becoming increasingly important in the film and TV industry.</w:t>
      </w:r>
    </w:p>
    <w:p w:rsidR="5980153E" w:rsidP="608C29B3" w:rsidRDefault="5980153E" w14:paraId="43843FFF" w14:textId="458AB37D">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For example, students may use ChatGPT to generate character profiles, explore historical depictions of certain groups, or understand how culture, language, and power dynamics shape character development. This process not only improves their understanding of diversity but also equips them with essential digital skills to conduct research and engage critically with the materials they explore.</w:t>
      </w:r>
    </w:p>
    <w:p w:rsidR="5980153E" w:rsidP="608C29B3" w:rsidRDefault="5980153E" w14:paraId="456A1826" w14:textId="2ECB90B8">
      <w:pPr>
        <w:pStyle w:val="Heading2"/>
        <w:rPr>
          <w:rFonts w:ascii="Calibri" w:hAnsi="Calibri" w:eastAsia="Calibri" w:cs="Calibri"/>
          <w:noProof w:val="0"/>
          <w:lang w:val="en-GB"/>
        </w:rPr>
      </w:pPr>
      <w:bookmarkStart w:name="_Toc491418987" w:id="1239710609"/>
      <w:r w:rsidRPr="608C29B3" w:rsidR="6EB70D9C">
        <w:rPr>
          <w:noProof w:val="0"/>
          <w:lang w:val="en-GB"/>
        </w:rPr>
        <w:t>ChatGPT’s Practical Application in Film &amp; TV</w:t>
      </w:r>
      <w:bookmarkEnd w:id="1239710609"/>
    </w:p>
    <w:p w:rsidR="5980153E" w:rsidP="608C29B3" w:rsidRDefault="5980153E" w14:paraId="339921CA" w14:textId="1BB5DC08">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In the context of a Film &amp; TV lesson, ChatGPT offers practical applications for researching characters and creating more diverse, nuanced portrayals. Through personalized learning pathways and adaptive content, the tool provides students with an opportunity to investigate and understand characters from multiple perspectives, thus enriching the creative process.</w:t>
      </w:r>
    </w:p>
    <w:p w:rsidR="5980153E" w:rsidP="608C29B3" w:rsidRDefault="5980153E" w14:paraId="46E77052" w14:textId="1EB9D224">
      <w:pPr>
        <w:pStyle w:val="Heading4"/>
        <w:rPr>
          <w:rFonts w:ascii="Calibri" w:hAnsi="Calibri" w:eastAsia="Calibri" w:cs="Calibri"/>
          <w:noProof w:val="0"/>
          <w:lang w:val="en-GB"/>
        </w:rPr>
      </w:pPr>
      <w:bookmarkStart w:name="_Toc1654073964" w:id="784375052"/>
      <w:r w:rsidRPr="608C29B3" w:rsidR="6EB70D9C">
        <w:rPr>
          <w:noProof w:val="0"/>
          <w:lang w:val="en-GB"/>
        </w:rPr>
        <w:t>Personalized Learning Pathways for Character Research</w:t>
      </w:r>
      <w:bookmarkEnd w:id="784375052"/>
    </w:p>
    <w:p w:rsidR="5980153E" w:rsidP="608C29B3" w:rsidRDefault="5980153E" w14:paraId="02D09B45" w14:textId="1A18EA1C">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ChatGPT’s ability to adapt content based on students' needs is one of its key strengths. As students research characters from diverse backgrounds, the AI tool can adjust its responses based on individual queries. For instance, students researching a character from a marginalized group might ask ChatGPT for an overview of the group’s historical context, socio-political struggles, and cultural influences. The tool tailors the information to the student's level of understanding or the specific aspect of the character they are exploring.</w:t>
      </w:r>
    </w:p>
    <w:p w:rsidR="5980153E" w:rsidP="608C29B3" w:rsidRDefault="5980153E" w14:paraId="0E2B66A2" w14:textId="73E3D921">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 xml:space="preserve">This personalized approach to character research ensures that students receive information relevant to their learning goals. ChatGPT also provides feedback and suggests </w:t>
      </w:r>
      <w:r w:rsidRPr="608C29B3" w:rsidR="6EB70D9C">
        <w:rPr>
          <w:rFonts w:ascii="Calibri" w:hAnsi="Calibri" w:eastAsia="Calibri" w:cs="Calibri"/>
          <w:noProof w:val="0"/>
          <w:lang w:val="en-GB"/>
        </w:rPr>
        <w:t>additional</w:t>
      </w:r>
      <w:r w:rsidRPr="608C29B3" w:rsidR="6EB70D9C">
        <w:rPr>
          <w:rFonts w:ascii="Calibri" w:hAnsi="Calibri" w:eastAsia="Calibri" w:cs="Calibri"/>
          <w:noProof w:val="0"/>
          <w:lang w:val="en-GB"/>
        </w:rPr>
        <w:t xml:space="preserve"> resources or angles to explore, further deepening the students' understanding of diverse characters and their complexities.</w:t>
      </w:r>
    </w:p>
    <w:p w:rsidR="5980153E" w:rsidP="608C29B3" w:rsidRDefault="5980153E" w14:paraId="018C3ADE" w14:textId="3382D99B">
      <w:pPr>
        <w:pStyle w:val="Heading4"/>
        <w:rPr>
          <w:rFonts w:ascii="Calibri" w:hAnsi="Calibri" w:eastAsia="Calibri" w:cs="Calibri"/>
          <w:noProof w:val="0"/>
          <w:lang w:val="en-GB"/>
        </w:rPr>
      </w:pPr>
      <w:bookmarkStart w:name="_Toc273827000" w:id="491691336"/>
      <w:r w:rsidRPr="608C29B3" w:rsidR="6EB70D9C">
        <w:rPr>
          <w:noProof w:val="0"/>
          <w:lang w:val="en-GB"/>
        </w:rPr>
        <w:t>Encouraging Critical Reflection on Diversity</w:t>
      </w:r>
      <w:bookmarkEnd w:id="491691336"/>
    </w:p>
    <w:p w:rsidR="5980153E" w:rsidP="608C29B3" w:rsidRDefault="5980153E" w14:paraId="49B1D0B9" w14:textId="400E91A8">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 xml:space="preserve">ChatGPT promotes critical reflection by guiding students through the nuances of writing and researching diverse characters. In professional practice, it is essential that filmmakers and writers approach character creation thoughtfully, avoiding stereotypes and presenting authentic representations of </w:t>
      </w:r>
      <w:r w:rsidRPr="608C29B3" w:rsidR="6EB70D9C">
        <w:rPr>
          <w:rFonts w:ascii="Calibri" w:hAnsi="Calibri" w:eastAsia="Calibri" w:cs="Calibri"/>
          <w:noProof w:val="0"/>
          <w:lang w:val="en-GB"/>
        </w:rPr>
        <w:t>different cultures</w:t>
      </w:r>
      <w:r w:rsidRPr="608C29B3" w:rsidR="6EB70D9C">
        <w:rPr>
          <w:rFonts w:ascii="Calibri" w:hAnsi="Calibri" w:eastAsia="Calibri" w:cs="Calibri"/>
          <w:noProof w:val="0"/>
          <w:lang w:val="en-GB"/>
        </w:rPr>
        <w:t xml:space="preserve"> and identities. ChatGPT supports this process by offering students insights into cultural nuances, power dynamics, and the historical context of various groups (Welsh Government, 2023).</w:t>
      </w:r>
    </w:p>
    <w:p w:rsidR="5980153E" w:rsidP="608C29B3" w:rsidRDefault="5980153E" w14:paraId="4D483BF4" w14:textId="00A799AC">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For instance, if a student is researching a character from a specific ethnic background, ChatGPT can help them explore the historical significance of that background, including relevant cultural practices, societal roles, and how such elements might influence a character’s actions in a film or TV show. This process helps students develop a deeper understanding of how culture and identity shape character development, leading to more authentic and respectful representations.</w:t>
      </w:r>
    </w:p>
    <w:p w:rsidR="5980153E" w:rsidP="608C29B3" w:rsidRDefault="5980153E" w14:paraId="7287E7AF" w14:textId="723CF467">
      <w:pPr>
        <w:pStyle w:val="Heading4"/>
        <w:rPr>
          <w:rFonts w:ascii="Calibri" w:hAnsi="Calibri" w:eastAsia="Calibri" w:cs="Calibri"/>
          <w:noProof w:val="0"/>
          <w:lang w:val="en-GB"/>
        </w:rPr>
      </w:pPr>
      <w:bookmarkStart w:name="_Toc279068476" w:id="349936435"/>
      <w:r w:rsidRPr="608C29B3" w:rsidR="6EB70D9C">
        <w:rPr>
          <w:noProof w:val="0"/>
          <w:lang w:val="en-GB"/>
        </w:rPr>
        <w:t>Real-Time Feedback for Character Development</w:t>
      </w:r>
      <w:bookmarkEnd w:id="349936435"/>
    </w:p>
    <w:p w:rsidR="5980153E" w:rsidP="608C29B3" w:rsidRDefault="5980153E" w14:paraId="40619394" w14:textId="6CCA5CFC">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 xml:space="preserve">Another practical advantage of using ChatGPT in character research is the ability to receive real-time feedback. As students draft character profiles, write scripts, or develop backstories, they can use ChatGPT to check their understanding of character traits, cultural references, and language. The tool can suggest edits, point out inconsistencies, or provide </w:t>
      </w:r>
      <w:r w:rsidRPr="608C29B3" w:rsidR="6EB70D9C">
        <w:rPr>
          <w:rFonts w:ascii="Calibri" w:hAnsi="Calibri" w:eastAsia="Calibri" w:cs="Calibri"/>
          <w:noProof w:val="0"/>
          <w:lang w:val="en-GB"/>
        </w:rPr>
        <w:t>additional</w:t>
      </w:r>
      <w:r w:rsidRPr="608C29B3" w:rsidR="6EB70D9C">
        <w:rPr>
          <w:rFonts w:ascii="Calibri" w:hAnsi="Calibri" w:eastAsia="Calibri" w:cs="Calibri"/>
          <w:noProof w:val="0"/>
          <w:lang w:val="en-GB"/>
        </w:rPr>
        <w:t xml:space="preserve"> context to enrich a character’s development. This ongoing interaction with ChatGPT fosters an iterative process, where students continuously refine their understanding of diverse characters and improve their creative output.</w:t>
      </w:r>
    </w:p>
    <w:p w:rsidR="5980153E" w:rsidP="608C29B3" w:rsidRDefault="5980153E" w14:paraId="6E15087A" w14:textId="5EC28BFE">
      <w:pPr>
        <w:pStyle w:val="Heading2"/>
        <w:rPr>
          <w:rFonts w:ascii="Calibri" w:hAnsi="Calibri" w:eastAsia="Calibri" w:cs="Calibri"/>
          <w:noProof w:val="0"/>
          <w:lang w:val="en-GB"/>
        </w:rPr>
      </w:pPr>
      <w:bookmarkStart w:name="_Toc1232979610" w:id="731778797"/>
      <w:r w:rsidRPr="608C29B3" w:rsidR="6EB70D9C">
        <w:rPr>
          <w:noProof w:val="0"/>
          <w:lang w:val="en-GB"/>
        </w:rPr>
        <w:t>Aligning ChatGPT with the Technology Integration Matrix (TIM)</w:t>
      </w:r>
      <w:bookmarkEnd w:id="731778797"/>
    </w:p>
    <w:p w:rsidR="5980153E" w:rsidP="608C29B3" w:rsidRDefault="5980153E" w14:paraId="3EEDA74F" w14:textId="1C0425AB">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The Technology Integration Matrix (TIM) developed by the Florida Center for Instructional Technology (2019) provides a framework to assess the integration of technology into teaching practices. The TIM consists of five levels of technology integration—entry, adoption, adaptation, infusion, and transformation—which reflect the progression of technology use in enhancing pedagogy. Below, the TIM framework is applied to the use of ChatGPT in a Film &amp; TV lesson for researching diverse characters.</w:t>
      </w:r>
    </w:p>
    <w:p w:rsidR="5980153E" w:rsidP="608C29B3" w:rsidRDefault="5980153E" w14:paraId="15C5239B" w14:textId="57A6F92E">
      <w:pPr>
        <w:pStyle w:val="Heading4"/>
        <w:rPr>
          <w:rFonts w:ascii="Calibri" w:hAnsi="Calibri" w:eastAsia="Calibri" w:cs="Calibri"/>
          <w:noProof w:val="0"/>
          <w:lang w:val="en-GB"/>
        </w:rPr>
      </w:pPr>
      <w:bookmarkStart w:name="_Toc1509348666" w:id="485712694"/>
      <w:r w:rsidRPr="608C29B3" w:rsidR="6EB70D9C">
        <w:rPr>
          <w:noProof w:val="0"/>
          <w:lang w:val="en-GB"/>
        </w:rPr>
        <w:t>Entry Level: Basic Information Retrieval</w:t>
      </w:r>
      <w:bookmarkEnd w:id="485712694"/>
    </w:p>
    <w:p w:rsidR="5980153E" w:rsidP="608C29B3" w:rsidRDefault="5980153E" w14:paraId="002443E5" w14:textId="00074574">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 xml:space="preserve">At the Entry level, ChatGPT might be used by students to ask basic questions about characters or to retrieve facts about </w:t>
      </w:r>
      <w:r w:rsidRPr="608C29B3" w:rsidR="6EB70D9C">
        <w:rPr>
          <w:rFonts w:ascii="Calibri" w:hAnsi="Calibri" w:eastAsia="Calibri" w:cs="Calibri"/>
          <w:noProof w:val="0"/>
          <w:lang w:val="en-GB"/>
        </w:rPr>
        <w:t>different cultural</w:t>
      </w:r>
      <w:r w:rsidRPr="608C29B3" w:rsidR="6EB70D9C">
        <w:rPr>
          <w:rFonts w:ascii="Calibri" w:hAnsi="Calibri" w:eastAsia="Calibri" w:cs="Calibri"/>
          <w:noProof w:val="0"/>
          <w:lang w:val="en-GB"/>
        </w:rPr>
        <w:t xml:space="preserve"> groups or social contexts. This </w:t>
      </w:r>
      <w:r w:rsidRPr="608C29B3" w:rsidR="6EB70D9C">
        <w:rPr>
          <w:rFonts w:ascii="Calibri" w:hAnsi="Calibri" w:eastAsia="Calibri" w:cs="Calibri"/>
          <w:noProof w:val="0"/>
          <w:lang w:val="en-GB"/>
        </w:rPr>
        <w:t>initial</w:t>
      </w:r>
      <w:r w:rsidRPr="608C29B3" w:rsidR="6EB70D9C">
        <w:rPr>
          <w:rFonts w:ascii="Calibri" w:hAnsi="Calibri" w:eastAsia="Calibri" w:cs="Calibri"/>
          <w:noProof w:val="0"/>
          <w:lang w:val="en-GB"/>
        </w:rPr>
        <w:t xml:space="preserve"> use would involve students interacting with the tool to collect foundational information for their character research.</w:t>
      </w:r>
    </w:p>
    <w:p w:rsidR="5980153E" w:rsidP="608C29B3" w:rsidRDefault="5980153E" w14:paraId="6ED0D4B7" w14:textId="530F7DAF">
      <w:pPr>
        <w:pStyle w:val="Heading4"/>
        <w:rPr>
          <w:rFonts w:ascii="Calibri" w:hAnsi="Calibri" w:eastAsia="Calibri" w:cs="Calibri"/>
          <w:noProof w:val="0"/>
          <w:lang w:val="en-GB"/>
        </w:rPr>
      </w:pPr>
      <w:bookmarkStart w:name="_Toc904731618" w:id="1503066593"/>
      <w:r w:rsidRPr="608C29B3" w:rsidR="6EB70D9C">
        <w:rPr>
          <w:noProof w:val="0"/>
          <w:lang w:val="en-GB"/>
        </w:rPr>
        <w:t>Adoption Level: Structured Use in Research</w:t>
      </w:r>
      <w:bookmarkEnd w:id="1503066593"/>
    </w:p>
    <w:p w:rsidR="5980153E" w:rsidP="608C29B3" w:rsidRDefault="5980153E" w14:paraId="5B9FD499" w14:textId="2AAAC9AB">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At the Adoption level, ChatGPT can be used more systematically in the classroom. Students may use the tool to gather detailed research on characters, draw connections between character traits and cultural contexts, or receive feedback on their character profiles. ChatGPT begins to become a more integral part of the character research process.</w:t>
      </w:r>
    </w:p>
    <w:p w:rsidR="5980153E" w:rsidP="608C29B3" w:rsidRDefault="5980153E" w14:paraId="4C184FFD" w14:textId="446F27BC">
      <w:pPr>
        <w:pStyle w:val="Heading4"/>
        <w:rPr>
          <w:rFonts w:ascii="Calibri" w:hAnsi="Calibri" w:eastAsia="Calibri" w:cs="Calibri"/>
          <w:noProof w:val="0"/>
          <w:lang w:val="en-GB"/>
        </w:rPr>
      </w:pPr>
      <w:bookmarkStart w:name="_Toc1615616792" w:id="1243426023"/>
      <w:r w:rsidRPr="608C29B3" w:rsidR="6EB70D9C">
        <w:rPr>
          <w:noProof w:val="0"/>
          <w:lang w:val="en-GB"/>
        </w:rPr>
        <w:t>Adaptation Level: Personalized and Adaptive Learning</w:t>
      </w:r>
      <w:bookmarkEnd w:id="1243426023"/>
    </w:p>
    <w:p w:rsidR="5980153E" w:rsidP="608C29B3" w:rsidRDefault="5980153E" w14:paraId="4002E4F4" w14:textId="1BBD872B">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 xml:space="preserve">At the Adaptation level, ChatGPT adjusts its responses based on individual students’ research needs and helps students explore multiple </w:t>
      </w:r>
      <w:r w:rsidRPr="608C29B3" w:rsidR="6EB70D9C">
        <w:rPr>
          <w:rFonts w:ascii="Calibri" w:hAnsi="Calibri" w:eastAsia="Calibri" w:cs="Calibri"/>
          <w:noProof w:val="0"/>
          <w:lang w:val="en-GB"/>
        </w:rPr>
        <w:t>facets</w:t>
      </w:r>
      <w:r w:rsidRPr="608C29B3" w:rsidR="6EB70D9C">
        <w:rPr>
          <w:rFonts w:ascii="Calibri" w:hAnsi="Calibri" w:eastAsia="Calibri" w:cs="Calibri"/>
          <w:noProof w:val="0"/>
          <w:lang w:val="en-GB"/>
        </w:rPr>
        <w:t xml:space="preserve"> of character development. Students might engage in iterative character development processes, asking the AI for suggestions or clarification on complex cultural or narrative issues.</w:t>
      </w:r>
    </w:p>
    <w:p w:rsidR="5980153E" w:rsidP="608C29B3" w:rsidRDefault="5980153E" w14:paraId="518F8F07" w14:textId="17909568">
      <w:pPr>
        <w:pStyle w:val="Heading4"/>
        <w:rPr>
          <w:rFonts w:ascii="Calibri" w:hAnsi="Calibri" w:eastAsia="Calibri" w:cs="Calibri"/>
          <w:noProof w:val="0"/>
          <w:lang w:val="en-GB"/>
        </w:rPr>
      </w:pPr>
      <w:bookmarkStart w:name="_Toc1347292148" w:id="432921352"/>
      <w:r w:rsidRPr="608C29B3" w:rsidR="6EB70D9C">
        <w:rPr>
          <w:noProof w:val="0"/>
          <w:lang w:val="en-GB"/>
        </w:rPr>
        <w:t>Infusion Level: Integrated into Creative Projects</w:t>
      </w:r>
      <w:bookmarkEnd w:id="432921352"/>
    </w:p>
    <w:p w:rsidR="5980153E" w:rsidP="608C29B3" w:rsidRDefault="5980153E" w14:paraId="5C028C5A" w14:textId="6BB4A356">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At the Infusion level, ChatGPT becomes an essential part of students' creative processes. Students may use the tool not only for research but also as a sounding board for brainstorming character ideas, generating backstory details, or testing out dialogue for diverse characters.</w:t>
      </w:r>
    </w:p>
    <w:p w:rsidR="5980153E" w:rsidP="608C29B3" w:rsidRDefault="5980153E" w14:paraId="49225721" w14:textId="5D2D5883">
      <w:pPr>
        <w:pStyle w:val="Heading4"/>
        <w:rPr>
          <w:rFonts w:ascii="Calibri" w:hAnsi="Calibri" w:eastAsia="Calibri" w:cs="Calibri"/>
          <w:noProof w:val="0"/>
          <w:lang w:val="en-GB"/>
        </w:rPr>
      </w:pPr>
      <w:bookmarkStart w:name="_Toc2123348590" w:id="1715957506"/>
      <w:r w:rsidRPr="608C29B3" w:rsidR="6EB70D9C">
        <w:rPr>
          <w:noProof w:val="0"/>
          <w:lang w:val="en-GB"/>
        </w:rPr>
        <w:t>Transformation Level: Enabling Collaborative, Global Perspectives</w:t>
      </w:r>
      <w:bookmarkEnd w:id="1715957506"/>
    </w:p>
    <w:p w:rsidR="5980153E" w:rsidP="608C29B3" w:rsidRDefault="5980153E" w14:paraId="7BA029BB" w14:textId="5CCF4C4C">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 xml:space="preserve">Finally, at the Transformation level, ChatGPT can support collaborative projects where students work together on diverse character development. The AI tool </w:t>
      </w:r>
      <w:r w:rsidRPr="608C29B3" w:rsidR="6EB70D9C">
        <w:rPr>
          <w:rFonts w:ascii="Calibri" w:hAnsi="Calibri" w:eastAsia="Calibri" w:cs="Calibri"/>
          <w:noProof w:val="0"/>
          <w:lang w:val="en-GB"/>
        </w:rPr>
        <w:t>facilitates</w:t>
      </w:r>
      <w:r w:rsidRPr="608C29B3" w:rsidR="6EB70D9C">
        <w:rPr>
          <w:rFonts w:ascii="Calibri" w:hAnsi="Calibri" w:eastAsia="Calibri" w:cs="Calibri"/>
          <w:noProof w:val="0"/>
          <w:lang w:val="en-GB"/>
        </w:rPr>
        <w:t xml:space="preserve"> the exploration of characters from global perspectives, offering real-time collaboration opportunities and dynamic feedback that encourages deeper creativity and more inclusive representation. Students can interact with ChatGPT as part of a collective learning experience that emphasizes the global and multicultural dimensions of storytelling.</w:t>
      </w:r>
    </w:p>
    <w:p w:rsidR="5980153E" w:rsidP="608C29B3" w:rsidRDefault="5980153E" w14:paraId="15220914" w14:textId="3EEE392A">
      <w:pPr>
        <w:pStyle w:val="Heading2"/>
        <w:rPr>
          <w:rFonts w:ascii="Calibri" w:hAnsi="Calibri" w:eastAsia="Calibri" w:cs="Calibri"/>
          <w:noProof w:val="0"/>
          <w:lang w:val="en-GB"/>
        </w:rPr>
      </w:pPr>
      <w:bookmarkStart w:name="_Toc443712262" w:id="1075061624"/>
      <w:r w:rsidRPr="608C29B3" w:rsidR="6EB70D9C">
        <w:rPr>
          <w:noProof w:val="0"/>
          <w:lang w:val="en-GB"/>
        </w:rPr>
        <w:t>Conclusion</w:t>
      </w:r>
      <w:bookmarkEnd w:id="1075061624"/>
    </w:p>
    <w:p w:rsidR="5980153E" w:rsidP="608C29B3" w:rsidRDefault="5980153E" w14:paraId="7AF73A40" w14:textId="14A8B9C3">
      <w:pPr>
        <w:pStyle w:val="Normal"/>
        <w:spacing w:line="480" w:lineRule="auto"/>
        <w:rPr>
          <w:rFonts w:ascii="Calibri" w:hAnsi="Calibri" w:eastAsia="Calibri" w:cs="Calibri"/>
          <w:noProof w:val="0"/>
          <w:lang w:val="en-GB"/>
        </w:rPr>
      </w:pPr>
      <w:r w:rsidRPr="608C29B3" w:rsidR="6EB70D9C">
        <w:rPr>
          <w:rFonts w:ascii="Calibri" w:hAnsi="Calibri" w:eastAsia="Calibri" w:cs="Calibri"/>
          <w:noProof w:val="0"/>
          <w:lang w:val="en-GB"/>
        </w:rPr>
        <w:t xml:space="preserve">ChatGPT offers powerful, personalized learning pathways that align with key learning theories such as active learning, connectivism, and self-directed learning, making it an invaluable tool in a Film &amp; TV lesson focused on researching and writing diverse characters. Film and television shape cultural narratives, so </w:t>
      </w:r>
      <w:r w:rsidRPr="608C29B3" w:rsidR="6EB70D9C">
        <w:rPr>
          <w:rFonts w:ascii="Calibri" w:hAnsi="Calibri" w:eastAsia="Calibri" w:cs="Calibri"/>
          <w:noProof w:val="0"/>
          <w:lang w:val="en-GB"/>
        </w:rPr>
        <w:t>it’s</w:t>
      </w:r>
      <w:r w:rsidRPr="608C29B3" w:rsidR="6EB70D9C">
        <w:rPr>
          <w:rFonts w:ascii="Calibri" w:hAnsi="Calibri" w:eastAsia="Calibri" w:cs="Calibri"/>
          <w:noProof w:val="0"/>
          <w:lang w:val="en-GB"/>
        </w:rPr>
        <w:t xml:space="preserve"> crucial for students to explore characters from a wide range of backgrounds and perspectives. By integrating ChatGPT, students can engage in deeper, more nuanced character development through interactive, adaptive learning experiences. The tool supports critical skills in research, writing, and analysis while providing personalized feedback, real-time collaboration, and critical engagement with diverse perspectives. This enhances inclusivity, creativity, and professional practice, </w:t>
      </w:r>
      <w:r w:rsidRPr="608C29B3" w:rsidR="6EB70D9C">
        <w:rPr>
          <w:rFonts w:ascii="Calibri" w:hAnsi="Calibri" w:eastAsia="Calibri" w:cs="Calibri"/>
          <w:noProof w:val="0"/>
          <w:lang w:val="en-GB"/>
        </w:rPr>
        <w:t>ultimately improving</w:t>
      </w:r>
      <w:r w:rsidRPr="608C29B3" w:rsidR="6EB70D9C">
        <w:rPr>
          <w:rFonts w:ascii="Calibri" w:hAnsi="Calibri" w:eastAsia="Calibri" w:cs="Calibri"/>
          <w:noProof w:val="0"/>
          <w:lang w:val="en-GB"/>
        </w:rPr>
        <w:t xml:space="preserve"> learning outcomes in character development.</w:t>
      </w:r>
    </w:p>
    <w:p w:rsidR="5980153E" w:rsidP="608C29B3" w:rsidRDefault="5980153E" w14:paraId="427451B7" w14:textId="393DD263">
      <w:pPr>
        <w:pStyle w:val="Heading1"/>
        <w:rPr>
          <w:noProof w:val="0"/>
          <w:lang w:val="en-GB"/>
        </w:rPr>
      </w:pPr>
      <w:bookmarkStart w:name="_Toc934229468" w:id="356490949"/>
      <w:r w:rsidRPr="608C29B3" w:rsidR="00A8EE70">
        <w:rPr>
          <w:noProof w:val="0"/>
          <w:lang w:val="en-GB"/>
        </w:rPr>
        <w:t>Application of ChatGPT as a learning tool</w:t>
      </w:r>
      <w:bookmarkEnd w:id="356490949"/>
    </w:p>
    <w:p w:rsidR="5980153E" w:rsidP="608C29B3" w:rsidRDefault="5980153E" w14:paraId="4C1435F6" w14:textId="6EA4FB5F">
      <w:pPr>
        <w:pStyle w:val="Normal"/>
      </w:pPr>
      <w:r w:rsidR="22F40775">
        <w:drawing>
          <wp:inline wp14:editId="427118FB" wp14:anchorId="400B3287">
            <wp:extent cx="5943600" cy="3371850"/>
            <wp:effectExtent l="0" t="0" r="0" b="0"/>
            <wp:docPr id="607793134" name="" title=""/>
            <wp:cNvGraphicFramePr>
              <a:graphicFrameLocks noChangeAspect="1"/>
            </wp:cNvGraphicFramePr>
            <a:graphic>
              <a:graphicData uri="http://schemas.openxmlformats.org/drawingml/2006/picture">
                <pic:pic>
                  <pic:nvPicPr>
                    <pic:cNvPr id="0" name=""/>
                    <pic:cNvPicPr/>
                  </pic:nvPicPr>
                  <pic:blipFill>
                    <a:blip r:embed="R54af2cefbce14e6e">
                      <a:extLst>
                        <a:ext xmlns:a="http://schemas.openxmlformats.org/drawingml/2006/main" uri="{28A0092B-C50C-407E-A947-70E740481C1C}">
                          <a14:useLocalDpi val="0"/>
                        </a:ext>
                      </a:extLst>
                    </a:blip>
                    <a:stretch>
                      <a:fillRect/>
                    </a:stretch>
                  </pic:blipFill>
                  <pic:spPr>
                    <a:xfrm>
                      <a:off x="0" y="0"/>
                      <a:ext cx="5943600" cy="3371850"/>
                    </a:xfrm>
                    <a:prstGeom prst="rect">
                      <a:avLst/>
                    </a:prstGeom>
                  </pic:spPr>
                </pic:pic>
              </a:graphicData>
            </a:graphic>
          </wp:inline>
        </w:drawing>
      </w:r>
      <w:r w:rsidR="6B00D9B4">
        <w:rPr/>
        <w:t xml:space="preserve">This is a page in </w:t>
      </w:r>
      <w:r w:rsidR="6B00D9B4">
        <w:rPr/>
        <w:t>the PowerPoint</w:t>
      </w:r>
      <w:r w:rsidR="6B00D9B4">
        <w:rPr/>
        <w:t xml:space="preserve">, providing links to the tool in multiple ways for ease of access. Students </w:t>
      </w:r>
      <w:r w:rsidR="6B00D9B4">
        <w:rPr/>
        <w:t>are able to</w:t>
      </w:r>
      <w:r w:rsidR="6B00D9B4">
        <w:rPr/>
        <w:t xml:space="preserve"> scan the QR with their phones or type in the link </w:t>
      </w:r>
      <w:r w:rsidR="478F292B">
        <w:rPr/>
        <w:t>to any device.</w:t>
      </w:r>
    </w:p>
    <w:p w:rsidR="5980153E" w:rsidP="608C29B3" w:rsidRDefault="5980153E" w14:paraId="0C2201F8" w14:textId="0C20A7E0">
      <w:pPr>
        <w:pStyle w:val="Normal"/>
      </w:pPr>
      <w:r w:rsidR="478F292B">
        <w:drawing>
          <wp:inline wp14:editId="47800861" wp14:anchorId="2E48DDBC">
            <wp:extent cx="5943600" cy="3352800"/>
            <wp:effectExtent l="0" t="0" r="0" b="0"/>
            <wp:docPr id="1307161857" name="" title=""/>
            <wp:cNvGraphicFramePr>
              <a:graphicFrameLocks noChangeAspect="1"/>
            </wp:cNvGraphicFramePr>
            <a:graphic>
              <a:graphicData uri="http://schemas.openxmlformats.org/drawingml/2006/picture">
                <pic:pic>
                  <pic:nvPicPr>
                    <pic:cNvPr id="0" name=""/>
                    <pic:cNvPicPr/>
                  </pic:nvPicPr>
                  <pic:blipFill>
                    <a:blip r:embed="R65f636efc7e243af">
                      <a:extLst>
                        <a:ext xmlns:a="http://schemas.openxmlformats.org/drawingml/2006/main" uri="{28A0092B-C50C-407E-A947-70E740481C1C}">
                          <a14:useLocalDpi val="0"/>
                        </a:ext>
                      </a:extLst>
                    </a:blip>
                    <a:stretch>
                      <a:fillRect/>
                    </a:stretch>
                  </pic:blipFill>
                  <pic:spPr>
                    <a:xfrm>
                      <a:off x="0" y="0"/>
                      <a:ext cx="5943600" cy="3352800"/>
                    </a:xfrm>
                    <a:prstGeom prst="rect">
                      <a:avLst/>
                    </a:prstGeom>
                  </pic:spPr>
                </pic:pic>
              </a:graphicData>
            </a:graphic>
          </wp:inline>
        </w:drawing>
      </w:r>
      <w:r w:rsidR="478F292B">
        <w:rPr/>
        <w:t xml:space="preserve">This page of the PowerPoint links to the Microsoft Form for feedback. There was also a QR code but </w:t>
      </w:r>
      <w:r w:rsidR="478F292B">
        <w:rPr/>
        <w:t>I’m</w:t>
      </w:r>
      <w:r w:rsidR="478F292B">
        <w:rPr/>
        <w:t xml:space="preserve"> not sure where this has gone – I would have to add it again bef</w:t>
      </w:r>
      <w:r w:rsidR="316F6E62">
        <w:rPr/>
        <w:t>ore doing another lesson on this.</w:t>
      </w:r>
    </w:p>
    <w:p w:rsidR="5980153E" w:rsidP="608C29B3" w:rsidRDefault="5980153E" w14:paraId="3653C169" w14:textId="0AF43BAE">
      <w:pPr>
        <w:pStyle w:val="Normal"/>
      </w:pPr>
      <w:r w:rsidR="316F6E62">
        <w:drawing>
          <wp:inline wp14:editId="56D1A29D" wp14:anchorId="16CF3E0B">
            <wp:extent cx="5943600" cy="3409950"/>
            <wp:effectExtent l="0" t="0" r="0" b="0"/>
            <wp:docPr id="2072253128" name="" title=""/>
            <wp:cNvGraphicFramePr>
              <a:graphicFrameLocks noChangeAspect="1"/>
            </wp:cNvGraphicFramePr>
            <a:graphic>
              <a:graphicData uri="http://schemas.openxmlformats.org/drawingml/2006/picture">
                <pic:pic>
                  <pic:nvPicPr>
                    <pic:cNvPr id="0" name=""/>
                    <pic:cNvPicPr/>
                  </pic:nvPicPr>
                  <pic:blipFill>
                    <a:blip r:embed="R00aa30aa6da44a92">
                      <a:extLst>
                        <a:ext xmlns:a="http://schemas.openxmlformats.org/drawingml/2006/main" uri="{28A0092B-C50C-407E-A947-70E740481C1C}">
                          <a14:useLocalDpi val="0"/>
                        </a:ext>
                      </a:extLst>
                    </a:blip>
                    <a:stretch>
                      <a:fillRect/>
                    </a:stretch>
                  </pic:blipFill>
                  <pic:spPr>
                    <a:xfrm>
                      <a:off x="0" y="0"/>
                      <a:ext cx="5943600" cy="3409950"/>
                    </a:xfrm>
                    <a:prstGeom prst="rect">
                      <a:avLst/>
                    </a:prstGeom>
                  </pic:spPr>
                </pic:pic>
              </a:graphicData>
            </a:graphic>
          </wp:inline>
        </w:drawing>
      </w:r>
      <w:r w:rsidR="316F6E62">
        <w:rPr/>
        <w:t>To give context, this was the list of diverse characters I provided for the students to choose one to research. As you can s</w:t>
      </w:r>
      <w:r w:rsidR="60B802D1">
        <w:rPr/>
        <w:t xml:space="preserve">ee, only </w:t>
      </w:r>
      <w:r w:rsidR="60B802D1">
        <w:rPr/>
        <w:t>very basic</w:t>
      </w:r>
      <w:r w:rsidR="60B802D1">
        <w:rPr/>
        <w:t xml:space="preserve"> information has been provided and is intended to give them a basis for their research so they can focus primarily on researching and gathering specifics for understanding rather than </w:t>
      </w:r>
      <w:r w:rsidR="5754DEFE">
        <w:rPr/>
        <w:t>get distracted by too many ideas.</w:t>
      </w:r>
    </w:p>
    <w:p w:rsidR="5980153E" w:rsidP="608C29B3" w:rsidRDefault="5980153E" w14:paraId="6C57E04F" w14:textId="46492407">
      <w:pPr>
        <w:pStyle w:val="Normal"/>
      </w:pPr>
      <w:r w:rsidR="6830D0DC">
        <w:drawing>
          <wp:inline wp14:editId="1E821691" wp14:anchorId="6F0D2CDA">
            <wp:extent cx="5943600" cy="3324225"/>
            <wp:effectExtent l="0" t="0" r="0" b="0"/>
            <wp:docPr id="1431984839" name="" title=""/>
            <wp:cNvGraphicFramePr>
              <a:graphicFrameLocks noChangeAspect="1"/>
            </wp:cNvGraphicFramePr>
            <a:graphic>
              <a:graphicData uri="http://schemas.openxmlformats.org/drawingml/2006/picture">
                <pic:pic>
                  <pic:nvPicPr>
                    <pic:cNvPr id="0" name=""/>
                    <pic:cNvPicPr/>
                  </pic:nvPicPr>
                  <pic:blipFill>
                    <a:blip r:embed="R58acba7821a24a5d">
                      <a:extLst>
                        <a:ext xmlns:a="http://schemas.openxmlformats.org/drawingml/2006/main" uri="{28A0092B-C50C-407E-A947-70E740481C1C}">
                          <a14:useLocalDpi val="0"/>
                        </a:ext>
                      </a:extLst>
                    </a:blip>
                    <a:stretch>
                      <a:fillRect/>
                    </a:stretch>
                  </pic:blipFill>
                  <pic:spPr>
                    <a:xfrm>
                      <a:off x="0" y="0"/>
                      <a:ext cx="5943600" cy="3324225"/>
                    </a:xfrm>
                    <a:prstGeom prst="rect">
                      <a:avLst/>
                    </a:prstGeom>
                  </pic:spPr>
                </pic:pic>
              </a:graphicData>
            </a:graphic>
          </wp:inline>
        </w:drawing>
      </w:r>
      <w:r w:rsidR="6830D0DC">
        <w:drawing>
          <wp:inline wp14:editId="6F8A8F90" wp14:anchorId="1369B556">
            <wp:extent cx="5943600" cy="3429000"/>
            <wp:effectExtent l="0" t="0" r="0" b="0"/>
            <wp:docPr id="479197684" name="" title=""/>
            <wp:cNvGraphicFramePr>
              <a:graphicFrameLocks noChangeAspect="1"/>
            </wp:cNvGraphicFramePr>
            <a:graphic>
              <a:graphicData uri="http://schemas.openxmlformats.org/drawingml/2006/picture">
                <pic:pic>
                  <pic:nvPicPr>
                    <pic:cNvPr id="0" name=""/>
                    <pic:cNvPicPr/>
                  </pic:nvPicPr>
                  <pic:blipFill>
                    <a:blip r:embed="Rfde5a23d35ea4a75">
                      <a:extLst>
                        <a:ext xmlns:a="http://schemas.openxmlformats.org/drawingml/2006/main" uri="{28A0092B-C50C-407E-A947-70E740481C1C}">
                          <a14:useLocalDpi val="0"/>
                        </a:ext>
                      </a:extLst>
                    </a:blip>
                    <a:stretch>
                      <a:fillRect/>
                    </a:stretch>
                  </pic:blipFill>
                  <pic:spPr>
                    <a:xfrm>
                      <a:off x="0" y="0"/>
                      <a:ext cx="5943600" cy="3429000"/>
                    </a:xfrm>
                    <a:prstGeom prst="rect">
                      <a:avLst/>
                    </a:prstGeom>
                  </pic:spPr>
                </pic:pic>
              </a:graphicData>
            </a:graphic>
          </wp:inline>
        </w:drawing>
      </w:r>
      <w:r w:rsidR="6830D0DC">
        <w:rPr/>
        <w:t xml:space="preserve">These are some of the responses from the feedback form. As you can see, a wide variety of </w:t>
      </w:r>
      <w:r w:rsidR="3CC51578">
        <w:rPr/>
        <w:t>answer</w:t>
      </w:r>
      <w:r w:rsidR="6830D0DC">
        <w:rPr/>
        <w:t xml:space="preserve"> types were used and made </w:t>
      </w:r>
      <w:r w:rsidR="6830D0DC">
        <w:rPr/>
        <w:t>app</w:t>
      </w:r>
      <w:r w:rsidR="0A5873AD">
        <w:rPr/>
        <w:t>ropriate to</w:t>
      </w:r>
      <w:r w:rsidR="0A5873AD">
        <w:rPr/>
        <w:t xml:space="preserve"> the questions. This allowed me to get the most out of the responses by expanding on some answers.</w:t>
      </w:r>
    </w:p>
    <w:p w:rsidR="5980153E" w:rsidP="608C29B3" w:rsidRDefault="5980153E" w14:paraId="5ACEB64A" w14:textId="23D76DC5">
      <w:pPr>
        <w:pStyle w:val="Heading1"/>
        <w:rPr>
          <w:rFonts w:ascii="Calibri" w:hAnsi="Calibri" w:eastAsia="Calibri" w:cs="Calibri"/>
          <w:sz w:val="24"/>
          <w:szCs w:val="24"/>
        </w:rPr>
      </w:pPr>
      <w:bookmarkStart w:name="_Toc264164955" w:id="1301034926"/>
      <w:r w:rsidR="5980153E">
        <w:rPr/>
        <w:t>Evaluation and Reflection</w:t>
      </w:r>
      <w:bookmarkEnd w:id="1301034926"/>
    </w:p>
    <w:p w:rsidR="16D76B65" w:rsidP="608C29B3" w:rsidRDefault="16D76B65" w14:paraId="63B16BF1" w14:textId="381ED1CD">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08C29B3" w:rsidR="16D76B6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discussed in the justification, I planned and delivered a lesson based on using ChatGPT as a research tool for character writing. The goal </w:t>
      </w:r>
      <w:r w:rsidRPr="608C29B3" w:rsidR="260EB5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was to assess its impact on student engagement, learning outcomes, and overall teaching effectiveness. </w:t>
      </w:r>
      <w:r w:rsidRPr="608C29B3" w:rsidR="43B56657">
        <w:rPr>
          <w:rFonts w:ascii="Calibri" w:hAnsi="Calibri" w:eastAsia="Calibri" w:cs="Calibri"/>
          <w:b w:val="0"/>
          <w:bCs w:val="0"/>
          <w:i w:val="0"/>
          <w:iCs w:val="0"/>
          <w:caps w:val="0"/>
          <w:smallCaps w:val="0"/>
          <w:noProof w:val="0"/>
          <w:color w:val="000000" w:themeColor="text1" w:themeTint="FF" w:themeShade="FF"/>
          <w:sz w:val="24"/>
          <w:szCs w:val="24"/>
          <w:lang w:val="en-GB"/>
        </w:rPr>
        <w:t>To reflect on this, I will be using Driscoll’s model for critical reflection (Driscoll, 2007) as its simplicity will allow for deeper reflection in this instance.</w:t>
      </w:r>
    </w:p>
    <w:p w:rsidR="64FFEB33" w:rsidP="608C29B3" w:rsidRDefault="64FFEB33" w14:paraId="0ED44E6A" w14:textId="655A227E">
      <w:pPr>
        <w:pStyle w:val="Heading2"/>
        <w:rPr>
          <w:noProof w:val="0"/>
          <w:lang w:val="en-GB"/>
        </w:rPr>
      </w:pPr>
      <w:bookmarkStart w:name="_Toc850593761" w:id="1608305986"/>
      <w:r w:rsidRPr="608C29B3" w:rsidR="64FFEB33">
        <w:rPr>
          <w:noProof w:val="0"/>
          <w:lang w:val="en-GB"/>
        </w:rPr>
        <w:t>What? The Plan</w:t>
      </w:r>
      <w:bookmarkEnd w:id="1608305986"/>
    </w:p>
    <w:p w:rsidR="64FFEB33" w:rsidP="608C29B3" w:rsidRDefault="64FFEB33" w14:paraId="1C6110FD" w14:textId="314698C4">
      <w:pPr>
        <w:spacing w:before="240" w:beforeAutospacing="off" w:after="240" w:afterAutospacing="off" w:line="480" w:lineRule="auto"/>
      </w:pPr>
      <w:r w:rsidRPr="608C29B3" w:rsidR="64FFEB33">
        <w:rPr>
          <w:rFonts w:ascii="Calibri" w:hAnsi="Calibri" w:eastAsia="Calibri" w:cs="Calibri"/>
          <w:noProof w:val="0"/>
          <w:sz w:val="24"/>
          <w:szCs w:val="24"/>
          <w:lang w:val="en-GB"/>
        </w:rPr>
        <w:t xml:space="preserve">When planning my lesson on writing diverse characters, I aimed to engage students by encouraging them to reflect on diversity both within their writing process and in the broader context of film production. Given the growing emphasis on inclusivity and representation in media, I wanted to create a session that not only explored diversity within character creation but also highlighted how diverse crews influence on-screen diversity. According to research on diversity in media, Lau (2016) suggests that diversity in writing and production roles significantly </w:t>
      </w:r>
      <w:r w:rsidRPr="608C29B3" w:rsidR="64FFEB33">
        <w:rPr>
          <w:rFonts w:ascii="Calibri" w:hAnsi="Calibri" w:eastAsia="Calibri" w:cs="Calibri"/>
          <w:noProof w:val="0"/>
          <w:sz w:val="24"/>
          <w:szCs w:val="24"/>
          <w:lang w:val="en-GB"/>
        </w:rPr>
        <w:t>impacts</w:t>
      </w:r>
      <w:r w:rsidRPr="608C29B3" w:rsidR="64FFEB33">
        <w:rPr>
          <w:rFonts w:ascii="Calibri" w:hAnsi="Calibri" w:eastAsia="Calibri" w:cs="Calibri"/>
          <w:noProof w:val="0"/>
          <w:sz w:val="24"/>
          <w:szCs w:val="24"/>
          <w:lang w:val="en-GB"/>
        </w:rPr>
        <w:t xml:space="preserve"> the breadth of characters portrayed, so it felt crucial to address both aspects in my lesson. Furthermore, the Welsh Government’s Professional Standards for Further Education Practitioners in Wales (2023) emphasize the importance of inclusivity in teaching, making it essential to focus on diversity in character creation and film production.</w:t>
      </w:r>
    </w:p>
    <w:p w:rsidR="64FFEB33" w:rsidP="608C29B3" w:rsidRDefault="64FFEB33" w14:paraId="7AEB7F4E" w14:textId="68BCA03D">
      <w:pPr>
        <w:spacing w:before="240" w:beforeAutospacing="off" w:after="240" w:afterAutospacing="off" w:line="480" w:lineRule="auto"/>
      </w:pPr>
      <w:r w:rsidRPr="608C29B3" w:rsidR="64FFEB33">
        <w:rPr>
          <w:rFonts w:ascii="Calibri" w:hAnsi="Calibri" w:eastAsia="Calibri" w:cs="Calibri"/>
          <w:noProof w:val="0"/>
          <w:sz w:val="24"/>
          <w:szCs w:val="24"/>
          <w:lang w:val="en-GB"/>
        </w:rPr>
        <w:t xml:space="preserve">The structure of the lesson followed a clear, scaffolded approach: first, the students wrote a character based on a set of questions; next, they reflected on the similarities and differences between themselves and their character; followed by a discussion on how diverse crews influence on-screen diversity. The final part involved students using ChatGPT to research a diverse character, revisiting the same set of questions to reflect on how their character’s diversity had evolved. This approach was designed to help students think critically about how diversity is represented </w:t>
      </w:r>
      <w:r w:rsidRPr="608C29B3" w:rsidR="21FC5257">
        <w:rPr>
          <w:rFonts w:ascii="Calibri" w:hAnsi="Calibri" w:eastAsia="Calibri" w:cs="Calibri"/>
          <w:noProof w:val="0"/>
          <w:sz w:val="24"/>
          <w:szCs w:val="24"/>
          <w:lang w:val="en-GB"/>
        </w:rPr>
        <w:t>and</w:t>
      </w:r>
      <w:r w:rsidRPr="608C29B3" w:rsidR="64FFEB33">
        <w:rPr>
          <w:rFonts w:ascii="Calibri" w:hAnsi="Calibri" w:eastAsia="Calibri" w:cs="Calibri"/>
          <w:noProof w:val="0"/>
          <w:sz w:val="24"/>
          <w:szCs w:val="24"/>
          <w:lang w:val="en-GB"/>
        </w:rPr>
        <w:t xml:space="preserve"> to give them practical tools to develop more nuanced characters.</w:t>
      </w:r>
    </w:p>
    <w:p w:rsidR="64FFEB33" w:rsidP="608C29B3" w:rsidRDefault="64FFEB33" w14:paraId="5322C152" w14:textId="4278198C">
      <w:pPr>
        <w:spacing w:before="240" w:beforeAutospacing="off" w:after="240" w:afterAutospacing="off" w:line="480" w:lineRule="auto"/>
      </w:pPr>
      <w:r w:rsidRPr="608C29B3" w:rsidR="64FFEB33">
        <w:rPr>
          <w:rFonts w:ascii="Calibri" w:hAnsi="Calibri" w:eastAsia="Calibri" w:cs="Calibri"/>
          <w:noProof w:val="0"/>
          <w:sz w:val="24"/>
          <w:szCs w:val="24"/>
          <w:lang w:val="en-GB"/>
        </w:rPr>
        <w:t xml:space="preserve">I chose to incorporate ChatGPT as a research tool, as it offered a modern, accessible means for students to engage with diverse characters without the need for extensive manual research. It also aligns with the increasing use of AI tools in higher education (López and Dunleavy, 2022), </w:t>
      </w:r>
      <w:r w:rsidRPr="608C29B3" w:rsidR="64FFEB33">
        <w:rPr>
          <w:rFonts w:ascii="Calibri" w:hAnsi="Calibri" w:eastAsia="Calibri" w:cs="Calibri"/>
          <w:noProof w:val="0"/>
          <w:sz w:val="24"/>
          <w:szCs w:val="24"/>
          <w:lang w:val="en-GB"/>
        </w:rPr>
        <w:t>providing</w:t>
      </w:r>
      <w:r w:rsidRPr="608C29B3" w:rsidR="64FFEB33">
        <w:rPr>
          <w:rFonts w:ascii="Calibri" w:hAnsi="Calibri" w:eastAsia="Calibri" w:cs="Calibri"/>
          <w:noProof w:val="0"/>
          <w:sz w:val="24"/>
          <w:szCs w:val="24"/>
          <w:lang w:val="en-GB"/>
        </w:rPr>
        <w:t xml:space="preserve"> an opportunity to teach students how to use technology as an ally in their creative process. The integration of AI tools into higher education is increasingly seen as essential in promoting self-directed learning and fostering creativity (Siemens, 2005), making ChatGPT a valuable addition to the lesson.</w:t>
      </w:r>
    </w:p>
    <w:p w:rsidR="64FFEB33" w:rsidP="608C29B3" w:rsidRDefault="64FFEB33" w14:paraId="5BD0CD01" w14:textId="09C8A7A7">
      <w:pPr>
        <w:pStyle w:val="Heading2"/>
        <w:rPr>
          <w:noProof w:val="0"/>
          <w:lang w:val="en-GB"/>
        </w:rPr>
      </w:pPr>
      <w:bookmarkStart w:name="_Toc1642823705" w:id="866617883"/>
      <w:r w:rsidRPr="608C29B3" w:rsidR="64FFEB33">
        <w:rPr>
          <w:noProof w:val="0"/>
          <w:lang w:val="en-GB"/>
        </w:rPr>
        <w:t>So What? The Outcome</w:t>
      </w:r>
      <w:bookmarkEnd w:id="866617883"/>
    </w:p>
    <w:p w:rsidR="64FFEB33" w:rsidP="608C29B3" w:rsidRDefault="64FFEB33" w14:paraId="451210A1" w14:textId="01375439">
      <w:pPr>
        <w:spacing w:before="240" w:beforeAutospacing="off" w:after="240" w:afterAutospacing="off" w:line="480" w:lineRule="auto"/>
      </w:pPr>
      <w:r w:rsidRPr="608C29B3" w:rsidR="64FFEB33">
        <w:rPr>
          <w:rFonts w:ascii="Calibri" w:hAnsi="Calibri" w:eastAsia="Calibri" w:cs="Calibri"/>
          <w:noProof w:val="0"/>
          <w:sz w:val="24"/>
          <w:szCs w:val="24"/>
          <w:lang w:val="en-GB"/>
        </w:rPr>
        <w:t xml:space="preserve">The feedback from students </w:t>
      </w:r>
      <w:r w:rsidRPr="608C29B3" w:rsidR="64FFEB33">
        <w:rPr>
          <w:rFonts w:ascii="Calibri" w:hAnsi="Calibri" w:eastAsia="Calibri" w:cs="Calibri"/>
          <w:noProof w:val="0"/>
          <w:sz w:val="24"/>
          <w:szCs w:val="24"/>
          <w:lang w:val="en-GB"/>
        </w:rPr>
        <w:t>indicated</w:t>
      </w:r>
      <w:r w:rsidRPr="608C29B3" w:rsidR="64FFEB33">
        <w:rPr>
          <w:rFonts w:ascii="Calibri" w:hAnsi="Calibri" w:eastAsia="Calibri" w:cs="Calibri"/>
          <w:noProof w:val="0"/>
          <w:sz w:val="24"/>
          <w:szCs w:val="24"/>
          <w:lang w:val="en-GB"/>
        </w:rPr>
        <w:t xml:space="preserve"> that the lesson was successful in achieving its goals of expanding their thinking around diversity in character creation. One of the most notable outcomes was that all students agreed their first characters were less diverse compared to their second, more developed characters. This suggests that the lesson had an immediate impact on their approach to diversity, particularly in recognizing gaps and biases in their </w:t>
      </w:r>
      <w:r w:rsidRPr="608C29B3" w:rsidR="64FFEB33">
        <w:rPr>
          <w:rFonts w:ascii="Calibri" w:hAnsi="Calibri" w:eastAsia="Calibri" w:cs="Calibri"/>
          <w:noProof w:val="0"/>
          <w:sz w:val="24"/>
          <w:szCs w:val="24"/>
          <w:lang w:val="en-GB"/>
        </w:rPr>
        <w:t>initial</w:t>
      </w:r>
      <w:r w:rsidRPr="608C29B3" w:rsidR="64FFEB33">
        <w:rPr>
          <w:rFonts w:ascii="Calibri" w:hAnsi="Calibri" w:eastAsia="Calibri" w:cs="Calibri"/>
          <w:noProof w:val="0"/>
          <w:sz w:val="24"/>
          <w:szCs w:val="24"/>
          <w:lang w:val="en-GB"/>
        </w:rPr>
        <w:t xml:space="preserve"> character drafts. This aligns with the research by Chon and Han (2018), who suggest that actively engaging with diversity prompts a more nuanced understanding of representation in writing.</w:t>
      </w:r>
    </w:p>
    <w:p w:rsidR="64FFEB33" w:rsidP="608C29B3" w:rsidRDefault="64FFEB33" w14:paraId="09B8B6AA" w14:textId="12EC0A4C">
      <w:pPr>
        <w:spacing w:before="240" w:beforeAutospacing="off" w:after="240" w:afterAutospacing="off" w:line="480" w:lineRule="auto"/>
      </w:pPr>
      <w:r w:rsidRPr="608C29B3" w:rsidR="64FFEB33">
        <w:rPr>
          <w:rFonts w:ascii="Calibri" w:hAnsi="Calibri" w:eastAsia="Calibri" w:cs="Calibri"/>
          <w:noProof w:val="0"/>
          <w:sz w:val="24"/>
          <w:szCs w:val="24"/>
          <w:lang w:val="en-GB"/>
        </w:rPr>
        <w:t xml:space="preserve">The activity where students reflected on the </w:t>
      </w:r>
      <w:r w:rsidRPr="608C29B3" w:rsidR="64FFEB33">
        <w:rPr>
          <w:rFonts w:ascii="Calibri" w:hAnsi="Calibri" w:eastAsia="Calibri" w:cs="Calibri"/>
          <w:noProof w:val="0"/>
          <w:sz w:val="24"/>
          <w:szCs w:val="24"/>
          <w:lang w:val="en-GB"/>
        </w:rPr>
        <w:t>similarities</w:t>
      </w:r>
      <w:r w:rsidRPr="608C29B3" w:rsidR="64FFEB33">
        <w:rPr>
          <w:rFonts w:ascii="Calibri" w:hAnsi="Calibri" w:eastAsia="Calibri" w:cs="Calibri"/>
          <w:noProof w:val="0"/>
          <w:sz w:val="24"/>
          <w:szCs w:val="24"/>
          <w:lang w:val="en-GB"/>
        </w:rPr>
        <w:t xml:space="preserve"> they shared with their characters also proved insightful. Several students noted in their reflections that they avoid writing about characters who do not share their own characteristics, especially when it comes to cultural or lived experiences. This insight shows a common barrier in writing diverse characters—the discomfort and uncertainty of </w:t>
      </w:r>
      <w:r w:rsidRPr="608C29B3" w:rsidR="64FFEB33">
        <w:rPr>
          <w:rFonts w:ascii="Calibri" w:hAnsi="Calibri" w:eastAsia="Calibri" w:cs="Calibri"/>
          <w:noProof w:val="0"/>
          <w:sz w:val="24"/>
          <w:szCs w:val="24"/>
          <w:lang w:val="en-GB"/>
        </w:rPr>
        <w:t>representing</w:t>
      </w:r>
      <w:r w:rsidRPr="608C29B3" w:rsidR="64FFEB33">
        <w:rPr>
          <w:rFonts w:ascii="Calibri" w:hAnsi="Calibri" w:eastAsia="Calibri" w:cs="Calibri"/>
          <w:noProof w:val="0"/>
          <w:sz w:val="24"/>
          <w:szCs w:val="24"/>
          <w:lang w:val="en-GB"/>
        </w:rPr>
        <w:t xml:space="preserve"> experiences outside one’s own. However, the task prompted students to confront this, and feedback </w:t>
      </w:r>
      <w:r w:rsidRPr="608C29B3" w:rsidR="64FFEB33">
        <w:rPr>
          <w:rFonts w:ascii="Calibri" w:hAnsi="Calibri" w:eastAsia="Calibri" w:cs="Calibri"/>
          <w:noProof w:val="0"/>
          <w:sz w:val="24"/>
          <w:szCs w:val="24"/>
          <w:lang w:val="en-GB"/>
        </w:rPr>
        <w:t>indicated</w:t>
      </w:r>
      <w:r w:rsidRPr="608C29B3" w:rsidR="64FFEB33">
        <w:rPr>
          <w:rFonts w:ascii="Calibri" w:hAnsi="Calibri" w:eastAsia="Calibri" w:cs="Calibri"/>
          <w:noProof w:val="0"/>
          <w:sz w:val="24"/>
          <w:szCs w:val="24"/>
          <w:lang w:val="en-GB"/>
        </w:rPr>
        <w:t xml:space="preserve"> they felt more confident about doing research to create characters with more diversity.</w:t>
      </w:r>
    </w:p>
    <w:p w:rsidR="64FFEB33" w:rsidP="608C29B3" w:rsidRDefault="64FFEB33" w14:paraId="1B07FBE9" w14:textId="67AF96EC">
      <w:pPr>
        <w:spacing w:before="240" w:beforeAutospacing="off" w:after="240" w:afterAutospacing="off" w:line="480" w:lineRule="auto"/>
      </w:pPr>
      <w:r w:rsidRPr="608C29B3" w:rsidR="64FFEB33">
        <w:rPr>
          <w:rFonts w:ascii="Calibri" w:hAnsi="Calibri" w:eastAsia="Calibri" w:cs="Calibri"/>
          <w:noProof w:val="0"/>
          <w:sz w:val="24"/>
          <w:szCs w:val="24"/>
          <w:lang w:val="en-GB"/>
        </w:rPr>
        <w:t xml:space="preserve">The ChatGPT </w:t>
      </w:r>
      <w:r w:rsidRPr="608C29B3" w:rsidR="64FFEB33">
        <w:rPr>
          <w:rFonts w:ascii="Calibri" w:hAnsi="Calibri" w:eastAsia="Calibri" w:cs="Calibri"/>
          <w:noProof w:val="0"/>
          <w:sz w:val="24"/>
          <w:szCs w:val="24"/>
          <w:lang w:val="en-GB"/>
        </w:rPr>
        <w:t>component</w:t>
      </w:r>
      <w:r w:rsidRPr="608C29B3" w:rsidR="64FFEB33">
        <w:rPr>
          <w:rFonts w:ascii="Calibri" w:hAnsi="Calibri" w:eastAsia="Calibri" w:cs="Calibri"/>
          <w:noProof w:val="0"/>
          <w:sz w:val="24"/>
          <w:szCs w:val="24"/>
          <w:lang w:val="en-GB"/>
        </w:rPr>
        <w:t xml:space="preserve"> of the lesson proved highly effective as well. Two students rated it as </w:t>
      </w:r>
      <w:r w:rsidRPr="608C29B3" w:rsidR="64FFEB33">
        <w:rPr>
          <w:rFonts w:ascii="Calibri" w:hAnsi="Calibri" w:eastAsia="Calibri" w:cs="Calibri"/>
          <w:noProof w:val="0"/>
          <w:sz w:val="24"/>
          <w:szCs w:val="24"/>
          <w:lang w:val="en-GB"/>
        </w:rPr>
        <w:t>very helpful</w:t>
      </w:r>
      <w:r w:rsidRPr="608C29B3" w:rsidR="64FFEB33">
        <w:rPr>
          <w:rFonts w:ascii="Calibri" w:hAnsi="Calibri" w:eastAsia="Calibri" w:cs="Calibri"/>
          <w:noProof w:val="0"/>
          <w:sz w:val="24"/>
          <w:szCs w:val="24"/>
          <w:lang w:val="en-GB"/>
        </w:rPr>
        <w:t xml:space="preserve"> (5/5), while one rated it as moderately helpful (3/5). The latter’s feedback mentioned that they found the AI tool useful but felt there was still a learning curve in terms of refining search queries to get more specific results. However, the overall feedback reflected a strong enthusiasm for using ChatGPT in future research. Students highlighted how the tool allowed them to access information quickly and synthesize historical examples efficiently, which was something they appreciated in terms of timesaving and ease of use. This corresponds with findings from a study on AI’s role in education by Baker and Smith (2020), which notes that students who are introduced to AI tools often experience a significant increase in research efficiency and creativity. Additionally, Williamson (2017) discusses the growing importance of digital literacy, which ChatGPT can help foster in students, particularly in the context of researching diverse characters.</w:t>
      </w:r>
    </w:p>
    <w:p w:rsidR="64FFEB33" w:rsidP="608C29B3" w:rsidRDefault="64FFEB33" w14:paraId="280D6ACA" w14:textId="65485874">
      <w:pPr>
        <w:spacing w:before="240" w:beforeAutospacing="off" w:after="240" w:afterAutospacing="off" w:line="480" w:lineRule="auto"/>
      </w:pPr>
      <w:r w:rsidRPr="608C29B3" w:rsidR="64FFEB33">
        <w:rPr>
          <w:rFonts w:ascii="Calibri" w:hAnsi="Calibri" w:eastAsia="Calibri" w:cs="Calibri"/>
          <w:noProof w:val="0"/>
          <w:sz w:val="24"/>
          <w:szCs w:val="24"/>
          <w:lang w:val="en-GB"/>
        </w:rPr>
        <w:t>In terms of the task's flow, the students were able to complete the character creation exercise with more depth as the session progressed. Initially, the first character was less diverse, but by the end, students had integrated more diverse elements into their second characters. This progression suggests that the reflective structure of the lesson—starting with personal reflection, followed by character creation, and then using research tools—allowed students to critically engage with and adapt their thinking.</w:t>
      </w:r>
    </w:p>
    <w:p w:rsidR="64FFEB33" w:rsidP="608C29B3" w:rsidRDefault="64FFEB33" w14:paraId="1DAC26C6" w14:textId="2E185D23">
      <w:pPr>
        <w:pStyle w:val="Heading2"/>
        <w:rPr>
          <w:noProof w:val="0"/>
          <w:lang w:val="en-GB"/>
        </w:rPr>
      </w:pPr>
      <w:bookmarkStart w:name="_Toc1364007942" w:id="797629595"/>
      <w:r w:rsidRPr="608C29B3" w:rsidR="64FFEB33">
        <w:rPr>
          <w:noProof w:val="0"/>
          <w:lang w:val="en-GB"/>
        </w:rPr>
        <w:t>Now What? The Next Steps</w:t>
      </w:r>
      <w:bookmarkEnd w:id="797629595"/>
    </w:p>
    <w:p w:rsidR="64FFEB33" w:rsidP="608C29B3" w:rsidRDefault="64FFEB33" w14:paraId="2EE2D980" w14:textId="71AA48F1">
      <w:pPr>
        <w:spacing w:before="240" w:beforeAutospacing="off" w:after="240" w:afterAutospacing="off" w:line="480" w:lineRule="auto"/>
      </w:pPr>
      <w:r w:rsidRPr="608C29B3" w:rsidR="64FFEB33">
        <w:rPr>
          <w:rFonts w:ascii="Calibri" w:hAnsi="Calibri" w:eastAsia="Calibri" w:cs="Calibri"/>
          <w:noProof w:val="0"/>
          <w:sz w:val="24"/>
          <w:szCs w:val="24"/>
          <w:lang w:val="en-GB"/>
        </w:rPr>
        <w:t xml:space="preserve">While the lesson went well overall, there are several areas I would like to improve for future sessions. One key takeaway from the feedback was that I could have spent more time consolidating learning, especially after the ChatGPT research activity. In retrospect, I rushed through the consolidation phase, which affected my ability to engage students in deeper discussions about their character development and the insights they gained from the task. Petty (2009) emphasizes the importance of allowing time for reflection, and I realise I need to build in more space for this in future lessons. I would aim to provide a more structured debrief, </w:t>
      </w:r>
      <w:r w:rsidRPr="608C29B3" w:rsidR="64FFEB33">
        <w:rPr>
          <w:rFonts w:ascii="Calibri" w:hAnsi="Calibri" w:eastAsia="Calibri" w:cs="Calibri"/>
          <w:noProof w:val="0"/>
          <w:sz w:val="24"/>
          <w:szCs w:val="24"/>
          <w:lang w:val="en-GB"/>
        </w:rPr>
        <w:t>perhaps including</w:t>
      </w:r>
      <w:r w:rsidRPr="608C29B3" w:rsidR="64FFEB33">
        <w:rPr>
          <w:rFonts w:ascii="Calibri" w:hAnsi="Calibri" w:eastAsia="Calibri" w:cs="Calibri"/>
          <w:noProof w:val="0"/>
          <w:sz w:val="24"/>
          <w:szCs w:val="24"/>
          <w:lang w:val="en-GB"/>
        </w:rPr>
        <w:t xml:space="preserve"> group discussions where students can share their findings, challenges, and insights from using ChatGPT in their research.</w:t>
      </w:r>
    </w:p>
    <w:p w:rsidR="64FFEB33" w:rsidP="608C29B3" w:rsidRDefault="64FFEB33" w14:paraId="1EF75481" w14:textId="31DA20A0">
      <w:pPr>
        <w:spacing w:before="240" w:beforeAutospacing="off" w:after="240" w:afterAutospacing="off" w:line="480" w:lineRule="auto"/>
      </w:pPr>
      <w:r w:rsidRPr="608C29B3" w:rsidR="64FFEB33">
        <w:rPr>
          <w:rFonts w:ascii="Calibri" w:hAnsi="Calibri" w:eastAsia="Calibri" w:cs="Calibri"/>
          <w:noProof w:val="0"/>
          <w:sz w:val="24"/>
          <w:szCs w:val="24"/>
          <w:lang w:val="en-GB"/>
        </w:rPr>
        <w:t xml:space="preserve">In terms of improving the lesson’s design, I might also consider diversifying the methods of research beyond just ChatGPT. While the AI tool proved to be a valuable resource, I wonder if providing students with a variety of research methods—such as interviews, podcasts, or academic articles—would offer a more </w:t>
      </w:r>
      <w:r w:rsidRPr="608C29B3" w:rsidR="64FFEB33">
        <w:rPr>
          <w:rFonts w:ascii="Calibri" w:hAnsi="Calibri" w:eastAsia="Calibri" w:cs="Calibri"/>
          <w:noProof w:val="0"/>
          <w:sz w:val="24"/>
          <w:szCs w:val="24"/>
          <w:lang w:val="en-GB"/>
        </w:rPr>
        <w:t>holistic approach</w:t>
      </w:r>
      <w:r w:rsidRPr="608C29B3" w:rsidR="64FFEB33">
        <w:rPr>
          <w:rFonts w:ascii="Calibri" w:hAnsi="Calibri" w:eastAsia="Calibri" w:cs="Calibri"/>
          <w:noProof w:val="0"/>
          <w:sz w:val="24"/>
          <w:szCs w:val="24"/>
          <w:lang w:val="en-GB"/>
        </w:rPr>
        <w:t xml:space="preserve"> to character development. Incorporating a wider range of perspectives on diversity could deepen students’ understanding of the topic and allow them to explore characters from multiple angles. This aligns with the Welsh Government’s (2023) emphasis on fostering a broad range of skills in further education, including the ability to use multiple research methods in creative and critical contexts.</w:t>
      </w:r>
    </w:p>
    <w:p w:rsidR="64FFEB33" w:rsidP="608C29B3" w:rsidRDefault="64FFEB33" w14:paraId="78CFB6C6" w14:textId="25599404">
      <w:pPr>
        <w:spacing w:before="240" w:beforeAutospacing="off" w:after="240" w:afterAutospacing="off" w:line="480" w:lineRule="auto"/>
      </w:pPr>
      <w:r w:rsidRPr="608C29B3" w:rsidR="64FFEB33">
        <w:rPr>
          <w:rFonts w:ascii="Calibri" w:hAnsi="Calibri" w:eastAsia="Calibri" w:cs="Calibri"/>
          <w:noProof w:val="0"/>
          <w:sz w:val="24"/>
          <w:szCs w:val="24"/>
          <w:lang w:val="en-GB"/>
        </w:rPr>
        <w:t xml:space="preserve">Additionally, I would explore ways to encourage students to engage more deeply with characters from cultures or backgrounds they are less familiar with. While some students expressed initial reluctance to write characters unlike themselves, this </w:t>
      </w:r>
      <w:r w:rsidRPr="608C29B3" w:rsidR="64FFEB33">
        <w:rPr>
          <w:rFonts w:ascii="Calibri" w:hAnsi="Calibri" w:eastAsia="Calibri" w:cs="Calibri"/>
          <w:noProof w:val="0"/>
          <w:sz w:val="24"/>
          <w:szCs w:val="24"/>
          <w:lang w:val="en-GB"/>
        </w:rPr>
        <w:t>represents</w:t>
      </w:r>
      <w:r w:rsidRPr="608C29B3" w:rsidR="64FFEB33">
        <w:rPr>
          <w:rFonts w:ascii="Calibri" w:hAnsi="Calibri" w:eastAsia="Calibri" w:cs="Calibri"/>
          <w:noProof w:val="0"/>
          <w:sz w:val="24"/>
          <w:szCs w:val="24"/>
          <w:lang w:val="en-GB"/>
        </w:rPr>
        <w:t xml:space="preserve"> an area of potential growth. Encouraging students to actively challenge their own preconceptions through further research or by collaborating with peers who have </w:t>
      </w:r>
      <w:r w:rsidRPr="608C29B3" w:rsidR="64FFEB33">
        <w:rPr>
          <w:rFonts w:ascii="Calibri" w:hAnsi="Calibri" w:eastAsia="Calibri" w:cs="Calibri"/>
          <w:noProof w:val="0"/>
          <w:sz w:val="24"/>
          <w:szCs w:val="24"/>
          <w:lang w:val="en-GB"/>
        </w:rPr>
        <w:t>different cultural</w:t>
      </w:r>
      <w:r w:rsidRPr="608C29B3" w:rsidR="64FFEB33">
        <w:rPr>
          <w:rFonts w:ascii="Calibri" w:hAnsi="Calibri" w:eastAsia="Calibri" w:cs="Calibri"/>
          <w:noProof w:val="0"/>
          <w:sz w:val="24"/>
          <w:szCs w:val="24"/>
          <w:lang w:val="en-GB"/>
        </w:rPr>
        <w:t xml:space="preserve"> insights could help them move beyond their comfort zones.</w:t>
      </w:r>
    </w:p>
    <w:p w:rsidR="64FFEB33" w:rsidP="608C29B3" w:rsidRDefault="64FFEB33" w14:paraId="2B4C64D4" w14:textId="38E7F6B6">
      <w:pPr>
        <w:spacing w:before="240" w:beforeAutospacing="off" w:after="240" w:afterAutospacing="off" w:line="480" w:lineRule="auto"/>
      </w:pPr>
      <w:r w:rsidRPr="608C29B3" w:rsidR="64FFEB33">
        <w:rPr>
          <w:rFonts w:ascii="Calibri" w:hAnsi="Calibri" w:eastAsia="Calibri" w:cs="Calibri"/>
          <w:noProof w:val="0"/>
          <w:sz w:val="24"/>
          <w:szCs w:val="24"/>
          <w:lang w:val="en-GB"/>
        </w:rPr>
        <w:t xml:space="preserve">Lastly, the integration of ChatGPT into the lesson was </w:t>
      </w:r>
      <w:r w:rsidRPr="608C29B3" w:rsidR="64FFEB33">
        <w:rPr>
          <w:rFonts w:ascii="Calibri" w:hAnsi="Calibri" w:eastAsia="Calibri" w:cs="Calibri"/>
          <w:noProof w:val="0"/>
          <w:sz w:val="24"/>
          <w:szCs w:val="24"/>
          <w:lang w:val="en-GB"/>
        </w:rPr>
        <w:t>largely successful</w:t>
      </w:r>
      <w:r w:rsidRPr="608C29B3" w:rsidR="64FFEB33">
        <w:rPr>
          <w:rFonts w:ascii="Calibri" w:hAnsi="Calibri" w:eastAsia="Calibri" w:cs="Calibri"/>
          <w:noProof w:val="0"/>
          <w:sz w:val="24"/>
          <w:szCs w:val="24"/>
          <w:lang w:val="en-GB"/>
        </w:rPr>
        <w:t xml:space="preserve">, but as the feedback highlighted, students could have </w:t>
      </w:r>
      <w:r w:rsidRPr="608C29B3" w:rsidR="64FFEB33">
        <w:rPr>
          <w:rFonts w:ascii="Calibri" w:hAnsi="Calibri" w:eastAsia="Calibri" w:cs="Calibri"/>
          <w:noProof w:val="0"/>
          <w:sz w:val="24"/>
          <w:szCs w:val="24"/>
          <w:lang w:val="en-GB"/>
        </w:rPr>
        <w:t>benefitted</w:t>
      </w:r>
      <w:r w:rsidRPr="608C29B3" w:rsidR="64FFEB33">
        <w:rPr>
          <w:rFonts w:ascii="Calibri" w:hAnsi="Calibri" w:eastAsia="Calibri" w:cs="Calibri"/>
          <w:noProof w:val="0"/>
          <w:sz w:val="24"/>
          <w:szCs w:val="24"/>
          <w:lang w:val="en-GB"/>
        </w:rPr>
        <w:t xml:space="preserve"> from </w:t>
      </w:r>
      <w:r w:rsidRPr="608C29B3" w:rsidR="64FFEB33">
        <w:rPr>
          <w:rFonts w:ascii="Calibri" w:hAnsi="Calibri" w:eastAsia="Calibri" w:cs="Calibri"/>
          <w:noProof w:val="0"/>
          <w:sz w:val="24"/>
          <w:szCs w:val="24"/>
          <w:lang w:val="en-GB"/>
        </w:rPr>
        <w:t>additional</w:t>
      </w:r>
      <w:r w:rsidRPr="608C29B3" w:rsidR="64FFEB33">
        <w:rPr>
          <w:rFonts w:ascii="Calibri" w:hAnsi="Calibri" w:eastAsia="Calibri" w:cs="Calibri"/>
          <w:noProof w:val="0"/>
          <w:sz w:val="24"/>
          <w:szCs w:val="24"/>
          <w:lang w:val="en-GB"/>
        </w:rPr>
        <w:t xml:space="preserve"> guidance on how to refine their queries. In future lessons, I plan to provide more detailed instructions on how to maximize ChatGPT’s potential for research, helping students to become more autonomous in using AI as a research tool. While most students expressed confidence in using ChatGPT again for research, I would like to ensure they are equipped with strategies to extract the most relevant and nuanced information from it.</w:t>
      </w:r>
    </w:p>
    <w:p w:rsidR="64FFEB33" w:rsidP="608C29B3" w:rsidRDefault="64FFEB33" w14:paraId="02D49836" w14:textId="52EC8B46">
      <w:pPr>
        <w:spacing w:before="240" w:beforeAutospacing="off" w:after="240" w:afterAutospacing="off" w:line="480" w:lineRule="auto"/>
      </w:pPr>
      <w:r w:rsidRPr="608C29B3" w:rsidR="64FFEB33">
        <w:rPr>
          <w:rFonts w:ascii="Calibri" w:hAnsi="Calibri" w:eastAsia="Calibri" w:cs="Calibri"/>
          <w:noProof w:val="0"/>
          <w:sz w:val="24"/>
          <w:szCs w:val="24"/>
          <w:lang w:val="en-GB"/>
        </w:rPr>
        <w:t xml:space="preserve">In conclusion, while the lesson was successful in achieving its primary goals, there is room for growth in terms of allowing more time for reflective consolidation, expanding research tools, and </w:t>
      </w:r>
      <w:r w:rsidRPr="608C29B3" w:rsidR="64FFEB33">
        <w:rPr>
          <w:rFonts w:ascii="Calibri" w:hAnsi="Calibri" w:eastAsia="Calibri" w:cs="Calibri"/>
          <w:noProof w:val="0"/>
          <w:sz w:val="24"/>
          <w:szCs w:val="24"/>
          <w:lang w:val="en-GB"/>
        </w:rPr>
        <w:t>providing</w:t>
      </w:r>
      <w:r w:rsidRPr="608C29B3" w:rsidR="64FFEB33">
        <w:rPr>
          <w:rFonts w:ascii="Calibri" w:hAnsi="Calibri" w:eastAsia="Calibri" w:cs="Calibri"/>
          <w:noProof w:val="0"/>
          <w:sz w:val="24"/>
          <w:szCs w:val="24"/>
          <w:lang w:val="en-GB"/>
        </w:rPr>
        <w:t xml:space="preserve"> clearer guidance for students on using ChatGPT. As I continue to develop my teaching practice, I will focus on refining these aspects to enhance student learning and engagement with the topic of diversity in character creation.</w:t>
      </w:r>
    </w:p>
    <w:p w:rsidR="608C29B3" w:rsidP="608C29B3" w:rsidRDefault="608C29B3" w14:paraId="2039DD70" w14:textId="0DDA442C">
      <w:pPr>
        <w:pStyle w:val="Normal"/>
      </w:pPr>
    </w:p>
    <w:p w:rsidR="2F14010A" w:rsidP="608C29B3" w:rsidRDefault="2F14010A" w14:paraId="0C45F0E7" w14:textId="714932EE">
      <w:pPr>
        <w:pStyle w:val="Heading1"/>
        <w:rPr>
          <w:noProof w:val="0"/>
          <w:lang w:val="en-GB"/>
        </w:rPr>
      </w:pPr>
      <w:bookmarkStart w:name="_Toc853859736" w:id="2051040206"/>
      <w:r w:rsidRPr="608C29B3" w:rsidR="2F14010A">
        <w:rPr>
          <w:noProof w:val="0"/>
          <w:lang w:val="en-GB"/>
        </w:rPr>
        <w:t>Lesson Plan</w:t>
      </w:r>
      <w:bookmarkEnd w:id="2051040206"/>
    </w:p>
    <w:p w:rsidR="410798EA" w:rsidP="608C29B3" w:rsidRDefault="410798EA" w14:paraId="53ADC4A0" w14:textId="20E188F4">
      <w:pPr>
        <w:pStyle w:val="Normal"/>
      </w:pPr>
      <w:r w:rsidR="410798EA">
        <w:drawing>
          <wp:inline wp14:editId="4606E434" wp14:anchorId="0DEE2B33">
            <wp:extent cx="5943600" cy="4124325"/>
            <wp:effectExtent l="0" t="0" r="0" b="0"/>
            <wp:docPr id="1245952537" name="" title=""/>
            <wp:cNvGraphicFramePr>
              <a:graphicFrameLocks noChangeAspect="1"/>
            </wp:cNvGraphicFramePr>
            <a:graphic>
              <a:graphicData uri="http://schemas.openxmlformats.org/drawingml/2006/picture">
                <pic:pic>
                  <pic:nvPicPr>
                    <pic:cNvPr id="0" name=""/>
                    <pic:cNvPicPr/>
                  </pic:nvPicPr>
                  <pic:blipFill>
                    <a:blip r:embed="R06969aeba2f54727">
                      <a:extLst>
                        <a:ext xmlns:a="http://schemas.openxmlformats.org/drawingml/2006/main" uri="{28A0092B-C50C-407E-A947-70E740481C1C}">
                          <a14:useLocalDpi val="0"/>
                        </a:ext>
                      </a:extLst>
                    </a:blip>
                    <a:stretch>
                      <a:fillRect/>
                    </a:stretch>
                  </pic:blipFill>
                  <pic:spPr>
                    <a:xfrm>
                      <a:off x="0" y="0"/>
                      <a:ext cx="5943600" cy="4124325"/>
                    </a:xfrm>
                    <a:prstGeom prst="rect">
                      <a:avLst/>
                    </a:prstGeom>
                  </pic:spPr>
                </pic:pic>
              </a:graphicData>
            </a:graphic>
          </wp:inline>
        </w:drawing>
      </w:r>
      <w:r w:rsidR="410798EA">
        <w:drawing>
          <wp:inline wp14:editId="1ED012CF" wp14:anchorId="27C66F9F">
            <wp:extent cx="5943600" cy="3276600"/>
            <wp:effectExtent l="0" t="0" r="0" b="0"/>
            <wp:docPr id="1565133403" name="" title=""/>
            <wp:cNvGraphicFramePr>
              <a:graphicFrameLocks noChangeAspect="1"/>
            </wp:cNvGraphicFramePr>
            <a:graphic>
              <a:graphicData uri="http://schemas.openxmlformats.org/drawingml/2006/picture">
                <pic:pic>
                  <pic:nvPicPr>
                    <pic:cNvPr id="0" name=""/>
                    <pic:cNvPicPr/>
                  </pic:nvPicPr>
                  <pic:blipFill>
                    <a:blip r:embed="Re2b34ca09a404742">
                      <a:extLst>
                        <a:ext xmlns:a="http://schemas.openxmlformats.org/drawingml/2006/main" uri="{28A0092B-C50C-407E-A947-70E740481C1C}">
                          <a14:useLocalDpi val="0"/>
                        </a:ext>
                      </a:extLst>
                    </a:blip>
                    <a:stretch>
                      <a:fillRect/>
                    </a:stretch>
                  </pic:blipFill>
                  <pic:spPr>
                    <a:xfrm>
                      <a:off x="0" y="0"/>
                      <a:ext cx="5943600" cy="3276600"/>
                    </a:xfrm>
                    <a:prstGeom prst="rect">
                      <a:avLst/>
                    </a:prstGeom>
                  </pic:spPr>
                </pic:pic>
              </a:graphicData>
            </a:graphic>
          </wp:inline>
        </w:drawing>
      </w:r>
      <w:r w:rsidR="410798EA">
        <w:drawing>
          <wp:inline wp14:editId="7ED4ADDD" wp14:anchorId="4AC1BC09">
            <wp:extent cx="5943600" cy="3200400"/>
            <wp:effectExtent l="0" t="0" r="0" b="0"/>
            <wp:docPr id="2076128345" name="" title=""/>
            <wp:cNvGraphicFramePr>
              <a:graphicFrameLocks noChangeAspect="1"/>
            </wp:cNvGraphicFramePr>
            <a:graphic>
              <a:graphicData uri="http://schemas.openxmlformats.org/drawingml/2006/picture">
                <pic:pic>
                  <pic:nvPicPr>
                    <pic:cNvPr id="0" name=""/>
                    <pic:cNvPicPr/>
                  </pic:nvPicPr>
                  <pic:blipFill>
                    <a:blip r:embed="R0a53649342df4c7c">
                      <a:extLst>
                        <a:ext xmlns:a="http://schemas.openxmlformats.org/drawingml/2006/main" uri="{28A0092B-C50C-407E-A947-70E740481C1C}">
                          <a14:useLocalDpi val="0"/>
                        </a:ext>
                      </a:extLst>
                    </a:blip>
                    <a:stretch>
                      <a:fillRect/>
                    </a:stretch>
                  </pic:blipFill>
                  <pic:spPr>
                    <a:xfrm>
                      <a:off x="0" y="0"/>
                      <a:ext cx="5943600" cy="3200400"/>
                    </a:xfrm>
                    <a:prstGeom prst="rect">
                      <a:avLst/>
                    </a:prstGeom>
                  </pic:spPr>
                </pic:pic>
              </a:graphicData>
            </a:graphic>
          </wp:inline>
        </w:drawing>
      </w:r>
      <w:r w:rsidR="6620F18B">
        <w:drawing>
          <wp:inline wp14:editId="766E2AFE" wp14:anchorId="6184E9D2">
            <wp:extent cx="5943600" cy="3743325"/>
            <wp:effectExtent l="0" t="0" r="0" b="0"/>
            <wp:docPr id="1256885055" name="" title=""/>
            <wp:cNvGraphicFramePr>
              <a:graphicFrameLocks noChangeAspect="1"/>
            </wp:cNvGraphicFramePr>
            <a:graphic>
              <a:graphicData uri="http://schemas.openxmlformats.org/drawingml/2006/picture">
                <pic:pic>
                  <pic:nvPicPr>
                    <pic:cNvPr id="0" name=""/>
                    <pic:cNvPicPr/>
                  </pic:nvPicPr>
                  <pic:blipFill>
                    <a:blip r:embed="R4b7d4e4f23a04bad">
                      <a:extLst>
                        <a:ext xmlns:a="http://schemas.openxmlformats.org/drawingml/2006/main" uri="{28A0092B-C50C-407E-A947-70E740481C1C}">
                          <a14:useLocalDpi val="0"/>
                        </a:ext>
                      </a:extLst>
                    </a:blip>
                    <a:stretch>
                      <a:fillRect/>
                    </a:stretch>
                  </pic:blipFill>
                  <pic:spPr>
                    <a:xfrm>
                      <a:off x="0" y="0"/>
                      <a:ext cx="5943600" cy="3743325"/>
                    </a:xfrm>
                    <a:prstGeom prst="rect">
                      <a:avLst/>
                    </a:prstGeom>
                  </pic:spPr>
                </pic:pic>
              </a:graphicData>
            </a:graphic>
          </wp:inline>
        </w:drawing>
      </w:r>
      <w:r w:rsidR="6620F18B">
        <w:drawing>
          <wp:inline wp14:editId="16815E47" wp14:anchorId="414EFEEB">
            <wp:extent cx="5943600" cy="4162425"/>
            <wp:effectExtent l="0" t="0" r="0" b="0"/>
            <wp:docPr id="1639136217" name="" title=""/>
            <wp:cNvGraphicFramePr>
              <a:graphicFrameLocks noChangeAspect="1"/>
            </wp:cNvGraphicFramePr>
            <a:graphic>
              <a:graphicData uri="http://schemas.openxmlformats.org/drawingml/2006/picture">
                <pic:pic>
                  <pic:nvPicPr>
                    <pic:cNvPr id="0" name=""/>
                    <pic:cNvPicPr/>
                  </pic:nvPicPr>
                  <pic:blipFill>
                    <a:blip r:embed="R2e9ad0d5eb3549bc">
                      <a:extLst>
                        <a:ext xmlns:a="http://schemas.openxmlformats.org/drawingml/2006/main" uri="{28A0092B-C50C-407E-A947-70E740481C1C}">
                          <a14:useLocalDpi val="0"/>
                        </a:ext>
                      </a:extLst>
                    </a:blip>
                    <a:stretch>
                      <a:fillRect/>
                    </a:stretch>
                  </pic:blipFill>
                  <pic:spPr>
                    <a:xfrm>
                      <a:off x="0" y="0"/>
                      <a:ext cx="5943600" cy="4162425"/>
                    </a:xfrm>
                    <a:prstGeom prst="rect">
                      <a:avLst/>
                    </a:prstGeom>
                  </pic:spPr>
                </pic:pic>
              </a:graphicData>
            </a:graphic>
          </wp:inline>
        </w:drawing>
      </w:r>
      <w:r w:rsidR="6620F18B">
        <w:drawing>
          <wp:inline wp14:editId="4CFE03DC" wp14:anchorId="5A539DC1">
            <wp:extent cx="5867398" cy="1457325"/>
            <wp:effectExtent l="0" t="0" r="0" b="0"/>
            <wp:docPr id="1455214982" name="" title=""/>
            <wp:cNvGraphicFramePr>
              <a:graphicFrameLocks noChangeAspect="1"/>
            </wp:cNvGraphicFramePr>
            <a:graphic>
              <a:graphicData uri="http://schemas.openxmlformats.org/drawingml/2006/picture">
                <pic:pic>
                  <pic:nvPicPr>
                    <pic:cNvPr id="0" name=""/>
                    <pic:cNvPicPr/>
                  </pic:nvPicPr>
                  <pic:blipFill>
                    <a:blip r:embed="Rbf25ad565a6d42e9">
                      <a:extLst>
                        <a:ext xmlns:a="http://schemas.openxmlformats.org/drawingml/2006/main" uri="{28A0092B-C50C-407E-A947-70E740481C1C}">
                          <a14:useLocalDpi val="0"/>
                        </a:ext>
                      </a:extLst>
                    </a:blip>
                    <a:stretch>
                      <a:fillRect/>
                    </a:stretch>
                  </pic:blipFill>
                  <pic:spPr>
                    <a:xfrm>
                      <a:off x="0" y="0"/>
                      <a:ext cx="5867398" cy="1457325"/>
                    </a:xfrm>
                    <a:prstGeom prst="rect">
                      <a:avLst/>
                    </a:prstGeom>
                  </pic:spPr>
                </pic:pic>
              </a:graphicData>
            </a:graphic>
          </wp:inline>
        </w:drawing>
      </w:r>
    </w:p>
    <w:p w:rsidR="35B1C0F2" w:rsidP="608C29B3" w:rsidRDefault="35B1C0F2" w14:paraId="2B41F68C" w14:textId="5DEE8459">
      <w:pPr>
        <w:pStyle w:val="Heading1"/>
        <w:rPr>
          <w:noProof w:val="0"/>
          <w:lang w:val="en-GB"/>
        </w:rPr>
      </w:pPr>
      <w:bookmarkStart w:name="_Toc741162697" w:id="707000313"/>
      <w:r w:rsidRPr="608C29B3" w:rsidR="35B1C0F2">
        <w:rPr>
          <w:noProof w:val="0"/>
          <w:lang w:val="en-GB"/>
        </w:rPr>
        <w:t>References</w:t>
      </w:r>
      <w:bookmarkEnd w:id="707000313"/>
    </w:p>
    <w:p w:rsidR="081DE42C" w:rsidP="608C29B3" w:rsidRDefault="081DE42C" w14:paraId="4CBA0F2B" w14:textId="0B1693A6">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Beetham, H.,</w:t>
      </w:r>
      <w:r w:rsidRPr="608C29B3" w:rsidR="081DE42C">
        <w:rPr>
          <w:rFonts w:ascii="Calibri" w:hAnsi="Calibri" w:eastAsia="Calibri" w:cs="Calibri"/>
          <w:b w:val="0"/>
          <w:bCs w:val="0"/>
          <w:noProof w:val="0"/>
          <w:sz w:val="24"/>
          <w:szCs w:val="24"/>
          <w:lang w:val="en-GB"/>
        </w:rPr>
        <w:t xml:space="preserve"> 2019. Platform fatigue in digital education. </w:t>
      </w:r>
      <w:r w:rsidRPr="608C29B3" w:rsidR="081DE42C">
        <w:rPr>
          <w:rFonts w:ascii="Calibri" w:hAnsi="Calibri" w:eastAsia="Calibri" w:cs="Calibri"/>
          <w:b w:val="0"/>
          <w:bCs w:val="0"/>
          <w:i w:val="1"/>
          <w:iCs w:val="1"/>
          <w:noProof w:val="0"/>
          <w:sz w:val="24"/>
          <w:szCs w:val="24"/>
          <w:lang w:val="en-GB"/>
        </w:rPr>
        <w:t>Journal of Educational Technology</w:t>
      </w:r>
      <w:r w:rsidRPr="608C29B3" w:rsidR="081DE42C">
        <w:rPr>
          <w:rFonts w:ascii="Calibri" w:hAnsi="Calibri" w:eastAsia="Calibri" w:cs="Calibri"/>
          <w:b w:val="0"/>
          <w:bCs w:val="0"/>
          <w:noProof w:val="0"/>
          <w:sz w:val="24"/>
          <w:szCs w:val="24"/>
          <w:lang w:val="en-GB"/>
        </w:rPr>
        <w:t>, 56(2), pp. 45-57.</w:t>
      </w:r>
    </w:p>
    <w:p w:rsidR="081DE42C" w:rsidP="608C29B3" w:rsidRDefault="081DE42C" w14:paraId="22B55349" w14:textId="5D6288C6">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Bates, T.,</w:t>
      </w:r>
      <w:r w:rsidRPr="608C29B3" w:rsidR="081DE42C">
        <w:rPr>
          <w:rFonts w:ascii="Calibri" w:hAnsi="Calibri" w:eastAsia="Calibri" w:cs="Calibri"/>
          <w:b w:val="0"/>
          <w:bCs w:val="0"/>
          <w:noProof w:val="0"/>
          <w:sz w:val="24"/>
          <w:szCs w:val="24"/>
          <w:lang w:val="en-GB"/>
        </w:rPr>
        <w:t xml:space="preserve"> 2015. </w:t>
      </w:r>
      <w:r w:rsidRPr="608C29B3" w:rsidR="081DE42C">
        <w:rPr>
          <w:rFonts w:ascii="Calibri" w:hAnsi="Calibri" w:eastAsia="Calibri" w:cs="Calibri"/>
          <w:b w:val="0"/>
          <w:bCs w:val="0"/>
          <w:i w:val="1"/>
          <w:iCs w:val="1"/>
          <w:noProof w:val="0"/>
          <w:sz w:val="24"/>
          <w:szCs w:val="24"/>
          <w:lang w:val="en-GB"/>
        </w:rPr>
        <w:t>Teaching in a Digital Age</w:t>
      </w:r>
      <w:r w:rsidRPr="608C29B3" w:rsidR="081DE42C">
        <w:rPr>
          <w:rFonts w:ascii="Calibri" w:hAnsi="Calibri" w:eastAsia="Calibri" w:cs="Calibri"/>
          <w:b w:val="0"/>
          <w:bCs w:val="0"/>
          <w:noProof w:val="0"/>
          <w:sz w:val="24"/>
          <w:szCs w:val="24"/>
          <w:lang w:val="en-GB"/>
        </w:rPr>
        <w:t>. Vancouver: University of British Columbia Press.</w:t>
      </w:r>
    </w:p>
    <w:p w:rsidR="081DE42C" w:rsidP="608C29B3" w:rsidRDefault="081DE42C" w14:paraId="7989E00A" w14:textId="2F9AD081">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Cagiltay</w:t>
      </w:r>
      <w:r w:rsidRPr="608C29B3" w:rsidR="081DE42C">
        <w:rPr>
          <w:rFonts w:ascii="Calibri" w:hAnsi="Calibri" w:eastAsia="Calibri" w:cs="Calibri"/>
          <w:b w:val="0"/>
          <w:bCs w:val="0"/>
          <w:noProof w:val="0"/>
          <w:sz w:val="24"/>
          <w:szCs w:val="24"/>
          <w:lang w:val="en-GB"/>
        </w:rPr>
        <w:t>, K., et al.,</w:t>
      </w:r>
      <w:r w:rsidRPr="608C29B3" w:rsidR="081DE42C">
        <w:rPr>
          <w:rFonts w:ascii="Calibri" w:hAnsi="Calibri" w:eastAsia="Calibri" w:cs="Calibri"/>
          <w:b w:val="0"/>
          <w:bCs w:val="0"/>
          <w:noProof w:val="0"/>
          <w:sz w:val="24"/>
          <w:szCs w:val="24"/>
          <w:lang w:val="en-GB"/>
        </w:rPr>
        <w:t xml:space="preserve"> 2019. The effectiveness of gamified learning. </w:t>
      </w:r>
      <w:r w:rsidRPr="608C29B3" w:rsidR="081DE42C">
        <w:rPr>
          <w:rFonts w:ascii="Calibri" w:hAnsi="Calibri" w:eastAsia="Calibri" w:cs="Calibri"/>
          <w:b w:val="0"/>
          <w:bCs w:val="0"/>
          <w:i w:val="1"/>
          <w:iCs w:val="1"/>
          <w:noProof w:val="0"/>
          <w:sz w:val="24"/>
          <w:szCs w:val="24"/>
          <w:lang w:val="en-GB"/>
        </w:rPr>
        <w:t>Educational Technology Research and Development</w:t>
      </w:r>
      <w:r w:rsidRPr="608C29B3" w:rsidR="081DE42C">
        <w:rPr>
          <w:rFonts w:ascii="Calibri" w:hAnsi="Calibri" w:eastAsia="Calibri" w:cs="Calibri"/>
          <w:b w:val="0"/>
          <w:bCs w:val="0"/>
          <w:noProof w:val="0"/>
          <w:sz w:val="24"/>
          <w:szCs w:val="24"/>
          <w:lang w:val="en-GB"/>
        </w:rPr>
        <w:t>, 67(2), pp. 123-145.</w:t>
      </w:r>
    </w:p>
    <w:p w:rsidR="081DE42C" w:rsidP="608C29B3" w:rsidRDefault="081DE42C" w14:paraId="264CDB54" w14:textId="7D10BDE4">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Children’s Commissioner,</w:t>
      </w:r>
      <w:r w:rsidRPr="608C29B3" w:rsidR="081DE42C">
        <w:rPr>
          <w:rFonts w:ascii="Calibri" w:hAnsi="Calibri" w:eastAsia="Calibri" w:cs="Calibri"/>
          <w:b w:val="0"/>
          <w:bCs w:val="0"/>
          <w:noProof w:val="0"/>
          <w:sz w:val="24"/>
          <w:szCs w:val="24"/>
          <w:lang w:val="en-GB"/>
        </w:rPr>
        <w:t xml:space="preserve"> 2020. Education and the Digital Divide in Wales. [online] Available at: </w:t>
      </w:r>
      <w:hyperlink r:id="Rdd399a7339dd4967">
        <w:r w:rsidRPr="608C29B3" w:rsidR="081DE42C">
          <w:rPr>
            <w:rStyle w:val="Hyperlink"/>
            <w:rFonts w:ascii="Calibri" w:hAnsi="Calibri" w:eastAsia="Calibri" w:cs="Calibri"/>
            <w:b w:val="0"/>
            <w:bCs w:val="0"/>
            <w:noProof w:val="0"/>
            <w:sz w:val="24"/>
            <w:szCs w:val="24"/>
            <w:lang w:val="en-GB"/>
          </w:rPr>
          <w:t>https://www.childrenscommissioner.wales/digital-divide</w:t>
        </w:r>
      </w:hyperlink>
      <w:r w:rsidRPr="608C29B3" w:rsidR="081DE42C">
        <w:rPr>
          <w:rFonts w:ascii="Calibri" w:hAnsi="Calibri" w:eastAsia="Calibri" w:cs="Calibri"/>
          <w:b w:val="0"/>
          <w:bCs w:val="0"/>
          <w:noProof w:val="0"/>
          <w:sz w:val="24"/>
          <w:szCs w:val="24"/>
          <w:lang w:val="en-GB"/>
        </w:rPr>
        <w:t xml:space="preserve"> [Accessed 6 December 2024].</w:t>
      </w:r>
    </w:p>
    <w:p w:rsidR="081DE42C" w:rsidP="608C29B3" w:rsidRDefault="081DE42C" w14:paraId="316300BD" w14:textId="43A19E87">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Daniela, L.,</w:t>
      </w:r>
      <w:r w:rsidRPr="608C29B3" w:rsidR="081DE42C">
        <w:rPr>
          <w:rFonts w:ascii="Calibri" w:hAnsi="Calibri" w:eastAsia="Calibri" w:cs="Calibri"/>
          <w:b w:val="0"/>
          <w:bCs w:val="0"/>
          <w:noProof w:val="0"/>
          <w:sz w:val="24"/>
          <w:szCs w:val="24"/>
          <w:lang w:val="en-GB"/>
        </w:rPr>
        <w:t xml:space="preserve"> 2020. The effectiveness of VR in education. </w:t>
      </w:r>
      <w:r w:rsidRPr="608C29B3" w:rsidR="081DE42C">
        <w:rPr>
          <w:rFonts w:ascii="Calibri" w:hAnsi="Calibri" w:eastAsia="Calibri" w:cs="Calibri"/>
          <w:b w:val="0"/>
          <w:bCs w:val="0"/>
          <w:i w:val="1"/>
          <w:iCs w:val="1"/>
          <w:noProof w:val="0"/>
          <w:sz w:val="24"/>
          <w:szCs w:val="24"/>
          <w:lang w:val="en-GB"/>
        </w:rPr>
        <w:t>Journal of Educational Technology</w:t>
      </w:r>
      <w:r w:rsidRPr="608C29B3" w:rsidR="081DE42C">
        <w:rPr>
          <w:rFonts w:ascii="Calibri" w:hAnsi="Calibri" w:eastAsia="Calibri" w:cs="Calibri"/>
          <w:b w:val="0"/>
          <w:bCs w:val="0"/>
          <w:noProof w:val="0"/>
          <w:sz w:val="24"/>
          <w:szCs w:val="24"/>
          <w:lang w:val="en-GB"/>
        </w:rPr>
        <w:t>, 48(4), pp. 341-356.</w:t>
      </w:r>
    </w:p>
    <w:p w:rsidR="081DE42C" w:rsidP="608C29B3" w:rsidRDefault="081DE42C" w14:paraId="237C1A4C" w14:textId="2DDCCCCD">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Johnson, L., Becker, S.A. and Cummins, M.,</w:t>
      </w:r>
      <w:r w:rsidRPr="608C29B3" w:rsidR="081DE42C">
        <w:rPr>
          <w:rFonts w:ascii="Calibri" w:hAnsi="Calibri" w:eastAsia="Calibri" w:cs="Calibri"/>
          <w:b w:val="0"/>
          <w:bCs w:val="0"/>
          <w:noProof w:val="0"/>
          <w:sz w:val="24"/>
          <w:szCs w:val="24"/>
          <w:lang w:val="en-GB"/>
        </w:rPr>
        <w:t xml:space="preserve"> 2016. NMC Horizon Report: 2016 Higher Education Edition. Austin, Texas: The New Media Consortium.</w:t>
      </w:r>
    </w:p>
    <w:p w:rsidR="081DE42C" w:rsidP="608C29B3" w:rsidRDefault="081DE42C" w14:paraId="3460C369" w14:textId="4F93EC95">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Luckin</w:t>
      </w:r>
      <w:r w:rsidRPr="608C29B3" w:rsidR="081DE42C">
        <w:rPr>
          <w:rFonts w:ascii="Calibri" w:hAnsi="Calibri" w:eastAsia="Calibri" w:cs="Calibri"/>
          <w:b w:val="0"/>
          <w:bCs w:val="0"/>
          <w:noProof w:val="0"/>
          <w:sz w:val="24"/>
          <w:szCs w:val="24"/>
          <w:lang w:val="en-GB"/>
        </w:rPr>
        <w:t xml:space="preserve">, R. and </w:t>
      </w:r>
      <w:r w:rsidRPr="608C29B3" w:rsidR="081DE42C">
        <w:rPr>
          <w:rFonts w:ascii="Calibri" w:hAnsi="Calibri" w:eastAsia="Calibri" w:cs="Calibri"/>
          <w:b w:val="0"/>
          <w:bCs w:val="0"/>
          <w:noProof w:val="0"/>
          <w:sz w:val="24"/>
          <w:szCs w:val="24"/>
          <w:lang w:val="en-GB"/>
        </w:rPr>
        <w:t>Cukurova</w:t>
      </w:r>
      <w:r w:rsidRPr="608C29B3" w:rsidR="081DE42C">
        <w:rPr>
          <w:rFonts w:ascii="Calibri" w:hAnsi="Calibri" w:eastAsia="Calibri" w:cs="Calibri"/>
          <w:b w:val="0"/>
          <w:bCs w:val="0"/>
          <w:noProof w:val="0"/>
          <w:sz w:val="24"/>
          <w:szCs w:val="24"/>
          <w:lang w:val="en-GB"/>
        </w:rPr>
        <w:t>, M.,</w:t>
      </w:r>
      <w:r w:rsidRPr="608C29B3" w:rsidR="081DE42C">
        <w:rPr>
          <w:rFonts w:ascii="Calibri" w:hAnsi="Calibri" w:eastAsia="Calibri" w:cs="Calibri"/>
          <w:b w:val="0"/>
          <w:bCs w:val="0"/>
          <w:noProof w:val="0"/>
          <w:sz w:val="24"/>
          <w:szCs w:val="24"/>
          <w:lang w:val="en-GB"/>
        </w:rPr>
        <w:t xml:space="preserve"> 2020. The impact of artificial intelligence on education. </w:t>
      </w:r>
      <w:r w:rsidRPr="608C29B3" w:rsidR="081DE42C">
        <w:rPr>
          <w:rFonts w:ascii="Calibri" w:hAnsi="Calibri" w:eastAsia="Calibri" w:cs="Calibri"/>
          <w:b w:val="0"/>
          <w:bCs w:val="0"/>
          <w:i w:val="1"/>
          <w:iCs w:val="1"/>
          <w:noProof w:val="0"/>
          <w:sz w:val="24"/>
          <w:szCs w:val="24"/>
          <w:lang w:val="en-GB"/>
        </w:rPr>
        <w:t>British Journal of Educational Technology</w:t>
      </w:r>
      <w:r w:rsidRPr="608C29B3" w:rsidR="081DE42C">
        <w:rPr>
          <w:rFonts w:ascii="Calibri" w:hAnsi="Calibri" w:eastAsia="Calibri" w:cs="Calibri"/>
          <w:b w:val="0"/>
          <w:bCs w:val="0"/>
          <w:noProof w:val="0"/>
          <w:sz w:val="24"/>
          <w:szCs w:val="24"/>
          <w:lang w:val="en-GB"/>
        </w:rPr>
        <w:t>, 51(3), pp. 724-738.</w:t>
      </w:r>
    </w:p>
    <w:p w:rsidR="081DE42C" w:rsidP="608C29B3" w:rsidRDefault="081DE42C" w14:paraId="499FE81C" w14:textId="05962B65">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Selwyn, N.,</w:t>
      </w:r>
      <w:r w:rsidRPr="608C29B3" w:rsidR="081DE42C">
        <w:rPr>
          <w:rFonts w:ascii="Calibri" w:hAnsi="Calibri" w:eastAsia="Calibri" w:cs="Calibri"/>
          <w:b w:val="0"/>
          <w:bCs w:val="0"/>
          <w:noProof w:val="0"/>
          <w:sz w:val="24"/>
          <w:szCs w:val="24"/>
          <w:lang w:val="en-GB"/>
        </w:rPr>
        <w:t xml:space="preserve"> 2016. </w:t>
      </w:r>
      <w:r w:rsidRPr="608C29B3" w:rsidR="081DE42C">
        <w:rPr>
          <w:rFonts w:ascii="Calibri" w:hAnsi="Calibri" w:eastAsia="Calibri" w:cs="Calibri"/>
          <w:b w:val="0"/>
          <w:bCs w:val="0"/>
          <w:i w:val="1"/>
          <w:iCs w:val="1"/>
          <w:noProof w:val="0"/>
          <w:sz w:val="24"/>
          <w:szCs w:val="24"/>
          <w:lang w:val="en-GB"/>
        </w:rPr>
        <w:t>Education and Technology: Key Issues and Debates</w:t>
      </w:r>
      <w:r w:rsidRPr="608C29B3" w:rsidR="081DE42C">
        <w:rPr>
          <w:rFonts w:ascii="Calibri" w:hAnsi="Calibri" w:eastAsia="Calibri" w:cs="Calibri"/>
          <w:b w:val="0"/>
          <w:bCs w:val="0"/>
          <w:noProof w:val="0"/>
          <w:sz w:val="24"/>
          <w:szCs w:val="24"/>
          <w:lang w:val="en-GB"/>
        </w:rPr>
        <w:t>. 2nd ed. London: Bloomsbury Academic.</w:t>
      </w:r>
    </w:p>
    <w:p w:rsidR="081DE42C" w:rsidP="608C29B3" w:rsidRDefault="081DE42C" w14:paraId="12A28691" w14:textId="13B90D00">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UN SDGs,</w:t>
      </w:r>
      <w:r w:rsidRPr="608C29B3" w:rsidR="081DE42C">
        <w:rPr>
          <w:rFonts w:ascii="Calibri" w:hAnsi="Calibri" w:eastAsia="Calibri" w:cs="Calibri"/>
          <w:b w:val="0"/>
          <w:bCs w:val="0"/>
          <w:noProof w:val="0"/>
          <w:sz w:val="24"/>
          <w:szCs w:val="24"/>
          <w:lang w:val="en-GB"/>
        </w:rPr>
        <w:t xml:space="preserve"> 2021. Sustainable Development Goals. [online] Available at: </w:t>
      </w:r>
      <w:hyperlink r:id="Re75e8d4453d04e07">
        <w:r w:rsidRPr="608C29B3" w:rsidR="081DE42C">
          <w:rPr>
            <w:rStyle w:val="Hyperlink"/>
            <w:rFonts w:ascii="Calibri" w:hAnsi="Calibri" w:eastAsia="Calibri" w:cs="Calibri"/>
            <w:b w:val="0"/>
            <w:bCs w:val="0"/>
            <w:noProof w:val="0"/>
            <w:sz w:val="24"/>
            <w:szCs w:val="24"/>
            <w:lang w:val="en-GB"/>
          </w:rPr>
          <w:t>https://www.un.org/sustainabledevelopment/education/</w:t>
        </w:r>
      </w:hyperlink>
      <w:r w:rsidRPr="608C29B3" w:rsidR="081DE42C">
        <w:rPr>
          <w:rFonts w:ascii="Calibri" w:hAnsi="Calibri" w:eastAsia="Calibri" w:cs="Calibri"/>
          <w:b w:val="0"/>
          <w:bCs w:val="0"/>
          <w:noProof w:val="0"/>
          <w:sz w:val="24"/>
          <w:szCs w:val="24"/>
          <w:lang w:val="en-GB"/>
        </w:rPr>
        <w:t xml:space="preserve"> [Accessed 6 December 2024].</w:t>
      </w:r>
    </w:p>
    <w:p w:rsidR="081DE42C" w:rsidP="608C29B3" w:rsidRDefault="081DE42C" w14:paraId="6215744D" w14:textId="4B5675B3">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Welsh Government,</w:t>
      </w:r>
      <w:r w:rsidRPr="608C29B3" w:rsidR="081DE42C">
        <w:rPr>
          <w:rFonts w:ascii="Calibri" w:hAnsi="Calibri" w:eastAsia="Calibri" w:cs="Calibri"/>
          <w:b w:val="0"/>
          <w:bCs w:val="0"/>
          <w:noProof w:val="0"/>
          <w:sz w:val="24"/>
          <w:szCs w:val="24"/>
          <w:lang w:val="en-GB"/>
        </w:rPr>
        <w:t xml:space="preserve"> 2019. </w:t>
      </w:r>
      <w:r w:rsidRPr="608C29B3" w:rsidR="081DE42C">
        <w:rPr>
          <w:rFonts w:ascii="Calibri" w:hAnsi="Calibri" w:eastAsia="Calibri" w:cs="Calibri"/>
          <w:b w:val="0"/>
          <w:bCs w:val="0"/>
          <w:i w:val="1"/>
          <w:iCs w:val="1"/>
          <w:noProof w:val="0"/>
          <w:sz w:val="24"/>
          <w:szCs w:val="24"/>
          <w:lang w:val="en-GB"/>
        </w:rPr>
        <w:t>Digital 2030 Framework for Education</w:t>
      </w:r>
      <w:r w:rsidRPr="608C29B3" w:rsidR="081DE42C">
        <w:rPr>
          <w:rFonts w:ascii="Calibri" w:hAnsi="Calibri" w:eastAsia="Calibri" w:cs="Calibri"/>
          <w:b w:val="0"/>
          <w:bCs w:val="0"/>
          <w:noProof w:val="0"/>
          <w:sz w:val="24"/>
          <w:szCs w:val="24"/>
          <w:lang w:val="en-GB"/>
        </w:rPr>
        <w:t xml:space="preserve">. [online] Available at: </w:t>
      </w:r>
      <w:hyperlink r:id="Rd351314cbadb4b77">
        <w:r w:rsidRPr="608C29B3" w:rsidR="081DE42C">
          <w:rPr>
            <w:rStyle w:val="Hyperlink"/>
            <w:rFonts w:ascii="Calibri" w:hAnsi="Calibri" w:eastAsia="Calibri" w:cs="Calibri"/>
            <w:b w:val="0"/>
            <w:bCs w:val="0"/>
            <w:noProof w:val="0"/>
            <w:sz w:val="24"/>
            <w:szCs w:val="24"/>
            <w:lang w:val="en-GB"/>
          </w:rPr>
          <w:t>https://gov.wales/digital-2030</w:t>
        </w:r>
      </w:hyperlink>
      <w:r w:rsidRPr="608C29B3" w:rsidR="081DE42C">
        <w:rPr>
          <w:rFonts w:ascii="Calibri" w:hAnsi="Calibri" w:eastAsia="Calibri" w:cs="Calibri"/>
          <w:b w:val="0"/>
          <w:bCs w:val="0"/>
          <w:noProof w:val="0"/>
          <w:sz w:val="24"/>
          <w:szCs w:val="24"/>
          <w:lang w:val="en-GB"/>
        </w:rPr>
        <w:t xml:space="preserve"> [Accessed 6 December 2024].</w:t>
      </w:r>
    </w:p>
    <w:p w:rsidR="081DE42C" w:rsidP="608C29B3" w:rsidRDefault="081DE42C" w14:paraId="6390EA8D" w14:textId="5DCE3A73">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Williamson, B.,</w:t>
      </w:r>
      <w:r w:rsidRPr="608C29B3" w:rsidR="081DE42C">
        <w:rPr>
          <w:rFonts w:ascii="Calibri" w:hAnsi="Calibri" w:eastAsia="Calibri" w:cs="Calibri"/>
          <w:b w:val="0"/>
          <w:bCs w:val="0"/>
          <w:noProof w:val="0"/>
          <w:sz w:val="24"/>
          <w:szCs w:val="24"/>
          <w:lang w:val="en-GB"/>
        </w:rPr>
        <w:t xml:space="preserve"> 2017. Educating the data-driven: The role of AI in education. </w:t>
      </w:r>
      <w:r w:rsidRPr="608C29B3" w:rsidR="081DE42C">
        <w:rPr>
          <w:rFonts w:ascii="Calibri" w:hAnsi="Calibri" w:eastAsia="Calibri" w:cs="Calibri"/>
          <w:b w:val="0"/>
          <w:bCs w:val="0"/>
          <w:i w:val="1"/>
          <w:iCs w:val="1"/>
          <w:noProof w:val="0"/>
          <w:sz w:val="24"/>
          <w:szCs w:val="24"/>
          <w:lang w:val="en-GB"/>
        </w:rPr>
        <w:t>Learning, Media and Technology</w:t>
      </w:r>
      <w:r w:rsidRPr="608C29B3" w:rsidR="081DE42C">
        <w:rPr>
          <w:rFonts w:ascii="Calibri" w:hAnsi="Calibri" w:eastAsia="Calibri" w:cs="Calibri"/>
          <w:b w:val="0"/>
          <w:bCs w:val="0"/>
          <w:noProof w:val="0"/>
          <w:sz w:val="24"/>
          <w:szCs w:val="24"/>
          <w:lang w:val="en-GB"/>
        </w:rPr>
        <w:t>, 42(3), pp. 123-134.</w:t>
      </w:r>
    </w:p>
    <w:p w:rsidR="081DE42C" w:rsidP="608C29B3" w:rsidRDefault="081DE42C" w14:paraId="777E8359" w14:textId="5037A21C">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Yuan, Y. and Chia, L.,</w:t>
      </w:r>
      <w:r w:rsidRPr="608C29B3" w:rsidR="081DE42C">
        <w:rPr>
          <w:rFonts w:ascii="Calibri" w:hAnsi="Calibri" w:eastAsia="Calibri" w:cs="Calibri"/>
          <w:b w:val="0"/>
          <w:bCs w:val="0"/>
          <w:noProof w:val="0"/>
          <w:sz w:val="24"/>
          <w:szCs w:val="24"/>
          <w:lang w:val="en-GB"/>
        </w:rPr>
        <w:t xml:space="preserve"> 2020. The potential of virtual reality in education. </w:t>
      </w:r>
      <w:r w:rsidRPr="608C29B3" w:rsidR="081DE42C">
        <w:rPr>
          <w:rFonts w:ascii="Calibri" w:hAnsi="Calibri" w:eastAsia="Calibri" w:cs="Calibri"/>
          <w:b w:val="0"/>
          <w:bCs w:val="0"/>
          <w:i w:val="1"/>
          <w:iCs w:val="1"/>
          <w:noProof w:val="0"/>
          <w:sz w:val="24"/>
          <w:szCs w:val="24"/>
          <w:lang w:val="en-GB"/>
        </w:rPr>
        <w:t>Journal of Educational Technology &amp; Society</w:t>
      </w:r>
      <w:r w:rsidRPr="608C29B3" w:rsidR="081DE42C">
        <w:rPr>
          <w:rFonts w:ascii="Calibri" w:hAnsi="Calibri" w:eastAsia="Calibri" w:cs="Calibri"/>
          <w:b w:val="0"/>
          <w:bCs w:val="0"/>
          <w:noProof w:val="0"/>
          <w:sz w:val="24"/>
          <w:szCs w:val="24"/>
          <w:lang w:val="en-GB"/>
        </w:rPr>
        <w:t>, 23(3), pp. 32-45.</w:t>
      </w:r>
    </w:p>
    <w:p w:rsidR="081DE42C" w:rsidP="608C29B3" w:rsidRDefault="081DE42C" w14:paraId="274C2265" w14:textId="391F8EAE">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Zhao, Y., et al.,</w:t>
      </w:r>
      <w:r w:rsidRPr="608C29B3" w:rsidR="081DE42C">
        <w:rPr>
          <w:rFonts w:ascii="Calibri" w:hAnsi="Calibri" w:eastAsia="Calibri" w:cs="Calibri"/>
          <w:b w:val="0"/>
          <w:bCs w:val="0"/>
          <w:noProof w:val="0"/>
          <w:sz w:val="24"/>
          <w:szCs w:val="24"/>
          <w:lang w:val="en-GB"/>
        </w:rPr>
        <w:t xml:space="preserve"> 2002. The impact of AI in education. </w:t>
      </w:r>
      <w:r w:rsidRPr="608C29B3" w:rsidR="081DE42C">
        <w:rPr>
          <w:rFonts w:ascii="Calibri" w:hAnsi="Calibri" w:eastAsia="Calibri" w:cs="Calibri"/>
          <w:b w:val="0"/>
          <w:bCs w:val="0"/>
          <w:i w:val="1"/>
          <w:iCs w:val="1"/>
          <w:noProof w:val="0"/>
          <w:sz w:val="24"/>
          <w:szCs w:val="24"/>
          <w:lang w:val="en-GB"/>
        </w:rPr>
        <w:t>International Journal of Educational Research</w:t>
      </w:r>
      <w:r w:rsidRPr="608C29B3" w:rsidR="081DE42C">
        <w:rPr>
          <w:rFonts w:ascii="Calibri" w:hAnsi="Calibri" w:eastAsia="Calibri" w:cs="Calibri"/>
          <w:b w:val="0"/>
          <w:bCs w:val="0"/>
          <w:noProof w:val="0"/>
          <w:sz w:val="24"/>
          <w:szCs w:val="24"/>
          <w:lang w:val="en-GB"/>
        </w:rPr>
        <w:t>, 56(2), pp. 215-229.</w:t>
      </w:r>
    </w:p>
    <w:p w:rsidR="081DE42C" w:rsidP="608C29B3" w:rsidRDefault="081DE42C" w14:paraId="7E1DE8F4" w14:textId="2802BDBE">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Baker, R.S. and Smith, D.N.,</w:t>
      </w:r>
      <w:r w:rsidRPr="608C29B3" w:rsidR="081DE42C">
        <w:rPr>
          <w:rFonts w:ascii="Calibri" w:hAnsi="Calibri" w:eastAsia="Calibri" w:cs="Calibri"/>
          <w:b w:val="0"/>
          <w:bCs w:val="0"/>
          <w:noProof w:val="0"/>
          <w:sz w:val="24"/>
          <w:szCs w:val="24"/>
          <w:lang w:val="en-GB"/>
        </w:rPr>
        <w:t xml:space="preserve"> 2020. The role of AI in educational settings: Enhancing research efficiency and creativity. </w:t>
      </w:r>
      <w:r w:rsidRPr="608C29B3" w:rsidR="081DE42C">
        <w:rPr>
          <w:rFonts w:ascii="Calibri" w:hAnsi="Calibri" w:eastAsia="Calibri" w:cs="Calibri"/>
          <w:b w:val="0"/>
          <w:bCs w:val="0"/>
          <w:i w:val="1"/>
          <w:iCs w:val="1"/>
          <w:noProof w:val="0"/>
          <w:sz w:val="24"/>
          <w:szCs w:val="24"/>
          <w:lang w:val="en-GB"/>
        </w:rPr>
        <w:t>Journal of Educational Technology &amp; Society</w:t>
      </w:r>
      <w:r w:rsidRPr="608C29B3" w:rsidR="081DE42C">
        <w:rPr>
          <w:rFonts w:ascii="Calibri" w:hAnsi="Calibri" w:eastAsia="Calibri" w:cs="Calibri"/>
          <w:b w:val="0"/>
          <w:bCs w:val="0"/>
          <w:noProof w:val="0"/>
          <w:sz w:val="24"/>
          <w:szCs w:val="24"/>
          <w:lang w:val="en-GB"/>
        </w:rPr>
        <w:t>, 23(1), pp. 102-112.</w:t>
      </w:r>
    </w:p>
    <w:p w:rsidR="081DE42C" w:rsidP="608C29B3" w:rsidRDefault="081DE42C" w14:paraId="6F1D6307" w14:textId="3198DCC6">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Chon, M. and Han, K.,</w:t>
      </w:r>
      <w:r w:rsidRPr="608C29B3" w:rsidR="081DE42C">
        <w:rPr>
          <w:rFonts w:ascii="Calibri" w:hAnsi="Calibri" w:eastAsia="Calibri" w:cs="Calibri"/>
          <w:b w:val="0"/>
          <w:bCs w:val="0"/>
          <w:noProof w:val="0"/>
          <w:sz w:val="24"/>
          <w:szCs w:val="24"/>
          <w:lang w:val="en-GB"/>
        </w:rPr>
        <w:t xml:space="preserve"> 2018. The impact of diversity engagement on writing practices: Fostering a nuanced understanding of representation. </w:t>
      </w:r>
      <w:r w:rsidRPr="608C29B3" w:rsidR="081DE42C">
        <w:rPr>
          <w:rFonts w:ascii="Calibri" w:hAnsi="Calibri" w:eastAsia="Calibri" w:cs="Calibri"/>
          <w:b w:val="0"/>
          <w:bCs w:val="0"/>
          <w:i w:val="1"/>
          <w:iCs w:val="1"/>
          <w:noProof w:val="0"/>
          <w:sz w:val="24"/>
          <w:szCs w:val="24"/>
          <w:lang w:val="en-GB"/>
        </w:rPr>
        <w:t>Journal of Media &amp; Cultural Studies</w:t>
      </w:r>
      <w:r w:rsidRPr="608C29B3" w:rsidR="081DE42C">
        <w:rPr>
          <w:rFonts w:ascii="Calibri" w:hAnsi="Calibri" w:eastAsia="Calibri" w:cs="Calibri"/>
          <w:b w:val="0"/>
          <w:bCs w:val="0"/>
          <w:noProof w:val="0"/>
          <w:sz w:val="24"/>
          <w:szCs w:val="24"/>
          <w:lang w:val="en-GB"/>
        </w:rPr>
        <w:t>, 29(4), pp. 115-127.</w:t>
      </w:r>
    </w:p>
    <w:p w:rsidR="081DE42C" w:rsidP="608C29B3" w:rsidRDefault="081DE42C" w14:paraId="431898B5" w14:textId="6158633D">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Driscoll, J.,</w:t>
      </w:r>
      <w:r w:rsidRPr="608C29B3" w:rsidR="081DE42C">
        <w:rPr>
          <w:rFonts w:ascii="Calibri" w:hAnsi="Calibri" w:eastAsia="Calibri" w:cs="Calibri"/>
          <w:b w:val="0"/>
          <w:bCs w:val="0"/>
          <w:noProof w:val="0"/>
          <w:sz w:val="24"/>
          <w:szCs w:val="24"/>
          <w:lang w:val="en-GB"/>
        </w:rPr>
        <w:t xml:space="preserve"> 2007. </w:t>
      </w:r>
      <w:r w:rsidRPr="608C29B3" w:rsidR="081DE42C">
        <w:rPr>
          <w:rFonts w:ascii="Calibri" w:hAnsi="Calibri" w:eastAsia="Calibri" w:cs="Calibri"/>
          <w:b w:val="0"/>
          <w:bCs w:val="0"/>
          <w:i w:val="1"/>
          <w:iCs w:val="1"/>
          <w:noProof w:val="0"/>
          <w:sz w:val="24"/>
          <w:szCs w:val="24"/>
          <w:lang w:val="en-GB"/>
        </w:rPr>
        <w:t>Practising Clinical Supervision</w:t>
      </w:r>
      <w:r w:rsidRPr="608C29B3" w:rsidR="081DE42C">
        <w:rPr>
          <w:rFonts w:ascii="Calibri" w:hAnsi="Calibri" w:eastAsia="Calibri" w:cs="Calibri"/>
          <w:b w:val="0"/>
          <w:bCs w:val="0"/>
          <w:noProof w:val="0"/>
          <w:sz w:val="24"/>
          <w:szCs w:val="24"/>
          <w:lang w:val="en-GB"/>
        </w:rPr>
        <w:t>. Maidenhead: Open University Press.</w:t>
      </w:r>
    </w:p>
    <w:p w:rsidR="081DE42C" w:rsidP="608C29B3" w:rsidRDefault="081DE42C" w14:paraId="632B6B35" w14:textId="118EBAFE">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Lau, J.,</w:t>
      </w:r>
      <w:r w:rsidRPr="608C29B3" w:rsidR="081DE42C">
        <w:rPr>
          <w:rFonts w:ascii="Calibri" w:hAnsi="Calibri" w:eastAsia="Calibri" w:cs="Calibri"/>
          <w:b w:val="0"/>
          <w:bCs w:val="0"/>
          <w:noProof w:val="0"/>
          <w:sz w:val="24"/>
          <w:szCs w:val="24"/>
          <w:lang w:val="en-GB"/>
        </w:rPr>
        <w:t xml:space="preserve"> 2016. Diversity in media production and its impact on character portrayal. </w:t>
      </w:r>
      <w:r w:rsidRPr="608C29B3" w:rsidR="081DE42C">
        <w:rPr>
          <w:rFonts w:ascii="Calibri" w:hAnsi="Calibri" w:eastAsia="Calibri" w:cs="Calibri"/>
          <w:b w:val="0"/>
          <w:bCs w:val="0"/>
          <w:i w:val="1"/>
          <w:iCs w:val="1"/>
          <w:noProof w:val="0"/>
          <w:sz w:val="24"/>
          <w:szCs w:val="24"/>
          <w:lang w:val="en-GB"/>
        </w:rPr>
        <w:t>International Journal of Media Studies</w:t>
      </w:r>
      <w:r w:rsidRPr="608C29B3" w:rsidR="081DE42C">
        <w:rPr>
          <w:rFonts w:ascii="Calibri" w:hAnsi="Calibri" w:eastAsia="Calibri" w:cs="Calibri"/>
          <w:b w:val="0"/>
          <w:bCs w:val="0"/>
          <w:noProof w:val="0"/>
          <w:sz w:val="24"/>
          <w:szCs w:val="24"/>
          <w:lang w:val="en-GB"/>
        </w:rPr>
        <w:t>, 45(3), pp. 88-104.</w:t>
      </w:r>
    </w:p>
    <w:p w:rsidR="081DE42C" w:rsidP="608C29B3" w:rsidRDefault="081DE42C" w14:paraId="79D67B81" w14:textId="02F27DE2">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López, R. and Dunleavy, P.,</w:t>
      </w:r>
      <w:r w:rsidRPr="608C29B3" w:rsidR="081DE42C">
        <w:rPr>
          <w:rFonts w:ascii="Calibri" w:hAnsi="Calibri" w:eastAsia="Calibri" w:cs="Calibri"/>
          <w:b w:val="0"/>
          <w:bCs w:val="0"/>
          <w:noProof w:val="0"/>
          <w:sz w:val="24"/>
          <w:szCs w:val="24"/>
          <w:lang w:val="en-GB"/>
        </w:rPr>
        <w:t xml:space="preserve"> 2022. The integration of AI tools in higher education: Pedagogical opportunities and challenges. </w:t>
      </w:r>
      <w:r w:rsidRPr="608C29B3" w:rsidR="081DE42C">
        <w:rPr>
          <w:rFonts w:ascii="Calibri" w:hAnsi="Calibri" w:eastAsia="Calibri" w:cs="Calibri"/>
          <w:b w:val="0"/>
          <w:bCs w:val="0"/>
          <w:i w:val="1"/>
          <w:iCs w:val="1"/>
          <w:noProof w:val="0"/>
          <w:sz w:val="24"/>
          <w:szCs w:val="24"/>
          <w:lang w:val="en-GB"/>
        </w:rPr>
        <w:t>Higher Education Research &amp; Development</w:t>
      </w:r>
      <w:r w:rsidRPr="608C29B3" w:rsidR="081DE42C">
        <w:rPr>
          <w:rFonts w:ascii="Calibri" w:hAnsi="Calibri" w:eastAsia="Calibri" w:cs="Calibri"/>
          <w:b w:val="0"/>
          <w:bCs w:val="0"/>
          <w:noProof w:val="0"/>
          <w:sz w:val="24"/>
          <w:szCs w:val="24"/>
          <w:lang w:val="en-GB"/>
        </w:rPr>
        <w:t>, 41(2), pp. 304-318.</w:t>
      </w:r>
    </w:p>
    <w:p w:rsidR="081DE42C" w:rsidP="608C29B3" w:rsidRDefault="081DE42C" w14:paraId="16329405" w14:textId="4E1F6118">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Petty, G.,</w:t>
      </w:r>
      <w:r w:rsidRPr="608C29B3" w:rsidR="081DE42C">
        <w:rPr>
          <w:rFonts w:ascii="Calibri" w:hAnsi="Calibri" w:eastAsia="Calibri" w:cs="Calibri"/>
          <w:b w:val="0"/>
          <w:bCs w:val="0"/>
          <w:noProof w:val="0"/>
          <w:sz w:val="24"/>
          <w:szCs w:val="24"/>
          <w:lang w:val="en-GB"/>
        </w:rPr>
        <w:t xml:space="preserve"> 2009. </w:t>
      </w:r>
      <w:r w:rsidRPr="608C29B3" w:rsidR="081DE42C">
        <w:rPr>
          <w:rFonts w:ascii="Calibri" w:hAnsi="Calibri" w:eastAsia="Calibri" w:cs="Calibri"/>
          <w:b w:val="0"/>
          <w:bCs w:val="0"/>
          <w:i w:val="1"/>
          <w:iCs w:val="1"/>
          <w:noProof w:val="0"/>
          <w:sz w:val="24"/>
          <w:szCs w:val="24"/>
          <w:lang w:val="en-GB"/>
        </w:rPr>
        <w:t>Teaching Today: A Practical Guide</w:t>
      </w:r>
      <w:r w:rsidRPr="608C29B3" w:rsidR="081DE42C">
        <w:rPr>
          <w:rFonts w:ascii="Calibri" w:hAnsi="Calibri" w:eastAsia="Calibri" w:cs="Calibri"/>
          <w:b w:val="0"/>
          <w:bCs w:val="0"/>
          <w:noProof w:val="0"/>
          <w:sz w:val="24"/>
          <w:szCs w:val="24"/>
          <w:lang w:val="en-GB"/>
        </w:rPr>
        <w:t>. 4th ed. Cheltenham: Nelson Thornes.</w:t>
      </w:r>
    </w:p>
    <w:p w:rsidR="081DE42C" w:rsidP="608C29B3" w:rsidRDefault="081DE42C" w14:paraId="3E1FDD7F" w14:textId="582FBFA9">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Siemens, G.,</w:t>
      </w:r>
      <w:r w:rsidRPr="608C29B3" w:rsidR="081DE42C">
        <w:rPr>
          <w:rFonts w:ascii="Calibri" w:hAnsi="Calibri" w:eastAsia="Calibri" w:cs="Calibri"/>
          <w:b w:val="0"/>
          <w:bCs w:val="0"/>
          <w:noProof w:val="0"/>
          <w:sz w:val="24"/>
          <w:szCs w:val="24"/>
          <w:lang w:val="en-GB"/>
        </w:rPr>
        <w:t xml:space="preserve"> 2005. Connectivism: A learning theory for the digital age. </w:t>
      </w:r>
      <w:r w:rsidRPr="608C29B3" w:rsidR="081DE42C">
        <w:rPr>
          <w:rFonts w:ascii="Calibri" w:hAnsi="Calibri" w:eastAsia="Calibri" w:cs="Calibri"/>
          <w:b w:val="0"/>
          <w:bCs w:val="0"/>
          <w:i w:val="1"/>
          <w:iCs w:val="1"/>
          <w:noProof w:val="0"/>
          <w:sz w:val="24"/>
          <w:szCs w:val="24"/>
          <w:lang w:val="en-GB"/>
        </w:rPr>
        <w:t>International Journal of Instructional Technology and Distance Learning</w:t>
      </w:r>
      <w:r w:rsidRPr="608C29B3" w:rsidR="081DE42C">
        <w:rPr>
          <w:rFonts w:ascii="Calibri" w:hAnsi="Calibri" w:eastAsia="Calibri" w:cs="Calibri"/>
          <w:b w:val="0"/>
          <w:bCs w:val="0"/>
          <w:noProof w:val="0"/>
          <w:sz w:val="24"/>
          <w:szCs w:val="24"/>
          <w:lang w:val="en-GB"/>
        </w:rPr>
        <w:t>, 2(1), pp. 3-10.</w:t>
      </w:r>
    </w:p>
    <w:p w:rsidR="081DE42C" w:rsidP="608C29B3" w:rsidRDefault="081DE42C" w14:paraId="3D80B932" w14:textId="680E4B34">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Welsh Government,</w:t>
      </w:r>
      <w:r w:rsidRPr="608C29B3" w:rsidR="081DE42C">
        <w:rPr>
          <w:rFonts w:ascii="Calibri" w:hAnsi="Calibri" w:eastAsia="Calibri" w:cs="Calibri"/>
          <w:b w:val="0"/>
          <w:bCs w:val="0"/>
          <w:noProof w:val="0"/>
          <w:sz w:val="24"/>
          <w:szCs w:val="24"/>
          <w:lang w:val="en-GB"/>
        </w:rPr>
        <w:t xml:space="preserve"> 2023. </w:t>
      </w:r>
      <w:r w:rsidRPr="608C29B3" w:rsidR="081DE42C">
        <w:rPr>
          <w:rFonts w:ascii="Calibri" w:hAnsi="Calibri" w:eastAsia="Calibri" w:cs="Calibri"/>
          <w:b w:val="0"/>
          <w:bCs w:val="0"/>
          <w:i w:val="1"/>
          <w:iCs w:val="1"/>
          <w:noProof w:val="0"/>
          <w:sz w:val="24"/>
          <w:szCs w:val="24"/>
          <w:lang w:val="en-GB"/>
        </w:rPr>
        <w:t>Professional Standards for Further Education Practitioners in Wales</w:t>
      </w:r>
      <w:r w:rsidRPr="608C29B3" w:rsidR="081DE42C">
        <w:rPr>
          <w:rFonts w:ascii="Calibri" w:hAnsi="Calibri" w:eastAsia="Calibri" w:cs="Calibri"/>
          <w:b w:val="0"/>
          <w:bCs w:val="0"/>
          <w:noProof w:val="0"/>
          <w:sz w:val="24"/>
          <w:szCs w:val="24"/>
          <w:lang w:val="en-GB"/>
        </w:rPr>
        <w:t xml:space="preserve">. [online] Available at: </w:t>
      </w:r>
      <w:hyperlink r:id="R07379a4af9354ca3">
        <w:r w:rsidRPr="608C29B3" w:rsidR="081DE42C">
          <w:rPr>
            <w:rStyle w:val="Hyperlink"/>
            <w:rFonts w:ascii="Calibri" w:hAnsi="Calibri" w:eastAsia="Calibri" w:cs="Calibri"/>
            <w:b w:val="0"/>
            <w:bCs w:val="0"/>
            <w:noProof w:val="0"/>
            <w:sz w:val="24"/>
            <w:szCs w:val="24"/>
            <w:lang w:val="en-GB"/>
          </w:rPr>
          <w:t>https://www.gov.wales/professional-standards-further-education-practitioners</w:t>
        </w:r>
      </w:hyperlink>
      <w:r w:rsidRPr="608C29B3" w:rsidR="081DE42C">
        <w:rPr>
          <w:rFonts w:ascii="Calibri" w:hAnsi="Calibri" w:eastAsia="Calibri" w:cs="Calibri"/>
          <w:b w:val="0"/>
          <w:bCs w:val="0"/>
          <w:noProof w:val="0"/>
          <w:sz w:val="24"/>
          <w:szCs w:val="24"/>
          <w:lang w:val="en-GB"/>
        </w:rPr>
        <w:t xml:space="preserve"> [Accessed 6 December 2024].</w:t>
      </w:r>
    </w:p>
    <w:p w:rsidR="081DE42C" w:rsidP="608C29B3" w:rsidRDefault="081DE42C" w14:paraId="6091D939" w14:textId="0AA78449">
      <w:pPr>
        <w:pStyle w:val="Normal"/>
        <w:spacing w:before="240" w:beforeAutospacing="off" w:after="240" w:afterAutospacing="off"/>
        <w:rPr>
          <w:rFonts w:ascii="Calibri" w:hAnsi="Calibri" w:eastAsia="Calibri" w:cs="Calibri"/>
          <w:b w:val="0"/>
          <w:bCs w:val="0"/>
          <w:noProof w:val="0"/>
          <w:sz w:val="24"/>
          <w:szCs w:val="24"/>
          <w:lang w:val="en-GB"/>
        </w:rPr>
      </w:pPr>
      <w:r w:rsidRPr="608C29B3" w:rsidR="081DE42C">
        <w:rPr>
          <w:rFonts w:ascii="Calibri" w:hAnsi="Calibri" w:eastAsia="Calibri" w:cs="Calibri"/>
          <w:b w:val="0"/>
          <w:bCs w:val="0"/>
          <w:noProof w:val="0"/>
          <w:sz w:val="24"/>
          <w:szCs w:val="24"/>
          <w:lang w:val="en-GB"/>
        </w:rPr>
        <w:t>Williamson, B.,</w:t>
      </w:r>
      <w:r w:rsidRPr="608C29B3" w:rsidR="081DE42C">
        <w:rPr>
          <w:rFonts w:ascii="Calibri" w:hAnsi="Calibri" w:eastAsia="Calibri" w:cs="Calibri"/>
          <w:b w:val="0"/>
          <w:bCs w:val="0"/>
          <w:noProof w:val="0"/>
          <w:sz w:val="24"/>
          <w:szCs w:val="24"/>
          <w:lang w:val="en-GB"/>
        </w:rPr>
        <w:t xml:space="preserve"> 2017. </w:t>
      </w:r>
      <w:r w:rsidRPr="608C29B3" w:rsidR="081DE42C">
        <w:rPr>
          <w:rFonts w:ascii="Calibri" w:hAnsi="Calibri" w:eastAsia="Calibri" w:cs="Calibri"/>
          <w:b w:val="0"/>
          <w:bCs w:val="0"/>
          <w:i w:val="1"/>
          <w:iCs w:val="1"/>
          <w:noProof w:val="0"/>
          <w:sz w:val="24"/>
          <w:szCs w:val="24"/>
          <w:lang w:val="en-GB"/>
        </w:rPr>
        <w:t>Digital Education and the Impact of AI: Reconsidering the Learning Process</w:t>
      </w:r>
      <w:r w:rsidRPr="608C29B3" w:rsidR="081DE42C">
        <w:rPr>
          <w:rFonts w:ascii="Calibri" w:hAnsi="Calibri" w:eastAsia="Calibri" w:cs="Calibri"/>
          <w:b w:val="0"/>
          <w:bCs w:val="0"/>
          <w:noProof w:val="0"/>
          <w:sz w:val="24"/>
          <w:szCs w:val="24"/>
          <w:lang w:val="en-GB"/>
        </w:rPr>
        <w:t>. Cham: Springer.</w:t>
      </w:r>
    </w:p>
    <w:p w:rsidR="608C29B3" w:rsidP="608C29B3" w:rsidRDefault="608C29B3" w14:paraId="01B22380" w14:textId="638F6359">
      <w:pPr>
        <w:spacing w:before="240" w:beforeAutospacing="off" w:after="240" w:afterAutospacing="off"/>
        <w:rPr>
          <w:rFonts w:ascii="Aptos" w:hAnsi="Aptos" w:eastAsia="Aptos" w:cs="Aptos"/>
          <w:noProof w:val="0"/>
          <w:sz w:val="24"/>
          <w:szCs w:val="24"/>
          <w:lang w:val="en-GB"/>
        </w:rPr>
      </w:pPr>
    </w:p>
    <w:p w:rsidR="608C29B3" w:rsidP="608C29B3" w:rsidRDefault="608C29B3" w14:paraId="3969FDBC" w14:textId="5A2B9EDA">
      <w:pPr>
        <w:pStyle w:val="Normal"/>
        <w:spacing w:before="240" w:beforeAutospacing="off" w:after="240" w:afterAutospacing="off"/>
        <w:rPr>
          <w:noProof w:val="0"/>
          <w:lang w:val="en-GB"/>
        </w:rPr>
      </w:pPr>
    </w:p>
    <w:p w:rsidR="608C29B3" w:rsidRDefault="608C29B3" w14:paraId="380E15AC" w14:textId="5C6ACB32"/>
    <w:p w:rsidR="608C29B3" w:rsidP="608C29B3" w:rsidRDefault="608C29B3" w14:paraId="32EB103C" w14:textId="187FDF46">
      <w:pPr>
        <w:pStyle w:val="Normal"/>
        <w:rPr>
          <w:noProof w:val="0"/>
          <w:lang w:val="en-GB"/>
        </w:rPr>
      </w:pPr>
    </w:p>
    <w:p w:rsidR="608C29B3" w:rsidP="608C29B3" w:rsidRDefault="608C29B3" w14:paraId="559E7A47" w14:textId="31FFEA01">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608C29B3" w:rsidP="608C29B3" w:rsidRDefault="608C29B3" w14:paraId="38DA1892" w14:textId="7DB3F459">
      <w:pPr>
        <w:pStyle w:val="Normal"/>
      </w:pPr>
    </w:p>
    <w:sectPr>
      <w:pgSz w:w="12240" w:h="15840" w:orient="portrait"/>
      <w:pgMar w:top="1440" w:right="1440" w:bottom="1440" w:left="1440" w:header="720" w:footer="720" w:gutter="0"/>
      <w:cols w:space="720"/>
      <w:docGrid w:linePitch="360"/>
      <w:headerReference w:type="default" r:id="R7d53fbf36aa345bc"/>
      <w:footerReference w:type="default" r:id="R5d70354ae5ac4f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65BDFDF" w:rsidTr="665BDFDF" w14:paraId="51B55CD6">
      <w:trPr>
        <w:trHeight w:val="300"/>
      </w:trPr>
      <w:tc>
        <w:tcPr>
          <w:tcW w:w="3120" w:type="dxa"/>
          <w:tcMar/>
        </w:tcPr>
        <w:p w:rsidR="665BDFDF" w:rsidP="665BDFDF" w:rsidRDefault="665BDFDF" w14:paraId="7B63F3F2" w14:textId="5BC0B0E2">
          <w:pPr>
            <w:pStyle w:val="Header"/>
            <w:bidi w:val="0"/>
            <w:ind w:left="-115"/>
            <w:jc w:val="left"/>
          </w:pPr>
        </w:p>
      </w:tc>
      <w:tc>
        <w:tcPr>
          <w:tcW w:w="3120" w:type="dxa"/>
          <w:tcMar/>
        </w:tcPr>
        <w:p w:rsidR="665BDFDF" w:rsidP="665BDFDF" w:rsidRDefault="665BDFDF" w14:paraId="7CA738F4" w14:textId="620C4288">
          <w:pPr>
            <w:pStyle w:val="Header"/>
            <w:bidi w:val="0"/>
            <w:jc w:val="center"/>
          </w:pPr>
        </w:p>
      </w:tc>
      <w:tc>
        <w:tcPr>
          <w:tcW w:w="3120" w:type="dxa"/>
          <w:tcMar/>
        </w:tcPr>
        <w:p w:rsidR="665BDFDF" w:rsidP="665BDFDF" w:rsidRDefault="665BDFDF" w14:paraId="7155A004" w14:textId="2441F4BA">
          <w:pPr>
            <w:pStyle w:val="Header"/>
            <w:bidi w:val="0"/>
            <w:ind w:right="-115"/>
            <w:jc w:val="right"/>
          </w:pPr>
          <w:r>
            <w:fldChar w:fldCharType="begin"/>
          </w:r>
          <w:r>
            <w:instrText xml:space="preserve">PAGE</w:instrText>
          </w:r>
          <w:r>
            <w:fldChar w:fldCharType="separate"/>
          </w:r>
          <w:r>
            <w:fldChar w:fldCharType="end"/>
          </w:r>
        </w:p>
      </w:tc>
    </w:tr>
  </w:tbl>
  <w:p w:rsidR="665BDFDF" w:rsidP="665BDFDF" w:rsidRDefault="665BDFDF" w14:paraId="6F51060B" w14:textId="2BCC6E6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65BDFDF" w:rsidTr="665BDFDF" w14:paraId="52E82156">
      <w:trPr>
        <w:trHeight w:val="300"/>
      </w:trPr>
      <w:tc>
        <w:tcPr>
          <w:tcW w:w="3120" w:type="dxa"/>
          <w:tcMar/>
        </w:tcPr>
        <w:p w:rsidR="665BDFDF" w:rsidP="665BDFDF" w:rsidRDefault="665BDFDF" w14:paraId="560F2651" w14:textId="731D31F0">
          <w:pPr>
            <w:pStyle w:val="Header"/>
            <w:bidi w:val="0"/>
            <w:ind w:left="-115"/>
            <w:jc w:val="left"/>
          </w:pPr>
        </w:p>
      </w:tc>
      <w:tc>
        <w:tcPr>
          <w:tcW w:w="3120" w:type="dxa"/>
          <w:tcMar/>
        </w:tcPr>
        <w:p w:rsidR="665BDFDF" w:rsidP="665BDFDF" w:rsidRDefault="665BDFDF" w14:paraId="097CF20E" w14:textId="3C1AB893">
          <w:pPr>
            <w:pStyle w:val="Header"/>
            <w:bidi w:val="0"/>
            <w:jc w:val="center"/>
          </w:pPr>
        </w:p>
      </w:tc>
      <w:tc>
        <w:tcPr>
          <w:tcW w:w="3120" w:type="dxa"/>
          <w:tcMar/>
        </w:tcPr>
        <w:p w:rsidR="665BDFDF" w:rsidP="665BDFDF" w:rsidRDefault="665BDFDF" w14:paraId="2B3D96AE" w14:textId="2A984381">
          <w:pPr>
            <w:pStyle w:val="Header"/>
            <w:bidi w:val="0"/>
            <w:ind w:right="-115"/>
            <w:jc w:val="right"/>
          </w:pPr>
        </w:p>
      </w:tc>
    </w:tr>
  </w:tbl>
  <w:p w:rsidR="665BDFDF" w:rsidP="665BDFDF" w:rsidRDefault="665BDFDF" w14:paraId="54F4C5B2" w14:textId="68F0CF36">
    <w:pPr>
      <w:pStyle w:val="Header"/>
      <w:bidi w:val="0"/>
    </w:pPr>
  </w:p>
</w:hdr>
</file>

<file path=word/numbering.xml><?xml version="1.0" encoding="utf-8"?>
<w:numbering xmlns:w="http://schemas.openxmlformats.org/wordprocessingml/2006/main">
  <w:abstractNum xmlns:w="http://schemas.openxmlformats.org/wordprocessingml/2006/main" w:abstractNumId="15">
    <w:nsid w:val="a2b7b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c9310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8ca4c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2352faf"/>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ab1d8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fc241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f96a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765d0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54aeb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293d4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a859e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6f163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cdd6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88a7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3b571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2CA03"/>
    <w:rsid w:val="002497F1"/>
    <w:rsid w:val="00A8EE70"/>
    <w:rsid w:val="00BBC6E1"/>
    <w:rsid w:val="01AB860E"/>
    <w:rsid w:val="01B7204A"/>
    <w:rsid w:val="01E5EF3D"/>
    <w:rsid w:val="020AB0B7"/>
    <w:rsid w:val="033A897E"/>
    <w:rsid w:val="04099FFB"/>
    <w:rsid w:val="04F76DC8"/>
    <w:rsid w:val="058C8B8B"/>
    <w:rsid w:val="060642E2"/>
    <w:rsid w:val="062BA188"/>
    <w:rsid w:val="064344A5"/>
    <w:rsid w:val="06AFD95F"/>
    <w:rsid w:val="06B05697"/>
    <w:rsid w:val="06E962B1"/>
    <w:rsid w:val="078D158E"/>
    <w:rsid w:val="07E68E15"/>
    <w:rsid w:val="081DE42C"/>
    <w:rsid w:val="08276B58"/>
    <w:rsid w:val="084249A9"/>
    <w:rsid w:val="08502C32"/>
    <w:rsid w:val="087740A1"/>
    <w:rsid w:val="0880860C"/>
    <w:rsid w:val="08A05EC9"/>
    <w:rsid w:val="08FE40D0"/>
    <w:rsid w:val="09212E13"/>
    <w:rsid w:val="0977D2E4"/>
    <w:rsid w:val="0A32A80B"/>
    <w:rsid w:val="0A5873AD"/>
    <w:rsid w:val="0AB490EE"/>
    <w:rsid w:val="0AC1CC61"/>
    <w:rsid w:val="0B1A6567"/>
    <w:rsid w:val="0B3E6473"/>
    <w:rsid w:val="0B4BADDD"/>
    <w:rsid w:val="0B80BCDC"/>
    <w:rsid w:val="0B83BE35"/>
    <w:rsid w:val="0BD5E5BA"/>
    <w:rsid w:val="0BDA47C5"/>
    <w:rsid w:val="0C48028E"/>
    <w:rsid w:val="0C61E679"/>
    <w:rsid w:val="0C620BD8"/>
    <w:rsid w:val="0C8D01AA"/>
    <w:rsid w:val="0CD43D05"/>
    <w:rsid w:val="0E1F1926"/>
    <w:rsid w:val="0E533E82"/>
    <w:rsid w:val="0E66FBCE"/>
    <w:rsid w:val="0EDC732F"/>
    <w:rsid w:val="0F69EFA7"/>
    <w:rsid w:val="0FC223B4"/>
    <w:rsid w:val="1004033F"/>
    <w:rsid w:val="10168ED8"/>
    <w:rsid w:val="10949D4A"/>
    <w:rsid w:val="10C6B5A0"/>
    <w:rsid w:val="10DE19C9"/>
    <w:rsid w:val="111F8B8E"/>
    <w:rsid w:val="1272D9F6"/>
    <w:rsid w:val="12F58219"/>
    <w:rsid w:val="133EDD3C"/>
    <w:rsid w:val="13819EEF"/>
    <w:rsid w:val="13CD3E15"/>
    <w:rsid w:val="13E223DF"/>
    <w:rsid w:val="13F9FB75"/>
    <w:rsid w:val="140E3286"/>
    <w:rsid w:val="141D2530"/>
    <w:rsid w:val="143600A6"/>
    <w:rsid w:val="1459794E"/>
    <w:rsid w:val="1473FB7C"/>
    <w:rsid w:val="153A7EA4"/>
    <w:rsid w:val="15C38C66"/>
    <w:rsid w:val="16098FA3"/>
    <w:rsid w:val="16D6122E"/>
    <w:rsid w:val="16D76B65"/>
    <w:rsid w:val="175DE71D"/>
    <w:rsid w:val="179BA565"/>
    <w:rsid w:val="18047B48"/>
    <w:rsid w:val="1877AF87"/>
    <w:rsid w:val="18CF2CC9"/>
    <w:rsid w:val="199720E1"/>
    <w:rsid w:val="19B7CB4C"/>
    <w:rsid w:val="19DDD035"/>
    <w:rsid w:val="1B5E7D25"/>
    <w:rsid w:val="1BB3D262"/>
    <w:rsid w:val="1BBC8CD6"/>
    <w:rsid w:val="1C08E79B"/>
    <w:rsid w:val="1CB61CA6"/>
    <w:rsid w:val="1CF18378"/>
    <w:rsid w:val="1D350E49"/>
    <w:rsid w:val="1D5977E3"/>
    <w:rsid w:val="1D6DD74D"/>
    <w:rsid w:val="1D8F4624"/>
    <w:rsid w:val="1E3F50C9"/>
    <w:rsid w:val="1EFB6166"/>
    <w:rsid w:val="1F3A0380"/>
    <w:rsid w:val="1F754092"/>
    <w:rsid w:val="204A62E4"/>
    <w:rsid w:val="2075ADE3"/>
    <w:rsid w:val="20769993"/>
    <w:rsid w:val="212F0066"/>
    <w:rsid w:val="21777DE3"/>
    <w:rsid w:val="219E869C"/>
    <w:rsid w:val="21CAD59E"/>
    <w:rsid w:val="21FC5257"/>
    <w:rsid w:val="2211ED0C"/>
    <w:rsid w:val="22F40775"/>
    <w:rsid w:val="24944993"/>
    <w:rsid w:val="252F017B"/>
    <w:rsid w:val="25D60504"/>
    <w:rsid w:val="25F39C9F"/>
    <w:rsid w:val="260EB510"/>
    <w:rsid w:val="27C2D27F"/>
    <w:rsid w:val="2846492B"/>
    <w:rsid w:val="284E619D"/>
    <w:rsid w:val="29B1C6D8"/>
    <w:rsid w:val="2A7A0B01"/>
    <w:rsid w:val="2A7D2DF1"/>
    <w:rsid w:val="2AEDA9BA"/>
    <w:rsid w:val="2B28157A"/>
    <w:rsid w:val="2B31738B"/>
    <w:rsid w:val="2BFF3722"/>
    <w:rsid w:val="2C630BBE"/>
    <w:rsid w:val="2CE826B0"/>
    <w:rsid w:val="2DA77F34"/>
    <w:rsid w:val="2E47A9CC"/>
    <w:rsid w:val="2E907EB9"/>
    <w:rsid w:val="2EAC365D"/>
    <w:rsid w:val="2EEA7C28"/>
    <w:rsid w:val="2F14010A"/>
    <w:rsid w:val="2F4083FA"/>
    <w:rsid w:val="2F580DA1"/>
    <w:rsid w:val="2FA478F0"/>
    <w:rsid w:val="303C185C"/>
    <w:rsid w:val="3085F929"/>
    <w:rsid w:val="30E0F28D"/>
    <w:rsid w:val="31157550"/>
    <w:rsid w:val="312E5280"/>
    <w:rsid w:val="316CA2AA"/>
    <w:rsid w:val="316F6E62"/>
    <w:rsid w:val="3210ABC9"/>
    <w:rsid w:val="321F4367"/>
    <w:rsid w:val="32AEF183"/>
    <w:rsid w:val="33A4D140"/>
    <w:rsid w:val="34707816"/>
    <w:rsid w:val="354B6807"/>
    <w:rsid w:val="35A33FD5"/>
    <w:rsid w:val="35B1C0F2"/>
    <w:rsid w:val="374B8864"/>
    <w:rsid w:val="37A11EBF"/>
    <w:rsid w:val="37E3B99D"/>
    <w:rsid w:val="385447E2"/>
    <w:rsid w:val="388824E0"/>
    <w:rsid w:val="38E66A60"/>
    <w:rsid w:val="39005B7E"/>
    <w:rsid w:val="394DC519"/>
    <w:rsid w:val="395C789F"/>
    <w:rsid w:val="39981122"/>
    <w:rsid w:val="39A59459"/>
    <w:rsid w:val="39D7B2DD"/>
    <w:rsid w:val="3A33D5E8"/>
    <w:rsid w:val="3A82C931"/>
    <w:rsid w:val="3A9C5095"/>
    <w:rsid w:val="3AB54572"/>
    <w:rsid w:val="3AFC089F"/>
    <w:rsid w:val="3C68A5CE"/>
    <w:rsid w:val="3CC46068"/>
    <w:rsid w:val="3CC46068"/>
    <w:rsid w:val="3CC51578"/>
    <w:rsid w:val="3CE7662A"/>
    <w:rsid w:val="3D1413DA"/>
    <w:rsid w:val="3D262528"/>
    <w:rsid w:val="3D6BF586"/>
    <w:rsid w:val="3F600921"/>
    <w:rsid w:val="403DEE71"/>
    <w:rsid w:val="40545184"/>
    <w:rsid w:val="40A9F60D"/>
    <w:rsid w:val="40E62419"/>
    <w:rsid w:val="410798EA"/>
    <w:rsid w:val="41CE47D2"/>
    <w:rsid w:val="41D710AE"/>
    <w:rsid w:val="4221F7D0"/>
    <w:rsid w:val="4315A7D9"/>
    <w:rsid w:val="43193A6A"/>
    <w:rsid w:val="439E7E98"/>
    <w:rsid w:val="43A037D9"/>
    <w:rsid w:val="43B56657"/>
    <w:rsid w:val="43C74823"/>
    <w:rsid w:val="45932AC9"/>
    <w:rsid w:val="4599F667"/>
    <w:rsid w:val="460E3FDC"/>
    <w:rsid w:val="4625DA0A"/>
    <w:rsid w:val="46ACFE57"/>
    <w:rsid w:val="46B4DD25"/>
    <w:rsid w:val="47018B0A"/>
    <w:rsid w:val="473C2216"/>
    <w:rsid w:val="47859642"/>
    <w:rsid w:val="478F292B"/>
    <w:rsid w:val="47977CCE"/>
    <w:rsid w:val="47AC1AA3"/>
    <w:rsid w:val="480F0E07"/>
    <w:rsid w:val="4867663F"/>
    <w:rsid w:val="48BD9569"/>
    <w:rsid w:val="496E616B"/>
    <w:rsid w:val="49729041"/>
    <w:rsid w:val="497AF1E8"/>
    <w:rsid w:val="4A9C0DA3"/>
    <w:rsid w:val="4AA6315A"/>
    <w:rsid w:val="4BFA2C11"/>
    <w:rsid w:val="4C96B343"/>
    <w:rsid w:val="4CBA74BD"/>
    <w:rsid w:val="4D08F7C6"/>
    <w:rsid w:val="4DA17696"/>
    <w:rsid w:val="4DBAB4F5"/>
    <w:rsid w:val="503AF01C"/>
    <w:rsid w:val="5040AF84"/>
    <w:rsid w:val="51BAD50C"/>
    <w:rsid w:val="51BC68B6"/>
    <w:rsid w:val="51D6F9FD"/>
    <w:rsid w:val="53DF43E9"/>
    <w:rsid w:val="53DF43E9"/>
    <w:rsid w:val="53F9B95E"/>
    <w:rsid w:val="54A7E1A3"/>
    <w:rsid w:val="54BB7222"/>
    <w:rsid w:val="551ED91E"/>
    <w:rsid w:val="5520185D"/>
    <w:rsid w:val="55212844"/>
    <w:rsid w:val="555AB61B"/>
    <w:rsid w:val="560485B9"/>
    <w:rsid w:val="566F7FE0"/>
    <w:rsid w:val="57122D2B"/>
    <w:rsid w:val="574F669D"/>
    <w:rsid w:val="5754DEFE"/>
    <w:rsid w:val="576C1665"/>
    <w:rsid w:val="57BAD288"/>
    <w:rsid w:val="57C88619"/>
    <w:rsid w:val="57DFB62A"/>
    <w:rsid w:val="57E09920"/>
    <w:rsid w:val="588AF672"/>
    <w:rsid w:val="59227E2F"/>
    <w:rsid w:val="595D5F62"/>
    <w:rsid w:val="5980153E"/>
    <w:rsid w:val="59C3EC60"/>
    <w:rsid w:val="5ACEAEC2"/>
    <w:rsid w:val="5AEC0063"/>
    <w:rsid w:val="5AF23BDD"/>
    <w:rsid w:val="5AFD288E"/>
    <w:rsid w:val="5B712BCA"/>
    <w:rsid w:val="5B87157F"/>
    <w:rsid w:val="5C1B2171"/>
    <w:rsid w:val="5C1D7711"/>
    <w:rsid w:val="5C541E52"/>
    <w:rsid w:val="5C63A6B0"/>
    <w:rsid w:val="5D08747B"/>
    <w:rsid w:val="5E376C8A"/>
    <w:rsid w:val="5E45FAC9"/>
    <w:rsid w:val="5E715A5A"/>
    <w:rsid w:val="5EA0DD5B"/>
    <w:rsid w:val="5F5DDB9E"/>
    <w:rsid w:val="5F832010"/>
    <w:rsid w:val="5F8C5755"/>
    <w:rsid w:val="5F990AB1"/>
    <w:rsid w:val="5FEA079E"/>
    <w:rsid w:val="608C29B3"/>
    <w:rsid w:val="6093F490"/>
    <w:rsid w:val="60B802D1"/>
    <w:rsid w:val="60C31946"/>
    <w:rsid w:val="6137E693"/>
    <w:rsid w:val="6165EAB9"/>
    <w:rsid w:val="625C4CC9"/>
    <w:rsid w:val="6331F40B"/>
    <w:rsid w:val="63739D8D"/>
    <w:rsid w:val="63C81A03"/>
    <w:rsid w:val="64F2CA03"/>
    <w:rsid w:val="64FEA648"/>
    <w:rsid w:val="64FFEB33"/>
    <w:rsid w:val="6610F7B5"/>
    <w:rsid w:val="6620F18B"/>
    <w:rsid w:val="664CB811"/>
    <w:rsid w:val="665BDFDF"/>
    <w:rsid w:val="6696E9EC"/>
    <w:rsid w:val="66D93C4E"/>
    <w:rsid w:val="66E96FF2"/>
    <w:rsid w:val="672DDF7D"/>
    <w:rsid w:val="6816C26B"/>
    <w:rsid w:val="6830D0DC"/>
    <w:rsid w:val="6900F6E3"/>
    <w:rsid w:val="6981D108"/>
    <w:rsid w:val="6A89F241"/>
    <w:rsid w:val="6B00D9B4"/>
    <w:rsid w:val="6B1F0D7B"/>
    <w:rsid w:val="6C4B766E"/>
    <w:rsid w:val="6C81C497"/>
    <w:rsid w:val="6D6CA484"/>
    <w:rsid w:val="6DFF4C12"/>
    <w:rsid w:val="6E08A560"/>
    <w:rsid w:val="6E373253"/>
    <w:rsid w:val="6E53EE3D"/>
    <w:rsid w:val="6E926BD6"/>
    <w:rsid w:val="6EA4C1F9"/>
    <w:rsid w:val="6EB70D9C"/>
    <w:rsid w:val="706AED72"/>
    <w:rsid w:val="719EAADB"/>
    <w:rsid w:val="727383EA"/>
    <w:rsid w:val="72BFADD4"/>
    <w:rsid w:val="736651DD"/>
    <w:rsid w:val="737CBF67"/>
    <w:rsid w:val="747255F8"/>
    <w:rsid w:val="751F539D"/>
    <w:rsid w:val="753AA959"/>
    <w:rsid w:val="7580A9DA"/>
    <w:rsid w:val="75CFF92E"/>
    <w:rsid w:val="76E3C49A"/>
    <w:rsid w:val="786BD41A"/>
    <w:rsid w:val="79065703"/>
    <w:rsid w:val="79A87844"/>
    <w:rsid w:val="7AC9C6B2"/>
    <w:rsid w:val="7B329D47"/>
    <w:rsid w:val="7B779B00"/>
    <w:rsid w:val="7BE43ED8"/>
    <w:rsid w:val="7C23E529"/>
    <w:rsid w:val="7CDD7DED"/>
    <w:rsid w:val="7D2B0940"/>
    <w:rsid w:val="7DF6857C"/>
    <w:rsid w:val="7EEC9A9C"/>
    <w:rsid w:val="7F601E11"/>
    <w:rsid w:val="7FE97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2CA03"/>
  <w15:chartTrackingRefBased/>
  <w15:docId w15:val="{3BC13575-282F-41B5-988F-98CD80005A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uiPriority w:val="39"/>
    <w:name w:val="toc 1"/>
    <w:basedOn w:val="Normal"/>
    <w:next w:val="Normal"/>
    <w:unhideWhenUsed/>
    <w:rsid w:val="665BDFDF"/>
    <w:pPr>
      <w:spacing w:after="100"/>
    </w:pPr>
  </w:style>
  <w:style w:type="character" w:styleId="Hyperlink">
    <w:uiPriority w:val="99"/>
    <w:name w:val="Hyperlink"/>
    <w:basedOn w:val="DefaultParagraphFont"/>
    <w:unhideWhenUsed/>
    <w:rsid w:val="665BDFDF"/>
    <w:rPr>
      <w:color w:val="467886"/>
      <w:u w:val="single"/>
    </w:rPr>
  </w:style>
  <w:style w:type="paragraph" w:styleId="TOC2">
    <w:uiPriority w:val="39"/>
    <w:name w:val="toc 2"/>
    <w:basedOn w:val="Normal"/>
    <w:next w:val="Normal"/>
    <w:unhideWhenUsed/>
    <w:rsid w:val="665BDFDF"/>
    <w:pPr>
      <w:spacing w:after="100"/>
      <w:ind w:left="220"/>
    </w:pPr>
  </w:style>
  <w:style w:type="paragraph" w:styleId="Header">
    <w:uiPriority w:val="99"/>
    <w:name w:val="header"/>
    <w:basedOn w:val="Normal"/>
    <w:unhideWhenUsed/>
    <w:rsid w:val="665BDFDF"/>
    <w:pPr>
      <w:tabs>
        <w:tab w:val="center" w:leader="none" w:pos="4680"/>
        <w:tab w:val="right" w:leader="none" w:pos="9360"/>
      </w:tabs>
      <w:spacing w:after="0" w:line="240" w:lineRule="auto"/>
    </w:pPr>
  </w:style>
  <w:style w:type="paragraph" w:styleId="Footer">
    <w:uiPriority w:val="99"/>
    <w:name w:val="footer"/>
    <w:basedOn w:val="Normal"/>
    <w:unhideWhenUsed/>
    <w:rsid w:val="665BDFDF"/>
    <w:pPr>
      <w:tabs>
        <w:tab w:val="center" w:leader="none" w:pos="4680"/>
        <w:tab w:val="right" w:leader="none" w:pos="9360"/>
      </w:tabs>
      <w:spacing w:after="0" w:line="240" w:lineRule="auto"/>
    </w:pPr>
  </w:style>
  <w:style w:type="paragraph" w:styleId="TOC3">
    <w:uiPriority w:val="39"/>
    <w:name w:val="toc 3"/>
    <w:basedOn w:val="Normal"/>
    <w:next w:val="Normal"/>
    <w:unhideWhenUsed/>
    <w:rsid w:val="665BDFDF"/>
    <w:pPr>
      <w:spacing w:after="100"/>
      <w:ind w:left="440"/>
    </w:pPr>
  </w:style>
  <w:style w:type="paragraph" w:styleId="TOC4">
    <w:uiPriority w:val="39"/>
    <w:name w:val="toc 4"/>
    <w:basedOn w:val="Normal"/>
    <w:next w:val="Normal"/>
    <w:unhideWhenUsed/>
    <w:rsid w:val="665BDFDF"/>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608C29B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d53fbf36aa345bc" /><Relationship Type="http://schemas.openxmlformats.org/officeDocument/2006/relationships/footer" Target="footer.xml" Id="R5d70354ae5ac4f63" /><Relationship Type="http://schemas.openxmlformats.org/officeDocument/2006/relationships/image" Target="/media/image.png" Id="R54af2cefbce14e6e" /><Relationship Type="http://schemas.openxmlformats.org/officeDocument/2006/relationships/image" Target="/media/image2.png" Id="R65f636efc7e243af" /><Relationship Type="http://schemas.openxmlformats.org/officeDocument/2006/relationships/image" Target="/media/image3.png" Id="R00aa30aa6da44a92" /><Relationship Type="http://schemas.openxmlformats.org/officeDocument/2006/relationships/image" Target="/media/image4.png" Id="R58acba7821a24a5d" /><Relationship Type="http://schemas.openxmlformats.org/officeDocument/2006/relationships/image" Target="/media/image5.png" Id="Rfde5a23d35ea4a75" /><Relationship Type="http://schemas.openxmlformats.org/officeDocument/2006/relationships/image" Target="/media/image6.png" Id="R06969aeba2f54727" /><Relationship Type="http://schemas.openxmlformats.org/officeDocument/2006/relationships/image" Target="/media/image7.png" Id="Re2b34ca09a404742" /><Relationship Type="http://schemas.openxmlformats.org/officeDocument/2006/relationships/image" Target="/media/image8.png" Id="R0a53649342df4c7c" /><Relationship Type="http://schemas.openxmlformats.org/officeDocument/2006/relationships/image" Target="/media/image9.png" Id="R4b7d4e4f23a04bad" /><Relationship Type="http://schemas.openxmlformats.org/officeDocument/2006/relationships/image" Target="/media/imagea.png" Id="R2e9ad0d5eb3549bc" /><Relationship Type="http://schemas.openxmlformats.org/officeDocument/2006/relationships/image" Target="/media/imageb.png" Id="Rbf25ad565a6d42e9" /><Relationship Type="http://schemas.openxmlformats.org/officeDocument/2006/relationships/hyperlink" Target="https://www.childrenscommissioner.wales/digital-divide" TargetMode="External" Id="Rdd399a7339dd4967" /><Relationship Type="http://schemas.openxmlformats.org/officeDocument/2006/relationships/hyperlink" Target="https://www.un.org/sustainabledevelopment/education/" TargetMode="External" Id="Re75e8d4453d04e07" /><Relationship Type="http://schemas.openxmlformats.org/officeDocument/2006/relationships/hyperlink" Target="https://gov.wales/digital-2030" TargetMode="External" Id="Rd351314cbadb4b77" /><Relationship Type="http://schemas.openxmlformats.org/officeDocument/2006/relationships/hyperlink" Target="https://www.gov.wales/professional-standards-further-education-practitioners" TargetMode="External" Id="R07379a4af9354ca3" /><Relationship Type="http://schemas.openxmlformats.org/officeDocument/2006/relationships/numbering" Target="numbering.xml" Id="R6e85f9a29878464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2024-12-05T16:25:07.0376407Z</dcterms:created>
  <dcterms:modified xsi:type="dcterms:W3CDTF">2024-12-06T23:33:53.4615575Z</dcterms:modified>
  <dc:creator>Erin Heymann (1906811)</dc:creator>
  <lastModifiedBy>Erin Heymann (1906811)</lastModifiedBy>
</coreProperties>
</file>